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stylesWithEffects.xml" ContentType="application/vnd.ms-word.stylesWithEffect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4840"/>
        <w:gridCol w:w="1638"/>
        <w:gridCol w:w="3104"/>
      </w:tblGrid>
      <w:tr w:rsidR="00B673D8" w:rsidTr="00FC3001">
        <w:tc>
          <w:tcPr>
            <w:tcW w:w="9582" w:type="dxa"/>
            <w:gridSpan w:val="3"/>
          </w:tcPr>
          <w:p w:rsidR="00FC3001" w:rsidRPr="00F10DEF" w:rsidRDefault="00FC3001" w:rsidP="00FC3001">
            <w:pPr>
              <w:pStyle w:val="DNVGL-Details"/>
            </w:pPr>
          </w:p>
        </w:tc>
      </w:tr>
      <w:tr w:rsidR="00B673D8" w:rsidTr="00FC3001">
        <w:tc>
          <w:tcPr>
            <w:tcW w:w="4840" w:type="dxa"/>
          </w:tcPr>
          <w:p w:rsidR="00FC3001" w:rsidRPr="00F10DEF" w:rsidRDefault="003F05E8" w:rsidP="00FC3001">
            <w:pPr>
              <w:pStyle w:val="DNVGL-Details"/>
              <w:rPr>
                <w:b/>
                <w:bCs/>
              </w:rPr>
            </w:pPr>
            <w:r w:rsidRPr="00F10DEF">
              <w:rPr>
                <w:b/>
                <w:bCs/>
              </w:rPr>
              <w:t xml:space="preserve">Memo to:  </w:t>
            </w:r>
          </w:p>
        </w:tc>
        <w:tc>
          <w:tcPr>
            <w:tcW w:w="1638" w:type="dxa"/>
          </w:tcPr>
          <w:p w:rsidR="00FC3001" w:rsidRPr="00F10DEF" w:rsidRDefault="003F05E8" w:rsidP="00FC3001">
            <w:pPr>
              <w:pStyle w:val="DNVGL-Details"/>
              <w:rPr>
                <w:b/>
                <w:bCs/>
              </w:rPr>
            </w:pPr>
            <w:r w:rsidRPr="00F10DEF">
              <w:rPr>
                <w:b/>
                <w:bCs/>
              </w:rPr>
              <w:t>Memo No:</w:t>
            </w:r>
          </w:p>
        </w:tc>
        <w:tc>
          <w:tcPr>
            <w:tcW w:w="3104" w:type="dxa"/>
            <w:shd w:val="clear" w:color="auto" w:fill="auto"/>
            <w:tcMar>
              <w:left w:w="0" w:type="dxa"/>
            </w:tcMar>
          </w:tcPr>
          <w:p w:rsidR="00FC3001" w:rsidRPr="00F10DEF" w:rsidRDefault="00FC3001" w:rsidP="00FC3001">
            <w:pPr>
              <w:pStyle w:val="DNVGL-Details"/>
            </w:pPr>
          </w:p>
        </w:tc>
      </w:tr>
      <w:tr w:rsidR="00B673D8" w:rsidTr="00FC3001">
        <w:tc>
          <w:tcPr>
            <w:tcW w:w="4840" w:type="dxa"/>
            <w:vMerge w:val="restart"/>
          </w:tcPr>
          <w:p w:rsidR="00FC3001" w:rsidRPr="00F10DEF" w:rsidRDefault="00943B9B" w:rsidP="00FC3001">
            <w:pPr>
              <w:pStyle w:val="DNVGL-Details"/>
            </w:pPr>
            <w:r>
              <w:t>Jim Perich-Anderson</w:t>
            </w:r>
            <w:r w:rsidR="002206DE">
              <w:t xml:space="preserve"> (PSE)</w:t>
            </w:r>
          </w:p>
        </w:tc>
        <w:tc>
          <w:tcPr>
            <w:tcW w:w="1638" w:type="dxa"/>
          </w:tcPr>
          <w:p w:rsidR="00FC3001" w:rsidRPr="00F10DEF" w:rsidRDefault="003F05E8" w:rsidP="00FC3001">
            <w:pPr>
              <w:pStyle w:val="DNVGL-Details"/>
              <w:rPr>
                <w:b/>
                <w:bCs/>
              </w:rPr>
            </w:pPr>
            <w:r w:rsidRPr="00F10DEF">
              <w:rPr>
                <w:b/>
                <w:bCs/>
              </w:rPr>
              <w:t>From:</w:t>
            </w:r>
          </w:p>
        </w:tc>
        <w:tc>
          <w:tcPr>
            <w:tcW w:w="3104" w:type="dxa"/>
            <w:shd w:val="clear" w:color="auto" w:fill="auto"/>
            <w:tcMar>
              <w:left w:w="0" w:type="dxa"/>
            </w:tcMar>
          </w:tcPr>
          <w:p w:rsidR="00FC3001" w:rsidRPr="00F10DEF" w:rsidRDefault="00943B9B" w:rsidP="00FC3001">
            <w:pPr>
              <w:pStyle w:val="DNVGL-Details"/>
            </w:pPr>
            <w:r>
              <w:t>DNV GL</w:t>
            </w:r>
            <w:r w:rsidR="0054419A">
              <w:t xml:space="preserve"> - Energy</w:t>
            </w:r>
          </w:p>
        </w:tc>
      </w:tr>
      <w:tr w:rsidR="00B673D8" w:rsidTr="00FC3001">
        <w:tc>
          <w:tcPr>
            <w:tcW w:w="4840" w:type="dxa"/>
            <w:vMerge/>
          </w:tcPr>
          <w:p w:rsidR="00FC3001" w:rsidRPr="00F10DEF" w:rsidRDefault="00FC3001" w:rsidP="00FC3001">
            <w:pPr>
              <w:pStyle w:val="DNVGL-Details"/>
            </w:pPr>
          </w:p>
        </w:tc>
        <w:tc>
          <w:tcPr>
            <w:tcW w:w="1638" w:type="dxa"/>
          </w:tcPr>
          <w:p w:rsidR="00FC3001" w:rsidRPr="00F10DEF" w:rsidRDefault="003F05E8" w:rsidP="00FC3001">
            <w:pPr>
              <w:pStyle w:val="DNVGL-Details"/>
              <w:rPr>
                <w:b/>
                <w:bCs/>
              </w:rPr>
            </w:pPr>
            <w:r w:rsidRPr="00F10DEF">
              <w:rPr>
                <w:b/>
                <w:bCs/>
              </w:rPr>
              <w:t>Date:</w:t>
            </w:r>
          </w:p>
        </w:tc>
        <w:tc>
          <w:tcPr>
            <w:tcW w:w="3104" w:type="dxa"/>
            <w:shd w:val="clear" w:color="auto" w:fill="auto"/>
            <w:tcMar>
              <w:left w:w="0" w:type="dxa"/>
            </w:tcMar>
          </w:tcPr>
          <w:p w:rsidR="00FC3001" w:rsidRPr="00F10DEF" w:rsidRDefault="00943B9B" w:rsidP="00FC3001">
            <w:pPr>
              <w:pStyle w:val="DNVGL-Details"/>
            </w:pPr>
            <w:r>
              <w:t>05-2</w:t>
            </w:r>
            <w:r w:rsidR="0054419A">
              <w:t>5</w:t>
            </w:r>
            <w:r>
              <w:t>-2016</w:t>
            </w:r>
          </w:p>
        </w:tc>
      </w:tr>
      <w:tr w:rsidR="00B673D8" w:rsidTr="00FC3001">
        <w:tc>
          <w:tcPr>
            <w:tcW w:w="4840" w:type="dxa"/>
          </w:tcPr>
          <w:p w:rsidR="00FC3001" w:rsidRPr="00F10DEF" w:rsidRDefault="003F05E8" w:rsidP="00FC3001">
            <w:pPr>
              <w:pStyle w:val="DNVGL-Details"/>
              <w:rPr>
                <w:b/>
                <w:bCs/>
              </w:rPr>
            </w:pPr>
            <w:r w:rsidRPr="00F10DEF">
              <w:rPr>
                <w:b/>
                <w:bCs/>
              </w:rPr>
              <w:t>Copied to:</w:t>
            </w:r>
          </w:p>
          <w:p w:rsidR="00FC3001" w:rsidRPr="00F10DEF" w:rsidRDefault="00943B9B" w:rsidP="00FC3001">
            <w:pPr>
              <w:pStyle w:val="DNVGL-Details"/>
            </w:pPr>
            <w:r>
              <w:t>Valerie Richardson</w:t>
            </w:r>
          </w:p>
        </w:tc>
        <w:tc>
          <w:tcPr>
            <w:tcW w:w="1638" w:type="dxa"/>
          </w:tcPr>
          <w:p w:rsidR="00FC3001" w:rsidRPr="00F10DEF" w:rsidRDefault="003F05E8" w:rsidP="00FC3001">
            <w:pPr>
              <w:pStyle w:val="DNVGL-Details"/>
              <w:rPr>
                <w:b/>
                <w:bCs/>
              </w:rPr>
            </w:pPr>
            <w:r w:rsidRPr="00F10DEF">
              <w:rPr>
                <w:b/>
                <w:bCs/>
              </w:rPr>
              <w:t>Prep. By:</w:t>
            </w:r>
          </w:p>
        </w:tc>
        <w:tc>
          <w:tcPr>
            <w:tcW w:w="3104" w:type="dxa"/>
            <w:shd w:val="clear" w:color="auto" w:fill="auto"/>
            <w:tcMar>
              <w:left w:w="0" w:type="dxa"/>
            </w:tcMar>
          </w:tcPr>
          <w:p w:rsidR="00FC3001" w:rsidRDefault="00943B9B" w:rsidP="00FC3001">
            <w:pPr>
              <w:pStyle w:val="DNVGL-Details"/>
            </w:pPr>
            <w:r>
              <w:t>Romilee Emerick</w:t>
            </w:r>
          </w:p>
          <w:p w:rsidR="00943B9B" w:rsidRPr="00F10DEF" w:rsidRDefault="00943B9B" w:rsidP="00FC3001">
            <w:pPr>
              <w:pStyle w:val="DNVGL-Details"/>
            </w:pPr>
            <w:r>
              <w:t>Ken Agnew</w:t>
            </w:r>
          </w:p>
        </w:tc>
      </w:tr>
      <w:tr w:rsidR="00B673D8" w:rsidTr="00FC3001">
        <w:tc>
          <w:tcPr>
            <w:tcW w:w="9582" w:type="dxa"/>
            <w:gridSpan w:val="3"/>
          </w:tcPr>
          <w:p w:rsidR="00FC3001" w:rsidRPr="00F10DEF" w:rsidRDefault="00FC3001" w:rsidP="00FC3001"/>
        </w:tc>
      </w:tr>
    </w:tbl>
    <w:p w:rsidR="00077253" w:rsidRDefault="00077253" w:rsidP="00663DE8">
      <w:pPr>
        <w:pStyle w:val="Heading1"/>
        <w:numPr>
          <w:ilvl w:val="0"/>
          <w:numId w:val="0"/>
        </w:numPr>
      </w:pPr>
    </w:p>
    <w:p w:rsidR="00077253" w:rsidRPr="00077253" w:rsidRDefault="00077253" w:rsidP="00663DE8">
      <w:pPr>
        <w:pStyle w:val="Heading1"/>
        <w:numPr>
          <w:ilvl w:val="0"/>
          <w:numId w:val="0"/>
        </w:numPr>
      </w:pPr>
      <w:r>
        <w:t>2015 Home Energy Report Evaluation Summary</w:t>
      </w:r>
    </w:p>
    <w:p w:rsidR="00943B9B" w:rsidRDefault="00943B9B" w:rsidP="00943B9B">
      <w:pPr>
        <w:pStyle w:val="BodyText"/>
      </w:pPr>
      <w:r>
        <w:t xml:space="preserve">Puget Sound Energy (PSE) implemented the Home Energy Reports (HER) Legacy Program in 2008. The HER Program delivers customized information on energy consumption to participating households and compares the household’s energy consumption to that of similar </w:t>
      </w:r>
      <w:r w:rsidRPr="000E0C72">
        <w:t>neighbo</w:t>
      </w:r>
      <w:r w:rsidRPr="00130451">
        <w:t>ring</w:t>
      </w:r>
      <w:r>
        <w:t xml:space="preserve"> homes. In addition, the report provides personalized tips on how to save energy based on the energy usage and house profile. The HER Program was designed to motivate households to reduce energy consumption through </w:t>
      </w:r>
      <w:bookmarkStart w:id="0" w:name="_GoBack"/>
      <w:bookmarkEnd w:id="0"/>
      <w:r>
        <w:t>behavioral changes and participation on other PSE energy efficiency programs.</w:t>
      </w:r>
    </w:p>
    <w:p w:rsidR="00943B9B" w:rsidRDefault="00943B9B" w:rsidP="00943B9B">
      <w:pPr>
        <w:pStyle w:val="BodyText"/>
      </w:pPr>
      <w:r>
        <w:t>The program was structured as a randomized controlled trial wherein the eligible population was randomly assigned to the treatment and control groups. Around 40,000 dual fuel, single family homes were randomly selected to receive the report while 44,000 dual fuel, single family homes did not receive the report and were assigned as the control group. All households in the treatment group received the report either monthly or quarterly for two years. At the start of the third year of the HER Program, approximately 10,000 treatment group households were randomly selected to stop receiving the reports. This created a second treatment group (suspended) designed to test the persistence of report-based savings after the cessation of reports. The rest of the households in treatment group (current) still receive the home energy reports either monthly or quarterly.</w:t>
      </w:r>
    </w:p>
    <w:p w:rsidR="00A24725" w:rsidRDefault="00943B9B" w:rsidP="00E60A20">
      <w:pPr>
        <w:pStyle w:val="BodyText"/>
      </w:pPr>
      <w:r>
        <w:t>In March 2014, PSE expanded the HER program to include 140,000 additional households. The HER Expansion program targeted three groups namely the High users group, Non-urban group and Electric only group. Similar to the HER Legacy program, the HER Expansion program follows an experimental design with 105,000 randomly selected treatment households and 35,000 households randomly selected in the control group.</w:t>
      </w:r>
      <w:r w:rsidR="00A24725">
        <w:t xml:space="preserve"> In May 2015, PSE added </w:t>
      </w:r>
      <w:r w:rsidR="00A164A6">
        <w:t xml:space="preserve">a Refresh Group that consists of </w:t>
      </w:r>
      <w:r w:rsidR="00D80A93">
        <w:t xml:space="preserve">households from the remaining population of the HER Expansion pool. The Refresh Group consists of </w:t>
      </w:r>
      <w:r w:rsidR="00FC3001">
        <w:t xml:space="preserve">approximately </w:t>
      </w:r>
      <w:r w:rsidR="00A24725">
        <w:t>25,000 treatment households</w:t>
      </w:r>
      <w:r w:rsidR="00FC3001">
        <w:t xml:space="preserve"> and 10,500 control households</w:t>
      </w:r>
      <w:r w:rsidR="00D80A93">
        <w:t xml:space="preserve"> </w:t>
      </w:r>
      <w:r w:rsidR="00920BB2">
        <w:t xml:space="preserve">that were randomly selected </w:t>
      </w:r>
      <w:r w:rsidR="00D80A93">
        <w:t>to replace households that were dropped out from the program due to customer attrition.</w:t>
      </w:r>
    </w:p>
    <w:p w:rsidR="00943B9B" w:rsidRPr="00FF5171" w:rsidRDefault="00943B9B" w:rsidP="00943B9B">
      <w:pPr>
        <w:pStyle w:val="Heading2"/>
        <w:numPr>
          <w:ilvl w:val="1"/>
          <w:numId w:val="16"/>
        </w:numPr>
      </w:pPr>
      <w:bookmarkStart w:id="1" w:name="_Toc351733936"/>
      <w:bookmarkStart w:id="2" w:name="_Toc385430819"/>
      <w:bookmarkStart w:id="3" w:name="_Toc421012232"/>
      <w:r w:rsidRPr="00FF5171">
        <w:t xml:space="preserve">Evaluation </w:t>
      </w:r>
      <w:bookmarkEnd w:id="1"/>
      <w:bookmarkEnd w:id="2"/>
      <w:r>
        <w:t>Objectives</w:t>
      </w:r>
      <w:bookmarkEnd w:id="3"/>
    </w:p>
    <w:p w:rsidR="00943B9B" w:rsidRDefault="00943B9B" w:rsidP="00943B9B">
      <w:pPr>
        <w:pStyle w:val="BodyText"/>
      </w:pPr>
      <w:r>
        <w:t>The main goal of this impact evaluation is to estimate HER Legacy and Expansion Program savings for year 2015</w:t>
      </w:r>
      <w:r w:rsidR="00FC3001">
        <w:rPr>
          <w:rStyle w:val="FootnoteReference"/>
        </w:rPr>
        <w:footnoteReference w:id="1"/>
      </w:r>
      <w:r>
        <w:t>. Specifically, the main objectives are as follows:</w:t>
      </w:r>
    </w:p>
    <w:p w:rsidR="00943B9B" w:rsidRDefault="00943B9B" w:rsidP="00943B9B">
      <w:pPr>
        <w:pStyle w:val="BodyText"/>
        <w:numPr>
          <w:ilvl w:val="0"/>
          <w:numId w:val="17"/>
        </w:numPr>
      </w:pPr>
      <w:r>
        <w:t>Measure the reduction in electric and natural gas consumption between the control groups and the HER treatment groups.</w:t>
      </w:r>
    </w:p>
    <w:p w:rsidR="00943B9B" w:rsidRDefault="00943B9B" w:rsidP="00943B9B">
      <w:pPr>
        <w:pStyle w:val="BodyText"/>
        <w:numPr>
          <w:ilvl w:val="0"/>
          <w:numId w:val="17"/>
        </w:numPr>
      </w:pPr>
      <w:r>
        <w:t>Quantify joint savings from HER-related increased uptake of other PSE energy efficiency programs which may be present in the measured consumption reduction:</w:t>
      </w:r>
    </w:p>
    <w:p w:rsidR="00943B9B" w:rsidRDefault="00943B9B" w:rsidP="00943B9B">
      <w:pPr>
        <w:pStyle w:val="BodyText"/>
        <w:numPr>
          <w:ilvl w:val="1"/>
          <w:numId w:val="17"/>
        </w:numPr>
      </w:pPr>
      <w:r>
        <w:t>An increase in the number of participants and/or extent of participation in PSE rebate programs due to the HER</w:t>
      </w:r>
    </w:p>
    <w:p w:rsidR="00943B9B" w:rsidRDefault="00943B9B" w:rsidP="00943B9B">
      <w:pPr>
        <w:pStyle w:val="BodyText"/>
        <w:numPr>
          <w:ilvl w:val="1"/>
          <w:numId w:val="17"/>
        </w:numPr>
      </w:pPr>
      <w:r>
        <w:lastRenderedPageBreak/>
        <w:t>A HER-related increase in the number of purchased CFL or LED bulbs and fixtures supported by PSE and NEEA upstream lighting programs</w:t>
      </w:r>
    </w:p>
    <w:p w:rsidR="00943B9B" w:rsidRDefault="00943B9B" w:rsidP="00077253">
      <w:pPr>
        <w:pStyle w:val="BodyText"/>
        <w:numPr>
          <w:ilvl w:val="0"/>
          <w:numId w:val="17"/>
        </w:numPr>
      </w:pPr>
      <w:r>
        <w:t>Provide a</w:t>
      </w:r>
      <w:r w:rsidR="00077253">
        <w:t>n</w:t>
      </w:r>
      <w:r>
        <w:t xml:space="preserve"> estimate of 2015 HER savings for Legacy and Expansion programs adjusted for double counted savings resulting from participation in PSE rebate and upstream lighting programs in previous HER years</w:t>
      </w:r>
    </w:p>
    <w:p w:rsidR="00943B9B" w:rsidRDefault="00943B9B" w:rsidP="00943B9B">
      <w:pPr>
        <w:pStyle w:val="BodyText"/>
      </w:pPr>
      <w:r>
        <w:t>This evaluation used historical consumption data</w:t>
      </w:r>
      <w:r w:rsidR="00A164A6">
        <w:rPr>
          <w:rStyle w:val="FootnoteReference"/>
        </w:rPr>
        <w:footnoteReference w:id="2"/>
      </w:r>
      <w:r>
        <w:t xml:space="preserve"> to measure the difference in consumption between the treatment and control groups. Savings estimates were also measured for the different treatment sub-groups, </w:t>
      </w:r>
      <w:r w:rsidR="009B044E">
        <w:t>namely</w:t>
      </w:r>
      <w:r>
        <w:t xml:space="preserve"> the current and suspended groups for </w:t>
      </w:r>
      <w:r w:rsidR="009B044E">
        <w:t xml:space="preserve">the </w:t>
      </w:r>
      <w:r>
        <w:t>HER Legacy program and Relative High Users, Non-urban and Electric only groups for</w:t>
      </w:r>
      <w:r w:rsidR="009B044E">
        <w:t xml:space="preserve"> the</w:t>
      </w:r>
      <w:r>
        <w:t xml:space="preserve"> HER Expansion program. </w:t>
      </w:r>
    </w:p>
    <w:p w:rsidR="00943B9B" w:rsidRDefault="00943B9B" w:rsidP="00077253">
      <w:pPr>
        <w:pStyle w:val="BodyText"/>
      </w:pPr>
      <w:r>
        <w:t>This evaluation also quantified the potential for double counting energy savings due to participation in other PSE rebate and upstream programs. DNV GL used the PSE program tracking data to quantify joint savings due to participation in other PSE rebate programs. For the upstream programs where there is no tracking data</w:t>
      </w:r>
      <w:r w:rsidR="00077253">
        <w:t>,</w:t>
      </w:r>
      <w:r>
        <w:t xml:space="preserve"> </w:t>
      </w:r>
      <w:r w:rsidR="00077253">
        <w:t xml:space="preserve">DNV GL will use </w:t>
      </w:r>
      <w:r>
        <w:t>a web-based participant survey to quantify joint savings</w:t>
      </w:r>
      <w:r w:rsidR="00077253">
        <w:rPr>
          <w:rStyle w:val="FootnoteReference"/>
        </w:rPr>
        <w:footnoteReference w:id="3"/>
      </w:r>
      <w:r>
        <w:t xml:space="preserve">. </w:t>
      </w:r>
    </w:p>
    <w:p w:rsidR="00943B9B" w:rsidRPr="00FF5171" w:rsidRDefault="00943B9B" w:rsidP="00943B9B">
      <w:pPr>
        <w:pStyle w:val="Heading2"/>
        <w:numPr>
          <w:ilvl w:val="1"/>
          <w:numId w:val="16"/>
        </w:numPr>
      </w:pPr>
      <w:bookmarkStart w:id="4" w:name="_Toc351733937"/>
      <w:bookmarkStart w:id="5" w:name="_Toc385430820"/>
      <w:bookmarkStart w:id="6" w:name="_Toc421012233"/>
      <w:r w:rsidRPr="00FF5171">
        <w:t>Findings</w:t>
      </w:r>
      <w:bookmarkEnd w:id="4"/>
      <w:bookmarkEnd w:id="5"/>
      <w:bookmarkEnd w:id="6"/>
      <w:r w:rsidR="009B044E">
        <w:t xml:space="preserve"> –</w:t>
      </w:r>
      <w:r w:rsidR="00570465">
        <w:t xml:space="preserve"> </w:t>
      </w:r>
      <w:r w:rsidR="009B044E">
        <w:t>Measured Savings and Rebate Savings</w:t>
      </w:r>
    </w:p>
    <w:p w:rsidR="00943B9B" w:rsidRDefault="00943B9B" w:rsidP="00943B9B">
      <w:pPr>
        <w:pStyle w:val="BodyText"/>
      </w:pPr>
      <w:r>
        <w:t xml:space="preserve">The primary goal of this evaluation was to develop the 2015 PSE HER Program credited savings estimates free of joint savings due to participation in other PSE energy efficiency programs. There are three components to estimating credited savings. The first component is the HER measured savings which refers to the impact of HER on average household consumption. The second and third components are the rebate program and upstream retail lighting joint savings. These two joint savings components represent report-induced savings from the increased uptake of PSE tracked rebate programs and increased purchase of CFL and LED bulb and fixtures through the PSE-supported “upstream” lighting program. To avoid double counting, credited savings are calculated by removing the rebate and upstream joint savings from the HER measured savings. </w:t>
      </w:r>
    </w:p>
    <w:p w:rsidR="00943B9B" w:rsidRDefault="00943B9B" w:rsidP="00E60A20">
      <w:pPr>
        <w:pStyle w:val="BodyText"/>
      </w:pPr>
      <w:r>
        <w:t xml:space="preserve">The </w:t>
      </w:r>
      <w:r w:rsidR="00C953DC">
        <w:t xml:space="preserve">2015 credited </w:t>
      </w:r>
      <w:r>
        <w:t xml:space="preserve">savings reported in this memo </w:t>
      </w:r>
      <w:r w:rsidR="00C953DC">
        <w:t xml:space="preserve">removed joint savings from downstream rebate </w:t>
      </w:r>
      <w:r w:rsidR="00920BB2">
        <w:t>programs only.</w:t>
      </w:r>
      <w:r w:rsidR="00C953DC">
        <w:t xml:space="preserve"> </w:t>
      </w:r>
      <w:r w:rsidR="00920BB2">
        <w:t>Estim</w:t>
      </w:r>
      <w:r w:rsidR="002C2C69">
        <w:t>ates from upstream joint savings are not yet available</w:t>
      </w:r>
      <w:r w:rsidR="00920BB2">
        <w:t>.</w:t>
      </w:r>
      <w:r w:rsidR="002C2C69">
        <w:t xml:space="preserve"> </w:t>
      </w:r>
      <w:r w:rsidR="00920BB2">
        <w:t xml:space="preserve">To provide a conservative estimate of program savings for HER, </w:t>
      </w:r>
      <w:r w:rsidR="002C2C69">
        <w:t>DNV GL</w:t>
      </w:r>
      <w:r w:rsidR="00C953DC">
        <w:t xml:space="preserve"> applied a</w:t>
      </w:r>
      <w:r w:rsidR="002C2C69">
        <w:t>nother</w:t>
      </w:r>
      <w:r w:rsidR="00C953DC">
        <w:t xml:space="preserve"> 5% reduction in program savings </w:t>
      </w:r>
      <w:r w:rsidR="00077253">
        <w:t xml:space="preserve">after deducting joint savings </w:t>
      </w:r>
      <w:r w:rsidR="002206DE">
        <w:t xml:space="preserve">estimates </w:t>
      </w:r>
      <w:r w:rsidR="00077253">
        <w:t xml:space="preserve">from downstream </w:t>
      </w:r>
      <w:r w:rsidR="002C2C69">
        <w:t>program</w:t>
      </w:r>
      <w:r w:rsidR="00C953DC">
        <w:t xml:space="preserve">. </w:t>
      </w:r>
    </w:p>
    <w:p w:rsidR="00B31EF0" w:rsidRDefault="00943B9B">
      <w:pPr>
        <w:spacing w:after="200" w:line="276" w:lineRule="auto"/>
        <w:rPr>
          <w:b/>
        </w:rPr>
      </w:pPr>
      <w:r>
        <w:fldChar w:fldCharType="begin"/>
      </w:r>
      <w:r>
        <w:instrText xml:space="preserve"> REF _Ref421116701 \h </w:instrText>
      </w:r>
      <w:r>
        <w:fldChar w:fldCharType="separate"/>
      </w:r>
      <w:r w:rsidR="00B31EF0">
        <w:br w:type="page"/>
      </w:r>
    </w:p>
    <w:p w:rsidR="00943B9B" w:rsidRDefault="00B31EF0" w:rsidP="00663DE8">
      <w:pPr>
        <w:pStyle w:val="BodyText"/>
      </w:pPr>
      <w:r>
        <w:lastRenderedPageBreak/>
        <w:t xml:space="preserve">Table </w:t>
      </w:r>
      <w:r>
        <w:rPr>
          <w:noProof/>
        </w:rPr>
        <w:t>0</w:t>
      </w:r>
      <w:r>
        <w:noBreakHyphen/>
      </w:r>
      <w:r>
        <w:rPr>
          <w:noProof/>
        </w:rPr>
        <w:t>1</w:t>
      </w:r>
      <w:r w:rsidR="00943B9B">
        <w:fldChar w:fldCharType="end"/>
      </w:r>
      <w:r w:rsidR="00943B9B">
        <w:t xml:space="preserve"> and </w:t>
      </w:r>
      <w:r w:rsidR="00943B9B">
        <w:fldChar w:fldCharType="begin"/>
      </w:r>
      <w:r w:rsidR="00943B9B">
        <w:instrText xml:space="preserve"> REF _Ref421116708 \h </w:instrText>
      </w:r>
      <w:r w:rsidR="00943B9B">
        <w:fldChar w:fldCharType="separate"/>
      </w:r>
      <w:r>
        <w:t xml:space="preserve">Table </w:t>
      </w:r>
      <w:r>
        <w:rPr>
          <w:noProof/>
        </w:rPr>
        <w:t>0</w:t>
      </w:r>
      <w:r>
        <w:noBreakHyphen/>
      </w:r>
      <w:r>
        <w:rPr>
          <w:noProof/>
        </w:rPr>
        <w:t>2</w:t>
      </w:r>
      <w:r w:rsidR="00943B9B">
        <w:fldChar w:fldCharType="end"/>
      </w:r>
      <w:r w:rsidR="00943B9B">
        <w:t xml:space="preserve"> provide the wave-level and overall electric and gas savings estimates, respectively. </w:t>
      </w:r>
      <w:r w:rsidR="00AD7973">
        <w:t>Total p</w:t>
      </w:r>
      <w:r w:rsidR="00793E4F">
        <w:t xml:space="preserve">rogram </w:t>
      </w:r>
      <w:r w:rsidR="00943B9B">
        <w:t xml:space="preserve">savings </w:t>
      </w:r>
      <w:r w:rsidR="00793E4F">
        <w:t>for electric and gas are statistically significant</w:t>
      </w:r>
      <w:r w:rsidR="00AD7973">
        <w:t xml:space="preserve"> at the wave-level and overall</w:t>
      </w:r>
      <w:r w:rsidR="0069213C">
        <w:t xml:space="preserve"> for both Legacy and Expansion programs</w:t>
      </w:r>
      <w:r w:rsidR="00793E4F">
        <w:t xml:space="preserve">. </w:t>
      </w:r>
    </w:p>
    <w:p w:rsidR="00AD7973" w:rsidRDefault="00AD7973">
      <w:pPr>
        <w:spacing w:after="200" w:line="276" w:lineRule="auto"/>
        <w:rPr>
          <w:b/>
        </w:rPr>
      </w:pPr>
      <w:bookmarkStart w:id="7" w:name="_Ref421116701"/>
      <w:r>
        <w:br w:type="page"/>
      </w:r>
    </w:p>
    <w:p w:rsidR="00943B9B" w:rsidRDefault="00943B9B" w:rsidP="00943B9B">
      <w:pPr>
        <w:pStyle w:val="Caption"/>
        <w:jc w:val="center"/>
      </w:pPr>
      <w:r>
        <w:lastRenderedPageBreak/>
        <w:t xml:space="preserve">Table </w:t>
      </w:r>
      <w:r>
        <w:fldChar w:fldCharType="begin"/>
      </w:r>
      <w:r>
        <w:instrText xml:space="preserve"> STYLEREF 1 \s </w:instrText>
      </w:r>
      <w:r>
        <w:fldChar w:fldCharType="separate"/>
      </w:r>
      <w:r w:rsidR="00B31EF0">
        <w:rPr>
          <w:noProof/>
        </w:rPr>
        <w:t>0</w:t>
      </w:r>
      <w:r>
        <w:rPr>
          <w:noProof/>
        </w:rPr>
        <w:fldChar w:fldCharType="end"/>
      </w:r>
      <w:r>
        <w:noBreakHyphen/>
      </w:r>
      <w:r>
        <w:fldChar w:fldCharType="begin"/>
      </w:r>
      <w:r>
        <w:instrText xml:space="preserve"> SEQ Table \* ARABIC \s 1 </w:instrText>
      </w:r>
      <w:r>
        <w:fldChar w:fldCharType="separate"/>
      </w:r>
      <w:r w:rsidR="00B31EF0">
        <w:rPr>
          <w:noProof/>
        </w:rPr>
        <w:t>1</w:t>
      </w:r>
      <w:r>
        <w:rPr>
          <w:noProof/>
        </w:rPr>
        <w:fldChar w:fldCharType="end"/>
      </w:r>
      <w:bookmarkEnd w:id="7"/>
      <w:r>
        <w:t>:  Total Credited Electric Savings for 2015 HER Programs</w:t>
      </w:r>
    </w:p>
    <w:p w:rsidR="00943B9B" w:rsidRDefault="00943B9B" w:rsidP="00943B9B">
      <w:pPr>
        <w:pStyle w:val="Caption"/>
      </w:pPr>
    </w:p>
    <w:tbl>
      <w:tblPr>
        <w:tblW w:w="9557"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1285"/>
        <w:gridCol w:w="1492"/>
        <w:gridCol w:w="1721"/>
        <w:gridCol w:w="1721"/>
        <w:gridCol w:w="1721"/>
      </w:tblGrid>
      <w:tr w:rsidR="0069213C" w:rsidRPr="00AD5666" w:rsidTr="001D4E2F">
        <w:trPr>
          <w:trHeight w:val="315"/>
          <w:jc w:val="center"/>
        </w:trPr>
        <w:tc>
          <w:tcPr>
            <w:tcW w:w="1617" w:type="dxa"/>
            <w:vMerge w:val="restart"/>
            <w:shd w:val="clear" w:color="000000" w:fill="003591"/>
            <w:vAlign w:val="bottom"/>
            <w:hideMark/>
          </w:tcPr>
          <w:p w:rsidR="0069213C" w:rsidRPr="00AD5666" w:rsidRDefault="0069213C" w:rsidP="001D4E2F">
            <w:pPr>
              <w:jc w:val="center"/>
              <w:rPr>
                <w:rFonts w:eastAsia="Times New Roman" w:cs="Calibri"/>
                <w:b/>
                <w:bCs/>
                <w:color w:val="FFFFFF"/>
              </w:rPr>
            </w:pPr>
            <w:r w:rsidRPr="00AD5666">
              <w:rPr>
                <w:rFonts w:eastAsia="Times New Roman" w:cs="Calibri"/>
                <w:b/>
                <w:bCs/>
                <w:color w:val="FFFFFF"/>
              </w:rPr>
              <w:t>HER Treatment Group</w:t>
            </w:r>
          </w:p>
        </w:tc>
        <w:tc>
          <w:tcPr>
            <w:tcW w:w="7940" w:type="dxa"/>
            <w:gridSpan w:val="5"/>
            <w:shd w:val="clear" w:color="000000" w:fill="003591"/>
            <w:vAlign w:val="bottom"/>
            <w:hideMark/>
          </w:tcPr>
          <w:p w:rsidR="0069213C" w:rsidRPr="00AD5666" w:rsidRDefault="0069213C" w:rsidP="00E60A20">
            <w:pPr>
              <w:jc w:val="center"/>
              <w:rPr>
                <w:rFonts w:eastAsia="Times New Roman" w:cs="Calibri"/>
                <w:b/>
                <w:bCs/>
                <w:color w:val="FFFFFF"/>
              </w:rPr>
            </w:pPr>
            <w:r>
              <w:rPr>
                <w:rFonts w:eastAsia="Times New Roman" w:cs="Calibri"/>
                <w:b/>
                <w:bCs/>
                <w:color w:val="FFFFFF"/>
              </w:rPr>
              <w:t>Electric</w:t>
            </w:r>
            <w:r w:rsidRPr="00AD5666">
              <w:rPr>
                <w:rFonts w:eastAsia="Times New Roman" w:cs="Calibri"/>
                <w:b/>
                <w:bCs/>
                <w:color w:val="FFFFFF"/>
              </w:rPr>
              <w:t xml:space="preserve"> (</w:t>
            </w:r>
            <w:r>
              <w:rPr>
                <w:rFonts w:eastAsia="Times New Roman" w:cs="Calibri"/>
                <w:b/>
                <w:bCs/>
                <w:color w:val="FFFFFF"/>
              </w:rPr>
              <w:t>kWh</w:t>
            </w:r>
            <w:r w:rsidRPr="00AD5666">
              <w:rPr>
                <w:rFonts w:eastAsia="Times New Roman" w:cs="Calibri"/>
                <w:b/>
                <w:bCs/>
                <w:color w:val="FFFFFF"/>
              </w:rPr>
              <w:t>)</w:t>
            </w:r>
          </w:p>
        </w:tc>
      </w:tr>
      <w:tr w:rsidR="0069213C" w:rsidRPr="00AD5666" w:rsidTr="001D4E2F">
        <w:trPr>
          <w:trHeight w:val="690"/>
          <w:jc w:val="center"/>
        </w:trPr>
        <w:tc>
          <w:tcPr>
            <w:tcW w:w="1617" w:type="dxa"/>
            <w:vMerge/>
            <w:vAlign w:val="center"/>
            <w:hideMark/>
          </w:tcPr>
          <w:p w:rsidR="0069213C" w:rsidRPr="00AD5666" w:rsidRDefault="0069213C" w:rsidP="001D4E2F">
            <w:pPr>
              <w:rPr>
                <w:rFonts w:eastAsia="Times New Roman" w:cs="Calibri"/>
                <w:b/>
                <w:bCs/>
                <w:color w:val="FFFFFF"/>
              </w:rPr>
            </w:pPr>
          </w:p>
        </w:tc>
        <w:tc>
          <w:tcPr>
            <w:tcW w:w="1285" w:type="dxa"/>
            <w:shd w:val="clear" w:color="000000" w:fill="003591"/>
            <w:vAlign w:val="bottom"/>
            <w:hideMark/>
          </w:tcPr>
          <w:p w:rsidR="0069213C" w:rsidRPr="00AD5666" w:rsidRDefault="0069213C" w:rsidP="001D4E2F">
            <w:pPr>
              <w:jc w:val="center"/>
              <w:rPr>
                <w:rFonts w:eastAsia="Times New Roman" w:cs="Calibri"/>
                <w:b/>
                <w:bCs/>
                <w:color w:val="FFFFFF"/>
              </w:rPr>
            </w:pPr>
            <w:r w:rsidRPr="00AD5666">
              <w:rPr>
                <w:rFonts w:eastAsia="Times New Roman" w:cs="Calibri"/>
                <w:b/>
                <w:bCs/>
                <w:color w:val="FFFFFF"/>
              </w:rPr>
              <w:t>Per Household</w:t>
            </w:r>
          </w:p>
        </w:tc>
        <w:tc>
          <w:tcPr>
            <w:tcW w:w="1492" w:type="dxa"/>
            <w:shd w:val="clear" w:color="000000" w:fill="003591"/>
            <w:vAlign w:val="bottom"/>
            <w:hideMark/>
          </w:tcPr>
          <w:p w:rsidR="0069213C" w:rsidRPr="00AD5666" w:rsidRDefault="0069213C" w:rsidP="001D4E2F">
            <w:pPr>
              <w:jc w:val="center"/>
              <w:rPr>
                <w:rFonts w:eastAsia="Times New Roman" w:cs="Calibri"/>
                <w:b/>
                <w:bCs/>
                <w:color w:val="FFFFFF"/>
              </w:rPr>
            </w:pPr>
            <w:r w:rsidRPr="00AD5666">
              <w:rPr>
                <w:rFonts w:eastAsia="Times New Roman" w:cs="Calibri"/>
                <w:b/>
                <w:bCs/>
                <w:color w:val="FFFFFF"/>
              </w:rPr>
              <w:t>No. of treatment</w:t>
            </w:r>
          </w:p>
        </w:tc>
        <w:tc>
          <w:tcPr>
            <w:tcW w:w="1721" w:type="dxa"/>
            <w:shd w:val="clear" w:color="000000" w:fill="003591"/>
            <w:vAlign w:val="bottom"/>
            <w:hideMark/>
          </w:tcPr>
          <w:p w:rsidR="0069213C" w:rsidRPr="00AD5666" w:rsidRDefault="0069213C" w:rsidP="001D4E2F">
            <w:pPr>
              <w:jc w:val="center"/>
              <w:rPr>
                <w:rFonts w:eastAsia="Times New Roman" w:cs="Calibri"/>
                <w:b/>
                <w:bCs/>
                <w:color w:val="FFFFFF"/>
              </w:rPr>
            </w:pPr>
            <w:r w:rsidRPr="00AD5666">
              <w:rPr>
                <w:rFonts w:eastAsia="Times New Roman" w:cs="Calibri"/>
                <w:b/>
                <w:bCs/>
                <w:color w:val="FFFFFF"/>
              </w:rPr>
              <w:t>Total Savings</w:t>
            </w:r>
          </w:p>
        </w:tc>
        <w:tc>
          <w:tcPr>
            <w:tcW w:w="1721" w:type="dxa"/>
            <w:shd w:val="clear" w:color="000000" w:fill="003591"/>
            <w:vAlign w:val="bottom"/>
            <w:hideMark/>
          </w:tcPr>
          <w:p w:rsidR="0069213C" w:rsidRPr="00AD5666" w:rsidRDefault="0069213C" w:rsidP="001D4E2F">
            <w:pPr>
              <w:jc w:val="center"/>
              <w:rPr>
                <w:rFonts w:eastAsia="Times New Roman" w:cs="Calibri"/>
                <w:b/>
                <w:bCs/>
                <w:color w:val="FFFFFF"/>
              </w:rPr>
            </w:pPr>
            <w:r w:rsidRPr="00AD5666">
              <w:rPr>
                <w:rFonts w:eastAsia="Times New Roman" w:cs="Calibri"/>
                <w:b/>
                <w:bCs/>
                <w:color w:val="FFFFFF"/>
              </w:rPr>
              <w:t>Lower Limit 90% CI</w:t>
            </w:r>
          </w:p>
        </w:tc>
        <w:tc>
          <w:tcPr>
            <w:tcW w:w="1721" w:type="dxa"/>
            <w:shd w:val="clear" w:color="000000" w:fill="003591"/>
            <w:vAlign w:val="bottom"/>
            <w:hideMark/>
          </w:tcPr>
          <w:p w:rsidR="0069213C" w:rsidRPr="00AD5666" w:rsidRDefault="0069213C" w:rsidP="001D4E2F">
            <w:pPr>
              <w:jc w:val="center"/>
              <w:rPr>
                <w:rFonts w:eastAsia="Times New Roman" w:cs="Calibri"/>
                <w:b/>
                <w:bCs/>
                <w:color w:val="FFFFFF"/>
              </w:rPr>
            </w:pPr>
            <w:r w:rsidRPr="00AD5666">
              <w:rPr>
                <w:rFonts w:eastAsia="Times New Roman" w:cs="Calibri"/>
                <w:b/>
                <w:bCs/>
                <w:color w:val="FFFFFF"/>
              </w:rPr>
              <w:t>Upper Limit 90% CI</w:t>
            </w:r>
          </w:p>
        </w:tc>
      </w:tr>
      <w:tr w:rsidR="0069213C" w:rsidRPr="00AD5666" w:rsidTr="001D4E2F">
        <w:trPr>
          <w:trHeight w:val="399"/>
          <w:jc w:val="center"/>
        </w:trPr>
        <w:tc>
          <w:tcPr>
            <w:tcW w:w="1617" w:type="dxa"/>
            <w:shd w:val="clear" w:color="auto" w:fill="auto"/>
            <w:vAlign w:val="bottom"/>
            <w:hideMark/>
          </w:tcPr>
          <w:p w:rsidR="0069213C" w:rsidRPr="00AD5666" w:rsidRDefault="0069213C" w:rsidP="001D4E2F">
            <w:pPr>
              <w:rPr>
                <w:rFonts w:eastAsia="Times New Roman" w:cs="Calibri"/>
                <w:b/>
                <w:bCs/>
                <w:color w:val="002776"/>
              </w:rPr>
            </w:pPr>
            <w:r w:rsidRPr="00AD5666">
              <w:rPr>
                <w:rFonts w:eastAsia="Times New Roman" w:cs="Calibri"/>
                <w:b/>
                <w:bCs/>
                <w:color w:val="002776"/>
              </w:rPr>
              <w:t>Legacy - Current</w:t>
            </w:r>
          </w:p>
        </w:tc>
        <w:tc>
          <w:tcPr>
            <w:tcW w:w="1285" w:type="dxa"/>
            <w:shd w:val="clear" w:color="auto" w:fill="auto"/>
            <w:vAlign w:val="center"/>
            <w:hideMark/>
          </w:tcPr>
          <w:p w:rsidR="0069213C" w:rsidRPr="00AD5666" w:rsidRDefault="0069213C" w:rsidP="001D4E2F">
            <w:pPr>
              <w:jc w:val="right"/>
              <w:rPr>
                <w:rFonts w:eastAsia="Times New Roman" w:cs="Calibri"/>
                <w:color w:val="000000"/>
              </w:rPr>
            </w:pPr>
            <w:r>
              <w:rPr>
                <w:rFonts w:cs="Calibri"/>
                <w:color w:val="000000"/>
              </w:rPr>
              <w:t xml:space="preserve">                       285 </w:t>
            </w:r>
          </w:p>
        </w:tc>
        <w:tc>
          <w:tcPr>
            <w:tcW w:w="1492" w:type="dxa"/>
            <w:shd w:val="clear" w:color="auto" w:fill="auto"/>
            <w:vAlign w:val="center"/>
            <w:hideMark/>
          </w:tcPr>
          <w:p w:rsidR="0069213C" w:rsidRPr="00AD5666" w:rsidRDefault="0069213C" w:rsidP="001D4E2F">
            <w:pPr>
              <w:jc w:val="right"/>
              <w:rPr>
                <w:rFonts w:eastAsia="Times New Roman" w:cs="Calibri"/>
                <w:color w:val="000000"/>
              </w:rPr>
            </w:pPr>
            <w:r>
              <w:rPr>
                <w:rFonts w:cs="Calibri"/>
                <w:color w:val="000000"/>
              </w:rPr>
              <w:t>14,629</w:t>
            </w:r>
          </w:p>
        </w:tc>
        <w:tc>
          <w:tcPr>
            <w:tcW w:w="1721" w:type="dxa"/>
            <w:shd w:val="clear" w:color="auto" w:fill="auto"/>
            <w:vAlign w:val="center"/>
            <w:hideMark/>
          </w:tcPr>
          <w:p w:rsidR="0069213C" w:rsidRPr="00AD5666" w:rsidRDefault="0069213C" w:rsidP="001D4E2F">
            <w:pPr>
              <w:jc w:val="right"/>
              <w:rPr>
                <w:rFonts w:eastAsia="Times New Roman" w:cs="Calibri"/>
                <w:color w:val="000000"/>
              </w:rPr>
            </w:pPr>
            <w:r>
              <w:rPr>
                <w:rFonts w:cs="Calibri"/>
                <w:color w:val="000000"/>
              </w:rPr>
              <w:t>4,169,827</w:t>
            </w:r>
          </w:p>
        </w:tc>
        <w:tc>
          <w:tcPr>
            <w:tcW w:w="1721" w:type="dxa"/>
            <w:shd w:val="clear" w:color="auto" w:fill="auto"/>
            <w:vAlign w:val="center"/>
            <w:hideMark/>
          </w:tcPr>
          <w:p w:rsidR="0069213C" w:rsidRPr="00AD5666" w:rsidRDefault="0069213C" w:rsidP="001D4E2F">
            <w:pPr>
              <w:jc w:val="right"/>
              <w:rPr>
                <w:rFonts w:eastAsia="Times New Roman" w:cs="Calibri"/>
                <w:color w:val="000000"/>
              </w:rPr>
            </w:pPr>
            <w:r>
              <w:rPr>
                <w:rFonts w:cs="Calibri"/>
                <w:color w:val="000000"/>
              </w:rPr>
              <w:t>3,318,747</w:t>
            </w:r>
          </w:p>
        </w:tc>
        <w:tc>
          <w:tcPr>
            <w:tcW w:w="1721" w:type="dxa"/>
            <w:shd w:val="clear" w:color="auto" w:fill="auto"/>
            <w:vAlign w:val="center"/>
            <w:hideMark/>
          </w:tcPr>
          <w:p w:rsidR="0069213C" w:rsidRPr="00AD5666" w:rsidRDefault="0069213C" w:rsidP="001D4E2F">
            <w:pPr>
              <w:jc w:val="right"/>
              <w:rPr>
                <w:rFonts w:eastAsia="Times New Roman" w:cs="Calibri"/>
                <w:color w:val="000000"/>
              </w:rPr>
            </w:pPr>
            <w:r>
              <w:rPr>
                <w:rFonts w:cs="Calibri"/>
                <w:color w:val="000000"/>
              </w:rPr>
              <w:t>5,020,907</w:t>
            </w:r>
          </w:p>
        </w:tc>
      </w:tr>
      <w:tr w:rsidR="0069213C" w:rsidRPr="00AD5666" w:rsidTr="001D4E2F">
        <w:trPr>
          <w:trHeight w:val="399"/>
          <w:jc w:val="center"/>
        </w:trPr>
        <w:tc>
          <w:tcPr>
            <w:tcW w:w="1617" w:type="dxa"/>
            <w:shd w:val="clear" w:color="auto" w:fill="auto"/>
            <w:vAlign w:val="bottom"/>
            <w:hideMark/>
          </w:tcPr>
          <w:p w:rsidR="0069213C" w:rsidRPr="00AD5666" w:rsidRDefault="0069213C" w:rsidP="001D4E2F">
            <w:pPr>
              <w:rPr>
                <w:rFonts w:eastAsia="Times New Roman" w:cs="Calibri"/>
                <w:b/>
                <w:bCs/>
                <w:color w:val="002776"/>
              </w:rPr>
            </w:pPr>
            <w:r w:rsidRPr="00AD5666">
              <w:rPr>
                <w:rFonts w:eastAsia="Times New Roman" w:cs="Calibri"/>
                <w:b/>
                <w:bCs/>
                <w:color w:val="002776"/>
              </w:rPr>
              <w:t>Legacy - Suspended</w:t>
            </w:r>
          </w:p>
        </w:tc>
        <w:tc>
          <w:tcPr>
            <w:tcW w:w="1285" w:type="dxa"/>
            <w:shd w:val="clear" w:color="auto" w:fill="auto"/>
            <w:vAlign w:val="center"/>
            <w:hideMark/>
          </w:tcPr>
          <w:p w:rsidR="0069213C" w:rsidRPr="00AD5666" w:rsidRDefault="0069213C" w:rsidP="001D4E2F">
            <w:pPr>
              <w:jc w:val="right"/>
              <w:rPr>
                <w:rFonts w:eastAsia="Times New Roman" w:cs="Calibri"/>
                <w:color w:val="000000"/>
              </w:rPr>
            </w:pPr>
            <w:r>
              <w:rPr>
                <w:rFonts w:cs="Calibri"/>
                <w:color w:val="000000"/>
              </w:rPr>
              <w:t xml:space="preserve">                         92 </w:t>
            </w:r>
          </w:p>
        </w:tc>
        <w:tc>
          <w:tcPr>
            <w:tcW w:w="1492" w:type="dxa"/>
            <w:shd w:val="clear" w:color="auto" w:fill="auto"/>
            <w:vAlign w:val="center"/>
            <w:hideMark/>
          </w:tcPr>
          <w:p w:rsidR="0069213C" w:rsidRPr="00AD5666" w:rsidRDefault="0069213C" w:rsidP="001D4E2F">
            <w:pPr>
              <w:jc w:val="right"/>
              <w:rPr>
                <w:rFonts w:eastAsia="Times New Roman" w:cs="Calibri"/>
                <w:color w:val="000000"/>
              </w:rPr>
            </w:pPr>
            <w:r>
              <w:rPr>
                <w:rFonts w:cs="Calibri"/>
                <w:color w:val="000000"/>
              </w:rPr>
              <w:t>7,300</w:t>
            </w:r>
          </w:p>
        </w:tc>
        <w:tc>
          <w:tcPr>
            <w:tcW w:w="1721" w:type="dxa"/>
            <w:shd w:val="clear" w:color="auto" w:fill="auto"/>
            <w:vAlign w:val="center"/>
            <w:hideMark/>
          </w:tcPr>
          <w:p w:rsidR="0069213C" w:rsidRPr="00AD5666" w:rsidRDefault="0069213C" w:rsidP="001D4E2F">
            <w:pPr>
              <w:jc w:val="right"/>
              <w:rPr>
                <w:rFonts w:eastAsia="Times New Roman" w:cs="Calibri"/>
                <w:color w:val="000000"/>
              </w:rPr>
            </w:pPr>
            <w:r>
              <w:rPr>
                <w:rFonts w:cs="Calibri"/>
                <w:color w:val="000000"/>
              </w:rPr>
              <w:t>668,764</w:t>
            </w:r>
          </w:p>
        </w:tc>
        <w:tc>
          <w:tcPr>
            <w:tcW w:w="1721" w:type="dxa"/>
            <w:shd w:val="clear" w:color="auto" w:fill="auto"/>
            <w:vAlign w:val="center"/>
            <w:hideMark/>
          </w:tcPr>
          <w:p w:rsidR="0069213C" w:rsidRPr="00AD5666" w:rsidRDefault="0069213C" w:rsidP="001D4E2F">
            <w:pPr>
              <w:jc w:val="right"/>
              <w:rPr>
                <w:rFonts w:eastAsia="Times New Roman" w:cs="Calibri"/>
                <w:color w:val="000000"/>
              </w:rPr>
            </w:pPr>
            <w:r>
              <w:rPr>
                <w:rFonts w:cs="Calibri"/>
                <w:color w:val="000000"/>
              </w:rPr>
              <w:t>108,471</w:t>
            </w:r>
          </w:p>
        </w:tc>
        <w:tc>
          <w:tcPr>
            <w:tcW w:w="1721" w:type="dxa"/>
            <w:shd w:val="clear" w:color="auto" w:fill="auto"/>
            <w:vAlign w:val="center"/>
            <w:hideMark/>
          </w:tcPr>
          <w:p w:rsidR="0069213C" w:rsidRPr="00AD5666" w:rsidRDefault="0069213C" w:rsidP="001D4E2F">
            <w:pPr>
              <w:jc w:val="right"/>
              <w:rPr>
                <w:rFonts w:eastAsia="Times New Roman" w:cs="Calibri"/>
                <w:color w:val="000000"/>
              </w:rPr>
            </w:pPr>
            <w:r>
              <w:rPr>
                <w:rFonts w:cs="Calibri"/>
                <w:color w:val="000000"/>
              </w:rPr>
              <w:t>1,229,057</w:t>
            </w:r>
          </w:p>
        </w:tc>
      </w:tr>
      <w:tr w:rsidR="0069213C" w:rsidRPr="00AD5666" w:rsidTr="001D4E2F">
        <w:trPr>
          <w:trHeight w:val="399"/>
          <w:jc w:val="center"/>
        </w:trPr>
        <w:tc>
          <w:tcPr>
            <w:tcW w:w="1617" w:type="dxa"/>
            <w:shd w:val="clear" w:color="auto" w:fill="auto"/>
            <w:vAlign w:val="bottom"/>
          </w:tcPr>
          <w:p w:rsidR="0069213C" w:rsidRPr="00AD5666" w:rsidRDefault="0069213C" w:rsidP="001D4E2F">
            <w:pPr>
              <w:rPr>
                <w:rFonts w:eastAsia="Times New Roman" w:cs="Calibri"/>
                <w:b/>
                <w:bCs/>
                <w:color w:val="002776"/>
              </w:rPr>
            </w:pPr>
            <w:r w:rsidRPr="00AD5666">
              <w:rPr>
                <w:rFonts w:eastAsia="Times New Roman" w:cs="Calibri"/>
                <w:b/>
                <w:bCs/>
                <w:color w:val="002776"/>
              </w:rPr>
              <w:t>Expansion - Electric only</w:t>
            </w:r>
          </w:p>
        </w:tc>
        <w:tc>
          <w:tcPr>
            <w:tcW w:w="1285" w:type="dxa"/>
            <w:shd w:val="clear" w:color="auto" w:fill="auto"/>
            <w:vAlign w:val="center"/>
          </w:tcPr>
          <w:p w:rsidR="0069213C" w:rsidRDefault="0069213C" w:rsidP="001D4E2F">
            <w:pPr>
              <w:jc w:val="right"/>
              <w:rPr>
                <w:rFonts w:cs="Calibri"/>
                <w:color w:val="000000"/>
              </w:rPr>
            </w:pPr>
            <w:r>
              <w:rPr>
                <w:rFonts w:cs="Calibri"/>
                <w:color w:val="000000"/>
              </w:rPr>
              <w:t xml:space="preserve">                       196 </w:t>
            </w:r>
          </w:p>
        </w:tc>
        <w:tc>
          <w:tcPr>
            <w:tcW w:w="1492" w:type="dxa"/>
            <w:shd w:val="clear" w:color="auto" w:fill="auto"/>
            <w:vAlign w:val="center"/>
          </w:tcPr>
          <w:p w:rsidR="0069213C" w:rsidRDefault="0069213C" w:rsidP="001D4E2F">
            <w:pPr>
              <w:jc w:val="right"/>
              <w:rPr>
                <w:rFonts w:cs="Calibri"/>
                <w:color w:val="000000"/>
              </w:rPr>
            </w:pPr>
            <w:r>
              <w:rPr>
                <w:rFonts w:cs="Calibri"/>
                <w:color w:val="000000"/>
              </w:rPr>
              <w:t>22,291</w:t>
            </w:r>
          </w:p>
        </w:tc>
        <w:tc>
          <w:tcPr>
            <w:tcW w:w="1721" w:type="dxa"/>
            <w:shd w:val="clear" w:color="auto" w:fill="auto"/>
            <w:vAlign w:val="center"/>
          </w:tcPr>
          <w:p w:rsidR="0069213C" w:rsidRDefault="0069213C" w:rsidP="001D4E2F">
            <w:pPr>
              <w:jc w:val="right"/>
              <w:rPr>
                <w:rFonts w:cs="Calibri"/>
                <w:color w:val="000000"/>
              </w:rPr>
            </w:pPr>
            <w:r>
              <w:rPr>
                <w:rFonts w:cs="Calibri"/>
                <w:color w:val="000000"/>
              </w:rPr>
              <w:t>4,362,657</w:t>
            </w:r>
          </w:p>
        </w:tc>
        <w:tc>
          <w:tcPr>
            <w:tcW w:w="1721" w:type="dxa"/>
            <w:shd w:val="clear" w:color="auto" w:fill="auto"/>
            <w:vAlign w:val="center"/>
          </w:tcPr>
          <w:p w:rsidR="0069213C" w:rsidRDefault="0069213C" w:rsidP="001D4E2F">
            <w:pPr>
              <w:jc w:val="right"/>
              <w:rPr>
                <w:rFonts w:cs="Calibri"/>
                <w:color w:val="000000"/>
              </w:rPr>
            </w:pPr>
            <w:r>
              <w:rPr>
                <w:rFonts w:cs="Calibri"/>
                <w:color w:val="000000"/>
              </w:rPr>
              <w:t>2,673,019</w:t>
            </w:r>
          </w:p>
        </w:tc>
        <w:tc>
          <w:tcPr>
            <w:tcW w:w="1721" w:type="dxa"/>
            <w:shd w:val="clear" w:color="auto" w:fill="auto"/>
            <w:vAlign w:val="center"/>
          </w:tcPr>
          <w:p w:rsidR="0069213C" w:rsidRDefault="0069213C" w:rsidP="001D4E2F">
            <w:pPr>
              <w:jc w:val="right"/>
              <w:rPr>
                <w:rFonts w:cs="Calibri"/>
                <w:color w:val="000000"/>
              </w:rPr>
            </w:pPr>
            <w:r>
              <w:rPr>
                <w:rFonts w:cs="Calibri"/>
                <w:color w:val="000000"/>
              </w:rPr>
              <w:t>6,052,295</w:t>
            </w:r>
          </w:p>
        </w:tc>
      </w:tr>
      <w:tr w:rsidR="0069213C" w:rsidRPr="00AD5666" w:rsidTr="001D4E2F">
        <w:trPr>
          <w:trHeight w:val="399"/>
          <w:jc w:val="center"/>
        </w:trPr>
        <w:tc>
          <w:tcPr>
            <w:tcW w:w="1617" w:type="dxa"/>
            <w:shd w:val="clear" w:color="auto" w:fill="auto"/>
            <w:vAlign w:val="bottom"/>
            <w:hideMark/>
          </w:tcPr>
          <w:p w:rsidR="0069213C" w:rsidRPr="00AD5666" w:rsidRDefault="0069213C" w:rsidP="001D4E2F">
            <w:pPr>
              <w:rPr>
                <w:rFonts w:eastAsia="Times New Roman" w:cs="Calibri"/>
                <w:b/>
                <w:bCs/>
                <w:color w:val="002776"/>
              </w:rPr>
            </w:pPr>
            <w:r w:rsidRPr="00AD5666">
              <w:rPr>
                <w:rFonts w:eastAsia="Times New Roman" w:cs="Calibri"/>
                <w:b/>
                <w:bCs/>
                <w:color w:val="002776"/>
              </w:rPr>
              <w:t>Expansion - High Users</w:t>
            </w:r>
          </w:p>
        </w:tc>
        <w:tc>
          <w:tcPr>
            <w:tcW w:w="1285" w:type="dxa"/>
            <w:shd w:val="clear" w:color="auto" w:fill="auto"/>
            <w:vAlign w:val="center"/>
            <w:hideMark/>
          </w:tcPr>
          <w:p w:rsidR="0069213C" w:rsidRPr="00AD5666" w:rsidRDefault="0069213C" w:rsidP="001D4E2F">
            <w:pPr>
              <w:jc w:val="right"/>
              <w:rPr>
                <w:rFonts w:eastAsia="Times New Roman" w:cs="Calibri"/>
                <w:color w:val="000000"/>
              </w:rPr>
            </w:pPr>
            <w:r>
              <w:rPr>
                <w:rFonts w:cs="Calibri"/>
                <w:color w:val="000000"/>
              </w:rPr>
              <w:t xml:space="preserve">                       213 </w:t>
            </w:r>
          </w:p>
        </w:tc>
        <w:tc>
          <w:tcPr>
            <w:tcW w:w="1492" w:type="dxa"/>
            <w:shd w:val="clear" w:color="auto" w:fill="auto"/>
            <w:vAlign w:val="center"/>
            <w:hideMark/>
          </w:tcPr>
          <w:p w:rsidR="0069213C" w:rsidRPr="00AD5666" w:rsidRDefault="0069213C" w:rsidP="001D4E2F">
            <w:pPr>
              <w:jc w:val="right"/>
              <w:rPr>
                <w:rFonts w:eastAsia="Times New Roman" w:cs="Calibri"/>
                <w:color w:val="000000"/>
              </w:rPr>
            </w:pPr>
            <w:r>
              <w:rPr>
                <w:rFonts w:cs="Calibri"/>
                <w:color w:val="000000"/>
              </w:rPr>
              <w:t>21,924</w:t>
            </w:r>
          </w:p>
        </w:tc>
        <w:tc>
          <w:tcPr>
            <w:tcW w:w="1721" w:type="dxa"/>
            <w:shd w:val="clear" w:color="auto" w:fill="auto"/>
            <w:vAlign w:val="center"/>
            <w:hideMark/>
          </w:tcPr>
          <w:p w:rsidR="0069213C" w:rsidRPr="00AD5666" w:rsidRDefault="0069213C" w:rsidP="001D4E2F">
            <w:pPr>
              <w:jc w:val="right"/>
              <w:rPr>
                <w:rFonts w:eastAsia="Times New Roman" w:cs="Calibri"/>
                <w:color w:val="000000"/>
              </w:rPr>
            </w:pPr>
            <w:r>
              <w:rPr>
                <w:rFonts w:cs="Calibri"/>
                <w:color w:val="000000"/>
              </w:rPr>
              <w:t>4,678,589</w:t>
            </w:r>
          </w:p>
        </w:tc>
        <w:tc>
          <w:tcPr>
            <w:tcW w:w="1721" w:type="dxa"/>
            <w:shd w:val="clear" w:color="auto" w:fill="auto"/>
            <w:vAlign w:val="center"/>
            <w:hideMark/>
          </w:tcPr>
          <w:p w:rsidR="0069213C" w:rsidRPr="00AD5666" w:rsidRDefault="0069213C" w:rsidP="001D4E2F">
            <w:pPr>
              <w:jc w:val="right"/>
              <w:rPr>
                <w:rFonts w:eastAsia="Times New Roman" w:cs="Calibri"/>
                <w:color w:val="000000"/>
              </w:rPr>
            </w:pPr>
            <w:r>
              <w:rPr>
                <w:rFonts w:cs="Calibri"/>
                <w:color w:val="000000"/>
              </w:rPr>
              <w:t>3,008,726</w:t>
            </w:r>
          </w:p>
        </w:tc>
        <w:tc>
          <w:tcPr>
            <w:tcW w:w="1721" w:type="dxa"/>
            <w:shd w:val="clear" w:color="auto" w:fill="auto"/>
            <w:vAlign w:val="center"/>
            <w:hideMark/>
          </w:tcPr>
          <w:p w:rsidR="0069213C" w:rsidRPr="00AD5666" w:rsidRDefault="0069213C" w:rsidP="001D4E2F">
            <w:pPr>
              <w:jc w:val="right"/>
              <w:rPr>
                <w:rFonts w:eastAsia="Times New Roman" w:cs="Calibri"/>
                <w:color w:val="000000"/>
              </w:rPr>
            </w:pPr>
            <w:r>
              <w:rPr>
                <w:rFonts w:cs="Calibri"/>
                <w:color w:val="000000"/>
              </w:rPr>
              <w:t>6,348,453</w:t>
            </w:r>
          </w:p>
        </w:tc>
      </w:tr>
      <w:tr w:rsidR="0069213C" w:rsidRPr="00AD5666" w:rsidTr="001D4E2F">
        <w:trPr>
          <w:trHeight w:val="399"/>
          <w:jc w:val="center"/>
        </w:trPr>
        <w:tc>
          <w:tcPr>
            <w:tcW w:w="1617" w:type="dxa"/>
            <w:shd w:val="clear" w:color="auto" w:fill="auto"/>
            <w:vAlign w:val="bottom"/>
            <w:hideMark/>
          </w:tcPr>
          <w:p w:rsidR="0069213C" w:rsidRPr="00AD5666" w:rsidRDefault="0069213C" w:rsidP="001D4E2F">
            <w:pPr>
              <w:rPr>
                <w:rFonts w:eastAsia="Times New Roman" w:cs="Calibri"/>
                <w:b/>
                <w:bCs/>
                <w:color w:val="002776"/>
              </w:rPr>
            </w:pPr>
            <w:r w:rsidRPr="00AD5666">
              <w:rPr>
                <w:rFonts w:eastAsia="Times New Roman" w:cs="Calibri"/>
                <w:b/>
                <w:bCs/>
                <w:color w:val="002776"/>
              </w:rPr>
              <w:t>Expansion - Non Urban</w:t>
            </w:r>
          </w:p>
        </w:tc>
        <w:tc>
          <w:tcPr>
            <w:tcW w:w="1285" w:type="dxa"/>
            <w:shd w:val="clear" w:color="auto" w:fill="auto"/>
            <w:vAlign w:val="center"/>
            <w:hideMark/>
          </w:tcPr>
          <w:p w:rsidR="0069213C" w:rsidRPr="00AD5666" w:rsidRDefault="0069213C" w:rsidP="001D4E2F">
            <w:pPr>
              <w:jc w:val="right"/>
              <w:rPr>
                <w:rFonts w:eastAsia="Times New Roman" w:cs="Calibri"/>
                <w:color w:val="000000"/>
              </w:rPr>
            </w:pPr>
            <w:r>
              <w:rPr>
                <w:rFonts w:cs="Calibri"/>
                <w:color w:val="000000"/>
              </w:rPr>
              <w:t xml:space="preserve">                       119 </w:t>
            </w:r>
          </w:p>
        </w:tc>
        <w:tc>
          <w:tcPr>
            <w:tcW w:w="1492" w:type="dxa"/>
            <w:shd w:val="clear" w:color="auto" w:fill="auto"/>
            <w:vAlign w:val="center"/>
            <w:hideMark/>
          </w:tcPr>
          <w:p w:rsidR="0069213C" w:rsidRPr="00AD5666" w:rsidRDefault="0069213C" w:rsidP="001D4E2F">
            <w:pPr>
              <w:jc w:val="right"/>
              <w:rPr>
                <w:rFonts w:eastAsia="Times New Roman" w:cs="Calibri"/>
                <w:color w:val="000000"/>
              </w:rPr>
            </w:pPr>
            <w:r>
              <w:rPr>
                <w:rFonts w:cs="Calibri"/>
                <w:color w:val="000000"/>
              </w:rPr>
              <w:t>31,241</w:t>
            </w:r>
          </w:p>
        </w:tc>
        <w:tc>
          <w:tcPr>
            <w:tcW w:w="1721" w:type="dxa"/>
            <w:shd w:val="clear" w:color="auto" w:fill="auto"/>
            <w:vAlign w:val="center"/>
            <w:hideMark/>
          </w:tcPr>
          <w:p w:rsidR="0069213C" w:rsidRPr="00AD5666" w:rsidRDefault="0069213C" w:rsidP="001D4E2F">
            <w:pPr>
              <w:jc w:val="right"/>
              <w:rPr>
                <w:rFonts w:eastAsia="Times New Roman" w:cs="Calibri"/>
                <w:color w:val="000000"/>
              </w:rPr>
            </w:pPr>
            <w:r>
              <w:rPr>
                <w:rFonts w:cs="Calibri"/>
                <w:color w:val="000000"/>
              </w:rPr>
              <w:t>3,711,676</w:t>
            </w:r>
          </w:p>
        </w:tc>
        <w:tc>
          <w:tcPr>
            <w:tcW w:w="1721" w:type="dxa"/>
            <w:shd w:val="clear" w:color="auto" w:fill="auto"/>
            <w:vAlign w:val="center"/>
            <w:hideMark/>
          </w:tcPr>
          <w:p w:rsidR="0069213C" w:rsidRPr="00AD5666" w:rsidRDefault="0069213C" w:rsidP="001D4E2F">
            <w:pPr>
              <w:jc w:val="right"/>
              <w:rPr>
                <w:rFonts w:eastAsia="Times New Roman" w:cs="Calibri"/>
                <w:color w:val="000000"/>
              </w:rPr>
            </w:pPr>
            <w:r>
              <w:rPr>
                <w:rFonts w:cs="Calibri"/>
                <w:color w:val="000000"/>
              </w:rPr>
              <w:t>2,262,999</w:t>
            </w:r>
          </w:p>
        </w:tc>
        <w:tc>
          <w:tcPr>
            <w:tcW w:w="1721" w:type="dxa"/>
            <w:shd w:val="clear" w:color="auto" w:fill="auto"/>
            <w:vAlign w:val="center"/>
            <w:hideMark/>
          </w:tcPr>
          <w:p w:rsidR="0069213C" w:rsidRPr="00AD5666" w:rsidRDefault="0069213C" w:rsidP="001D4E2F">
            <w:pPr>
              <w:jc w:val="right"/>
              <w:rPr>
                <w:rFonts w:eastAsia="Times New Roman" w:cs="Calibri"/>
                <w:color w:val="000000"/>
              </w:rPr>
            </w:pPr>
            <w:r>
              <w:rPr>
                <w:rFonts w:cs="Calibri"/>
                <w:color w:val="000000"/>
              </w:rPr>
              <w:t>5,160,354</w:t>
            </w:r>
          </w:p>
        </w:tc>
      </w:tr>
      <w:tr w:rsidR="00DD5099" w:rsidRPr="00AD5666" w:rsidTr="00DD5099">
        <w:trPr>
          <w:trHeight w:val="399"/>
          <w:jc w:val="center"/>
        </w:trPr>
        <w:tc>
          <w:tcPr>
            <w:tcW w:w="1617" w:type="dxa"/>
            <w:shd w:val="clear" w:color="auto" w:fill="auto"/>
            <w:vAlign w:val="bottom"/>
          </w:tcPr>
          <w:p w:rsidR="00DD5099" w:rsidRPr="00AD5666" w:rsidRDefault="00DD5099" w:rsidP="001D4E2F">
            <w:pPr>
              <w:rPr>
                <w:rFonts w:eastAsia="Times New Roman" w:cs="Calibri"/>
                <w:b/>
                <w:bCs/>
                <w:color w:val="002776"/>
              </w:rPr>
            </w:pPr>
            <w:r>
              <w:rPr>
                <w:rFonts w:eastAsia="Times New Roman" w:cs="Calibri"/>
                <w:b/>
                <w:bCs/>
                <w:color w:val="002776"/>
              </w:rPr>
              <w:t>Expansion – Refresh Group</w:t>
            </w:r>
          </w:p>
        </w:tc>
        <w:tc>
          <w:tcPr>
            <w:tcW w:w="1285" w:type="dxa"/>
            <w:shd w:val="clear" w:color="auto" w:fill="auto"/>
            <w:vAlign w:val="center"/>
          </w:tcPr>
          <w:p w:rsidR="00DD5099" w:rsidRDefault="00DD5099" w:rsidP="001D4E2F">
            <w:pPr>
              <w:jc w:val="right"/>
              <w:rPr>
                <w:rFonts w:cs="Calibri"/>
                <w:color w:val="000000"/>
              </w:rPr>
            </w:pPr>
            <w:r>
              <w:rPr>
                <w:rFonts w:cs="Calibri"/>
                <w:color w:val="000000"/>
              </w:rPr>
              <w:t>Not evaluated</w:t>
            </w:r>
          </w:p>
        </w:tc>
        <w:tc>
          <w:tcPr>
            <w:tcW w:w="1492" w:type="dxa"/>
            <w:shd w:val="clear" w:color="auto" w:fill="auto"/>
            <w:vAlign w:val="center"/>
          </w:tcPr>
          <w:p w:rsidR="00DD5099" w:rsidRDefault="00DD5099" w:rsidP="001D4E2F">
            <w:pPr>
              <w:jc w:val="right"/>
              <w:rPr>
                <w:rFonts w:cs="Calibri"/>
                <w:color w:val="000000"/>
              </w:rPr>
            </w:pPr>
            <w:r>
              <w:rPr>
                <w:rFonts w:cs="Calibri"/>
                <w:color w:val="000000"/>
              </w:rPr>
              <w:t>24,998</w:t>
            </w:r>
          </w:p>
        </w:tc>
        <w:tc>
          <w:tcPr>
            <w:tcW w:w="1721" w:type="dxa"/>
            <w:shd w:val="clear" w:color="auto" w:fill="auto"/>
            <w:vAlign w:val="center"/>
          </w:tcPr>
          <w:p w:rsidR="00DD5099" w:rsidRDefault="00DD5099" w:rsidP="00DD5099">
            <w:pPr>
              <w:jc w:val="center"/>
            </w:pPr>
            <w:r w:rsidRPr="00580FEA">
              <w:rPr>
                <w:rFonts w:cs="Calibri"/>
                <w:color w:val="000000"/>
              </w:rPr>
              <w:t>Not evaluated</w:t>
            </w:r>
          </w:p>
        </w:tc>
        <w:tc>
          <w:tcPr>
            <w:tcW w:w="1721" w:type="dxa"/>
            <w:shd w:val="clear" w:color="auto" w:fill="auto"/>
            <w:vAlign w:val="center"/>
          </w:tcPr>
          <w:p w:rsidR="00DD5099" w:rsidRDefault="00DD5099" w:rsidP="00DD5099">
            <w:pPr>
              <w:jc w:val="center"/>
            </w:pPr>
            <w:r w:rsidRPr="00580FEA">
              <w:rPr>
                <w:rFonts w:cs="Calibri"/>
                <w:color w:val="000000"/>
              </w:rPr>
              <w:t>Not evaluated</w:t>
            </w:r>
          </w:p>
        </w:tc>
        <w:tc>
          <w:tcPr>
            <w:tcW w:w="1721" w:type="dxa"/>
            <w:shd w:val="clear" w:color="auto" w:fill="auto"/>
            <w:vAlign w:val="center"/>
          </w:tcPr>
          <w:p w:rsidR="00DD5099" w:rsidRDefault="00DD5099" w:rsidP="00DD5099">
            <w:pPr>
              <w:jc w:val="center"/>
            </w:pPr>
            <w:r w:rsidRPr="00580FEA">
              <w:rPr>
                <w:rFonts w:cs="Calibri"/>
                <w:color w:val="000000"/>
              </w:rPr>
              <w:t>Not evaluated</w:t>
            </w:r>
          </w:p>
        </w:tc>
      </w:tr>
      <w:tr w:rsidR="0069213C" w:rsidRPr="00AD5666" w:rsidTr="001D4E2F">
        <w:trPr>
          <w:trHeight w:val="399"/>
          <w:jc w:val="center"/>
        </w:trPr>
        <w:tc>
          <w:tcPr>
            <w:tcW w:w="1617" w:type="dxa"/>
            <w:shd w:val="clear" w:color="auto" w:fill="auto"/>
            <w:vAlign w:val="bottom"/>
            <w:hideMark/>
          </w:tcPr>
          <w:p w:rsidR="0069213C" w:rsidRPr="00AD5666" w:rsidRDefault="0069213C" w:rsidP="001D4E2F">
            <w:pPr>
              <w:rPr>
                <w:rFonts w:eastAsia="Times New Roman" w:cs="Calibri"/>
                <w:b/>
                <w:bCs/>
                <w:color w:val="002776"/>
              </w:rPr>
            </w:pPr>
          </w:p>
        </w:tc>
        <w:tc>
          <w:tcPr>
            <w:tcW w:w="1285" w:type="dxa"/>
            <w:shd w:val="clear" w:color="auto" w:fill="auto"/>
            <w:vAlign w:val="center"/>
            <w:hideMark/>
          </w:tcPr>
          <w:p w:rsidR="0069213C" w:rsidRPr="00AD5666" w:rsidRDefault="0069213C" w:rsidP="001D4E2F">
            <w:pPr>
              <w:jc w:val="right"/>
              <w:rPr>
                <w:rFonts w:eastAsia="Times New Roman" w:cs="Calibri"/>
                <w:color w:val="000000"/>
              </w:rPr>
            </w:pPr>
            <w:r>
              <w:rPr>
                <w:rFonts w:cs="Calibri"/>
                <w:color w:val="000000"/>
              </w:rPr>
              <w:t>181 </w:t>
            </w:r>
          </w:p>
        </w:tc>
        <w:tc>
          <w:tcPr>
            <w:tcW w:w="1492" w:type="dxa"/>
            <w:shd w:val="clear" w:color="auto" w:fill="auto"/>
            <w:vAlign w:val="center"/>
            <w:hideMark/>
          </w:tcPr>
          <w:p w:rsidR="0069213C" w:rsidRPr="00AD5666" w:rsidRDefault="0069213C" w:rsidP="001D4E2F">
            <w:pPr>
              <w:jc w:val="right"/>
              <w:rPr>
                <w:rFonts w:eastAsia="Times New Roman" w:cs="Calibri"/>
                <w:color w:val="000000"/>
              </w:rPr>
            </w:pPr>
            <w:r>
              <w:rPr>
                <w:rFonts w:cs="Calibri"/>
                <w:color w:val="000000"/>
              </w:rPr>
              <w:t>97,385</w:t>
            </w:r>
            <w:r w:rsidR="00FA0E0A">
              <w:rPr>
                <w:rFonts w:cs="Calibri"/>
                <w:color w:val="000000"/>
              </w:rPr>
              <w:t>*</w:t>
            </w:r>
          </w:p>
        </w:tc>
        <w:tc>
          <w:tcPr>
            <w:tcW w:w="1721" w:type="dxa"/>
            <w:shd w:val="clear" w:color="auto" w:fill="auto"/>
            <w:vAlign w:val="center"/>
            <w:hideMark/>
          </w:tcPr>
          <w:p w:rsidR="0069213C" w:rsidRPr="00AD5666" w:rsidRDefault="0069213C" w:rsidP="001D4E2F">
            <w:pPr>
              <w:jc w:val="right"/>
              <w:rPr>
                <w:rFonts w:eastAsia="Times New Roman" w:cs="Calibri"/>
                <w:color w:val="000000"/>
              </w:rPr>
            </w:pPr>
            <w:r>
              <w:rPr>
                <w:rFonts w:cs="Calibri"/>
                <w:color w:val="000000"/>
              </w:rPr>
              <w:t>17,591,513</w:t>
            </w:r>
          </w:p>
        </w:tc>
        <w:tc>
          <w:tcPr>
            <w:tcW w:w="1721" w:type="dxa"/>
            <w:shd w:val="clear" w:color="auto" w:fill="auto"/>
            <w:vAlign w:val="center"/>
            <w:hideMark/>
          </w:tcPr>
          <w:p w:rsidR="0069213C" w:rsidRPr="00AD5666" w:rsidRDefault="0069213C" w:rsidP="001D4E2F">
            <w:pPr>
              <w:jc w:val="right"/>
              <w:rPr>
                <w:rFonts w:eastAsia="Times New Roman" w:cs="Calibri"/>
                <w:color w:val="000000"/>
              </w:rPr>
            </w:pPr>
            <w:r>
              <w:rPr>
                <w:rFonts w:cs="Calibri"/>
                <w:color w:val="000000"/>
              </w:rPr>
              <w:t>14,424,691</w:t>
            </w:r>
          </w:p>
        </w:tc>
        <w:tc>
          <w:tcPr>
            <w:tcW w:w="1721" w:type="dxa"/>
            <w:shd w:val="clear" w:color="auto" w:fill="auto"/>
            <w:vAlign w:val="center"/>
            <w:hideMark/>
          </w:tcPr>
          <w:p w:rsidR="0069213C" w:rsidRPr="00AD5666" w:rsidRDefault="0069213C" w:rsidP="001D4E2F">
            <w:pPr>
              <w:jc w:val="right"/>
              <w:rPr>
                <w:rFonts w:eastAsia="Times New Roman" w:cs="Calibri"/>
                <w:color w:val="000000"/>
              </w:rPr>
            </w:pPr>
            <w:r>
              <w:rPr>
                <w:rFonts w:cs="Calibri"/>
                <w:color w:val="000000"/>
              </w:rPr>
              <w:t>20,758,336</w:t>
            </w:r>
          </w:p>
        </w:tc>
      </w:tr>
    </w:tbl>
    <w:p w:rsidR="0069213C" w:rsidRPr="00FA0E0A" w:rsidRDefault="00FA0E0A" w:rsidP="00663DE8">
      <w:pPr>
        <w:pStyle w:val="BodyText"/>
        <w:rPr>
          <w:i/>
          <w:iCs/>
        </w:rPr>
      </w:pPr>
      <w:r w:rsidRPr="00FA0E0A">
        <w:rPr>
          <w:i/>
          <w:iCs/>
        </w:rPr>
        <w:t>*Total number of treatment excludes Expansion – Refresh Group</w:t>
      </w:r>
      <w:r w:rsidR="00422161">
        <w:rPr>
          <w:i/>
          <w:iCs/>
        </w:rPr>
        <w:t>, which was added in May 2015</w:t>
      </w:r>
      <w:r w:rsidRPr="00FA0E0A">
        <w:rPr>
          <w:i/>
          <w:iCs/>
        </w:rPr>
        <w:t>.</w:t>
      </w:r>
    </w:p>
    <w:p w:rsidR="00FA0E0A" w:rsidRDefault="00FA0E0A" w:rsidP="00663DE8">
      <w:pPr>
        <w:pStyle w:val="BodyText"/>
      </w:pPr>
    </w:p>
    <w:p w:rsidR="00943B9B" w:rsidRDefault="00943B9B" w:rsidP="00943B9B">
      <w:pPr>
        <w:pStyle w:val="Caption"/>
        <w:jc w:val="center"/>
      </w:pPr>
      <w:bookmarkStart w:id="8" w:name="_Ref421116708"/>
      <w:r>
        <w:t xml:space="preserve">Table </w:t>
      </w:r>
      <w:r>
        <w:fldChar w:fldCharType="begin"/>
      </w:r>
      <w:r>
        <w:instrText xml:space="preserve"> STYLEREF 1 \s </w:instrText>
      </w:r>
      <w:r>
        <w:fldChar w:fldCharType="separate"/>
      </w:r>
      <w:r w:rsidR="00B31EF0">
        <w:rPr>
          <w:noProof/>
        </w:rPr>
        <w:t>0</w:t>
      </w:r>
      <w:r>
        <w:rPr>
          <w:noProof/>
        </w:rPr>
        <w:fldChar w:fldCharType="end"/>
      </w:r>
      <w:r>
        <w:noBreakHyphen/>
      </w:r>
      <w:r>
        <w:fldChar w:fldCharType="begin"/>
      </w:r>
      <w:r>
        <w:instrText xml:space="preserve"> SEQ Table \* ARABIC \s 1 </w:instrText>
      </w:r>
      <w:r>
        <w:fldChar w:fldCharType="separate"/>
      </w:r>
      <w:r w:rsidR="00B31EF0">
        <w:rPr>
          <w:noProof/>
        </w:rPr>
        <w:t>2</w:t>
      </w:r>
      <w:r>
        <w:rPr>
          <w:noProof/>
        </w:rPr>
        <w:fldChar w:fldCharType="end"/>
      </w:r>
      <w:bookmarkEnd w:id="8"/>
      <w:r>
        <w:t>:  Total Credited Gas Savings for 2015 HER Programs</w:t>
      </w:r>
    </w:p>
    <w:tbl>
      <w:tblPr>
        <w:tblW w:w="9557"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1285"/>
        <w:gridCol w:w="1492"/>
        <w:gridCol w:w="1721"/>
        <w:gridCol w:w="1721"/>
        <w:gridCol w:w="1721"/>
      </w:tblGrid>
      <w:tr w:rsidR="00943B9B" w:rsidRPr="00AD5666" w:rsidTr="009A4A6E">
        <w:trPr>
          <w:trHeight w:val="315"/>
          <w:jc w:val="center"/>
        </w:trPr>
        <w:tc>
          <w:tcPr>
            <w:tcW w:w="1617" w:type="dxa"/>
            <w:vMerge w:val="restart"/>
            <w:shd w:val="clear" w:color="000000" w:fill="003591"/>
            <w:vAlign w:val="bottom"/>
            <w:hideMark/>
          </w:tcPr>
          <w:p w:rsidR="00943B9B" w:rsidRPr="00AD5666" w:rsidRDefault="00943B9B" w:rsidP="00FC3001">
            <w:pPr>
              <w:jc w:val="center"/>
              <w:rPr>
                <w:rFonts w:eastAsia="Times New Roman" w:cs="Calibri"/>
                <w:b/>
                <w:bCs/>
                <w:color w:val="FFFFFF"/>
              </w:rPr>
            </w:pPr>
            <w:r w:rsidRPr="00AD5666">
              <w:rPr>
                <w:rFonts w:eastAsia="Times New Roman" w:cs="Calibri"/>
                <w:b/>
                <w:bCs/>
                <w:color w:val="FFFFFF"/>
              </w:rPr>
              <w:t>HER Treatment Group</w:t>
            </w:r>
          </w:p>
        </w:tc>
        <w:tc>
          <w:tcPr>
            <w:tcW w:w="7940" w:type="dxa"/>
            <w:gridSpan w:val="5"/>
            <w:shd w:val="clear" w:color="000000" w:fill="003591"/>
            <w:vAlign w:val="bottom"/>
            <w:hideMark/>
          </w:tcPr>
          <w:p w:rsidR="00943B9B" w:rsidRPr="00AD5666" w:rsidRDefault="00943B9B" w:rsidP="00FC3001">
            <w:pPr>
              <w:jc w:val="center"/>
              <w:rPr>
                <w:rFonts w:eastAsia="Times New Roman" w:cs="Calibri"/>
                <w:b/>
                <w:bCs/>
                <w:color w:val="FFFFFF"/>
              </w:rPr>
            </w:pPr>
            <w:r w:rsidRPr="00AD5666">
              <w:rPr>
                <w:rFonts w:eastAsia="Times New Roman" w:cs="Calibri"/>
                <w:b/>
                <w:bCs/>
                <w:color w:val="FFFFFF"/>
              </w:rPr>
              <w:t>Gas (therms)</w:t>
            </w:r>
          </w:p>
        </w:tc>
      </w:tr>
      <w:tr w:rsidR="00943B9B" w:rsidRPr="00AD5666" w:rsidTr="009A4A6E">
        <w:trPr>
          <w:trHeight w:val="690"/>
          <w:jc w:val="center"/>
        </w:trPr>
        <w:tc>
          <w:tcPr>
            <w:tcW w:w="1617" w:type="dxa"/>
            <w:vMerge/>
            <w:vAlign w:val="center"/>
            <w:hideMark/>
          </w:tcPr>
          <w:p w:rsidR="00943B9B" w:rsidRPr="00AD5666" w:rsidRDefault="00943B9B" w:rsidP="00FC3001">
            <w:pPr>
              <w:rPr>
                <w:rFonts w:eastAsia="Times New Roman" w:cs="Calibri"/>
                <w:b/>
                <w:bCs/>
                <w:color w:val="FFFFFF"/>
              </w:rPr>
            </w:pPr>
          </w:p>
        </w:tc>
        <w:tc>
          <w:tcPr>
            <w:tcW w:w="1285" w:type="dxa"/>
            <w:shd w:val="clear" w:color="000000" w:fill="003591"/>
            <w:vAlign w:val="bottom"/>
            <w:hideMark/>
          </w:tcPr>
          <w:p w:rsidR="00943B9B" w:rsidRPr="00AD5666" w:rsidRDefault="00943B9B" w:rsidP="00FC3001">
            <w:pPr>
              <w:jc w:val="center"/>
              <w:rPr>
                <w:rFonts w:eastAsia="Times New Roman" w:cs="Calibri"/>
                <w:b/>
                <w:bCs/>
                <w:color w:val="FFFFFF"/>
              </w:rPr>
            </w:pPr>
            <w:r w:rsidRPr="00AD5666">
              <w:rPr>
                <w:rFonts w:eastAsia="Times New Roman" w:cs="Calibri"/>
                <w:b/>
                <w:bCs/>
                <w:color w:val="FFFFFF"/>
              </w:rPr>
              <w:t>Per Household</w:t>
            </w:r>
          </w:p>
        </w:tc>
        <w:tc>
          <w:tcPr>
            <w:tcW w:w="1492" w:type="dxa"/>
            <w:shd w:val="clear" w:color="000000" w:fill="003591"/>
            <w:vAlign w:val="bottom"/>
            <w:hideMark/>
          </w:tcPr>
          <w:p w:rsidR="00943B9B" w:rsidRPr="00AD5666" w:rsidRDefault="00943B9B" w:rsidP="00FC3001">
            <w:pPr>
              <w:jc w:val="center"/>
              <w:rPr>
                <w:rFonts w:eastAsia="Times New Roman" w:cs="Calibri"/>
                <w:b/>
                <w:bCs/>
                <w:color w:val="FFFFFF"/>
              </w:rPr>
            </w:pPr>
            <w:r w:rsidRPr="00AD5666">
              <w:rPr>
                <w:rFonts w:eastAsia="Times New Roman" w:cs="Calibri"/>
                <w:b/>
                <w:bCs/>
                <w:color w:val="FFFFFF"/>
              </w:rPr>
              <w:t>No. of treatment</w:t>
            </w:r>
          </w:p>
        </w:tc>
        <w:tc>
          <w:tcPr>
            <w:tcW w:w="1721" w:type="dxa"/>
            <w:shd w:val="clear" w:color="000000" w:fill="003591"/>
            <w:vAlign w:val="bottom"/>
            <w:hideMark/>
          </w:tcPr>
          <w:p w:rsidR="00943B9B" w:rsidRPr="00AD5666" w:rsidRDefault="00943B9B" w:rsidP="00FC3001">
            <w:pPr>
              <w:jc w:val="center"/>
              <w:rPr>
                <w:rFonts w:eastAsia="Times New Roman" w:cs="Calibri"/>
                <w:b/>
                <w:bCs/>
                <w:color w:val="FFFFFF"/>
              </w:rPr>
            </w:pPr>
            <w:r w:rsidRPr="00AD5666">
              <w:rPr>
                <w:rFonts w:eastAsia="Times New Roman" w:cs="Calibri"/>
                <w:b/>
                <w:bCs/>
                <w:color w:val="FFFFFF"/>
              </w:rPr>
              <w:t>Total Savings</w:t>
            </w:r>
          </w:p>
        </w:tc>
        <w:tc>
          <w:tcPr>
            <w:tcW w:w="1721" w:type="dxa"/>
            <w:shd w:val="clear" w:color="000000" w:fill="003591"/>
            <w:vAlign w:val="bottom"/>
            <w:hideMark/>
          </w:tcPr>
          <w:p w:rsidR="00943B9B" w:rsidRPr="00AD5666" w:rsidRDefault="00943B9B" w:rsidP="00FC3001">
            <w:pPr>
              <w:jc w:val="center"/>
              <w:rPr>
                <w:rFonts w:eastAsia="Times New Roman" w:cs="Calibri"/>
                <w:b/>
                <w:bCs/>
                <w:color w:val="FFFFFF"/>
              </w:rPr>
            </w:pPr>
            <w:r w:rsidRPr="00AD5666">
              <w:rPr>
                <w:rFonts w:eastAsia="Times New Roman" w:cs="Calibri"/>
                <w:b/>
                <w:bCs/>
                <w:color w:val="FFFFFF"/>
              </w:rPr>
              <w:t>Lower Limit 90% CI</w:t>
            </w:r>
          </w:p>
        </w:tc>
        <w:tc>
          <w:tcPr>
            <w:tcW w:w="1721" w:type="dxa"/>
            <w:shd w:val="clear" w:color="000000" w:fill="003591"/>
            <w:vAlign w:val="bottom"/>
            <w:hideMark/>
          </w:tcPr>
          <w:p w:rsidR="00943B9B" w:rsidRPr="00AD5666" w:rsidRDefault="00943B9B" w:rsidP="00FC3001">
            <w:pPr>
              <w:jc w:val="center"/>
              <w:rPr>
                <w:rFonts w:eastAsia="Times New Roman" w:cs="Calibri"/>
                <w:b/>
                <w:bCs/>
                <w:color w:val="FFFFFF"/>
              </w:rPr>
            </w:pPr>
            <w:r w:rsidRPr="00AD5666">
              <w:rPr>
                <w:rFonts w:eastAsia="Times New Roman" w:cs="Calibri"/>
                <w:b/>
                <w:bCs/>
                <w:color w:val="FFFFFF"/>
              </w:rPr>
              <w:t>Upper Limit 90% CI</w:t>
            </w:r>
          </w:p>
        </w:tc>
      </w:tr>
      <w:tr w:rsidR="00793E4F" w:rsidRPr="00AD5666" w:rsidTr="00663DE8">
        <w:trPr>
          <w:trHeight w:val="399"/>
          <w:jc w:val="center"/>
        </w:trPr>
        <w:tc>
          <w:tcPr>
            <w:tcW w:w="1617" w:type="dxa"/>
            <w:shd w:val="clear" w:color="auto" w:fill="auto"/>
            <w:vAlign w:val="bottom"/>
            <w:hideMark/>
          </w:tcPr>
          <w:p w:rsidR="00793E4F" w:rsidRPr="00AD5666" w:rsidRDefault="00793E4F" w:rsidP="00FC3001">
            <w:pPr>
              <w:rPr>
                <w:rFonts w:eastAsia="Times New Roman" w:cs="Calibri"/>
                <w:b/>
                <w:bCs/>
                <w:color w:val="002776"/>
              </w:rPr>
            </w:pPr>
            <w:r w:rsidRPr="00AD5666">
              <w:rPr>
                <w:rFonts w:eastAsia="Times New Roman" w:cs="Calibri"/>
                <w:b/>
                <w:bCs/>
                <w:color w:val="002776"/>
              </w:rPr>
              <w:t>Legacy - Current</w:t>
            </w:r>
          </w:p>
        </w:tc>
        <w:tc>
          <w:tcPr>
            <w:tcW w:w="1285" w:type="dxa"/>
            <w:shd w:val="clear" w:color="auto" w:fill="auto"/>
            <w:vAlign w:val="center"/>
            <w:hideMark/>
          </w:tcPr>
          <w:p w:rsidR="00793E4F" w:rsidRPr="00AD5666" w:rsidRDefault="00793E4F" w:rsidP="00FC3001">
            <w:pPr>
              <w:jc w:val="right"/>
              <w:rPr>
                <w:rFonts w:eastAsia="Times New Roman" w:cs="Calibri"/>
                <w:color w:val="000000"/>
              </w:rPr>
            </w:pPr>
            <w:r>
              <w:rPr>
                <w:rFonts w:cs="Calibri"/>
                <w:color w:val="000000"/>
              </w:rPr>
              <w:t>12</w:t>
            </w:r>
          </w:p>
        </w:tc>
        <w:tc>
          <w:tcPr>
            <w:tcW w:w="1492" w:type="dxa"/>
            <w:shd w:val="clear" w:color="auto" w:fill="auto"/>
            <w:vAlign w:val="center"/>
            <w:hideMark/>
          </w:tcPr>
          <w:p w:rsidR="00793E4F" w:rsidRPr="00AD5666" w:rsidRDefault="00793E4F" w:rsidP="00FC3001">
            <w:pPr>
              <w:jc w:val="right"/>
              <w:rPr>
                <w:rFonts w:eastAsia="Times New Roman" w:cs="Calibri"/>
                <w:color w:val="000000"/>
              </w:rPr>
            </w:pPr>
            <w:r>
              <w:rPr>
                <w:rFonts w:cs="Calibri"/>
                <w:color w:val="000000"/>
              </w:rPr>
              <w:t>14,629</w:t>
            </w:r>
          </w:p>
        </w:tc>
        <w:tc>
          <w:tcPr>
            <w:tcW w:w="1721" w:type="dxa"/>
            <w:shd w:val="clear" w:color="auto" w:fill="auto"/>
            <w:vAlign w:val="center"/>
            <w:hideMark/>
          </w:tcPr>
          <w:p w:rsidR="00793E4F" w:rsidRPr="00AD5666" w:rsidRDefault="00793E4F" w:rsidP="00FC3001">
            <w:pPr>
              <w:jc w:val="right"/>
              <w:rPr>
                <w:rFonts w:eastAsia="Times New Roman" w:cs="Calibri"/>
                <w:color w:val="000000"/>
              </w:rPr>
            </w:pPr>
            <w:r>
              <w:rPr>
                <w:rFonts w:cs="Calibri"/>
                <w:color w:val="000000"/>
              </w:rPr>
              <w:t>173,064</w:t>
            </w:r>
          </w:p>
        </w:tc>
        <w:tc>
          <w:tcPr>
            <w:tcW w:w="1721" w:type="dxa"/>
            <w:shd w:val="clear" w:color="auto" w:fill="auto"/>
            <w:vAlign w:val="center"/>
            <w:hideMark/>
          </w:tcPr>
          <w:p w:rsidR="00793E4F" w:rsidRPr="00AD5666" w:rsidRDefault="00793E4F" w:rsidP="00FC3001">
            <w:pPr>
              <w:jc w:val="right"/>
              <w:rPr>
                <w:rFonts w:eastAsia="Times New Roman" w:cs="Calibri"/>
                <w:color w:val="000000"/>
              </w:rPr>
            </w:pPr>
            <w:r>
              <w:rPr>
                <w:rFonts w:cs="Calibri"/>
                <w:color w:val="000000"/>
              </w:rPr>
              <w:t>121,927</w:t>
            </w:r>
          </w:p>
        </w:tc>
        <w:tc>
          <w:tcPr>
            <w:tcW w:w="1721" w:type="dxa"/>
            <w:shd w:val="clear" w:color="auto" w:fill="auto"/>
            <w:vAlign w:val="center"/>
            <w:hideMark/>
          </w:tcPr>
          <w:p w:rsidR="00793E4F" w:rsidRPr="00AD5666" w:rsidRDefault="00793E4F" w:rsidP="00FC3001">
            <w:pPr>
              <w:jc w:val="right"/>
              <w:rPr>
                <w:rFonts w:eastAsia="Times New Roman" w:cs="Calibri"/>
                <w:color w:val="000000"/>
              </w:rPr>
            </w:pPr>
            <w:r>
              <w:rPr>
                <w:rFonts w:cs="Calibri"/>
                <w:color w:val="000000"/>
              </w:rPr>
              <w:t>224,201</w:t>
            </w:r>
          </w:p>
        </w:tc>
      </w:tr>
      <w:tr w:rsidR="00793E4F" w:rsidRPr="00AD5666" w:rsidTr="00663DE8">
        <w:trPr>
          <w:trHeight w:val="399"/>
          <w:jc w:val="center"/>
        </w:trPr>
        <w:tc>
          <w:tcPr>
            <w:tcW w:w="1617" w:type="dxa"/>
            <w:shd w:val="clear" w:color="auto" w:fill="auto"/>
            <w:vAlign w:val="bottom"/>
            <w:hideMark/>
          </w:tcPr>
          <w:p w:rsidR="00793E4F" w:rsidRPr="00AD5666" w:rsidRDefault="00793E4F" w:rsidP="00FC3001">
            <w:pPr>
              <w:rPr>
                <w:rFonts w:eastAsia="Times New Roman" w:cs="Calibri"/>
                <w:b/>
                <w:bCs/>
                <w:color w:val="002776"/>
              </w:rPr>
            </w:pPr>
            <w:r w:rsidRPr="00AD5666">
              <w:rPr>
                <w:rFonts w:eastAsia="Times New Roman" w:cs="Calibri"/>
                <w:b/>
                <w:bCs/>
                <w:color w:val="002776"/>
              </w:rPr>
              <w:t>Legacy - Suspended</w:t>
            </w:r>
          </w:p>
        </w:tc>
        <w:tc>
          <w:tcPr>
            <w:tcW w:w="1285" w:type="dxa"/>
            <w:shd w:val="clear" w:color="auto" w:fill="auto"/>
            <w:vAlign w:val="center"/>
            <w:hideMark/>
          </w:tcPr>
          <w:p w:rsidR="00793E4F" w:rsidRPr="00AD5666" w:rsidRDefault="00793E4F" w:rsidP="00FC3001">
            <w:pPr>
              <w:jc w:val="right"/>
              <w:rPr>
                <w:rFonts w:eastAsia="Times New Roman" w:cs="Calibri"/>
                <w:color w:val="000000"/>
              </w:rPr>
            </w:pPr>
            <w:r>
              <w:rPr>
                <w:rFonts w:cs="Calibri"/>
                <w:color w:val="000000"/>
              </w:rPr>
              <w:t>7</w:t>
            </w:r>
          </w:p>
        </w:tc>
        <w:tc>
          <w:tcPr>
            <w:tcW w:w="1492" w:type="dxa"/>
            <w:shd w:val="clear" w:color="auto" w:fill="auto"/>
            <w:vAlign w:val="center"/>
            <w:hideMark/>
          </w:tcPr>
          <w:p w:rsidR="00793E4F" w:rsidRPr="00AD5666" w:rsidRDefault="00793E4F" w:rsidP="00FC3001">
            <w:pPr>
              <w:jc w:val="right"/>
              <w:rPr>
                <w:rFonts w:eastAsia="Times New Roman" w:cs="Calibri"/>
                <w:color w:val="000000"/>
              </w:rPr>
            </w:pPr>
            <w:r>
              <w:rPr>
                <w:rFonts w:cs="Calibri"/>
                <w:color w:val="000000"/>
              </w:rPr>
              <w:t>7,300</w:t>
            </w:r>
          </w:p>
        </w:tc>
        <w:tc>
          <w:tcPr>
            <w:tcW w:w="1721" w:type="dxa"/>
            <w:shd w:val="clear" w:color="auto" w:fill="auto"/>
            <w:vAlign w:val="center"/>
            <w:hideMark/>
          </w:tcPr>
          <w:p w:rsidR="00793E4F" w:rsidRPr="00AD5666" w:rsidRDefault="00793E4F" w:rsidP="00FC3001">
            <w:pPr>
              <w:jc w:val="right"/>
              <w:rPr>
                <w:rFonts w:eastAsia="Times New Roman" w:cs="Calibri"/>
                <w:color w:val="000000"/>
              </w:rPr>
            </w:pPr>
            <w:r>
              <w:rPr>
                <w:rFonts w:cs="Calibri"/>
                <w:color w:val="000000"/>
              </w:rPr>
              <w:t>52,879</w:t>
            </w:r>
          </w:p>
        </w:tc>
        <w:tc>
          <w:tcPr>
            <w:tcW w:w="1721" w:type="dxa"/>
            <w:shd w:val="clear" w:color="auto" w:fill="auto"/>
            <w:vAlign w:val="center"/>
            <w:hideMark/>
          </w:tcPr>
          <w:p w:rsidR="00793E4F" w:rsidRPr="00AD5666" w:rsidRDefault="00793E4F" w:rsidP="00FC3001">
            <w:pPr>
              <w:jc w:val="right"/>
              <w:rPr>
                <w:rFonts w:eastAsia="Times New Roman" w:cs="Calibri"/>
                <w:color w:val="000000"/>
              </w:rPr>
            </w:pPr>
            <w:r>
              <w:rPr>
                <w:rFonts w:cs="Calibri"/>
                <w:color w:val="000000"/>
              </w:rPr>
              <w:t>14,555</w:t>
            </w:r>
          </w:p>
        </w:tc>
        <w:tc>
          <w:tcPr>
            <w:tcW w:w="1721" w:type="dxa"/>
            <w:shd w:val="clear" w:color="auto" w:fill="auto"/>
            <w:vAlign w:val="center"/>
            <w:hideMark/>
          </w:tcPr>
          <w:p w:rsidR="00793E4F" w:rsidRPr="00AD5666" w:rsidRDefault="00793E4F" w:rsidP="00FC3001">
            <w:pPr>
              <w:jc w:val="right"/>
              <w:rPr>
                <w:rFonts w:eastAsia="Times New Roman" w:cs="Calibri"/>
                <w:color w:val="000000"/>
              </w:rPr>
            </w:pPr>
            <w:r>
              <w:rPr>
                <w:rFonts w:cs="Calibri"/>
                <w:color w:val="000000"/>
              </w:rPr>
              <w:t>91,204</w:t>
            </w:r>
          </w:p>
        </w:tc>
      </w:tr>
      <w:tr w:rsidR="009A4A6E" w:rsidRPr="00AD5666" w:rsidTr="00663DE8">
        <w:trPr>
          <w:trHeight w:val="399"/>
          <w:jc w:val="center"/>
        </w:trPr>
        <w:tc>
          <w:tcPr>
            <w:tcW w:w="1617" w:type="dxa"/>
            <w:shd w:val="clear" w:color="auto" w:fill="auto"/>
            <w:vAlign w:val="bottom"/>
            <w:hideMark/>
          </w:tcPr>
          <w:p w:rsidR="009A4A6E" w:rsidRPr="00AD5666" w:rsidRDefault="009A4A6E" w:rsidP="00FC3001">
            <w:pPr>
              <w:rPr>
                <w:rFonts w:eastAsia="Times New Roman" w:cs="Calibri"/>
                <w:b/>
                <w:bCs/>
                <w:color w:val="002776"/>
              </w:rPr>
            </w:pPr>
            <w:r w:rsidRPr="00AD5666">
              <w:rPr>
                <w:rFonts w:eastAsia="Times New Roman" w:cs="Calibri"/>
                <w:b/>
                <w:bCs/>
                <w:color w:val="002776"/>
              </w:rPr>
              <w:t>Expansion - High Users</w:t>
            </w:r>
          </w:p>
        </w:tc>
        <w:tc>
          <w:tcPr>
            <w:tcW w:w="1285" w:type="dxa"/>
            <w:shd w:val="clear" w:color="auto" w:fill="auto"/>
            <w:vAlign w:val="center"/>
            <w:hideMark/>
          </w:tcPr>
          <w:p w:rsidR="009A4A6E" w:rsidRPr="00AD5666" w:rsidRDefault="009A4A6E" w:rsidP="00FC3001">
            <w:pPr>
              <w:jc w:val="right"/>
              <w:rPr>
                <w:rFonts w:eastAsia="Times New Roman" w:cs="Calibri"/>
                <w:color w:val="000000"/>
              </w:rPr>
            </w:pPr>
            <w:r>
              <w:rPr>
                <w:rFonts w:cs="Calibri"/>
                <w:color w:val="000000"/>
              </w:rPr>
              <w:t>9</w:t>
            </w:r>
          </w:p>
        </w:tc>
        <w:tc>
          <w:tcPr>
            <w:tcW w:w="1492" w:type="dxa"/>
            <w:shd w:val="clear" w:color="auto" w:fill="auto"/>
            <w:vAlign w:val="center"/>
            <w:hideMark/>
          </w:tcPr>
          <w:p w:rsidR="009A4A6E" w:rsidRPr="00AD5666" w:rsidRDefault="009A4A6E" w:rsidP="00FC3001">
            <w:pPr>
              <w:jc w:val="right"/>
              <w:rPr>
                <w:rFonts w:eastAsia="Times New Roman" w:cs="Calibri"/>
                <w:color w:val="000000"/>
              </w:rPr>
            </w:pPr>
            <w:r>
              <w:rPr>
                <w:rFonts w:cs="Calibri"/>
                <w:color w:val="000000"/>
              </w:rPr>
              <w:t>21,924</w:t>
            </w:r>
          </w:p>
        </w:tc>
        <w:tc>
          <w:tcPr>
            <w:tcW w:w="1721" w:type="dxa"/>
            <w:shd w:val="clear" w:color="auto" w:fill="auto"/>
            <w:vAlign w:val="center"/>
            <w:hideMark/>
          </w:tcPr>
          <w:p w:rsidR="009A4A6E" w:rsidRPr="00AD5666" w:rsidRDefault="009A4A6E" w:rsidP="00FC3001">
            <w:pPr>
              <w:jc w:val="right"/>
              <w:rPr>
                <w:rFonts w:eastAsia="Times New Roman" w:cs="Calibri"/>
                <w:color w:val="000000"/>
              </w:rPr>
            </w:pPr>
            <w:r>
              <w:rPr>
                <w:rFonts w:cs="Calibri"/>
                <w:color w:val="000000"/>
              </w:rPr>
              <w:t>199,091</w:t>
            </w:r>
          </w:p>
        </w:tc>
        <w:tc>
          <w:tcPr>
            <w:tcW w:w="1721" w:type="dxa"/>
            <w:shd w:val="clear" w:color="auto" w:fill="auto"/>
            <w:vAlign w:val="center"/>
            <w:hideMark/>
          </w:tcPr>
          <w:p w:rsidR="009A4A6E" w:rsidRPr="00AD5666" w:rsidRDefault="009A4A6E" w:rsidP="00FC3001">
            <w:pPr>
              <w:jc w:val="right"/>
              <w:rPr>
                <w:rFonts w:eastAsia="Times New Roman" w:cs="Calibri"/>
                <w:color w:val="000000"/>
              </w:rPr>
            </w:pPr>
            <w:r>
              <w:rPr>
                <w:rFonts w:cs="Calibri"/>
                <w:color w:val="000000"/>
              </w:rPr>
              <w:t>111,055</w:t>
            </w:r>
          </w:p>
        </w:tc>
        <w:tc>
          <w:tcPr>
            <w:tcW w:w="1721" w:type="dxa"/>
            <w:shd w:val="clear" w:color="auto" w:fill="auto"/>
            <w:vAlign w:val="center"/>
            <w:hideMark/>
          </w:tcPr>
          <w:p w:rsidR="009A4A6E" w:rsidRPr="00AD5666" w:rsidRDefault="009A4A6E" w:rsidP="00FC3001">
            <w:pPr>
              <w:jc w:val="right"/>
              <w:rPr>
                <w:rFonts w:eastAsia="Times New Roman" w:cs="Calibri"/>
                <w:color w:val="000000"/>
              </w:rPr>
            </w:pPr>
            <w:r>
              <w:rPr>
                <w:rFonts w:cs="Calibri"/>
                <w:color w:val="000000"/>
              </w:rPr>
              <w:t>287,127</w:t>
            </w:r>
          </w:p>
        </w:tc>
      </w:tr>
      <w:tr w:rsidR="009A4A6E" w:rsidRPr="00AD5666" w:rsidTr="00663DE8">
        <w:trPr>
          <w:trHeight w:val="399"/>
          <w:jc w:val="center"/>
        </w:trPr>
        <w:tc>
          <w:tcPr>
            <w:tcW w:w="1617" w:type="dxa"/>
            <w:shd w:val="clear" w:color="auto" w:fill="auto"/>
            <w:vAlign w:val="bottom"/>
            <w:hideMark/>
          </w:tcPr>
          <w:p w:rsidR="009A4A6E" w:rsidRPr="00AD5666" w:rsidRDefault="009A4A6E" w:rsidP="00FC3001">
            <w:pPr>
              <w:rPr>
                <w:rFonts w:eastAsia="Times New Roman" w:cs="Calibri"/>
                <w:b/>
                <w:bCs/>
                <w:color w:val="002776"/>
              </w:rPr>
            </w:pPr>
            <w:r w:rsidRPr="00AD5666">
              <w:rPr>
                <w:rFonts w:eastAsia="Times New Roman" w:cs="Calibri"/>
                <w:b/>
                <w:bCs/>
                <w:color w:val="002776"/>
              </w:rPr>
              <w:t>Expansion - Non Urban</w:t>
            </w:r>
          </w:p>
        </w:tc>
        <w:tc>
          <w:tcPr>
            <w:tcW w:w="1285" w:type="dxa"/>
            <w:shd w:val="clear" w:color="auto" w:fill="auto"/>
            <w:vAlign w:val="center"/>
            <w:hideMark/>
          </w:tcPr>
          <w:p w:rsidR="009A4A6E" w:rsidRPr="00AD5666" w:rsidRDefault="009A4A6E" w:rsidP="00FC3001">
            <w:pPr>
              <w:jc w:val="right"/>
              <w:rPr>
                <w:rFonts w:eastAsia="Times New Roman" w:cs="Calibri"/>
                <w:color w:val="000000"/>
              </w:rPr>
            </w:pPr>
            <w:r>
              <w:rPr>
                <w:rFonts w:cs="Calibri"/>
                <w:color w:val="000000"/>
              </w:rPr>
              <w:t>4</w:t>
            </w:r>
          </w:p>
        </w:tc>
        <w:tc>
          <w:tcPr>
            <w:tcW w:w="1492" w:type="dxa"/>
            <w:shd w:val="clear" w:color="auto" w:fill="auto"/>
            <w:vAlign w:val="center"/>
            <w:hideMark/>
          </w:tcPr>
          <w:p w:rsidR="009A4A6E" w:rsidRPr="00AD5666" w:rsidRDefault="009A4A6E" w:rsidP="00FC3001">
            <w:pPr>
              <w:jc w:val="right"/>
              <w:rPr>
                <w:rFonts w:eastAsia="Times New Roman" w:cs="Calibri"/>
                <w:color w:val="000000"/>
              </w:rPr>
            </w:pPr>
            <w:r>
              <w:rPr>
                <w:rFonts w:cs="Calibri"/>
                <w:color w:val="000000"/>
              </w:rPr>
              <w:t>31,241</w:t>
            </w:r>
          </w:p>
        </w:tc>
        <w:tc>
          <w:tcPr>
            <w:tcW w:w="1721" w:type="dxa"/>
            <w:shd w:val="clear" w:color="auto" w:fill="auto"/>
            <w:vAlign w:val="center"/>
            <w:hideMark/>
          </w:tcPr>
          <w:p w:rsidR="009A4A6E" w:rsidRPr="00AD5666" w:rsidRDefault="009A4A6E" w:rsidP="00FC3001">
            <w:pPr>
              <w:jc w:val="right"/>
              <w:rPr>
                <w:rFonts w:eastAsia="Times New Roman" w:cs="Calibri"/>
                <w:color w:val="000000"/>
              </w:rPr>
            </w:pPr>
            <w:r>
              <w:rPr>
                <w:rFonts w:cs="Calibri"/>
                <w:color w:val="000000"/>
              </w:rPr>
              <w:t>124,612</w:t>
            </w:r>
          </w:p>
        </w:tc>
        <w:tc>
          <w:tcPr>
            <w:tcW w:w="1721" w:type="dxa"/>
            <w:shd w:val="clear" w:color="auto" w:fill="auto"/>
            <w:vAlign w:val="center"/>
            <w:hideMark/>
          </w:tcPr>
          <w:p w:rsidR="009A4A6E" w:rsidRPr="00AD5666" w:rsidRDefault="009A4A6E" w:rsidP="00FC3001">
            <w:pPr>
              <w:jc w:val="right"/>
              <w:rPr>
                <w:rFonts w:eastAsia="Times New Roman" w:cs="Calibri"/>
                <w:color w:val="000000"/>
              </w:rPr>
            </w:pPr>
            <w:r>
              <w:rPr>
                <w:rFonts w:cs="Calibri"/>
                <w:color w:val="000000"/>
              </w:rPr>
              <w:t>43,247</w:t>
            </w:r>
          </w:p>
        </w:tc>
        <w:tc>
          <w:tcPr>
            <w:tcW w:w="1721" w:type="dxa"/>
            <w:shd w:val="clear" w:color="auto" w:fill="auto"/>
            <w:vAlign w:val="center"/>
            <w:hideMark/>
          </w:tcPr>
          <w:p w:rsidR="009A4A6E" w:rsidRPr="00AD5666" w:rsidRDefault="009A4A6E" w:rsidP="00FC3001">
            <w:pPr>
              <w:jc w:val="right"/>
              <w:rPr>
                <w:rFonts w:eastAsia="Times New Roman" w:cs="Calibri"/>
                <w:color w:val="000000"/>
              </w:rPr>
            </w:pPr>
            <w:r>
              <w:rPr>
                <w:rFonts w:cs="Calibri"/>
                <w:color w:val="000000"/>
              </w:rPr>
              <w:t>205,977</w:t>
            </w:r>
          </w:p>
        </w:tc>
      </w:tr>
      <w:tr w:rsidR="00DD5099" w:rsidRPr="00AD5666" w:rsidTr="00663DE8">
        <w:trPr>
          <w:trHeight w:val="399"/>
          <w:jc w:val="center"/>
        </w:trPr>
        <w:tc>
          <w:tcPr>
            <w:tcW w:w="1617" w:type="dxa"/>
            <w:shd w:val="clear" w:color="auto" w:fill="auto"/>
            <w:vAlign w:val="bottom"/>
          </w:tcPr>
          <w:p w:rsidR="00DD5099" w:rsidRPr="00AD5666" w:rsidRDefault="00DD5099" w:rsidP="00FC3001">
            <w:pPr>
              <w:rPr>
                <w:rFonts w:eastAsia="Times New Roman" w:cs="Calibri"/>
                <w:b/>
                <w:bCs/>
                <w:color w:val="002776"/>
              </w:rPr>
            </w:pPr>
            <w:r>
              <w:rPr>
                <w:rFonts w:eastAsia="Times New Roman" w:cs="Calibri"/>
                <w:b/>
                <w:bCs/>
                <w:color w:val="002776"/>
              </w:rPr>
              <w:t>Expansion – Refresh Group</w:t>
            </w:r>
          </w:p>
        </w:tc>
        <w:tc>
          <w:tcPr>
            <w:tcW w:w="1285" w:type="dxa"/>
            <w:shd w:val="clear" w:color="auto" w:fill="auto"/>
            <w:vAlign w:val="center"/>
          </w:tcPr>
          <w:p w:rsidR="00DD5099" w:rsidRDefault="00DD5099" w:rsidP="00FC3001">
            <w:pPr>
              <w:jc w:val="right"/>
              <w:rPr>
                <w:rFonts w:cs="Calibri"/>
                <w:color w:val="000000"/>
              </w:rPr>
            </w:pPr>
            <w:r>
              <w:rPr>
                <w:rFonts w:cs="Calibri"/>
                <w:color w:val="000000"/>
              </w:rPr>
              <w:t>Not evaluated</w:t>
            </w:r>
          </w:p>
        </w:tc>
        <w:tc>
          <w:tcPr>
            <w:tcW w:w="1492" w:type="dxa"/>
            <w:shd w:val="clear" w:color="auto" w:fill="auto"/>
            <w:vAlign w:val="center"/>
          </w:tcPr>
          <w:p w:rsidR="00DD5099" w:rsidRDefault="00DD5099" w:rsidP="00FC3001">
            <w:pPr>
              <w:jc w:val="right"/>
              <w:rPr>
                <w:rFonts w:cs="Calibri"/>
                <w:color w:val="000000"/>
              </w:rPr>
            </w:pPr>
            <w:r>
              <w:rPr>
                <w:rFonts w:cs="Calibri"/>
                <w:color w:val="000000"/>
              </w:rPr>
              <w:t>24,998</w:t>
            </w:r>
          </w:p>
        </w:tc>
        <w:tc>
          <w:tcPr>
            <w:tcW w:w="1721" w:type="dxa"/>
            <w:shd w:val="clear" w:color="auto" w:fill="auto"/>
            <w:vAlign w:val="center"/>
          </w:tcPr>
          <w:p w:rsidR="00DD5099" w:rsidRDefault="00DD5099" w:rsidP="001E3C50">
            <w:pPr>
              <w:jc w:val="center"/>
            </w:pPr>
            <w:r w:rsidRPr="00580FEA">
              <w:rPr>
                <w:rFonts w:cs="Calibri"/>
                <w:color w:val="000000"/>
              </w:rPr>
              <w:t>Not evaluated</w:t>
            </w:r>
          </w:p>
        </w:tc>
        <w:tc>
          <w:tcPr>
            <w:tcW w:w="1721" w:type="dxa"/>
            <w:shd w:val="clear" w:color="auto" w:fill="auto"/>
            <w:vAlign w:val="center"/>
          </w:tcPr>
          <w:p w:rsidR="00DD5099" w:rsidRDefault="00DD5099" w:rsidP="001E3C50">
            <w:pPr>
              <w:jc w:val="center"/>
            </w:pPr>
            <w:r w:rsidRPr="00580FEA">
              <w:rPr>
                <w:rFonts w:cs="Calibri"/>
                <w:color w:val="000000"/>
              </w:rPr>
              <w:t>Not evaluated</w:t>
            </w:r>
          </w:p>
        </w:tc>
        <w:tc>
          <w:tcPr>
            <w:tcW w:w="1721" w:type="dxa"/>
            <w:shd w:val="clear" w:color="auto" w:fill="auto"/>
            <w:vAlign w:val="center"/>
          </w:tcPr>
          <w:p w:rsidR="00DD5099" w:rsidRDefault="00DD5099" w:rsidP="001E3C50">
            <w:pPr>
              <w:jc w:val="center"/>
            </w:pPr>
            <w:r w:rsidRPr="00580FEA">
              <w:rPr>
                <w:rFonts w:cs="Calibri"/>
                <w:color w:val="000000"/>
              </w:rPr>
              <w:t>Not evaluated</w:t>
            </w:r>
          </w:p>
        </w:tc>
      </w:tr>
      <w:tr w:rsidR="009A4A6E" w:rsidRPr="00AD5666" w:rsidTr="00663DE8">
        <w:trPr>
          <w:trHeight w:val="399"/>
          <w:jc w:val="center"/>
        </w:trPr>
        <w:tc>
          <w:tcPr>
            <w:tcW w:w="1617" w:type="dxa"/>
            <w:shd w:val="clear" w:color="auto" w:fill="auto"/>
            <w:vAlign w:val="bottom"/>
            <w:hideMark/>
          </w:tcPr>
          <w:p w:rsidR="009A4A6E" w:rsidRPr="00AD5666" w:rsidRDefault="009A4A6E" w:rsidP="00FC3001">
            <w:pPr>
              <w:rPr>
                <w:rFonts w:eastAsia="Times New Roman" w:cs="Calibri"/>
                <w:b/>
                <w:bCs/>
                <w:color w:val="002776"/>
              </w:rPr>
            </w:pPr>
            <w:r w:rsidRPr="00AD5666">
              <w:rPr>
                <w:rFonts w:eastAsia="Times New Roman" w:cs="Calibri"/>
                <w:b/>
                <w:bCs/>
                <w:color w:val="002776"/>
              </w:rPr>
              <w:t>ALL</w:t>
            </w:r>
          </w:p>
        </w:tc>
        <w:tc>
          <w:tcPr>
            <w:tcW w:w="1285" w:type="dxa"/>
            <w:shd w:val="clear" w:color="auto" w:fill="auto"/>
            <w:vAlign w:val="center"/>
            <w:hideMark/>
          </w:tcPr>
          <w:p w:rsidR="009A4A6E" w:rsidRPr="00AD5666" w:rsidRDefault="009A4A6E" w:rsidP="00FC3001">
            <w:pPr>
              <w:jc w:val="right"/>
              <w:rPr>
                <w:rFonts w:eastAsia="Times New Roman" w:cs="Calibri"/>
                <w:color w:val="000000"/>
              </w:rPr>
            </w:pPr>
            <w:r>
              <w:rPr>
                <w:rFonts w:cs="Calibri"/>
                <w:color w:val="000000"/>
              </w:rPr>
              <w:t>7</w:t>
            </w:r>
          </w:p>
        </w:tc>
        <w:tc>
          <w:tcPr>
            <w:tcW w:w="1492" w:type="dxa"/>
            <w:shd w:val="clear" w:color="auto" w:fill="auto"/>
            <w:vAlign w:val="center"/>
            <w:hideMark/>
          </w:tcPr>
          <w:p w:rsidR="009A4A6E" w:rsidRPr="00AD5666" w:rsidRDefault="009A4A6E" w:rsidP="00FC3001">
            <w:pPr>
              <w:jc w:val="right"/>
              <w:rPr>
                <w:rFonts w:eastAsia="Times New Roman" w:cs="Calibri"/>
                <w:color w:val="000000"/>
              </w:rPr>
            </w:pPr>
            <w:r>
              <w:rPr>
                <w:rFonts w:cs="Calibri"/>
                <w:color w:val="000000"/>
              </w:rPr>
              <w:t>75,094</w:t>
            </w:r>
            <w:r w:rsidR="00FA0E0A">
              <w:rPr>
                <w:rFonts w:cs="Calibri"/>
                <w:color w:val="000000"/>
              </w:rPr>
              <w:t>*</w:t>
            </w:r>
          </w:p>
        </w:tc>
        <w:tc>
          <w:tcPr>
            <w:tcW w:w="1721" w:type="dxa"/>
            <w:shd w:val="clear" w:color="auto" w:fill="auto"/>
            <w:vAlign w:val="center"/>
            <w:hideMark/>
          </w:tcPr>
          <w:p w:rsidR="009A4A6E" w:rsidRPr="00AD5666" w:rsidRDefault="009A4A6E" w:rsidP="00FC3001">
            <w:pPr>
              <w:jc w:val="right"/>
              <w:rPr>
                <w:rFonts w:eastAsia="Times New Roman" w:cs="Calibri"/>
                <w:color w:val="000000"/>
              </w:rPr>
            </w:pPr>
            <w:r>
              <w:rPr>
                <w:rFonts w:cs="Calibri"/>
                <w:color w:val="000000"/>
              </w:rPr>
              <w:t>549,646</w:t>
            </w:r>
          </w:p>
        </w:tc>
        <w:tc>
          <w:tcPr>
            <w:tcW w:w="1721" w:type="dxa"/>
            <w:shd w:val="clear" w:color="auto" w:fill="auto"/>
            <w:vAlign w:val="center"/>
            <w:hideMark/>
          </w:tcPr>
          <w:p w:rsidR="009A4A6E" w:rsidRPr="00AD5666" w:rsidRDefault="009A4A6E" w:rsidP="00FC3001">
            <w:pPr>
              <w:jc w:val="right"/>
              <w:rPr>
                <w:rFonts w:eastAsia="Times New Roman" w:cs="Calibri"/>
                <w:color w:val="000000"/>
              </w:rPr>
            </w:pPr>
            <w:r>
              <w:rPr>
                <w:rFonts w:cs="Calibri"/>
                <w:color w:val="000000"/>
              </w:rPr>
              <w:t>379,297</w:t>
            </w:r>
          </w:p>
        </w:tc>
        <w:tc>
          <w:tcPr>
            <w:tcW w:w="1721" w:type="dxa"/>
            <w:shd w:val="clear" w:color="auto" w:fill="auto"/>
            <w:vAlign w:val="center"/>
            <w:hideMark/>
          </w:tcPr>
          <w:p w:rsidR="009A4A6E" w:rsidRPr="00AD5666" w:rsidRDefault="009A4A6E" w:rsidP="00FC3001">
            <w:pPr>
              <w:jc w:val="right"/>
              <w:rPr>
                <w:rFonts w:eastAsia="Times New Roman" w:cs="Calibri"/>
                <w:color w:val="000000"/>
              </w:rPr>
            </w:pPr>
            <w:r>
              <w:rPr>
                <w:rFonts w:cs="Calibri"/>
                <w:color w:val="000000"/>
              </w:rPr>
              <w:t>719,996</w:t>
            </w:r>
          </w:p>
        </w:tc>
      </w:tr>
    </w:tbl>
    <w:p w:rsidR="00FA0E0A" w:rsidRPr="00FA0E0A" w:rsidRDefault="00FA0E0A" w:rsidP="00FA0E0A">
      <w:pPr>
        <w:pStyle w:val="BodyText"/>
        <w:rPr>
          <w:i/>
          <w:iCs/>
        </w:rPr>
      </w:pPr>
      <w:r w:rsidRPr="00FA0E0A">
        <w:rPr>
          <w:i/>
          <w:iCs/>
        </w:rPr>
        <w:t>*Total number of treatment excludes Expansion – Refresh Group</w:t>
      </w:r>
      <w:r w:rsidR="00422161">
        <w:rPr>
          <w:i/>
          <w:iCs/>
        </w:rPr>
        <w:t>, which was added in May 2015</w:t>
      </w:r>
      <w:r w:rsidR="00422161" w:rsidRPr="00FA0E0A">
        <w:rPr>
          <w:i/>
          <w:iCs/>
        </w:rPr>
        <w:t>.</w:t>
      </w:r>
    </w:p>
    <w:p w:rsidR="00B31EF0" w:rsidRPr="00B31EF0" w:rsidRDefault="002206DE" w:rsidP="00B31EF0">
      <w:pPr>
        <w:pStyle w:val="BodyText"/>
      </w:pPr>
      <w:r>
        <w:br/>
      </w:r>
      <w:r w:rsidR="00943B9B">
        <w:t xml:space="preserve">The summary of </w:t>
      </w:r>
      <w:r w:rsidR="00793E4F">
        <w:t xml:space="preserve">measured savings and joint savings </w:t>
      </w:r>
      <w:r w:rsidR="00943B9B">
        <w:t xml:space="preserve">results for Legacy and Expansion programs are presented in </w:t>
      </w:r>
      <w:r w:rsidR="00943B9B">
        <w:fldChar w:fldCharType="begin"/>
      </w:r>
      <w:r w:rsidR="00943B9B">
        <w:instrText xml:space="preserve"> REF _Ref351715347 \h  \* MERGEFORMAT </w:instrText>
      </w:r>
      <w:r w:rsidR="00943B9B">
        <w:fldChar w:fldCharType="separate"/>
      </w:r>
      <w:r w:rsidR="00B31EF0">
        <w:br w:type="page"/>
      </w:r>
    </w:p>
    <w:p w:rsidR="00B31EF0" w:rsidRDefault="00B31EF0" w:rsidP="00943B9B">
      <w:pPr>
        <w:pStyle w:val="Caption"/>
        <w:jc w:val="center"/>
      </w:pPr>
      <w:r w:rsidRPr="00B31EF0">
        <w:rPr>
          <w:rFonts w:ascii="Arial" w:hAnsi="Arial" w:cs="Arial"/>
          <w:noProof/>
        </w:rPr>
        <w:lastRenderedPageBreak/>
        <w:t>Table</w:t>
      </w:r>
      <w:r>
        <w:rPr>
          <w:noProof/>
        </w:rPr>
        <w:t xml:space="preserve"> 0</w:t>
      </w:r>
      <w:r>
        <w:rPr>
          <w:noProof/>
        </w:rPr>
        <w:noBreakHyphen/>
        <w:t>3</w:t>
      </w:r>
      <w:r w:rsidR="00943B9B">
        <w:fldChar w:fldCharType="end"/>
      </w:r>
      <w:r w:rsidR="00943B9B">
        <w:t xml:space="preserve"> and </w:t>
      </w:r>
      <w:r w:rsidR="00943B9B">
        <w:fldChar w:fldCharType="begin"/>
      </w:r>
      <w:r w:rsidR="00943B9B">
        <w:instrText xml:space="preserve"> REF _Ref421179143 \h </w:instrText>
      </w:r>
      <w:r w:rsidR="00943B9B">
        <w:fldChar w:fldCharType="separate"/>
      </w:r>
    </w:p>
    <w:p w:rsidR="00943B9B" w:rsidRDefault="00B31EF0" w:rsidP="00EB6619">
      <w:pPr>
        <w:pStyle w:val="BodyText"/>
      </w:pPr>
      <w:proofErr w:type="gramStart"/>
      <w:r>
        <w:t xml:space="preserve">Table </w:t>
      </w:r>
      <w:r>
        <w:rPr>
          <w:noProof/>
        </w:rPr>
        <w:t>0</w:t>
      </w:r>
      <w:r>
        <w:noBreakHyphen/>
      </w:r>
      <w:r>
        <w:rPr>
          <w:noProof/>
        </w:rPr>
        <w:t>4</w:t>
      </w:r>
      <w:r w:rsidR="00943B9B">
        <w:fldChar w:fldCharType="end"/>
      </w:r>
      <w:r w:rsidR="00943B9B">
        <w:t>, respectively.</w:t>
      </w:r>
      <w:proofErr w:type="gramEnd"/>
      <w:r w:rsidR="00943B9B">
        <w:t xml:space="preserve"> </w:t>
      </w:r>
      <w:r w:rsidR="00EB6619">
        <w:t>As previously mentioned, estimates from upstream joint savings are not yet available. DNV GL applied another 5% reduction in program savings after deducting joint savings estimates from downstream program</w:t>
      </w:r>
      <w:r w:rsidR="003F306B">
        <w:t>s</w:t>
      </w:r>
      <w:r w:rsidR="00EB6619">
        <w:t xml:space="preserve"> to provide a conservative estimate of </w:t>
      </w:r>
      <w:r w:rsidR="00422161">
        <w:t xml:space="preserve">upstream joint </w:t>
      </w:r>
      <w:r w:rsidR="00EB6619">
        <w:t xml:space="preserve">savings. </w:t>
      </w:r>
      <w:r w:rsidR="00943B9B">
        <w:t xml:space="preserve">All treatment groups produced statistically significant electric and gas savings in 2015 </w:t>
      </w:r>
      <w:r w:rsidR="0069213C">
        <w:t>for both Legacy and Expansion programs</w:t>
      </w:r>
      <w:r w:rsidR="00943B9B">
        <w:t xml:space="preserve">. </w:t>
      </w:r>
    </w:p>
    <w:p w:rsidR="00EB6619" w:rsidRDefault="00EB6619">
      <w:pPr>
        <w:spacing w:after="200" w:line="276" w:lineRule="auto"/>
        <w:rPr>
          <w:b/>
        </w:rPr>
      </w:pPr>
      <w:bookmarkStart w:id="9" w:name="_Ref384987091"/>
      <w:bookmarkStart w:id="10" w:name="_Ref351715347"/>
      <w:bookmarkStart w:id="11" w:name="_Toc351733960"/>
      <w:bookmarkStart w:id="12" w:name="_Toc385430839"/>
      <w:r>
        <w:br w:type="page"/>
      </w:r>
    </w:p>
    <w:p w:rsidR="00943B9B" w:rsidRDefault="00943B9B" w:rsidP="00943B9B">
      <w:pPr>
        <w:pStyle w:val="Caption"/>
        <w:keepNext/>
        <w:jc w:val="center"/>
      </w:pPr>
      <w:r>
        <w:lastRenderedPageBreak/>
        <w:t xml:space="preserve">Table </w:t>
      </w:r>
      <w:r>
        <w:fldChar w:fldCharType="begin"/>
      </w:r>
      <w:r>
        <w:instrText xml:space="preserve"> STYLEREF 1 \s </w:instrText>
      </w:r>
      <w:r>
        <w:fldChar w:fldCharType="separate"/>
      </w:r>
      <w:r w:rsidR="00B31EF0">
        <w:rPr>
          <w:noProof/>
        </w:rPr>
        <w:t>0</w:t>
      </w:r>
      <w:r>
        <w:rPr>
          <w:noProof/>
        </w:rPr>
        <w:fldChar w:fldCharType="end"/>
      </w:r>
      <w:r>
        <w:noBreakHyphen/>
      </w:r>
      <w:r>
        <w:fldChar w:fldCharType="begin"/>
      </w:r>
      <w:r>
        <w:instrText xml:space="preserve"> SEQ Table \* ARABIC \s 1 </w:instrText>
      </w:r>
      <w:r>
        <w:fldChar w:fldCharType="separate"/>
      </w:r>
      <w:r w:rsidR="00B31EF0">
        <w:rPr>
          <w:noProof/>
        </w:rPr>
        <w:t>3</w:t>
      </w:r>
      <w:r>
        <w:rPr>
          <w:noProof/>
        </w:rPr>
        <w:fldChar w:fldCharType="end"/>
      </w:r>
      <w:bookmarkEnd w:id="9"/>
      <w:bookmarkEnd w:id="10"/>
      <w:r>
        <w:t xml:space="preserve">: Summary of Annual Savings for PSE HER </w:t>
      </w:r>
      <w:bookmarkEnd w:id="11"/>
      <w:r>
        <w:t>Legacy 201</w:t>
      </w:r>
      <w:bookmarkEnd w:id="12"/>
      <w:r>
        <w:t>4</w:t>
      </w:r>
    </w:p>
    <w:tbl>
      <w:tblPr>
        <w:tblW w:w="9607"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645"/>
        <w:gridCol w:w="1485"/>
        <w:gridCol w:w="1978"/>
        <w:gridCol w:w="1884"/>
        <w:gridCol w:w="2130"/>
      </w:tblGrid>
      <w:tr w:rsidR="00DD5099" w:rsidRPr="005E76D2" w:rsidTr="00DD5099">
        <w:trPr>
          <w:trHeight w:val="699"/>
          <w:jc w:val="center"/>
        </w:trPr>
        <w:tc>
          <w:tcPr>
            <w:tcW w:w="1485" w:type="dxa"/>
            <w:shd w:val="clear" w:color="000000" w:fill="003591"/>
            <w:vAlign w:val="center"/>
            <w:hideMark/>
          </w:tcPr>
          <w:p w:rsidR="00DD5099" w:rsidRPr="005E76D2" w:rsidRDefault="00DD5099" w:rsidP="00FC3001">
            <w:pPr>
              <w:jc w:val="center"/>
              <w:rPr>
                <w:rFonts w:eastAsia="Times New Roman" w:cs="Times New Roman"/>
                <w:b/>
                <w:bCs/>
                <w:color w:val="FFFFFF"/>
              </w:rPr>
            </w:pPr>
            <w:r w:rsidRPr="005E76D2">
              <w:rPr>
                <w:rFonts w:eastAsia="Times New Roman" w:cs="Times New Roman"/>
                <w:b/>
                <w:bCs/>
                <w:color w:val="FFFFFF"/>
              </w:rPr>
              <w:t>Treatment Groups</w:t>
            </w:r>
          </w:p>
        </w:tc>
        <w:tc>
          <w:tcPr>
            <w:tcW w:w="2130" w:type="dxa"/>
            <w:gridSpan w:val="2"/>
            <w:shd w:val="clear" w:color="000000" w:fill="003591"/>
            <w:vAlign w:val="center"/>
            <w:hideMark/>
          </w:tcPr>
          <w:p w:rsidR="00DD5099" w:rsidRDefault="00DD5099" w:rsidP="00FC3001">
            <w:pPr>
              <w:jc w:val="center"/>
              <w:rPr>
                <w:rFonts w:eastAsia="Times New Roman" w:cs="Times New Roman"/>
                <w:b/>
                <w:bCs/>
                <w:color w:val="FFFFFF"/>
              </w:rPr>
            </w:pPr>
            <w:r w:rsidRPr="005E76D2">
              <w:rPr>
                <w:rFonts w:eastAsia="Times New Roman" w:cs="Times New Roman"/>
                <w:b/>
                <w:bCs/>
                <w:color w:val="FFFFFF"/>
              </w:rPr>
              <w:t xml:space="preserve">HER Measured Savings </w:t>
            </w:r>
          </w:p>
          <w:p w:rsidR="00DD5099" w:rsidRPr="005E76D2" w:rsidRDefault="00DD5099" w:rsidP="00FC3001">
            <w:pPr>
              <w:jc w:val="center"/>
              <w:rPr>
                <w:rFonts w:eastAsia="Times New Roman" w:cs="Times New Roman"/>
                <w:b/>
                <w:bCs/>
                <w:color w:val="FFFFFF"/>
              </w:rPr>
            </w:pPr>
            <w:r>
              <w:rPr>
                <w:rFonts w:eastAsia="Times New Roman" w:cs="Times New Roman"/>
                <w:b/>
                <w:bCs/>
                <w:color w:val="FFFFFF"/>
              </w:rPr>
              <w:t>(p</w:t>
            </w:r>
            <w:r w:rsidRPr="005E76D2">
              <w:rPr>
                <w:rFonts w:eastAsia="Times New Roman" w:cs="Times New Roman"/>
                <w:b/>
                <w:bCs/>
                <w:color w:val="FFFFFF"/>
              </w:rPr>
              <w:t xml:space="preserve">er </w:t>
            </w:r>
            <w:r>
              <w:rPr>
                <w:rFonts w:eastAsia="Times New Roman" w:cs="Times New Roman"/>
                <w:b/>
                <w:bCs/>
                <w:color w:val="FFFFFF"/>
              </w:rPr>
              <w:t>h</w:t>
            </w:r>
            <w:r w:rsidRPr="005E76D2">
              <w:rPr>
                <w:rFonts w:eastAsia="Times New Roman" w:cs="Times New Roman"/>
                <w:b/>
                <w:bCs/>
                <w:color w:val="FFFFFF"/>
              </w:rPr>
              <w:t>ousehold)</w:t>
            </w:r>
          </w:p>
          <w:p w:rsidR="00DD5099" w:rsidRPr="005E76D2" w:rsidRDefault="00DD5099" w:rsidP="00FC3001">
            <w:pPr>
              <w:jc w:val="center"/>
              <w:rPr>
                <w:rFonts w:eastAsia="Times New Roman" w:cs="Times New Roman"/>
                <w:b/>
                <w:bCs/>
                <w:color w:val="FFFFFF"/>
              </w:rPr>
            </w:pPr>
          </w:p>
        </w:tc>
        <w:tc>
          <w:tcPr>
            <w:tcW w:w="1978" w:type="dxa"/>
            <w:shd w:val="clear" w:color="000000" w:fill="003591"/>
            <w:vAlign w:val="center"/>
            <w:hideMark/>
          </w:tcPr>
          <w:p w:rsidR="00EB6619" w:rsidRDefault="00DD5099" w:rsidP="00FC3001">
            <w:pPr>
              <w:jc w:val="center"/>
              <w:rPr>
                <w:rFonts w:eastAsia="Times New Roman" w:cs="Times New Roman"/>
                <w:b/>
                <w:bCs/>
                <w:color w:val="FFFFFF"/>
              </w:rPr>
            </w:pPr>
            <w:r w:rsidRPr="005E76D2">
              <w:rPr>
                <w:rFonts w:eastAsia="Times New Roman" w:cs="Times New Roman"/>
                <w:b/>
                <w:bCs/>
                <w:color w:val="FFFFFF"/>
              </w:rPr>
              <w:t xml:space="preserve">Joint Savings </w:t>
            </w:r>
            <w:r w:rsidR="00EB6619">
              <w:rPr>
                <w:rFonts w:eastAsia="Times New Roman" w:cs="Times New Roman"/>
                <w:b/>
                <w:bCs/>
                <w:color w:val="FFFFFF"/>
              </w:rPr>
              <w:t>– Downstream</w:t>
            </w:r>
          </w:p>
          <w:p w:rsidR="00DD5099" w:rsidRPr="005E76D2" w:rsidRDefault="00DD5099" w:rsidP="00FC3001">
            <w:pPr>
              <w:jc w:val="center"/>
              <w:rPr>
                <w:rFonts w:eastAsia="Times New Roman" w:cs="Times New Roman"/>
                <w:b/>
                <w:bCs/>
                <w:color w:val="FFFFFF"/>
              </w:rPr>
            </w:pPr>
            <w:r w:rsidRPr="005E76D2">
              <w:rPr>
                <w:rFonts w:eastAsia="Times New Roman" w:cs="Times New Roman"/>
                <w:b/>
                <w:bCs/>
                <w:color w:val="FFFFFF"/>
              </w:rPr>
              <w:t>(</w:t>
            </w:r>
            <w:r>
              <w:rPr>
                <w:rFonts w:eastAsia="Times New Roman" w:cs="Times New Roman"/>
                <w:b/>
                <w:bCs/>
                <w:color w:val="FFFFFF"/>
              </w:rPr>
              <w:t>p</w:t>
            </w:r>
            <w:r w:rsidRPr="005E76D2">
              <w:rPr>
                <w:rFonts w:eastAsia="Times New Roman" w:cs="Times New Roman"/>
                <w:b/>
                <w:bCs/>
                <w:color w:val="FFFFFF"/>
              </w:rPr>
              <w:t xml:space="preserve">er </w:t>
            </w:r>
            <w:r>
              <w:rPr>
                <w:rFonts w:eastAsia="Times New Roman" w:cs="Times New Roman"/>
                <w:b/>
                <w:bCs/>
                <w:color w:val="FFFFFF"/>
              </w:rPr>
              <w:t>h</w:t>
            </w:r>
            <w:r w:rsidRPr="005E76D2">
              <w:rPr>
                <w:rFonts w:eastAsia="Times New Roman" w:cs="Times New Roman"/>
                <w:b/>
                <w:bCs/>
                <w:color w:val="FFFFFF"/>
              </w:rPr>
              <w:t>ousehold)</w:t>
            </w:r>
          </w:p>
          <w:p w:rsidR="00DD5099" w:rsidRPr="005E76D2" w:rsidRDefault="00DD5099" w:rsidP="00FC3001">
            <w:pPr>
              <w:jc w:val="center"/>
              <w:rPr>
                <w:rFonts w:eastAsia="Times New Roman" w:cs="Times New Roman"/>
                <w:b/>
                <w:bCs/>
                <w:color w:val="FFFFFF"/>
              </w:rPr>
            </w:pPr>
          </w:p>
        </w:tc>
        <w:tc>
          <w:tcPr>
            <w:tcW w:w="1884" w:type="dxa"/>
            <w:shd w:val="clear" w:color="000000" w:fill="003591"/>
            <w:vAlign w:val="center"/>
          </w:tcPr>
          <w:p w:rsidR="00DD5099" w:rsidRPr="005E76D2" w:rsidRDefault="00DD5099" w:rsidP="00DD5099">
            <w:pPr>
              <w:jc w:val="center"/>
              <w:rPr>
                <w:rFonts w:eastAsia="Times New Roman" w:cs="Times New Roman"/>
                <w:b/>
                <w:bCs/>
                <w:color w:val="FFFFFF"/>
              </w:rPr>
            </w:pPr>
            <w:r>
              <w:rPr>
                <w:rFonts w:eastAsia="Times New Roman" w:cs="Times New Roman"/>
                <w:b/>
                <w:bCs/>
                <w:color w:val="FFFFFF"/>
              </w:rPr>
              <w:t>5% Adjustment (per household)</w:t>
            </w:r>
          </w:p>
        </w:tc>
        <w:tc>
          <w:tcPr>
            <w:tcW w:w="2130" w:type="dxa"/>
            <w:shd w:val="clear" w:color="000000" w:fill="003591"/>
            <w:vAlign w:val="center"/>
            <w:hideMark/>
          </w:tcPr>
          <w:p w:rsidR="00DD5099" w:rsidRDefault="00DD5099" w:rsidP="00FC3001">
            <w:pPr>
              <w:jc w:val="center"/>
              <w:rPr>
                <w:rFonts w:eastAsia="Times New Roman" w:cs="Times New Roman"/>
                <w:b/>
                <w:bCs/>
                <w:color w:val="FFFFFF"/>
              </w:rPr>
            </w:pPr>
            <w:r w:rsidRPr="005E76D2">
              <w:rPr>
                <w:rFonts w:eastAsia="Times New Roman" w:cs="Times New Roman"/>
                <w:b/>
                <w:bCs/>
                <w:color w:val="FFFFFF"/>
              </w:rPr>
              <w:t>Credited Savings</w:t>
            </w:r>
            <w:r>
              <w:rPr>
                <w:rFonts w:eastAsia="Times New Roman" w:cs="Times New Roman"/>
                <w:b/>
                <w:bCs/>
                <w:color w:val="FFFFFF"/>
              </w:rPr>
              <w:t xml:space="preserve"> </w:t>
            </w:r>
          </w:p>
          <w:p w:rsidR="00DD5099" w:rsidRPr="005E76D2" w:rsidRDefault="00DD5099" w:rsidP="00FC3001">
            <w:pPr>
              <w:jc w:val="center"/>
              <w:rPr>
                <w:rFonts w:eastAsia="Times New Roman" w:cs="Times New Roman"/>
                <w:b/>
                <w:bCs/>
                <w:color w:val="FFFFFF"/>
              </w:rPr>
            </w:pPr>
            <w:r w:rsidRPr="005E76D2">
              <w:rPr>
                <w:rFonts w:eastAsia="Times New Roman" w:cs="Times New Roman"/>
                <w:b/>
                <w:bCs/>
                <w:color w:val="FFFFFF"/>
              </w:rPr>
              <w:t>(</w:t>
            </w:r>
            <w:r>
              <w:rPr>
                <w:rFonts w:eastAsia="Times New Roman" w:cs="Times New Roman"/>
                <w:b/>
                <w:bCs/>
                <w:color w:val="FFFFFF"/>
              </w:rPr>
              <w:t>p</w:t>
            </w:r>
            <w:r w:rsidRPr="005E76D2">
              <w:rPr>
                <w:rFonts w:eastAsia="Times New Roman" w:cs="Times New Roman"/>
                <w:b/>
                <w:bCs/>
                <w:color w:val="FFFFFF"/>
              </w:rPr>
              <w:t xml:space="preserve">er </w:t>
            </w:r>
            <w:r>
              <w:rPr>
                <w:rFonts w:eastAsia="Times New Roman" w:cs="Times New Roman"/>
                <w:b/>
                <w:bCs/>
                <w:color w:val="FFFFFF"/>
              </w:rPr>
              <w:t>h</w:t>
            </w:r>
            <w:r w:rsidRPr="005E76D2">
              <w:rPr>
                <w:rFonts w:eastAsia="Times New Roman" w:cs="Times New Roman"/>
                <w:b/>
                <w:bCs/>
                <w:color w:val="FFFFFF"/>
              </w:rPr>
              <w:t>ousehold)</w:t>
            </w:r>
          </w:p>
          <w:p w:rsidR="00DD5099" w:rsidRPr="005E76D2" w:rsidRDefault="00DD5099" w:rsidP="00FC3001">
            <w:pPr>
              <w:jc w:val="center"/>
              <w:rPr>
                <w:rFonts w:eastAsia="Times New Roman" w:cs="Times New Roman"/>
                <w:b/>
                <w:bCs/>
                <w:color w:val="FFFFFF"/>
              </w:rPr>
            </w:pPr>
          </w:p>
        </w:tc>
      </w:tr>
      <w:tr w:rsidR="00DD5099" w:rsidRPr="005E76D2" w:rsidTr="00DD5099">
        <w:trPr>
          <w:trHeight w:val="300"/>
          <w:jc w:val="center"/>
        </w:trPr>
        <w:tc>
          <w:tcPr>
            <w:tcW w:w="2130" w:type="dxa"/>
            <w:gridSpan w:val="2"/>
          </w:tcPr>
          <w:p w:rsidR="00DD5099" w:rsidRPr="005E76D2" w:rsidRDefault="00DD5099" w:rsidP="00FC3001">
            <w:pPr>
              <w:jc w:val="center"/>
              <w:rPr>
                <w:rFonts w:eastAsia="Times New Roman" w:cs="Times New Roman"/>
                <w:b/>
                <w:bCs/>
                <w:color w:val="002776"/>
              </w:rPr>
            </w:pPr>
          </w:p>
        </w:tc>
        <w:tc>
          <w:tcPr>
            <w:tcW w:w="7477" w:type="dxa"/>
            <w:gridSpan w:val="4"/>
            <w:shd w:val="clear" w:color="auto" w:fill="auto"/>
            <w:vAlign w:val="center"/>
            <w:hideMark/>
          </w:tcPr>
          <w:p w:rsidR="00DD5099" w:rsidRPr="005E76D2" w:rsidRDefault="00DD5099" w:rsidP="00FC3001">
            <w:pPr>
              <w:jc w:val="center"/>
              <w:rPr>
                <w:rFonts w:eastAsia="Times New Roman" w:cs="Times New Roman"/>
                <w:b/>
                <w:bCs/>
                <w:color w:val="002776"/>
              </w:rPr>
            </w:pPr>
            <w:r w:rsidRPr="005E76D2">
              <w:rPr>
                <w:rFonts w:eastAsia="Times New Roman" w:cs="Times New Roman"/>
                <w:b/>
                <w:bCs/>
                <w:color w:val="002776"/>
              </w:rPr>
              <w:t>Electric (kWh)</w:t>
            </w:r>
          </w:p>
        </w:tc>
      </w:tr>
      <w:tr w:rsidR="00DD5099" w:rsidRPr="005E76D2" w:rsidTr="00091E84">
        <w:trPr>
          <w:trHeight w:val="465"/>
          <w:jc w:val="center"/>
        </w:trPr>
        <w:tc>
          <w:tcPr>
            <w:tcW w:w="1485" w:type="dxa"/>
            <w:shd w:val="clear" w:color="auto" w:fill="auto"/>
            <w:vAlign w:val="center"/>
            <w:hideMark/>
          </w:tcPr>
          <w:p w:rsidR="00DD5099" w:rsidRPr="005E76D2" w:rsidRDefault="00DD5099" w:rsidP="00FC3001">
            <w:pPr>
              <w:rPr>
                <w:rFonts w:eastAsia="Times New Roman" w:cs="Times New Roman"/>
                <w:b/>
                <w:bCs/>
                <w:color w:val="002776"/>
              </w:rPr>
            </w:pPr>
            <w:r w:rsidRPr="005E76D2">
              <w:rPr>
                <w:rFonts w:eastAsia="Times New Roman" w:cs="Times New Roman"/>
                <w:b/>
                <w:bCs/>
                <w:color w:val="002776"/>
              </w:rPr>
              <w:t>Current</w:t>
            </w:r>
          </w:p>
        </w:tc>
        <w:tc>
          <w:tcPr>
            <w:tcW w:w="2130" w:type="dxa"/>
            <w:gridSpan w:val="2"/>
            <w:shd w:val="clear" w:color="auto" w:fill="auto"/>
            <w:vAlign w:val="center"/>
            <w:hideMark/>
          </w:tcPr>
          <w:p w:rsidR="00DD5099" w:rsidRPr="005E76D2" w:rsidRDefault="00DD5099" w:rsidP="00FC3001">
            <w:pPr>
              <w:jc w:val="center"/>
              <w:rPr>
                <w:rFonts w:eastAsia="Times New Roman" w:cs="Times New Roman"/>
                <w:color w:val="000000"/>
              </w:rPr>
            </w:pPr>
            <w:r>
              <w:rPr>
                <w:rFonts w:cs="Calibri"/>
                <w:color w:val="000000"/>
              </w:rPr>
              <w:t>306.2* (245.2,367.2)</w:t>
            </w:r>
          </w:p>
        </w:tc>
        <w:tc>
          <w:tcPr>
            <w:tcW w:w="1978" w:type="dxa"/>
            <w:shd w:val="clear" w:color="auto" w:fill="auto"/>
            <w:vAlign w:val="center"/>
            <w:hideMark/>
          </w:tcPr>
          <w:p w:rsidR="00DD5099" w:rsidRDefault="00DD5099" w:rsidP="00FC3001">
            <w:pPr>
              <w:jc w:val="center"/>
              <w:rPr>
                <w:rFonts w:cs="Calibri"/>
                <w:color w:val="000000"/>
              </w:rPr>
            </w:pPr>
            <w:r>
              <w:rPr>
                <w:rFonts w:cs="Calibri"/>
                <w:color w:val="000000"/>
              </w:rPr>
              <w:t xml:space="preserve">6.2* </w:t>
            </w:r>
          </w:p>
          <w:p w:rsidR="00DD5099" w:rsidRPr="005E76D2" w:rsidRDefault="00DD5099" w:rsidP="00FC3001">
            <w:pPr>
              <w:jc w:val="center"/>
              <w:rPr>
                <w:rFonts w:eastAsia="Times New Roman" w:cs="Times New Roman"/>
                <w:color w:val="000000"/>
              </w:rPr>
            </w:pPr>
            <w:r>
              <w:rPr>
                <w:rFonts w:cs="Calibri"/>
                <w:color w:val="000000"/>
              </w:rPr>
              <w:t>(0.7,11.7)</w:t>
            </w:r>
          </w:p>
        </w:tc>
        <w:tc>
          <w:tcPr>
            <w:tcW w:w="1884" w:type="dxa"/>
            <w:vAlign w:val="bottom"/>
          </w:tcPr>
          <w:p w:rsidR="00DD5099" w:rsidRPr="00AF0BB5" w:rsidRDefault="00DD5099">
            <w:pPr>
              <w:jc w:val="center"/>
              <w:rPr>
                <w:rFonts w:cs="Calibri"/>
                <w:color w:val="000000"/>
              </w:rPr>
            </w:pPr>
            <w:r w:rsidRPr="00AF0BB5">
              <w:rPr>
                <w:rFonts w:cs="Calibri"/>
                <w:color w:val="000000"/>
              </w:rPr>
              <w:t xml:space="preserve">                               15.0 </w:t>
            </w:r>
          </w:p>
        </w:tc>
        <w:tc>
          <w:tcPr>
            <w:tcW w:w="2130" w:type="dxa"/>
            <w:shd w:val="clear" w:color="auto" w:fill="auto"/>
            <w:vAlign w:val="center"/>
            <w:hideMark/>
          </w:tcPr>
          <w:p w:rsidR="00DD5099" w:rsidRPr="005B3559" w:rsidRDefault="00DD5099" w:rsidP="00663DE8">
            <w:pPr>
              <w:jc w:val="center"/>
              <w:rPr>
                <w:color w:val="000000"/>
              </w:rPr>
            </w:pPr>
            <w:r>
              <w:rPr>
                <w:rFonts w:cs="Calibri"/>
                <w:color w:val="000000"/>
              </w:rPr>
              <w:t>285.0* (226.9,343.2)</w:t>
            </w:r>
          </w:p>
        </w:tc>
      </w:tr>
      <w:tr w:rsidR="00DD5099" w:rsidRPr="005E76D2" w:rsidTr="00091E84">
        <w:trPr>
          <w:trHeight w:val="465"/>
          <w:jc w:val="center"/>
        </w:trPr>
        <w:tc>
          <w:tcPr>
            <w:tcW w:w="1485" w:type="dxa"/>
            <w:shd w:val="clear" w:color="auto" w:fill="auto"/>
            <w:vAlign w:val="center"/>
            <w:hideMark/>
          </w:tcPr>
          <w:p w:rsidR="00DD5099" w:rsidRPr="005E76D2" w:rsidRDefault="00DD5099" w:rsidP="00FC3001">
            <w:pPr>
              <w:rPr>
                <w:rFonts w:eastAsia="Times New Roman" w:cs="Times New Roman"/>
                <w:b/>
                <w:bCs/>
                <w:color w:val="002776"/>
              </w:rPr>
            </w:pPr>
            <w:r w:rsidRPr="005E76D2">
              <w:rPr>
                <w:rFonts w:eastAsia="Times New Roman" w:cs="Times New Roman"/>
                <w:b/>
                <w:bCs/>
                <w:color w:val="002776"/>
              </w:rPr>
              <w:t>Suspended</w:t>
            </w:r>
          </w:p>
        </w:tc>
        <w:tc>
          <w:tcPr>
            <w:tcW w:w="2130" w:type="dxa"/>
            <w:gridSpan w:val="2"/>
            <w:shd w:val="clear" w:color="auto" w:fill="auto"/>
            <w:vAlign w:val="center"/>
            <w:hideMark/>
          </w:tcPr>
          <w:p w:rsidR="00DD5099" w:rsidRDefault="00DD5099" w:rsidP="00FC3001">
            <w:pPr>
              <w:jc w:val="center"/>
              <w:rPr>
                <w:rFonts w:cs="Calibri"/>
                <w:color w:val="000000"/>
              </w:rPr>
            </w:pPr>
            <w:r>
              <w:rPr>
                <w:rFonts w:cs="Calibri"/>
                <w:color w:val="000000"/>
              </w:rPr>
              <w:t xml:space="preserve">101.5* </w:t>
            </w:r>
          </w:p>
          <w:p w:rsidR="00DD5099" w:rsidRPr="005E76D2" w:rsidRDefault="00DD5099" w:rsidP="00FC3001">
            <w:pPr>
              <w:jc w:val="center"/>
              <w:rPr>
                <w:rFonts w:eastAsia="Times New Roman" w:cs="Times New Roman"/>
                <w:color w:val="000000"/>
              </w:rPr>
            </w:pPr>
            <w:r>
              <w:rPr>
                <w:rFonts w:cs="Calibri"/>
                <w:color w:val="000000"/>
              </w:rPr>
              <w:t>(21.0,181.9)</w:t>
            </w:r>
          </w:p>
        </w:tc>
        <w:tc>
          <w:tcPr>
            <w:tcW w:w="1978" w:type="dxa"/>
            <w:shd w:val="clear" w:color="auto" w:fill="auto"/>
            <w:vAlign w:val="center"/>
            <w:hideMark/>
          </w:tcPr>
          <w:p w:rsidR="00DD5099" w:rsidRDefault="00DD5099" w:rsidP="00FC3001">
            <w:pPr>
              <w:jc w:val="center"/>
              <w:rPr>
                <w:rFonts w:cs="Calibri"/>
                <w:color w:val="000000"/>
              </w:rPr>
            </w:pPr>
            <w:r>
              <w:rPr>
                <w:rFonts w:cs="Calibri"/>
                <w:color w:val="000000"/>
              </w:rPr>
              <w:t xml:space="preserve">5.0 </w:t>
            </w:r>
          </w:p>
          <w:p w:rsidR="00DD5099" w:rsidRPr="005E76D2" w:rsidRDefault="00DD5099" w:rsidP="00FC3001">
            <w:pPr>
              <w:jc w:val="center"/>
              <w:rPr>
                <w:rFonts w:eastAsia="Times New Roman" w:cs="Times New Roman"/>
                <w:color w:val="000000"/>
              </w:rPr>
            </w:pPr>
            <w:r>
              <w:rPr>
                <w:rFonts w:cs="Calibri"/>
                <w:color w:val="000000"/>
              </w:rPr>
              <w:t>(-2.5,12.5)</w:t>
            </w:r>
          </w:p>
        </w:tc>
        <w:tc>
          <w:tcPr>
            <w:tcW w:w="1884" w:type="dxa"/>
            <w:vAlign w:val="bottom"/>
          </w:tcPr>
          <w:p w:rsidR="00DD5099" w:rsidRPr="00AF0BB5" w:rsidRDefault="00DD5099">
            <w:pPr>
              <w:jc w:val="center"/>
              <w:rPr>
                <w:rFonts w:cs="Calibri"/>
                <w:color w:val="000000"/>
              </w:rPr>
            </w:pPr>
            <w:r w:rsidRPr="00AF0BB5">
              <w:rPr>
                <w:rFonts w:cs="Calibri"/>
                <w:color w:val="000000"/>
              </w:rPr>
              <w:t xml:space="preserve">                                 4.8 </w:t>
            </w:r>
          </w:p>
        </w:tc>
        <w:tc>
          <w:tcPr>
            <w:tcW w:w="2130" w:type="dxa"/>
            <w:shd w:val="clear" w:color="auto" w:fill="auto"/>
            <w:vAlign w:val="center"/>
            <w:hideMark/>
          </w:tcPr>
          <w:p w:rsidR="00DD5099" w:rsidRDefault="00DD5099" w:rsidP="00E60A20">
            <w:pPr>
              <w:jc w:val="center"/>
              <w:rPr>
                <w:rFonts w:cs="Calibri"/>
                <w:color w:val="000000"/>
              </w:rPr>
            </w:pPr>
            <w:r>
              <w:rPr>
                <w:rFonts w:cs="Calibri"/>
                <w:color w:val="000000"/>
              </w:rPr>
              <w:t xml:space="preserve">91.6* </w:t>
            </w:r>
          </w:p>
          <w:p w:rsidR="00DD5099" w:rsidRPr="005E76D2" w:rsidRDefault="00DD5099" w:rsidP="00663DE8">
            <w:pPr>
              <w:jc w:val="center"/>
              <w:rPr>
                <w:rFonts w:eastAsia="Times New Roman" w:cs="Times New Roman"/>
                <w:color w:val="000000"/>
              </w:rPr>
            </w:pPr>
            <w:r>
              <w:rPr>
                <w:rFonts w:cs="Calibri"/>
                <w:color w:val="000000"/>
              </w:rPr>
              <w:t>(14.9,168.4)</w:t>
            </w:r>
          </w:p>
        </w:tc>
      </w:tr>
      <w:tr w:rsidR="00DD5099" w:rsidRPr="005E76D2" w:rsidTr="00DD5099">
        <w:trPr>
          <w:trHeight w:val="300"/>
          <w:jc w:val="center"/>
        </w:trPr>
        <w:tc>
          <w:tcPr>
            <w:tcW w:w="2130" w:type="dxa"/>
            <w:gridSpan w:val="2"/>
          </w:tcPr>
          <w:p w:rsidR="00DD5099" w:rsidRPr="00CB72B9" w:rsidRDefault="00DD5099" w:rsidP="00FC3001">
            <w:pPr>
              <w:jc w:val="center"/>
              <w:rPr>
                <w:rFonts w:eastAsia="Times New Roman" w:cs="Times New Roman"/>
                <w:b/>
                <w:bCs/>
                <w:color w:val="002776"/>
                <w:lang w:eastAsia="en-US"/>
              </w:rPr>
            </w:pPr>
          </w:p>
        </w:tc>
        <w:tc>
          <w:tcPr>
            <w:tcW w:w="7477" w:type="dxa"/>
            <w:gridSpan w:val="4"/>
            <w:shd w:val="clear" w:color="auto" w:fill="auto"/>
            <w:vAlign w:val="center"/>
            <w:hideMark/>
          </w:tcPr>
          <w:p w:rsidR="00DD5099" w:rsidRPr="00AF0BB5" w:rsidRDefault="00DD5099" w:rsidP="00FC3001">
            <w:pPr>
              <w:jc w:val="center"/>
              <w:rPr>
                <w:rFonts w:eastAsia="Times New Roman" w:cs="Times New Roman"/>
                <w:b/>
                <w:bCs/>
                <w:color w:val="002776"/>
              </w:rPr>
            </w:pPr>
            <w:r w:rsidRPr="00AF0BB5">
              <w:rPr>
                <w:rFonts w:eastAsia="Times New Roman" w:cs="Times New Roman"/>
                <w:b/>
                <w:bCs/>
                <w:color w:val="002776"/>
                <w:lang w:eastAsia="en-US"/>
              </w:rPr>
              <w:t>Gas (therms)</w:t>
            </w:r>
          </w:p>
        </w:tc>
      </w:tr>
      <w:tr w:rsidR="00DD5099" w:rsidRPr="005E76D2" w:rsidTr="00D1107C">
        <w:trPr>
          <w:trHeight w:val="300"/>
          <w:jc w:val="center"/>
        </w:trPr>
        <w:tc>
          <w:tcPr>
            <w:tcW w:w="1485" w:type="dxa"/>
            <w:shd w:val="clear" w:color="auto" w:fill="auto"/>
            <w:vAlign w:val="center"/>
            <w:hideMark/>
          </w:tcPr>
          <w:p w:rsidR="00DD5099" w:rsidRPr="005E76D2" w:rsidRDefault="00DD5099" w:rsidP="00FC3001">
            <w:pPr>
              <w:rPr>
                <w:rFonts w:eastAsia="Times New Roman" w:cs="Times New Roman"/>
                <w:b/>
                <w:bCs/>
                <w:color w:val="002776"/>
              </w:rPr>
            </w:pPr>
            <w:r w:rsidRPr="005E76D2">
              <w:rPr>
                <w:rFonts w:eastAsia="Times New Roman" w:cs="Times New Roman"/>
                <w:b/>
                <w:bCs/>
                <w:color w:val="002776"/>
              </w:rPr>
              <w:t>Current</w:t>
            </w:r>
          </w:p>
        </w:tc>
        <w:tc>
          <w:tcPr>
            <w:tcW w:w="2130" w:type="dxa"/>
            <w:gridSpan w:val="2"/>
            <w:shd w:val="clear" w:color="auto" w:fill="auto"/>
            <w:vAlign w:val="center"/>
            <w:hideMark/>
          </w:tcPr>
          <w:p w:rsidR="00DD5099" w:rsidRDefault="00DD5099" w:rsidP="00FC3001">
            <w:pPr>
              <w:jc w:val="center"/>
              <w:rPr>
                <w:rFonts w:cs="Calibri"/>
                <w:color w:val="000000"/>
              </w:rPr>
            </w:pPr>
            <w:r>
              <w:rPr>
                <w:rFonts w:cs="Calibri"/>
                <w:color w:val="000000"/>
              </w:rPr>
              <w:t xml:space="preserve">14.2* </w:t>
            </w:r>
          </w:p>
          <w:p w:rsidR="00DD5099" w:rsidRPr="005E76D2" w:rsidRDefault="00DD5099" w:rsidP="00FC3001">
            <w:pPr>
              <w:jc w:val="center"/>
              <w:rPr>
                <w:rFonts w:eastAsia="Times New Roman" w:cs="Times New Roman"/>
                <w:color w:val="000000"/>
              </w:rPr>
            </w:pPr>
            <w:r>
              <w:rPr>
                <w:rFonts w:cs="Calibri"/>
                <w:color w:val="000000"/>
              </w:rPr>
              <w:t>(10.6,17.8)</w:t>
            </w:r>
          </w:p>
        </w:tc>
        <w:tc>
          <w:tcPr>
            <w:tcW w:w="1978" w:type="dxa"/>
            <w:shd w:val="clear" w:color="auto" w:fill="auto"/>
            <w:vAlign w:val="center"/>
            <w:hideMark/>
          </w:tcPr>
          <w:p w:rsidR="00DD5099" w:rsidRDefault="00DD5099" w:rsidP="00FC3001">
            <w:pPr>
              <w:jc w:val="center"/>
              <w:rPr>
                <w:rFonts w:cs="Calibri"/>
                <w:color w:val="000000"/>
              </w:rPr>
            </w:pPr>
            <w:r>
              <w:rPr>
                <w:rFonts w:cs="Calibri"/>
                <w:color w:val="000000"/>
              </w:rPr>
              <w:t xml:space="preserve">1.8* </w:t>
            </w:r>
          </w:p>
          <w:p w:rsidR="00DD5099" w:rsidRPr="005E76D2" w:rsidRDefault="00DD5099" w:rsidP="00FC3001">
            <w:pPr>
              <w:jc w:val="center"/>
              <w:rPr>
                <w:rFonts w:eastAsia="Times New Roman" w:cs="Times New Roman"/>
                <w:color w:val="000000"/>
              </w:rPr>
            </w:pPr>
            <w:r>
              <w:rPr>
                <w:rFonts w:cs="Calibri"/>
                <w:color w:val="000000"/>
              </w:rPr>
              <w:t>(0.9,2.6)</w:t>
            </w:r>
          </w:p>
        </w:tc>
        <w:tc>
          <w:tcPr>
            <w:tcW w:w="1884" w:type="dxa"/>
            <w:vAlign w:val="bottom"/>
          </w:tcPr>
          <w:p w:rsidR="00DD5099" w:rsidRPr="00AF0BB5" w:rsidRDefault="00DD5099" w:rsidP="00DD5099">
            <w:pPr>
              <w:jc w:val="center"/>
              <w:rPr>
                <w:rFonts w:cs="Calibri"/>
                <w:color w:val="000000"/>
              </w:rPr>
            </w:pPr>
            <w:r w:rsidRPr="00AF0BB5">
              <w:rPr>
                <w:rFonts w:cs="Calibri"/>
                <w:color w:val="000000"/>
              </w:rPr>
              <w:t>0.6</w:t>
            </w:r>
          </w:p>
        </w:tc>
        <w:tc>
          <w:tcPr>
            <w:tcW w:w="2130" w:type="dxa"/>
            <w:shd w:val="clear" w:color="auto" w:fill="auto"/>
            <w:vAlign w:val="center"/>
            <w:hideMark/>
          </w:tcPr>
          <w:p w:rsidR="00DD5099" w:rsidRDefault="00DD5099" w:rsidP="00FC3001">
            <w:pPr>
              <w:jc w:val="center"/>
              <w:rPr>
                <w:rFonts w:cs="Calibri"/>
                <w:color w:val="000000"/>
              </w:rPr>
            </w:pPr>
            <w:r>
              <w:rPr>
                <w:rFonts w:cs="Calibri"/>
                <w:color w:val="000000"/>
              </w:rPr>
              <w:t xml:space="preserve">11.8* </w:t>
            </w:r>
          </w:p>
          <w:p w:rsidR="00DD5099" w:rsidRPr="005E76D2" w:rsidRDefault="00DD5099" w:rsidP="00FC3001">
            <w:pPr>
              <w:jc w:val="center"/>
              <w:rPr>
                <w:rFonts w:eastAsia="Times New Roman" w:cs="Times New Roman"/>
                <w:color w:val="000000"/>
              </w:rPr>
            </w:pPr>
            <w:r>
              <w:rPr>
                <w:rFonts w:cs="Calibri"/>
                <w:color w:val="000000"/>
              </w:rPr>
              <w:t>(8.3,15.3)</w:t>
            </w:r>
          </w:p>
        </w:tc>
      </w:tr>
      <w:tr w:rsidR="00DD5099" w:rsidRPr="005E76D2" w:rsidTr="00D1107C">
        <w:trPr>
          <w:trHeight w:val="300"/>
          <w:jc w:val="center"/>
        </w:trPr>
        <w:tc>
          <w:tcPr>
            <w:tcW w:w="1485" w:type="dxa"/>
            <w:shd w:val="clear" w:color="auto" w:fill="auto"/>
            <w:vAlign w:val="center"/>
            <w:hideMark/>
          </w:tcPr>
          <w:p w:rsidR="00DD5099" w:rsidRPr="005E76D2" w:rsidRDefault="00DD5099" w:rsidP="00FC3001">
            <w:pPr>
              <w:rPr>
                <w:rFonts w:eastAsia="Times New Roman" w:cs="Times New Roman"/>
                <w:b/>
                <w:bCs/>
                <w:color w:val="002776"/>
              </w:rPr>
            </w:pPr>
            <w:r w:rsidRPr="005E76D2">
              <w:rPr>
                <w:rFonts w:eastAsia="Times New Roman" w:cs="Times New Roman"/>
                <w:b/>
                <w:bCs/>
                <w:color w:val="002776"/>
              </w:rPr>
              <w:t>Suspended</w:t>
            </w:r>
          </w:p>
        </w:tc>
        <w:tc>
          <w:tcPr>
            <w:tcW w:w="2130" w:type="dxa"/>
            <w:gridSpan w:val="2"/>
            <w:shd w:val="clear" w:color="auto" w:fill="auto"/>
            <w:vAlign w:val="center"/>
            <w:hideMark/>
          </w:tcPr>
          <w:p w:rsidR="00DD5099" w:rsidRDefault="00DD5099" w:rsidP="00FC3001">
            <w:pPr>
              <w:jc w:val="center"/>
              <w:rPr>
                <w:rFonts w:cs="Calibri"/>
                <w:color w:val="000000"/>
              </w:rPr>
            </w:pPr>
            <w:r>
              <w:rPr>
                <w:rFonts w:cs="Calibri"/>
                <w:color w:val="000000"/>
              </w:rPr>
              <w:t xml:space="preserve">9.3* </w:t>
            </w:r>
          </w:p>
          <w:p w:rsidR="00DD5099" w:rsidRPr="005E76D2" w:rsidRDefault="00DD5099" w:rsidP="00FC3001">
            <w:pPr>
              <w:jc w:val="center"/>
              <w:rPr>
                <w:rFonts w:eastAsia="Times New Roman" w:cs="Times New Roman"/>
                <w:color w:val="000000"/>
              </w:rPr>
            </w:pPr>
            <w:r>
              <w:rPr>
                <w:rFonts w:cs="Calibri"/>
                <w:color w:val="000000"/>
              </w:rPr>
              <w:t>(3.9,14.7)</w:t>
            </w:r>
          </w:p>
        </w:tc>
        <w:tc>
          <w:tcPr>
            <w:tcW w:w="1978" w:type="dxa"/>
            <w:shd w:val="clear" w:color="auto" w:fill="auto"/>
            <w:vAlign w:val="center"/>
            <w:hideMark/>
          </w:tcPr>
          <w:p w:rsidR="00DD5099" w:rsidRDefault="00DD5099" w:rsidP="00FC3001">
            <w:pPr>
              <w:jc w:val="center"/>
              <w:rPr>
                <w:rFonts w:cs="Calibri"/>
                <w:color w:val="000000"/>
              </w:rPr>
            </w:pPr>
            <w:r>
              <w:rPr>
                <w:rFonts w:cs="Calibri"/>
                <w:color w:val="000000"/>
              </w:rPr>
              <w:t xml:space="preserve">1.7* </w:t>
            </w:r>
          </w:p>
          <w:p w:rsidR="00DD5099" w:rsidRPr="005E76D2" w:rsidRDefault="00DD5099" w:rsidP="00FC3001">
            <w:pPr>
              <w:jc w:val="center"/>
              <w:rPr>
                <w:rFonts w:eastAsia="Times New Roman" w:cs="Times New Roman"/>
                <w:color w:val="000000"/>
              </w:rPr>
            </w:pPr>
            <w:r>
              <w:rPr>
                <w:rFonts w:cs="Calibri"/>
                <w:color w:val="000000"/>
              </w:rPr>
              <w:t>(0.5,2.8)</w:t>
            </w:r>
          </w:p>
        </w:tc>
        <w:tc>
          <w:tcPr>
            <w:tcW w:w="1884" w:type="dxa"/>
            <w:vAlign w:val="bottom"/>
          </w:tcPr>
          <w:p w:rsidR="00DD5099" w:rsidRPr="00AF0BB5" w:rsidRDefault="00DD5099" w:rsidP="00DD5099">
            <w:pPr>
              <w:jc w:val="center"/>
              <w:rPr>
                <w:rFonts w:cs="Calibri"/>
                <w:color w:val="000000"/>
              </w:rPr>
            </w:pPr>
            <w:r w:rsidRPr="00AF0BB5">
              <w:rPr>
                <w:rFonts w:cs="Calibri"/>
                <w:color w:val="000000"/>
              </w:rPr>
              <w:t>0.4</w:t>
            </w:r>
          </w:p>
        </w:tc>
        <w:tc>
          <w:tcPr>
            <w:tcW w:w="2130" w:type="dxa"/>
            <w:shd w:val="clear" w:color="auto" w:fill="auto"/>
            <w:vAlign w:val="center"/>
            <w:hideMark/>
          </w:tcPr>
          <w:p w:rsidR="00DD5099" w:rsidRDefault="00DD5099" w:rsidP="00FC3001">
            <w:pPr>
              <w:jc w:val="center"/>
              <w:rPr>
                <w:rFonts w:cs="Calibri"/>
                <w:color w:val="000000"/>
              </w:rPr>
            </w:pPr>
            <w:r>
              <w:rPr>
                <w:rFonts w:cs="Calibri"/>
                <w:color w:val="000000"/>
              </w:rPr>
              <w:t xml:space="preserve">7.2* </w:t>
            </w:r>
          </w:p>
          <w:p w:rsidR="00DD5099" w:rsidRPr="005E76D2" w:rsidRDefault="00DD5099" w:rsidP="00FC3001">
            <w:pPr>
              <w:jc w:val="center"/>
              <w:rPr>
                <w:rFonts w:eastAsia="Times New Roman" w:cs="Times New Roman"/>
                <w:color w:val="000000"/>
              </w:rPr>
            </w:pPr>
            <w:r>
              <w:rPr>
                <w:rFonts w:cs="Calibri"/>
                <w:color w:val="000000"/>
              </w:rPr>
              <w:t>(2.0,12.5)</w:t>
            </w:r>
          </w:p>
        </w:tc>
      </w:tr>
    </w:tbl>
    <w:p w:rsidR="009A4A6E" w:rsidRPr="008A12A2" w:rsidRDefault="00943B9B" w:rsidP="00DD5099">
      <w:pPr>
        <w:pStyle w:val="Caption"/>
        <w:keepNext/>
        <w:rPr>
          <w:b w:val="0"/>
          <w:bCs/>
          <w:i/>
          <w:iCs/>
        </w:rPr>
      </w:pPr>
      <w:r>
        <w:rPr>
          <w:b w:val="0"/>
          <w:bCs/>
        </w:rPr>
        <w:t xml:space="preserve"> </w:t>
      </w:r>
      <w:r w:rsidR="009A4A6E" w:rsidRPr="008A12A2">
        <w:rPr>
          <w:b w:val="0"/>
          <w:bCs/>
          <w:i/>
          <w:iCs/>
        </w:rPr>
        <w:t xml:space="preserve">* indicates statistically significant at 90% confidence level. Values in parentheses show </w:t>
      </w:r>
    </w:p>
    <w:p w:rsidR="009A4A6E" w:rsidRPr="008A12A2" w:rsidRDefault="000836CD" w:rsidP="00DD5099">
      <w:pPr>
        <w:pStyle w:val="Caption"/>
        <w:keepNext/>
        <w:ind w:left="90"/>
        <w:rPr>
          <w:b w:val="0"/>
          <w:bCs/>
          <w:i/>
          <w:iCs/>
        </w:rPr>
      </w:pPr>
      <w:r>
        <w:rPr>
          <w:b w:val="0"/>
          <w:bCs/>
          <w:i/>
          <w:iCs/>
        </w:rPr>
        <w:t xml:space="preserve">   </w:t>
      </w:r>
      <w:r w:rsidR="009A4A6E" w:rsidRPr="008A12A2">
        <w:rPr>
          <w:b w:val="0"/>
          <w:bCs/>
          <w:i/>
          <w:iCs/>
        </w:rPr>
        <w:t>upper and lower bounds at 90% confidence interval</w:t>
      </w:r>
    </w:p>
    <w:p w:rsidR="00943B9B" w:rsidRPr="00AA093F" w:rsidRDefault="00943B9B" w:rsidP="009A4A6E">
      <w:pPr>
        <w:pStyle w:val="Caption"/>
        <w:keepNext/>
        <w:ind w:left="360"/>
        <w:rPr>
          <w:b w:val="0"/>
          <w:bCs/>
        </w:rPr>
      </w:pPr>
    </w:p>
    <w:p w:rsidR="00943B9B" w:rsidRDefault="00943B9B" w:rsidP="00943B9B">
      <w:pPr>
        <w:pStyle w:val="Caption"/>
        <w:jc w:val="center"/>
      </w:pPr>
      <w:bookmarkStart w:id="13" w:name="_Ref421179143"/>
      <w:bookmarkStart w:id="14" w:name="_Ref414369574"/>
    </w:p>
    <w:p w:rsidR="00943B9B" w:rsidRDefault="00943B9B" w:rsidP="00943B9B">
      <w:pPr>
        <w:pStyle w:val="Caption"/>
        <w:jc w:val="center"/>
      </w:pPr>
      <w:r>
        <w:t xml:space="preserve">Table </w:t>
      </w:r>
      <w:r>
        <w:fldChar w:fldCharType="begin"/>
      </w:r>
      <w:r>
        <w:instrText xml:space="preserve"> STYLEREF 1 \s </w:instrText>
      </w:r>
      <w:r>
        <w:fldChar w:fldCharType="separate"/>
      </w:r>
      <w:r w:rsidR="00B31EF0">
        <w:rPr>
          <w:noProof/>
        </w:rPr>
        <w:t>0</w:t>
      </w:r>
      <w:r>
        <w:rPr>
          <w:noProof/>
        </w:rPr>
        <w:fldChar w:fldCharType="end"/>
      </w:r>
      <w:r>
        <w:noBreakHyphen/>
      </w:r>
      <w:r>
        <w:fldChar w:fldCharType="begin"/>
      </w:r>
      <w:r>
        <w:instrText xml:space="preserve"> SEQ Table \* ARABIC \s 1 </w:instrText>
      </w:r>
      <w:r>
        <w:fldChar w:fldCharType="separate"/>
      </w:r>
      <w:r w:rsidR="00B31EF0">
        <w:rPr>
          <w:noProof/>
        </w:rPr>
        <w:t>4</w:t>
      </w:r>
      <w:r>
        <w:rPr>
          <w:noProof/>
        </w:rPr>
        <w:fldChar w:fldCharType="end"/>
      </w:r>
      <w:bookmarkEnd w:id="13"/>
      <w:bookmarkEnd w:id="14"/>
      <w:r>
        <w:t>: Summary of Annual Savings for PSE HER Expansion 2014</w:t>
      </w:r>
    </w:p>
    <w:tbl>
      <w:tblPr>
        <w:tblW w:w="970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071"/>
        <w:gridCol w:w="1799"/>
        <w:gridCol w:w="2151"/>
        <w:gridCol w:w="2151"/>
      </w:tblGrid>
      <w:tr w:rsidR="00DD5099" w:rsidRPr="005E76D2" w:rsidTr="00DD5099">
        <w:trPr>
          <w:trHeight w:val="1354"/>
          <w:jc w:val="center"/>
        </w:trPr>
        <w:tc>
          <w:tcPr>
            <w:tcW w:w="1533" w:type="dxa"/>
            <w:shd w:val="clear" w:color="000000" w:fill="003591"/>
            <w:vAlign w:val="center"/>
            <w:hideMark/>
          </w:tcPr>
          <w:p w:rsidR="00DD5099" w:rsidRPr="005E76D2" w:rsidRDefault="00DD5099" w:rsidP="00FC3001">
            <w:pPr>
              <w:jc w:val="center"/>
              <w:rPr>
                <w:rFonts w:eastAsia="Times New Roman" w:cs="Times New Roman"/>
                <w:b/>
                <w:bCs/>
                <w:color w:val="FFFFFF"/>
              </w:rPr>
            </w:pPr>
            <w:r w:rsidRPr="005E76D2">
              <w:rPr>
                <w:rFonts w:eastAsia="Times New Roman" w:cs="Times New Roman"/>
                <w:b/>
                <w:bCs/>
                <w:color w:val="FFFFFF"/>
              </w:rPr>
              <w:t>Treatment Groups</w:t>
            </w:r>
          </w:p>
        </w:tc>
        <w:tc>
          <w:tcPr>
            <w:tcW w:w="2071" w:type="dxa"/>
            <w:shd w:val="clear" w:color="000000" w:fill="003591"/>
            <w:vAlign w:val="center"/>
            <w:hideMark/>
          </w:tcPr>
          <w:p w:rsidR="00DD5099" w:rsidRDefault="00DD5099" w:rsidP="00FC3001">
            <w:pPr>
              <w:jc w:val="center"/>
              <w:rPr>
                <w:rFonts w:eastAsia="Times New Roman" w:cs="Times New Roman"/>
                <w:b/>
                <w:bCs/>
                <w:color w:val="FFFFFF"/>
              </w:rPr>
            </w:pPr>
            <w:r w:rsidRPr="005E76D2">
              <w:rPr>
                <w:rFonts w:eastAsia="Times New Roman" w:cs="Times New Roman"/>
                <w:b/>
                <w:bCs/>
                <w:color w:val="FFFFFF"/>
              </w:rPr>
              <w:t xml:space="preserve">HER Measured Savings </w:t>
            </w:r>
          </w:p>
          <w:p w:rsidR="00DD5099" w:rsidRPr="005E76D2" w:rsidRDefault="00DD5099" w:rsidP="00FC3001">
            <w:pPr>
              <w:jc w:val="center"/>
              <w:rPr>
                <w:rFonts w:eastAsia="Times New Roman" w:cs="Times New Roman"/>
                <w:b/>
                <w:bCs/>
                <w:color w:val="FFFFFF"/>
              </w:rPr>
            </w:pPr>
            <w:r w:rsidRPr="005E76D2">
              <w:rPr>
                <w:rFonts w:eastAsia="Times New Roman" w:cs="Times New Roman"/>
                <w:b/>
                <w:bCs/>
                <w:color w:val="FFFFFF"/>
              </w:rPr>
              <w:t>(</w:t>
            </w:r>
            <w:r>
              <w:rPr>
                <w:rFonts w:eastAsia="Times New Roman" w:cs="Times New Roman"/>
                <w:b/>
                <w:bCs/>
                <w:color w:val="FFFFFF"/>
              </w:rPr>
              <w:t>per household</w:t>
            </w:r>
            <w:r w:rsidRPr="005E76D2">
              <w:rPr>
                <w:rFonts w:eastAsia="Times New Roman" w:cs="Times New Roman"/>
                <w:b/>
                <w:bCs/>
                <w:color w:val="FFFFFF"/>
              </w:rPr>
              <w:t>)</w:t>
            </w:r>
          </w:p>
        </w:tc>
        <w:tc>
          <w:tcPr>
            <w:tcW w:w="1799" w:type="dxa"/>
            <w:shd w:val="clear" w:color="000000" w:fill="003591"/>
            <w:vAlign w:val="center"/>
            <w:hideMark/>
          </w:tcPr>
          <w:p w:rsidR="00DD5099" w:rsidRDefault="00DD5099" w:rsidP="00DD5099">
            <w:pPr>
              <w:jc w:val="center"/>
              <w:rPr>
                <w:rFonts w:eastAsia="Times New Roman" w:cs="Times New Roman"/>
                <w:b/>
                <w:bCs/>
                <w:color w:val="FFFFFF"/>
              </w:rPr>
            </w:pPr>
            <w:r w:rsidRPr="005E76D2">
              <w:rPr>
                <w:rFonts w:eastAsia="Times New Roman" w:cs="Times New Roman"/>
                <w:b/>
                <w:bCs/>
                <w:color w:val="FFFFFF"/>
              </w:rPr>
              <w:t>Joint Savings</w:t>
            </w:r>
          </w:p>
          <w:p w:rsidR="00DD5099" w:rsidRPr="005E76D2" w:rsidRDefault="00DD5099" w:rsidP="00DD5099">
            <w:pPr>
              <w:jc w:val="center"/>
              <w:rPr>
                <w:rFonts w:eastAsia="Times New Roman" w:cs="Times New Roman"/>
                <w:b/>
                <w:bCs/>
                <w:color w:val="FFFFFF"/>
              </w:rPr>
            </w:pPr>
            <w:r w:rsidRPr="005E76D2">
              <w:rPr>
                <w:rFonts w:eastAsia="Times New Roman" w:cs="Times New Roman"/>
                <w:b/>
                <w:bCs/>
                <w:color w:val="FFFFFF"/>
              </w:rPr>
              <w:t xml:space="preserve">(per </w:t>
            </w:r>
            <w:r>
              <w:rPr>
                <w:rFonts w:eastAsia="Times New Roman" w:cs="Times New Roman"/>
                <w:b/>
                <w:bCs/>
                <w:color w:val="FFFFFF"/>
              </w:rPr>
              <w:t>h</w:t>
            </w:r>
            <w:r w:rsidRPr="005E76D2">
              <w:rPr>
                <w:rFonts w:eastAsia="Times New Roman" w:cs="Times New Roman"/>
                <w:b/>
                <w:bCs/>
                <w:color w:val="FFFFFF"/>
              </w:rPr>
              <w:t>ousehold)</w:t>
            </w:r>
          </w:p>
        </w:tc>
        <w:tc>
          <w:tcPr>
            <w:tcW w:w="2151" w:type="dxa"/>
            <w:shd w:val="clear" w:color="000000" w:fill="003591"/>
            <w:vAlign w:val="center"/>
          </w:tcPr>
          <w:p w:rsidR="00DD5099" w:rsidRDefault="00DD5099" w:rsidP="00DD5099">
            <w:pPr>
              <w:jc w:val="center"/>
              <w:rPr>
                <w:rFonts w:eastAsia="Times New Roman" w:cs="Times New Roman"/>
                <w:b/>
                <w:bCs/>
                <w:color w:val="FFFFFF"/>
              </w:rPr>
            </w:pPr>
            <w:r>
              <w:rPr>
                <w:rFonts w:eastAsia="Times New Roman" w:cs="Times New Roman"/>
                <w:b/>
                <w:bCs/>
                <w:color w:val="FFFFFF"/>
              </w:rPr>
              <w:t>5% Adjustment</w:t>
            </w:r>
            <w:r w:rsidR="00EB6619">
              <w:rPr>
                <w:rFonts w:eastAsia="Times New Roman" w:cs="Times New Roman"/>
                <w:b/>
                <w:bCs/>
                <w:color w:val="FFFFFF"/>
              </w:rPr>
              <w:t xml:space="preserve"> </w:t>
            </w:r>
          </w:p>
          <w:p w:rsidR="00DD5099" w:rsidRPr="005E76D2" w:rsidRDefault="00DD5099" w:rsidP="00DD5099">
            <w:pPr>
              <w:jc w:val="center"/>
              <w:rPr>
                <w:rFonts w:eastAsia="Times New Roman" w:cs="Times New Roman"/>
                <w:b/>
                <w:bCs/>
                <w:color w:val="FFFFFF"/>
              </w:rPr>
            </w:pPr>
            <w:r w:rsidRPr="005E76D2">
              <w:rPr>
                <w:rFonts w:eastAsia="Times New Roman" w:cs="Times New Roman"/>
                <w:b/>
                <w:bCs/>
                <w:color w:val="FFFFFF"/>
              </w:rPr>
              <w:t xml:space="preserve">(per </w:t>
            </w:r>
            <w:r>
              <w:rPr>
                <w:rFonts w:eastAsia="Times New Roman" w:cs="Times New Roman"/>
                <w:b/>
                <w:bCs/>
                <w:color w:val="FFFFFF"/>
              </w:rPr>
              <w:t>h</w:t>
            </w:r>
            <w:r w:rsidRPr="005E76D2">
              <w:rPr>
                <w:rFonts w:eastAsia="Times New Roman" w:cs="Times New Roman"/>
                <w:b/>
                <w:bCs/>
                <w:color w:val="FFFFFF"/>
              </w:rPr>
              <w:t>ousehold)</w:t>
            </w:r>
          </w:p>
        </w:tc>
        <w:tc>
          <w:tcPr>
            <w:tcW w:w="2151" w:type="dxa"/>
            <w:shd w:val="clear" w:color="000000" w:fill="003591"/>
            <w:vAlign w:val="center"/>
            <w:hideMark/>
          </w:tcPr>
          <w:p w:rsidR="00DD5099" w:rsidRPr="005E76D2" w:rsidRDefault="00DD5099" w:rsidP="00FC3001">
            <w:pPr>
              <w:jc w:val="center"/>
              <w:rPr>
                <w:rFonts w:eastAsia="Times New Roman" w:cs="Times New Roman"/>
                <w:b/>
                <w:bCs/>
                <w:color w:val="FFFFFF"/>
              </w:rPr>
            </w:pPr>
            <w:r w:rsidRPr="005E76D2">
              <w:rPr>
                <w:rFonts w:eastAsia="Times New Roman" w:cs="Times New Roman"/>
                <w:b/>
                <w:bCs/>
                <w:color w:val="FFFFFF"/>
              </w:rPr>
              <w:t>Credited Savings (</w:t>
            </w:r>
            <w:r>
              <w:rPr>
                <w:rFonts w:eastAsia="Times New Roman" w:cs="Times New Roman"/>
                <w:b/>
                <w:bCs/>
                <w:color w:val="FFFFFF"/>
              </w:rPr>
              <w:t>per household</w:t>
            </w:r>
            <w:r w:rsidRPr="005E76D2">
              <w:rPr>
                <w:rFonts w:eastAsia="Times New Roman" w:cs="Times New Roman"/>
                <w:b/>
                <w:bCs/>
                <w:color w:val="FFFFFF"/>
              </w:rPr>
              <w:t>)</w:t>
            </w:r>
          </w:p>
        </w:tc>
      </w:tr>
      <w:tr w:rsidR="00DD5099" w:rsidRPr="005E76D2" w:rsidTr="00945A77">
        <w:trPr>
          <w:trHeight w:val="285"/>
          <w:jc w:val="center"/>
        </w:trPr>
        <w:tc>
          <w:tcPr>
            <w:tcW w:w="9705" w:type="dxa"/>
            <w:gridSpan w:val="5"/>
          </w:tcPr>
          <w:p w:rsidR="00DD5099" w:rsidRPr="005E76D2" w:rsidRDefault="00DD5099" w:rsidP="00FC3001">
            <w:pPr>
              <w:jc w:val="center"/>
              <w:rPr>
                <w:rFonts w:eastAsia="Times New Roman" w:cs="Times New Roman"/>
                <w:b/>
                <w:bCs/>
                <w:color w:val="003591"/>
              </w:rPr>
            </w:pPr>
            <w:r w:rsidRPr="005E76D2">
              <w:rPr>
                <w:rFonts w:eastAsia="Times New Roman" w:cs="Times New Roman"/>
                <w:b/>
                <w:bCs/>
                <w:color w:val="003591"/>
              </w:rPr>
              <w:t>Electric (kWh)</w:t>
            </w:r>
          </w:p>
        </w:tc>
      </w:tr>
      <w:tr w:rsidR="00DD5099" w:rsidRPr="005E76D2" w:rsidTr="005D6A3D">
        <w:trPr>
          <w:trHeight w:val="285"/>
          <w:jc w:val="center"/>
        </w:trPr>
        <w:tc>
          <w:tcPr>
            <w:tcW w:w="1533" w:type="dxa"/>
            <w:shd w:val="clear" w:color="auto" w:fill="auto"/>
            <w:noWrap/>
            <w:vAlign w:val="bottom"/>
            <w:hideMark/>
          </w:tcPr>
          <w:p w:rsidR="00DD5099" w:rsidRPr="005E76D2" w:rsidRDefault="00DD5099" w:rsidP="00FC3001">
            <w:pPr>
              <w:rPr>
                <w:rFonts w:eastAsia="Times New Roman" w:cs="Times New Roman"/>
                <w:b/>
                <w:bCs/>
                <w:color w:val="003591"/>
              </w:rPr>
            </w:pPr>
            <w:r w:rsidRPr="005E76D2">
              <w:rPr>
                <w:rFonts w:eastAsia="Times New Roman" w:cs="Times New Roman"/>
                <w:b/>
                <w:bCs/>
                <w:color w:val="003591"/>
              </w:rPr>
              <w:t>Electric only</w:t>
            </w:r>
          </w:p>
        </w:tc>
        <w:tc>
          <w:tcPr>
            <w:tcW w:w="2071" w:type="dxa"/>
            <w:shd w:val="clear" w:color="auto" w:fill="auto"/>
            <w:noWrap/>
            <w:vAlign w:val="center"/>
            <w:hideMark/>
          </w:tcPr>
          <w:p w:rsidR="00DD5099" w:rsidRPr="005E76D2" w:rsidRDefault="00DD5099" w:rsidP="00FC3001">
            <w:pPr>
              <w:jc w:val="center"/>
              <w:rPr>
                <w:rFonts w:eastAsia="Times New Roman" w:cs="Times New Roman"/>
                <w:color w:val="000000"/>
              </w:rPr>
            </w:pPr>
            <w:r>
              <w:rPr>
                <w:rFonts w:cs="Calibri"/>
                <w:color w:val="000000"/>
              </w:rPr>
              <w:t>217.2* (138.2,296.2)</w:t>
            </w:r>
          </w:p>
        </w:tc>
        <w:tc>
          <w:tcPr>
            <w:tcW w:w="1799" w:type="dxa"/>
            <w:shd w:val="clear" w:color="auto" w:fill="auto"/>
            <w:noWrap/>
            <w:vAlign w:val="center"/>
            <w:hideMark/>
          </w:tcPr>
          <w:p w:rsidR="00DD5099" w:rsidRDefault="00DD5099" w:rsidP="00FC3001">
            <w:pPr>
              <w:jc w:val="center"/>
              <w:rPr>
                <w:rFonts w:cs="Calibri"/>
                <w:color w:val="000000"/>
              </w:rPr>
            </w:pPr>
            <w:r>
              <w:rPr>
                <w:rFonts w:cs="Calibri"/>
                <w:color w:val="000000"/>
              </w:rPr>
              <w:t xml:space="preserve">11.2 </w:t>
            </w:r>
          </w:p>
          <w:p w:rsidR="00DD5099" w:rsidRPr="005E76D2" w:rsidRDefault="00DD5099" w:rsidP="00FC3001">
            <w:pPr>
              <w:jc w:val="center"/>
              <w:rPr>
                <w:rFonts w:eastAsia="Times New Roman" w:cs="Times New Roman"/>
                <w:color w:val="000000"/>
              </w:rPr>
            </w:pPr>
            <w:r>
              <w:rPr>
                <w:rFonts w:cs="Calibri"/>
                <w:color w:val="000000"/>
              </w:rPr>
              <w:t>(-0.1,12.5)</w:t>
            </w:r>
          </w:p>
        </w:tc>
        <w:tc>
          <w:tcPr>
            <w:tcW w:w="2151" w:type="dxa"/>
            <w:vAlign w:val="bottom"/>
          </w:tcPr>
          <w:p w:rsidR="00DD5099" w:rsidRPr="00AF0BB5" w:rsidRDefault="00DD5099" w:rsidP="00DD5099">
            <w:pPr>
              <w:jc w:val="center"/>
              <w:rPr>
                <w:rFonts w:cs="Calibri"/>
                <w:color w:val="000000"/>
              </w:rPr>
            </w:pPr>
            <w:r w:rsidRPr="00AF0BB5">
              <w:rPr>
                <w:rFonts w:cs="Calibri"/>
                <w:color w:val="000000"/>
              </w:rPr>
              <w:t>10.3</w:t>
            </w:r>
          </w:p>
        </w:tc>
        <w:tc>
          <w:tcPr>
            <w:tcW w:w="2151" w:type="dxa"/>
            <w:shd w:val="clear" w:color="auto" w:fill="auto"/>
            <w:noWrap/>
            <w:vAlign w:val="center"/>
            <w:hideMark/>
          </w:tcPr>
          <w:p w:rsidR="00DD5099" w:rsidRDefault="00DD5099" w:rsidP="00FC3001">
            <w:pPr>
              <w:jc w:val="center"/>
              <w:rPr>
                <w:rFonts w:cs="Calibri"/>
                <w:color w:val="000000"/>
              </w:rPr>
            </w:pPr>
            <w:r>
              <w:rPr>
                <w:rFonts w:cs="Calibri"/>
                <w:color w:val="000000"/>
              </w:rPr>
              <w:t xml:space="preserve">195.7* </w:t>
            </w:r>
          </w:p>
          <w:p w:rsidR="00DD5099" w:rsidRPr="005E76D2" w:rsidRDefault="00DD5099" w:rsidP="00FC3001">
            <w:pPr>
              <w:jc w:val="center"/>
              <w:rPr>
                <w:rFonts w:eastAsia="Times New Roman" w:cs="Times New Roman"/>
                <w:color w:val="000000"/>
              </w:rPr>
            </w:pPr>
            <w:r>
              <w:rPr>
                <w:rFonts w:cs="Calibri"/>
                <w:color w:val="000000"/>
              </w:rPr>
              <w:t>(119.9,271.5)</w:t>
            </w:r>
          </w:p>
        </w:tc>
      </w:tr>
      <w:tr w:rsidR="00DD5099" w:rsidRPr="005E76D2" w:rsidTr="005D6A3D">
        <w:trPr>
          <w:trHeight w:val="285"/>
          <w:jc w:val="center"/>
        </w:trPr>
        <w:tc>
          <w:tcPr>
            <w:tcW w:w="1533" w:type="dxa"/>
            <w:shd w:val="clear" w:color="auto" w:fill="auto"/>
            <w:noWrap/>
            <w:vAlign w:val="bottom"/>
            <w:hideMark/>
          </w:tcPr>
          <w:p w:rsidR="00DD5099" w:rsidRPr="005E76D2" w:rsidRDefault="00DD5099" w:rsidP="00FC3001">
            <w:pPr>
              <w:rPr>
                <w:rFonts w:eastAsia="Times New Roman" w:cs="Times New Roman"/>
                <w:b/>
                <w:bCs/>
                <w:color w:val="003591"/>
              </w:rPr>
            </w:pPr>
            <w:r w:rsidRPr="005E76D2">
              <w:rPr>
                <w:rFonts w:eastAsia="Times New Roman" w:cs="Times New Roman"/>
                <w:b/>
                <w:bCs/>
                <w:color w:val="003591"/>
              </w:rPr>
              <w:t>High user</w:t>
            </w:r>
            <w:r>
              <w:rPr>
                <w:rFonts w:eastAsia="Times New Roman" w:cs="Times New Roman"/>
                <w:b/>
                <w:bCs/>
                <w:color w:val="003591"/>
              </w:rPr>
              <w:t>s</w:t>
            </w:r>
          </w:p>
        </w:tc>
        <w:tc>
          <w:tcPr>
            <w:tcW w:w="2071" w:type="dxa"/>
            <w:shd w:val="clear" w:color="auto" w:fill="auto"/>
            <w:noWrap/>
            <w:vAlign w:val="center"/>
            <w:hideMark/>
          </w:tcPr>
          <w:p w:rsidR="00DD5099" w:rsidRPr="005E76D2" w:rsidRDefault="00DD5099" w:rsidP="00FC3001">
            <w:pPr>
              <w:jc w:val="center"/>
              <w:rPr>
                <w:rFonts w:eastAsia="Times New Roman" w:cs="Times New Roman"/>
                <w:color w:val="000000"/>
              </w:rPr>
            </w:pPr>
            <w:r>
              <w:rPr>
                <w:rFonts w:cs="Calibri"/>
                <w:color w:val="000000"/>
              </w:rPr>
              <w:t>226.7* (146.6,306.7)</w:t>
            </w:r>
          </w:p>
        </w:tc>
        <w:tc>
          <w:tcPr>
            <w:tcW w:w="1799" w:type="dxa"/>
            <w:shd w:val="clear" w:color="auto" w:fill="auto"/>
            <w:noWrap/>
            <w:vAlign w:val="center"/>
            <w:hideMark/>
          </w:tcPr>
          <w:p w:rsidR="00DD5099" w:rsidRDefault="00DD5099" w:rsidP="00FC3001">
            <w:pPr>
              <w:jc w:val="center"/>
              <w:rPr>
                <w:rFonts w:cs="Calibri"/>
                <w:color w:val="000000"/>
              </w:rPr>
            </w:pPr>
            <w:r>
              <w:rPr>
                <w:rFonts w:cs="Calibri"/>
                <w:color w:val="000000"/>
              </w:rPr>
              <w:t xml:space="preserve">2.0 </w:t>
            </w:r>
          </w:p>
          <w:p w:rsidR="00DD5099" w:rsidRPr="005E76D2" w:rsidRDefault="00DD5099" w:rsidP="00FC3001">
            <w:pPr>
              <w:jc w:val="center"/>
              <w:rPr>
                <w:rFonts w:eastAsia="Times New Roman" w:cs="Times New Roman"/>
                <w:color w:val="000000"/>
              </w:rPr>
            </w:pPr>
            <w:r>
              <w:rPr>
                <w:rFonts w:cs="Calibri"/>
                <w:color w:val="000000"/>
              </w:rPr>
              <w:t>(-2.5,22.4)</w:t>
            </w:r>
          </w:p>
        </w:tc>
        <w:tc>
          <w:tcPr>
            <w:tcW w:w="2151" w:type="dxa"/>
            <w:vAlign w:val="bottom"/>
          </w:tcPr>
          <w:p w:rsidR="00DD5099" w:rsidRPr="00AF0BB5" w:rsidRDefault="00DD5099" w:rsidP="00DD5099">
            <w:pPr>
              <w:jc w:val="center"/>
              <w:rPr>
                <w:rFonts w:cs="Calibri"/>
                <w:color w:val="000000"/>
              </w:rPr>
            </w:pPr>
            <w:r w:rsidRPr="00AF0BB5">
              <w:rPr>
                <w:rFonts w:cs="Calibri"/>
                <w:color w:val="000000"/>
              </w:rPr>
              <w:t>11.2</w:t>
            </w:r>
          </w:p>
        </w:tc>
        <w:tc>
          <w:tcPr>
            <w:tcW w:w="2151" w:type="dxa"/>
            <w:shd w:val="clear" w:color="auto" w:fill="auto"/>
            <w:noWrap/>
            <w:vAlign w:val="center"/>
            <w:hideMark/>
          </w:tcPr>
          <w:p w:rsidR="00DD5099" w:rsidRDefault="00DD5099" w:rsidP="00FC3001">
            <w:pPr>
              <w:jc w:val="center"/>
              <w:rPr>
                <w:rFonts w:cs="Calibri"/>
                <w:color w:val="000000"/>
              </w:rPr>
            </w:pPr>
            <w:r>
              <w:rPr>
                <w:rFonts w:cs="Calibri"/>
                <w:color w:val="000000"/>
              </w:rPr>
              <w:t xml:space="preserve">213.4* </w:t>
            </w:r>
          </w:p>
          <w:p w:rsidR="00DD5099" w:rsidRPr="005E76D2" w:rsidRDefault="00DD5099" w:rsidP="00FC3001">
            <w:pPr>
              <w:jc w:val="center"/>
              <w:rPr>
                <w:rFonts w:eastAsia="Times New Roman" w:cs="Times New Roman"/>
                <w:color w:val="000000"/>
              </w:rPr>
            </w:pPr>
            <w:r>
              <w:rPr>
                <w:rFonts w:cs="Calibri"/>
                <w:color w:val="000000"/>
              </w:rPr>
              <w:t>(137.2,289.6)</w:t>
            </w:r>
          </w:p>
        </w:tc>
      </w:tr>
      <w:tr w:rsidR="00DD5099" w:rsidRPr="005E76D2" w:rsidTr="005D6A3D">
        <w:trPr>
          <w:trHeight w:val="285"/>
          <w:jc w:val="center"/>
        </w:trPr>
        <w:tc>
          <w:tcPr>
            <w:tcW w:w="1533" w:type="dxa"/>
            <w:shd w:val="clear" w:color="auto" w:fill="auto"/>
            <w:noWrap/>
            <w:vAlign w:val="bottom"/>
            <w:hideMark/>
          </w:tcPr>
          <w:p w:rsidR="00DD5099" w:rsidRPr="005E76D2" w:rsidRDefault="00DD5099" w:rsidP="00FC3001">
            <w:pPr>
              <w:rPr>
                <w:rFonts w:eastAsia="Times New Roman" w:cs="Times New Roman"/>
                <w:b/>
                <w:bCs/>
                <w:color w:val="003591"/>
              </w:rPr>
            </w:pPr>
            <w:r w:rsidRPr="005E76D2">
              <w:rPr>
                <w:rFonts w:eastAsia="Times New Roman" w:cs="Times New Roman"/>
                <w:b/>
                <w:bCs/>
                <w:color w:val="003591"/>
              </w:rPr>
              <w:t>Non-urban</w:t>
            </w:r>
          </w:p>
        </w:tc>
        <w:tc>
          <w:tcPr>
            <w:tcW w:w="2071" w:type="dxa"/>
            <w:shd w:val="clear" w:color="auto" w:fill="auto"/>
            <w:noWrap/>
            <w:vAlign w:val="center"/>
            <w:hideMark/>
          </w:tcPr>
          <w:p w:rsidR="00DD5099" w:rsidRDefault="00DD5099" w:rsidP="00FC3001">
            <w:pPr>
              <w:jc w:val="center"/>
              <w:rPr>
                <w:rFonts w:cs="Calibri"/>
                <w:color w:val="000000"/>
              </w:rPr>
            </w:pPr>
            <w:r>
              <w:rPr>
                <w:rFonts w:cs="Calibri"/>
                <w:color w:val="000000"/>
              </w:rPr>
              <w:t xml:space="preserve">128.8* </w:t>
            </w:r>
          </w:p>
          <w:p w:rsidR="00DD5099" w:rsidRPr="005E76D2" w:rsidRDefault="00DD5099" w:rsidP="00FC3001">
            <w:pPr>
              <w:jc w:val="center"/>
              <w:rPr>
                <w:rFonts w:eastAsia="Times New Roman" w:cs="Times New Roman"/>
                <w:color w:val="000000"/>
              </w:rPr>
            </w:pPr>
            <w:r>
              <w:rPr>
                <w:rFonts w:cs="Calibri"/>
                <w:color w:val="000000"/>
              </w:rPr>
              <w:t>(80.1,177.5)</w:t>
            </w:r>
          </w:p>
        </w:tc>
        <w:tc>
          <w:tcPr>
            <w:tcW w:w="1799" w:type="dxa"/>
            <w:shd w:val="clear" w:color="auto" w:fill="auto"/>
            <w:noWrap/>
            <w:vAlign w:val="center"/>
            <w:hideMark/>
          </w:tcPr>
          <w:p w:rsidR="00DD5099" w:rsidRDefault="00DD5099" w:rsidP="00FC3001">
            <w:pPr>
              <w:jc w:val="center"/>
              <w:rPr>
                <w:rFonts w:cs="Calibri"/>
                <w:color w:val="000000"/>
              </w:rPr>
            </w:pPr>
            <w:r>
              <w:rPr>
                <w:rFonts w:cs="Calibri"/>
                <w:color w:val="000000"/>
              </w:rPr>
              <w:t xml:space="preserve">3.7* </w:t>
            </w:r>
          </w:p>
          <w:p w:rsidR="00DD5099" w:rsidRPr="005E76D2" w:rsidRDefault="00DD5099" w:rsidP="00FC3001">
            <w:pPr>
              <w:jc w:val="center"/>
              <w:rPr>
                <w:rFonts w:eastAsia="Times New Roman" w:cs="Times New Roman"/>
                <w:color w:val="000000"/>
              </w:rPr>
            </w:pPr>
            <w:r>
              <w:rPr>
                <w:rFonts w:cs="Calibri"/>
                <w:color w:val="000000"/>
              </w:rPr>
              <w:t>(1.1,6.5)</w:t>
            </w:r>
          </w:p>
        </w:tc>
        <w:tc>
          <w:tcPr>
            <w:tcW w:w="2151" w:type="dxa"/>
            <w:vAlign w:val="bottom"/>
          </w:tcPr>
          <w:p w:rsidR="00DD5099" w:rsidRPr="00AF0BB5" w:rsidRDefault="00DD5099" w:rsidP="00DD5099">
            <w:pPr>
              <w:jc w:val="center"/>
              <w:rPr>
                <w:rFonts w:cs="Calibri"/>
                <w:color w:val="000000"/>
              </w:rPr>
            </w:pPr>
            <w:r w:rsidRPr="00AF0BB5">
              <w:rPr>
                <w:rFonts w:cs="Calibri"/>
                <w:color w:val="000000"/>
              </w:rPr>
              <w:t>6.3</w:t>
            </w:r>
          </w:p>
        </w:tc>
        <w:tc>
          <w:tcPr>
            <w:tcW w:w="2151" w:type="dxa"/>
            <w:shd w:val="clear" w:color="auto" w:fill="auto"/>
            <w:noWrap/>
            <w:vAlign w:val="center"/>
            <w:hideMark/>
          </w:tcPr>
          <w:p w:rsidR="00DD5099" w:rsidRDefault="00DD5099" w:rsidP="00FC3001">
            <w:pPr>
              <w:jc w:val="center"/>
              <w:rPr>
                <w:rFonts w:cs="Calibri"/>
                <w:color w:val="000000"/>
              </w:rPr>
            </w:pPr>
            <w:r>
              <w:rPr>
                <w:rFonts w:cs="Calibri"/>
                <w:color w:val="000000"/>
              </w:rPr>
              <w:t xml:space="preserve">118.8* </w:t>
            </w:r>
          </w:p>
          <w:p w:rsidR="00DD5099" w:rsidRPr="005E76D2" w:rsidRDefault="00DD5099" w:rsidP="00FC3001">
            <w:pPr>
              <w:jc w:val="center"/>
              <w:rPr>
                <w:rFonts w:eastAsia="Times New Roman" w:cs="Times New Roman"/>
                <w:color w:val="000000"/>
              </w:rPr>
            </w:pPr>
            <w:r>
              <w:rPr>
                <w:rFonts w:cs="Calibri"/>
                <w:color w:val="000000"/>
              </w:rPr>
              <w:t>(72.4,165.2)</w:t>
            </w:r>
          </w:p>
        </w:tc>
      </w:tr>
      <w:tr w:rsidR="00DD5099" w:rsidRPr="005E76D2" w:rsidTr="00220DF0">
        <w:trPr>
          <w:trHeight w:val="285"/>
          <w:jc w:val="center"/>
        </w:trPr>
        <w:tc>
          <w:tcPr>
            <w:tcW w:w="1533" w:type="dxa"/>
            <w:shd w:val="clear" w:color="auto" w:fill="auto"/>
            <w:noWrap/>
            <w:vAlign w:val="bottom"/>
          </w:tcPr>
          <w:p w:rsidR="00DD5099" w:rsidRPr="005E76D2" w:rsidRDefault="00DD5099" w:rsidP="00FC3001">
            <w:pPr>
              <w:rPr>
                <w:rFonts w:eastAsia="Times New Roman" w:cs="Times New Roman"/>
                <w:b/>
                <w:bCs/>
                <w:color w:val="003591"/>
              </w:rPr>
            </w:pPr>
            <w:r>
              <w:rPr>
                <w:rFonts w:eastAsia="Times New Roman" w:cs="Calibri"/>
                <w:b/>
                <w:bCs/>
                <w:color w:val="002776"/>
              </w:rPr>
              <w:t>Refresh Group</w:t>
            </w:r>
          </w:p>
        </w:tc>
        <w:tc>
          <w:tcPr>
            <w:tcW w:w="2071" w:type="dxa"/>
            <w:shd w:val="clear" w:color="auto" w:fill="auto"/>
            <w:noWrap/>
            <w:vAlign w:val="center"/>
          </w:tcPr>
          <w:p w:rsidR="00DD5099" w:rsidRDefault="00DD5099" w:rsidP="00FC3001">
            <w:pPr>
              <w:jc w:val="center"/>
              <w:rPr>
                <w:rFonts w:cs="Calibri"/>
                <w:color w:val="000000"/>
              </w:rPr>
            </w:pPr>
            <w:r>
              <w:rPr>
                <w:rFonts w:cs="Calibri"/>
                <w:color w:val="000000"/>
              </w:rPr>
              <w:t>Not evaluated</w:t>
            </w:r>
          </w:p>
        </w:tc>
        <w:tc>
          <w:tcPr>
            <w:tcW w:w="1799" w:type="dxa"/>
            <w:shd w:val="clear" w:color="auto" w:fill="auto"/>
            <w:noWrap/>
          </w:tcPr>
          <w:p w:rsidR="00DD5099" w:rsidRDefault="00DD5099">
            <w:r w:rsidRPr="001C4646">
              <w:rPr>
                <w:rFonts w:cs="Calibri"/>
                <w:color w:val="000000"/>
              </w:rPr>
              <w:t>Not evaluated</w:t>
            </w:r>
          </w:p>
        </w:tc>
        <w:tc>
          <w:tcPr>
            <w:tcW w:w="2151" w:type="dxa"/>
          </w:tcPr>
          <w:p w:rsidR="00DD5099" w:rsidRDefault="00DD5099" w:rsidP="00DD5099">
            <w:pPr>
              <w:jc w:val="center"/>
            </w:pPr>
            <w:r w:rsidRPr="001C4646">
              <w:rPr>
                <w:rFonts w:cs="Calibri"/>
                <w:color w:val="000000"/>
              </w:rPr>
              <w:t>Not evaluated</w:t>
            </w:r>
          </w:p>
        </w:tc>
        <w:tc>
          <w:tcPr>
            <w:tcW w:w="2151" w:type="dxa"/>
            <w:shd w:val="clear" w:color="auto" w:fill="auto"/>
            <w:noWrap/>
          </w:tcPr>
          <w:p w:rsidR="00DD5099" w:rsidRDefault="00DD5099">
            <w:r w:rsidRPr="001C4646">
              <w:rPr>
                <w:rFonts w:cs="Calibri"/>
                <w:color w:val="000000"/>
              </w:rPr>
              <w:t>Not evaluated</w:t>
            </w:r>
          </w:p>
        </w:tc>
      </w:tr>
      <w:tr w:rsidR="00DD5099" w:rsidRPr="005E76D2" w:rsidTr="00CA3E89">
        <w:trPr>
          <w:trHeight w:val="285"/>
          <w:jc w:val="center"/>
        </w:trPr>
        <w:tc>
          <w:tcPr>
            <w:tcW w:w="9705" w:type="dxa"/>
            <w:gridSpan w:val="5"/>
          </w:tcPr>
          <w:p w:rsidR="00DD5099" w:rsidRPr="005E76D2" w:rsidRDefault="00DD5099" w:rsidP="00FC3001">
            <w:pPr>
              <w:jc w:val="center"/>
              <w:rPr>
                <w:rFonts w:eastAsia="Times New Roman" w:cs="Times New Roman"/>
                <w:b/>
                <w:bCs/>
                <w:color w:val="003591"/>
              </w:rPr>
            </w:pPr>
            <w:r w:rsidRPr="005E76D2">
              <w:rPr>
                <w:rFonts w:eastAsia="Times New Roman" w:cs="Times New Roman"/>
                <w:b/>
                <w:bCs/>
                <w:color w:val="003591"/>
              </w:rPr>
              <w:t>Gas (</w:t>
            </w:r>
            <w:r>
              <w:rPr>
                <w:rFonts w:eastAsia="Times New Roman" w:cs="Times New Roman"/>
                <w:b/>
                <w:bCs/>
                <w:color w:val="003591"/>
              </w:rPr>
              <w:t>t</w:t>
            </w:r>
            <w:r w:rsidRPr="005E76D2">
              <w:rPr>
                <w:rFonts w:eastAsia="Times New Roman" w:cs="Times New Roman"/>
                <w:b/>
                <w:bCs/>
                <w:color w:val="003591"/>
              </w:rPr>
              <w:t>herm</w:t>
            </w:r>
            <w:r>
              <w:rPr>
                <w:rFonts w:eastAsia="Times New Roman" w:cs="Times New Roman"/>
                <w:b/>
                <w:bCs/>
                <w:color w:val="003591"/>
              </w:rPr>
              <w:t>s</w:t>
            </w:r>
            <w:r w:rsidRPr="005E76D2">
              <w:rPr>
                <w:rFonts w:eastAsia="Times New Roman" w:cs="Times New Roman"/>
                <w:b/>
                <w:bCs/>
                <w:color w:val="003591"/>
              </w:rPr>
              <w:t>)</w:t>
            </w:r>
          </w:p>
        </w:tc>
      </w:tr>
      <w:tr w:rsidR="00DD5099" w:rsidRPr="005E76D2" w:rsidTr="00800951">
        <w:trPr>
          <w:trHeight w:val="285"/>
          <w:jc w:val="center"/>
        </w:trPr>
        <w:tc>
          <w:tcPr>
            <w:tcW w:w="1533" w:type="dxa"/>
            <w:shd w:val="clear" w:color="auto" w:fill="auto"/>
            <w:noWrap/>
            <w:vAlign w:val="bottom"/>
            <w:hideMark/>
          </w:tcPr>
          <w:p w:rsidR="00DD5099" w:rsidRPr="005E76D2" w:rsidRDefault="00DD5099" w:rsidP="00FC3001">
            <w:pPr>
              <w:rPr>
                <w:rFonts w:eastAsia="Times New Roman" w:cs="Times New Roman"/>
                <w:b/>
                <w:bCs/>
                <w:color w:val="003591"/>
              </w:rPr>
            </w:pPr>
            <w:r w:rsidRPr="005E76D2">
              <w:rPr>
                <w:rFonts w:eastAsia="Times New Roman" w:cs="Times New Roman"/>
                <w:b/>
                <w:bCs/>
                <w:color w:val="003591"/>
              </w:rPr>
              <w:t>High user</w:t>
            </w:r>
            <w:r>
              <w:rPr>
                <w:rFonts w:eastAsia="Times New Roman" w:cs="Times New Roman"/>
                <w:b/>
                <w:bCs/>
                <w:color w:val="003591"/>
              </w:rPr>
              <w:t>s</w:t>
            </w:r>
          </w:p>
        </w:tc>
        <w:tc>
          <w:tcPr>
            <w:tcW w:w="2071" w:type="dxa"/>
            <w:shd w:val="clear" w:color="auto" w:fill="auto"/>
            <w:noWrap/>
            <w:vAlign w:val="center"/>
            <w:hideMark/>
          </w:tcPr>
          <w:p w:rsidR="00DD5099" w:rsidRDefault="00DD5099" w:rsidP="00FC3001">
            <w:pPr>
              <w:jc w:val="center"/>
              <w:rPr>
                <w:rFonts w:cs="Calibri"/>
                <w:color w:val="000000"/>
              </w:rPr>
            </w:pPr>
            <w:r>
              <w:rPr>
                <w:rFonts w:cs="Calibri"/>
                <w:color w:val="000000"/>
              </w:rPr>
              <w:t xml:space="preserve">10.4* </w:t>
            </w:r>
          </w:p>
          <w:p w:rsidR="00DD5099" w:rsidRPr="005E76D2" w:rsidRDefault="00DD5099" w:rsidP="00FC3001">
            <w:pPr>
              <w:jc w:val="center"/>
              <w:rPr>
                <w:rFonts w:eastAsia="Times New Roman" w:cs="Times New Roman"/>
                <w:color w:val="000000"/>
              </w:rPr>
            </w:pPr>
            <w:r>
              <w:rPr>
                <w:rFonts w:cs="Calibri"/>
                <w:color w:val="000000"/>
              </w:rPr>
              <w:t>(6.2,14.6)</w:t>
            </w:r>
          </w:p>
        </w:tc>
        <w:tc>
          <w:tcPr>
            <w:tcW w:w="1799" w:type="dxa"/>
            <w:shd w:val="clear" w:color="auto" w:fill="auto"/>
            <w:noWrap/>
            <w:vAlign w:val="center"/>
            <w:hideMark/>
          </w:tcPr>
          <w:p w:rsidR="00DD5099" w:rsidRDefault="00DD5099" w:rsidP="00FC3001">
            <w:pPr>
              <w:jc w:val="center"/>
              <w:rPr>
                <w:rFonts w:cs="Calibri"/>
                <w:color w:val="000000"/>
              </w:rPr>
            </w:pPr>
            <w:r>
              <w:rPr>
                <w:rFonts w:cs="Calibri"/>
                <w:color w:val="000000"/>
              </w:rPr>
              <w:t xml:space="preserve">0.8* </w:t>
            </w:r>
          </w:p>
          <w:p w:rsidR="00DD5099" w:rsidRPr="005E76D2" w:rsidRDefault="00DD5099" w:rsidP="00FC3001">
            <w:pPr>
              <w:jc w:val="center"/>
              <w:rPr>
                <w:rFonts w:eastAsia="Times New Roman" w:cs="Times New Roman"/>
                <w:color w:val="000000"/>
              </w:rPr>
            </w:pPr>
            <w:r>
              <w:rPr>
                <w:rFonts w:cs="Calibri"/>
                <w:color w:val="000000"/>
              </w:rPr>
              <w:t>(0.4,1.3)</w:t>
            </w:r>
          </w:p>
        </w:tc>
        <w:tc>
          <w:tcPr>
            <w:tcW w:w="2151" w:type="dxa"/>
            <w:vAlign w:val="bottom"/>
          </w:tcPr>
          <w:p w:rsidR="00DD5099" w:rsidRPr="00AF0BB5" w:rsidRDefault="00DD5099" w:rsidP="00DD5099">
            <w:pPr>
              <w:jc w:val="center"/>
              <w:rPr>
                <w:rFonts w:cs="Calibri"/>
                <w:color w:val="000000"/>
              </w:rPr>
            </w:pPr>
            <w:r w:rsidRPr="00AF0BB5">
              <w:rPr>
                <w:rFonts w:cs="Calibri"/>
                <w:color w:val="000000"/>
              </w:rPr>
              <w:t>0.5</w:t>
            </w:r>
          </w:p>
        </w:tc>
        <w:tc>
          <w:tcPr>
            <w:tcW w:w="2151" w:type="dxa"/>
            <w:shd w:val="clear" w:color="auto" w:fill="auto"/>
            <w:noWrap/>
            <w:vAlign w:val="center"/>
            <w:hideMark/>
          </w:tcPr>
          <w:p w:rsidR="00DD5099" w:rsidRDefault="00DD5099" w:rsidP="00FC3001">
            <w:pPr>
              <w:jc w:val="center"/>
              <w:rPr>
                <w:rFonts w:cs="Calibri"/>
                <w:color w:val="000000"/>
              </w:rPr>
            </w:pPr>
            <w:r>
              <w:rPr>
                <w:rFonts w:cs="Calibri"/>
                <w:color w:val="000000"/>
              </w:rPr>
              <w:t xml:space="preserve">9.1* </w:t>
            </w:r>
          </w:p>
          <w:p w:rsidR="00DD5099" w:rsidRPr="005E76D2" w:rsidRDefault="00DD5099" w:rsidP="00FC3001">
            <w:pPr>
              <w:jc w:val="center"/>
              <w:rPr>
                <w:rFonts w:eastAsia="Times New Roman" w:cs="Times New Roman"/>
                <w:color w:val="000000"/>
              </w:rPr>
            </w:pPr>
            <w:r>
              <w:rPr>
                <w:rFonts w:cs="Calibri"/>
                <w:color w:val="000000"/>
              </w:rPr>
              <w:t>(5.1,13.1)</w:t>
            </w:r>
          </w:p>
        </w:tc>
      </w:tr>
      <w:tr w:rsidR="00DD5099" w:rsidRPr="005E76D2" w:rsidTr="00800951">
        <w:trPr>
          <w:trHeight w:val="285"/>
          <w:jc w:val="center"/>
        </w:trPr>
        <w:tc>
          <w:tcPr>
            <w:tcW w:w="1533" w:type="dxa"/>
            <w:shd w:val="clear" w:color="auto" w:fill="auto"/>
            <w:noWrap/>
            <w:vAlign w:val="bottom"/>
            <w:hideMark/>
          </w:tcPr>
          <w:p w:rsidR="00DD5099" w:rsidRPr="005E76D2" w:rsidRDefault="00DD5099" w:rsidP="00FC3001">
            <w:pPr>
              <w:rPr>
                <w:rFonts w:eastAsia="Times New Roman" w:cs="Times New Roman"/>
                <w:b/>
                <w:bCs/>
                <w:color w:val="003591"/>
              </w:rPr>
            </w:pPr>
            <w:r w:rsidRPr="005E76D2">
              <w:rPr>
                <w:rFonts w:eastAsia="Times New Roman" w:cs="Times New Roman"/>
                <w:b/>
                <w:bCs/>
                <w:color w:val="003591"/>
              </w:rPr>
              <w:t>Non-urban</w:t>
            </w:r>
          </w:p>
        </w:tc>
        <w:tc>
          <w:tcPr>
            <w:tcW w:w="2071" w:type="dxa"/>
            <w:shd w:val="clear" w:color="auto" w:fill="auto"/>
            <w:noWrap/>
            <w:vAlign w:val="center"/>
            <w:hideMark/>
          </w:tcPr>
          <w:p w:rsidR="00DD5099" w:rsidRDefault="00DD5099" w:rsidP="00FC3001">
            <w:pPr>
              <w:jc w:val="center"/>
              <w:rPr>
                <w:rFonts w:cs="Calibri"/>
                <w:color w:val="000000"/>
              </w:rPr>
            </w:pPr>
            <w:r>
              <w:rPr>
                <w:rFonts w:cs="Calibri"/>
                <w:color w:val="000000"/>
              </w:rPr>
              <w:t xml:space="preserve">4.3* </w:t>
            </w:r>
          </w:p>
          <w:p w:rsidR="00DD5099" w:rsidRPr="005E76D2" w:rsidRDefault="00DD5099" w:rsidP="00FC3001">
            <w:pPr>
              <w:jc w:val="center"/>
              <w:rPr>
                <w:rFonts w:eastAsia="Times New Roman" w:cs="Times New Roman"/>
                <w:color w:val="000000"/>
              </w:rPr>
            </w:pPr>
            <w:r>
              <w:rPr>
                <w:rFonts w:cs="Calibri"/>
                <w:color w:val="000000"/>
              </w:rPr>
              <w:t>(1.6,7.0)</w:t>
            </w:r>
          </w:p>
        </w:tc>
        <w:tc>
          <w:tcPr>
            <w:tcW w:w="1799" w:type="dxa"/>
            <w:shd w:val="clear" w:color="auto" w:fill="auto"/>
            <w:noWrap/>
            <w:vAlign w:val="center"/>
            <w:hideMark/>
          </w:tcPr>
          <w:p w:rsidR="00DD5099" w:rsidRDefault="00DD5099" w:rsidP="00FC3001">
            <w:pPr>
              <w:jc w:val="center"/>
              <w:rPr>
                <w:rFonts w:cs="Calibri"/>
                <w:color w:val="000000"/>
              </w:rPr>
            </w:pPr>
            <w:r>
              <w:rPr>
                <w:rFonts w:cs="Calibri"/>
                <w:color w:val="000000"/>
              </w:rPr>
              <w:t xml:space="preserve">0.1 </w:t>
            </w:r>
          </w:p>
          <w:p w:rsidR="00DD5099" w:rsidRPr="005E76D2" w:rsidRDefault="00DD5099" w:rsidP="00FC3001">
            <w:pPr>
              <w:jc w:val="center"/>
              <w:rPr>
                <w:rFonts w:eastAsia="Times New Roman" w:cs="Times New Roman"/>
                <w:color w:val="000000"/>
              </w:rPr>
            </w:pPr>
            <w:r>
              <w:rPr>
                <w:rFonts w:cs="Calibri"/>
                <w:color w:val="000000"/>
              </w:rPr>
              <w:t>(-0.2,0.4)</w:t>
            </w:r>
          </w:p>
        </w:tc>
        <w:tc>
          <w:tcPr>
            <w:tcW w:w="2151" w:type="dxa"/>
            <w:vAlign w:val="bottom"/>
          </w:tcPr>
          <w:p w:rsidR="00DD5099" w:rsidRPr="00AF0BB5" w:rsidRDefault="00DD5099" w:rsidP="00DD5099">
            <w:pPr>
              <w:jc w:val="center"/>
              <w:rPr>
                <w:rFonts w:cs="Calibri"/>
                <w:color w:val="000000"/>
              </w:rPr>
            </w:pPr>
            <w:r w:rsidRPr="00AF0BB5">
              <w:rPr>
                <w:rFonts w:cs="Calibri"/>
                <w:color w:val="000000"/>
              </w:rPr>
              <w:t>0.2</w:t>
            </w:r>
          </w:p>
        </w:tc>
        <w:tc>
          <w:tcPr>
            <w:tcW w:w="2151" w:type="dxa"/>
            <w:shd w:val="clear" w:color="auto" w:fill="auto"/>
            <w:noWrap/>
            <w:vAlign w:val="center"/>
            <w:hideMark/>
          </w:tcPr>
          <w:p w:rsidR="00DD5099" w:rsidRDefault="00DD5099" w:rsidP="00FC3001">
            <w:pPr>
              <w:jc w:val="center"/>
              <w:rPr>
                <w:rFonts w:cs="Calibri"/>
                <w:color w:val="000000"/>
              </w:rPr>
            </w:pPr>
            <w:r>
              <w:rPr>
                <w:rFonts w:cs="Calibri"/>
                <w:color w:val="000000"/>
              </w:rPr>
              <w:t xml:space="preserve">4.0* </w:t>
            </w:r>
          </w:p>
          <w:p w:rsidR="00DD5099" w:rsidRPr="005E76D2" w:rsidRDefault="00DD5099" w:rsidP="00FC3001">
            <w:pPr>
              <w:jc w:val="center"/>
              <w:rPr>
                <w:rFonts w:eastAsia="Times New Roman" w:cs="Times New Roman"/>
                <w:color w:val="000000"/>
              </w:rPr>
            </w:pPr>
            <w:r>
              <w:rPr>
                <w:rFonts w:cs="Calibri"/>
                <w:color w:val="000000"/>
              </w:rPr>
              <w:t>(1.4,6.6)</w:t>
            </w:r>
          </w:p>
        </w:tc>
      </w:tr>
      <w:tr w:rsidR="00DD5099" w:rsidRPr="005E76D2" w:rsidTr="00D60BA1">
        <w:trPr>
          <w:trHeight w:val="285"/>
          <w:jc w:val="center"/>
        </w:trPr>
        <w:tc>
          <w:tcPr>
            <w:tcW w:w="1533" w:type="dxa"/>
            <w:shd w:val="clear" w:color="auto" w:fill="auto"/>
            <w:noWrap/>
            <w:vAlign w:val="bottom"/>
          </w:tcPr>
          <w:p w:rsidR="00DD5099" w:rsidRPr="005E76D2" w:rsidRDefault="00DD5099" w:rsidP="00FC3001">
            <w:pPr>
              <w:rPr>
                <w:rFonts w:eastAsia="Times New Roman" w:cs="Times New Roman"/>
                <w:b/>
                <w:bCs/>
                <w:color w:val="003591"/>
              </w:rPr>
            </w:pPr>
            <w:r>
              <w:rPr>
                <w:rFonts w:eastAsia="Times New Roman" w:cs="Calibri"/>
                <w:b/>
                <w:bCs/>
                <w:color w:val="002776"/>
              </w:rPr>
              <w:t>Refresh Group</w:t>
            </w:r>
          </w:p>
        </w:tc>
        <w:tc>
          <w:tcPr>
            <w:tcW w:w="2071" w:type="dxa"/>
            <w:shd w:val="clear" w:color="auto" w:fill="auto"/>
            <w:noWrap/>
          </w:tcPr>
          <w:p w:rsidR="00DD5099" w:rsidRDefault="00DD5099">
            <w:r w:rsidRPr="00206DB2">
              <w:rPr>
                <w:rFonts w:cs="Calibri"/>
                <w:color w:val="000000"/>
              </w:rPr>
              <w:t>Not evaluated</w:t>
            </w:r>
          </w:p>
        </w:tc>
        <w:tc>
          <w:tcPr>
            <w:tcW w:w="1799" w:type="dxa"/>
            <w:shd w:val="clear" w:color="auto" w:fill="auto"/>
            <w:noWrap/>
          </w:tcPr>
          <w:p w:rsidR="00DD5099" w:rsidRDefault="00DD5099">
            <w:r w:rsidRPr="00206DB2">
              <w:rPr>
                <w:rFonts w:cs="Calibri"/>
                <w:color w:val="000000"/>
              </w:rPr>
              <w:t>Not evaluated</w:t>
            </w:r>
          </w:p>
        </w:tc>
        <w:tc>
          <w:tcPr>
            <w:tcW w:w="2151" w:type="dxa"/>
          </w:tcPr>
          <w:p w:rsidR="00DD5099" w:rsidRDefault="00DD5099" w:rsidP="00DD5099">
            <w:pPr>
              <w:jc w:val="center"/>
            </w:pPr>
            <w:r w:rsidRPr="00206DB2">
              <w:rPr>
                <w:rFonts w:cs="Calibri"/>
                <w:color w:val="000000"/>
              </w:rPr>
              <w:t>Not evaluated</w:t>
            </w:r>
          </w:p>
        </w:tc>
        <w:tc>
          <w:tcPr>
            <w:tcW w:w="2151" w:type="dxa"/>
            <w:shd w:val="clear" w:color="auto" w:fill="auto"/>
            <w:noWrap/>
          </w:tcPr>
          <w:p w:rsidR="00DD5099" w:rsidRDefault="00DD5099">
            <w:r w:rsidRPr="00206DB2">
              <w:rPr>
                <w:rFonts w:cs="Calibri"/>
                <w:color w:val="000000"/>
              </w:rPr>
              <w:t>Not evaluated</w:t>
            </w:r>
          </w:p>
        </w:tc>
      </w:tr>
    </w:tbl>
    <w:p w:rsidR="00943B9B" w:rsidRPr="008A12A2" w:rsidRDefault="00943B9B" w:rsidP="00DD5099">
      <w:pPr>
        <w:pStyle w:val="Caption"/>
        <w:keepNext/>
        <w:rPr>
          <w:b w:val="0"/>
          <w:bCs/>
          <w:i/>
          <w:iCs/>
        </w:rPr>
      </w:pPr>
      <w:r w:rsidRPr="008A12A2">
        <w:rPr>
          <w:b w:val="0"/>
          <w:bCs/>
          <w:i/>
          <w:iCs/>
        </w:rPr>
        <w:t xml:space="preserve">* indicates statistically significant at 90% confidence level. Values in parentheses show </w:t>
      </w:r>
    </w:p>
    <w:p w:rsidR="00943B9B" w:rsidRPr="008A12A2" w:rsidRDefault="00943B9B" w:rsidP="00DD5099">
      <w:pPr>
        <w:pStyle w:val="Caption"/>
        <w:keepNext/>
        <w:ind w:left="180"/>
        <w:rPr>
          <w:b w:val="0"/>
          <w:bCs/>
          <w:i/>
          <w:iCs/>
        </w:rPr>
      </w:pPr>
      <w:r w:rsidRPr="008A12A2">
        <w:rPr>
          <w:b w:val="0"/>
          <w:bCs/>
          <w:i/>
          <w:iCs/>
        </w:rPr>
        <w:t>upper and lower bounds at 90% confidence interval</w:t>
      </w:r>
    </w:p>
    <w:p w:rsidR="00EB6619" w:rsidRDefault="00EB6619" w:rsidP="002206DE">
      <w:pPr>
        <w:pStyle w:val="BodyText"/>
      </w:pPr>
    </w:p>
    <w:p w:rsidR="00943B9B" w:rsidRDefault="00943B9B" w:rsidP="002206DE">
      <w:pPr>
        <w:pStyle w:val="BodyText"/>
      </w:pPr>
      <w:r>
        <w:fldChar w:fldCharType="begin"/>
      </w:r>
      <w:r>
        <w:instrText xml:space="preserve"> REF _Ref385239225 \h </w:instrText>
      </w:r>
      <w:r>
        <w:fldChar w:fldCharType="separate"/>
      </w:r>
      <w:r w:rsidR="00B31EF0">
        <w:t xml:space="preserve">Table </w:t>
      </w:r>
      <w:r w:rsidR="00B31EF0">
        <w:rPr>
          <w:noProof/>
        </w:rPr>
        <w:t>0</w:t>
      </w:r>
      <w:r w:rsidR="00B31EF0">
        <w:noBreakHyphen/>
      </w:r>
      <w:r w:rsidR="00B31EF0">
        <w:rPr>
          <w:noProof/>
        </w:rPr>
        <w:t>5</w:t>
      </w:r>
      <w:r>
        <w:fldChar w:fldCharType="end"/>
      </w:r>
      <w:r>
        <w:t xml:space="preserve"> summarizes the HER program results with respect to average consumption. The current treatment group produced credited savings at </w:t>
      </w:r>
      <w:r w:rsidR="00E60A20">
        <w:t>2.8</w:t>
      </w:r>
      <w:r>
        <w:t>% and 1.</w:t>
      </w:r>
      <w:r w:rsidR="00E60A20">
        <w:t>5</w:t>
      </w:r>
      <w:r>
        <w:t xml:space="preserve">% for electric and gas, respectively. Even after </w:t>
      </w:r>
      <w:r w:rsidR="00E60A20">
        <w:t xml:space="preserve">five </w:t>
      </w:r>
      <w:r>
        <w:t xml:space="preserve">years of not receiving the report, the suspended treatment group still produced statistically significant savings but those savings were only just over </w:t>
      </w:r>
      <w:r w:rsidR="00E60A20">
        <w:t>one-fourth</w:t>
      </w:r>
      <w:r>
        <w:t xml:space="preserve"> of the electric savings of the current treatment group. This difference in savings between the current and suspended groups was statistically significant at 90% confidence level. With respect to gas savings, the suspended treatment group has maintained over </w:t>
      </w:r>
      <w:r w:rsidR="00E60A20">
        <w:t>half</w:t>
      </w:r>
      <w:r>
        <w:t xml:space="preserve"> of the gas savings of the current group.</w:t>
      </w:r>
      <w:r w:rsidRPr="00990C5F">
        <w:t xml:space="preserve"> </w:t>
      </w:r>
    </w:p>
    <w:p w:rsidR="00943B9B" w:rsidRDefault="00943B9B" w:rsidP="00943B9B">
      <w:pPr>
        <w:pStyle w:val="Caption"/>
        <w:keepNext/>
        <w:jc w:val="center"/>
      </w:pPr>
      <w:bookmarkStart w:id="15" w:name="_Ref385239225"/>
      <w:bookmarkStart w:id="16" w:name="_Ref384987080"/>
      <w:bookmarkStart w:id="17" w:name="_Toc385430840"/>
      <w:r>
        <w:lastRenderedPageBreak/>
        <w:t xml:space="preserve">Table </w:t>
      </w:r>
      <w:r>
        <w:fldChar w:fldCharType="begin"/>
      </w:r>
      <w:r>
        <w:instrText xml:space="preserve"> STYLEREF 1 \s </w:instrText>
      </w:r>
      <w:r>
        <w:fldChar w:fldCharType="separate"/>
      </w:r>
      <w:r w:rsidR="00B31EF0">
        <w:rPr>
          <w:noProof/>
        </w:rPr>
        <w:t>0</w:t>
      </w:r>
      <w:r>
        <w:rPr>
          <w:noProof/>
        </w:rPr>
        <w:fldChar w:fldCharType="end"/>
      </w:r>
      <w:r>
        <w:noBreakHyphen/>
      </w:r>
      <w:r>
        <w:fldChar w:fldCharType="begin"/>
      </w:r>
      <w:r>
        <w:instrText xml:space="preserve"> SEQ Table \* ARABIC \s 1 </w:instrText>
      </w:r>
      <w:r>
        <w:fldChar w:fldCharType="separate"/>
      </w:r>
      <w:r w:rsidR="00B31EF0">
        <w:rPr>
          <w:noProof/>
        </w:rPr>
        <w:t>5</w:t>
      </w:r>
      <w:r>
        <w:rPr>
          <w:noProof/>
        </w:rPr>
        <w:fldChar w:fldCharType="end"/>
      </w:r>
      <w:bookmarkEnd w:id="15"/>
      <w:r>
        <w:t>: Credited Savings per Household as a Percent of Consumption</w:t>
      </w:r>
      <w:bookmarkEnd w:id="16"/>
      <w:bookmarkEnd w:id="17"/>
    </w:p>
    <w:tbl>
      <w:tblPr>
        <w:tblW w:w="100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751"/>
        <w:gridCol w:w="1579"/>
        <w:gridCol w:w="1170"/>
        <w:gridCol w:w="1707"/>
        <w:gridCol w:w="1173"/>
        <w:gridCol w:w="1170"/>
      </w:tblGrid>
      <w:tr w:rsidR="00943B9B" w:rsidRPr="000A2FC7" w:rsidTr="00DD5099">
        <w:trPr>
          <w:trHeight w:val="315"/>
        </w:trPr>
        <w:tc>
          <w:tcPr>
            <w:tcW w:w="1545" w:type="dxa"/>
            <w:vMerge w:val="restart"/>
            <w:shd w:val="clear" w:color="000000" w:fill="003591"/>
            <w:vAlign w:val="bottom"/>
            <w:hideMark/>
          </w:tcPr>
          <w:p w:rsidR="00943B9B" w:rsidRPr="000A2FC7" w:rsidRDefault="00943B9B" w:rsidP="00FC3001">
            <w:pPr>
              <w:keepNext/>
              <w:jc w:val="center"/>
              <w:rPr>
                <w:rFonts w:eastAsia="Times New Roman" w:cs="Times New Roman"/>
                <w:b/>
                <w:bCs/>
                <w:color w:val="FFFFFF"/>
                <w:lang w:eastAsia="en-US"/>
              </w:rPr>
            </w:pPr>
            <w:r w:rsidRPr="000A2FC7">
              <w:rPr>
                <w:rFonts w:eastAsia="Times New Roman" w:cs="Times New Roman"/>
                <w:b/>
                <w:bCs/>
                <w:color w:val="FFFFFF"/>
                <w:lang w:eastAsia="en-US"/>
              </w:rPr>
              <w:t>HER Treatment Group</w:t>
            </w:r>
          </w:p>
        </w:tc>
        <w:tc>
          <w:tcPr>
            <w:tcW w:w="4500" w:type="dxa"/>
            <w:gridSpan w:val="3"/>
            <w:shd w:val="clear" w:color="000000" w:fill="003591"/>
            <w:vAlign w:val="bottom"/>
            <w:hideMark/>
          </w:tcPr>
          <w:p w:rsidR="00943B9B" w:rsidRPr="000A2FC7" w:rsidRDefault="00943B9B" w:rsidP="00FC3001">
            <w:pPr>
              <w:keepNext/>
              <w:jc w:val="center"/>
              <w:rPr>
                <w:rFonts w:eastAsia="Times New Roman" w:cs="Times New Roman"/>
                <w:b/>
                <w:bCs/>
                <w:color w:val="FFFFFF"/>
                <w:lang w:eastAsia="en-US"/>
              </w:rPr>
            </w:pPr>
            <w:r w:rsidRPr="000A2FC7">
              <w:rPr>
                <w:rFonts w:eastAsia="Times New Roman" w:cs="Times New Roman"/>
                <w:b/>
                <w:bCs/>
                <w:color w:val="FFFFFF"/>
                <w:lang w:eastAsia="en-US"/>
              </w:rPr>
              <w:t>Electric (kWh)</w:t>
            </w:r>
          </w:p>
        </w:tc>
        <w:tc>
          <w:tcPr>
            <w:tcW w:w="4050" w:type="dxa"/>
            <w:gridSpan w:val="3"/>
            <w:shd w:val="clear" w:color="000000" w:fill="003591"/>
            <w:vAlign w:val="bottom"/>
            <w:hideMark/>
          </w:tcPr>
          <w:p w:rsidR="00943B9B" w:rsidRPr="000A2FC7" w:rsidRDefault="00943B9B" w:rsidP="00FC3001">
            <w:pPr>
              <w:keepNext/>
              <w:jc w:val="center"/>
              <w:rPr>
                <w:rFonts w:eastAsia="Times New Roman" w:cs="Times New Roman"/>
                <w:b/>
                <w:bCs/>
                <w:color w:val="FFFFFF"/>
                <w:lang w:eastAsia="en-US"/>
              </w:rPr>
            </w:pPr>
            <w:r w:rsidRPr="000A2FC7">
              <w:rPr>
                <w:rFonts w:eastAsia="Times New Roman" w:cs="Times New Roman"/>
                <w:b/>
                <w:bCs/>
                <w:color w:val="FFFFFF"/>
                <w:lang w:eastAsia="en-US"/>
              </w:rPr>
              <w:t>Gas (therms)</w:t>
            </w:r>
          </w:p>
        </w:tc>
      </w:tr>
      <w:tr w:rsidR="00943B9B" w:rsidRPr="000A2FC7" w:rsidTr="00DD5099">
        <w:trPr>
          <w:trHeight w:val="465"/>
        </w:trPr>
        <w:tc>
          <w:tcPr>
            <w:tcW w:w="1545" w:type="dxa"/>
            <w:vMerge/>
            <w:vAlign w:val="center"/>
            <w:hideMark/>
          </w:tcPr>
          <w:p w:rsidR="00943B9B" w:rsidRPr="000A2FC7" w:rsidRDefault="00943B9B" w:rsidP="00FC3001">
            <w:pPr>
              <w:keepNext/>
              <w:rPr>
                <w:rFonts w:eastAsia="Times New Roman" w:cs="Times New Roman"/>
                <w:b/>
                <w:bCs/>
                <w:color w:val="FFFFFF"/>
                <w:lang w:eastAsia="en-US"/>
              </w:rPr>
            </w:pPr>
          </w:p>
        </w:tc>
        <w:tc>
          <w:tcPr>
            <w:tcW w:w="1751" w:type="dxa"/>
            <w:shd w:val="clear" w:color="000000" w:fill="003591"/>
            <w:vAlign w:val="bottom"/>
            <w:hideMark/>
          </w:tcPr>
          <w:p w:rsidR="00943B9B" w:rsidRPr="000A2FC7" w:rsidRDefault="00943B9B" w:rsidP="00FC3001">
            <w:pPr>
              <w:keepNext/>
              <w:jc w:val="center"/>
              <w:rPr>
                <w:rFonts w:eastAsia="Times New Roman" w:cs="Times New Roman"/>
                <w:b/>
                <w:bCs/>
                <w:color w:val="FFFFFF"/>
                <w:lang w:eastAsia="en-US"/>
              </w:rPr>
            </w:pPr>
            <w:r w:rsidRPr="000A2FC7">
              <w:rPr>
                <w:rFonts w:eastAsia="Times New Roman" w:cs="Times New Roman"/>
                <w:b/>
                <w:bCs/>
                <w:color w:val="FFFFFF"/>
                <w:lang w:eastAsia="en-US"/>
              </w:rPr>
              <w:t>Consumption*</w:t>
            </w:r>
          </w:p>
        </w:tc>
        <w:tc>
          <w:tcPr>
            <w:tcW w:w="1579" w:type="dxa"/>
            <w:shd w:val="clear" w:color="000000" w:fill="003591"/>
            <w:vAlign w:val="bottom"/>
            <w:hideMark/>
          </w:tcPr>
          <w:p w:rsidR="00943B9B" w:rsidRPr="000A2FC7" w:rsidRDefault="00943B9B" w:rsidP="00FC3001">
            <w:pPr>
              <w:keepNext/>
              <w:jc w:val="center"/>
              <w:rPr>
                <w:rFonts w:eastAsia="Times New Roman" w:cs="Times New Roman"/>
                <w:b/>
                <w:bCs/>
                <w:color w:val="FFFFFF"/>
                <w:lang w:eastAsia="en-US"/>
              </w:rPr>
            </w:pPr>
            <w:r w:rsidRPr="000A2FC7">
              <w:rPr>
                <w:rFonts w:eastAsia="Times New Roman" w:cs="Times New Roman"/>
                <w:b/>
                <w:bCs/>
                <w:color w:val="FFFFFF"/>
                <w:lang w:eastAsia="en-US"/>
              </w:rPr>
              <w:t>Savings</w:t>
            </w:r>
          </w:p>
        </w:tc>
        <w:tc>
          <w:tcPr>
            <w:tcW w:w="1170" w:type="dxa"/>
            <w:shd w:val="clear" w:color="000000" w:fill="003591"/>
            <w:vAlign w:val="bottom"/>
            <w:hideMark/>
          </w:tcPr>
          <w:p w:rsidR="00943B9B" w:rsidRPr="000A2FC7" w:rsidRDefault="00943B9B" w:rsidP="00FC3001">
            <w:pPr>
              <w:keepNext/>
              <w:jc w:val="center"/>
              <w:rPr>
                <w:rFonts w:eastAsia="Times New Roman" w:cs="Times New Roman"/>
                <w:b/>
                <w:bCs/>
                <w:color w:val="FFFFFF"/>
                <w:lang w:eastAsia="en-US"/>
              </w:rPr>
            </w:pPr>
            <w:r w:rsidRPr="000A2FC7">
              <w:rPr>
                <w:rFonts w:eastAsia="Times New Roman" w:cs="Times New Roman"/>
                <w:b/>
                <w:bCs/>
                <w:color w:val="FFFFFF"/>
                <w:lang w:eastAsia="en-US"/>
              </w:rPr>
              <w:t>Percent</w:t>
            </w:r>
          </w:p>
        </w:tc>
        <w:tc>
          <w:tcPr>
            <w:tcW w:w="1707" w:type="dxa"/>
            <w:shd w:val="clear" w:color="000000" w:fill="003591"/>
            <w:vAlign w:val="bottom"/>
            <w:hideMark/>
          </w:tcPr>
          <w:p w:rsidR="00943B9B" w:rsidRPr="000A2FC7" w:rsidRDefault="00943B9B" w:rsidP="00FC3001">
            <w:pPr>
              <w:keepNext/>
              <w:jc w:val="center"/>
              <w:rPr>
                <w:rFonts w:eastAsia="Times New Roman" w:cs="Times New Roman"/>
                <w:b/>
                <w:bCs/>
                <w:color w:val="FFFFFF"/>
                <w:lang w:eastAsia="en-US"/>
              </w:rPr>
            </w:pPr>
            <w:r w:rsidRPr="000A2FC7">
              <w:rPr>
                <w:rFonts w:eastAsia="Times New Roman" w:cs="Times New Roman"/>
                <w:b/>
                <w:bCs/>
                <w:color w:val="FFFFFF"/>
                <w:lang w:eastAsia="en-US"/>
              </w:rPr>
              <w:t>Consumption*</w:t>
            </w:r>
          </w:p>
        </w:tc>
        <w:tc>
          <w:tcPr>
            <w:tcW w:w="1173" w:type="dxa"/>
            <w:shd w:val="clear" w:color="000000" w:fill="003591"/>
            <w:vAlign w:val="bottom"/>
            <w:hideMark/>
          </w:tcPr>
          <w:p w:rsidR="00943B9B" w:rsidRPr="000A2FC7" w:rsidRDefault="00943B9B" w:rsidP="00FC3001">
            <w:pPr>
              <w:keepNext/>
              <w:jc w:val="center"/>
              <w:rPr>
                <w:rFonts w:eastAsia="Times New Roman" w:cs="Times New Roman"/>
                <w:b/>
                <w:bCs/>
                <w:color w:val="FFFFFF"/>
                <w:lang w:eastAsia="en-US"/>
              </w:rPr>
            </w:pPr>
            <w:r w:rsidRPr="000A2FC7">
              <w:rPr>
                <w:rFonts w:eastAsia="Times New Roman" w:cs="Times New Roman"/>
                <w:b/>
                <w:bCs/>
                <w:color w:val="FFFFFF"/>
                <w:lang w:eastAsia="en-US"/>
              </w:rPr>
              <w:t>Savings</w:t>
            </w:r>
          </w:p>
        </w:tc>
        <w:tc>
          <w:tcPr>
            <w:tcW w:w="1170" w:type="dxa"/>
            <w:shd w:val="clear" w:color="000000" w:fill="003591"/>
            <w:vAlign w:val="bottom"/>
            <w:hideMark/>
          </w:tcPr>
          <w:p w:rsidR="00943B9B" w:rsidRPr="000A2FC7" w:rsidRDefault="00943B9B" w:rsidP="00FC3001">
            <w:pPr>
              <w:keepNext/>
              <w:jc w:val="center"/>
              <w:rPr>
                <w:rFonts w:eastAsia="Times New Roman" w:cs="Times New Roman"/>
                <w:b/>
                <w:bCs/>
                <w:color w:val="FFFFFF"/>
                <w:lang w:eastAsia="en-US"/>
              </w:rPr>
            </w:pPr>
            <w:r w:rsidRPr="000A2FC7">
              <w:rPr>
                <w:rFonts w:eastAsia="Times New Roman" w:cs="Times New Roman"/>
                <w:b/>
                <w:bCs/>
                <w:color w:val="FFFFFF"/>
                <w:lang w:eastAsia="en-US"/>
              </w:rPr>
              <w:t>Percent</w:t>
            </w:r>
          </w:p>
        </w:tc>
      </w:tr>
      <w:tr w:rsidR="00943B9B" w:rsidRPr="000A2FC7" w:rsidTr="00DD5099">
        <w:trPr>
          <w:trHeight w:val="176"/>
        </w:trPr>
        <w:tc>
          <w:tcPr>
            <w:tcW w:w="10095" w:type="dxa"/>
            <w:gridSpan w:val="7"/>
            <w:shd w:val="clear" w:color="auto" w:fill="auto"/>
            <w:vAlign w:val="bottom"/>
          </w:tcPr>
          <w:p w:rsidR="00943B9B" w:rsidRDefault="00943B9B" w:rsidP="00FC3001">
            <w:pPr>
              <w:jc w:val="center"/>
              <w:rPr>
                <w:color w:val="000000"/>
              </w:rPr>
            </w:pPr>
            <w:r>
              <w:rPr>
                <w:rFonts w:eastAsia="Times New Roman" w:cs="Times New Roman"/>
                <w:b/>
                <w:bCs/>
                <w:color w:val="002776"/>
                <w:lang w:eastAsia="en-US"/>
              </w:rPr>
              <w:t>Legacy Program</w:t>
            </w:r>
          </w:p>
        </w:tc>
      </w:tr>
      <w:tr w:rsidR="000A16CD" w:rsidRPr="000A2FC7" w:rsidTr="00DD5099">
        <w:trPr>
          <w:trHeight w:val="176"/>
        </w:trPr>
        <w:tc>
          <w:tcPr>
            <w:tcW w:w="1545" w:type="dxa"/>
            <w:shd w:val="clear" w:color="auto" w:fill="auto"/>
            <w:vAlign w:val="bottom"/>
            <w:hideMark/>
          </w:tcPr>
          <w:p w:rsidR="000A16CD" w:rsidRPr="000A2FC7" w:rsidRDefault="000A16CD" w:rsidP="00FC3001">
            <w:pPr>
              <w:keepNext/>
              <w:rPr>
                <w:rFonts w:eastAsia="Times New Roman" w:cs="Times New Roman"/>
                <w:b/>
                <w:bCs/>
                <w:color w:val="002776"/>
                <w:lang w:eastAsia="en-US"/>
              </w:rPr>
            </w:pPr>
            <w:r>
              <w:rPr>
                <w:rFonts w:eastAsia="Times New Roman" w:cs="Times New Roman"/>
                <w:b/>
                <w:bCs/>
                <w:color w:val="002776"/>
                <w:lang w:eastAsia="en-US"/>
              </w:rPr>
              <w:t>Current</w:t>
            </w:r>
          </w:p>
        </w:tc>
        <w:tc>
          <w:tcPr>
            <w:tcW w:w="1751" w:type="dxa"/>
            <w:vMerge w:val="restart"/>
            <w:shd w:val="clear" w:color="auto" w:fill="auto"/>
            <w:noWrap/>
            <w:vAlign w:val="center"/>
            <w:hideMark/>
          </w:tcPr>
          <w:p w:rsidR="000A16CD" w:rsidRDefault="000A16CD" w:rsidP="00FC3001">
            <w:pPr>
              <w:jc w:val="center"/>
              <w:rPr>
                <w:color w:val="000000"/>
              </w:rPr>
            </w:pPr>
            <w:r>
              <w:rPr>
                <w:rFonts w:cs="Calibri"/>
                <w:color w:val="000000"/>
              </w:rPr>
              <w:t>10,117</w:t>
            </w:r>
          </w:p>
        </w:tc>
        <w:tc>
          <w:tcPr>
            <w:tcW w:w="1579" w:type="dxa"/>
            <w:shd w:val="clear" w:color="auto" w:fill="auto"/>
            <w:noWrap/>
            <w:vAlign w:val="center"/>
            <w:hideMark/>
          </w:tcPr>
          <w:p w:rsidR="000A16CD" w:rsidRDefault="000A16CD" w:rsidP="00FC3001">
            <w:pPr>
              <w:jc w:val="center"/>
              <w:rPr>
                <w:color w:val="000000"/>
              </w:rPr>
            </w:pPr>
            <w:r>
              <w:rPr>
                <w:rFonts w:cs="Calibri"/>
                <w:color w:val="000000"/>
              </w:rPr>
              <w:t>285.0 (226.9,343.2)</w:t>
            </w:r>
          </w:p>
        </w:tc>
        <w:tc>
          <w:tcPr>
            <w:tcW w:w="1170" w:type="dxa"/>
            <w:shd w:val="clear" w:color="auto" w:fill="auto"/>
            <w:noWrap/>
            <w:vAlign w:val="center"/>
            <w:hideMark/>
          </w:tcPr>
          <w:p w:rsidR="000A16CD" w:rsidRDefault="000A16CD" w:rsidP="00FC3001">
            <w:pPr>
              <w:jc w:val="center"/>
              <w:rPr>
                <w:color w:val="000000"/>
              </w:rPr>
            </w:pPr>
            <w:r>
              <w:rPr>
                <w:rFonts w:cs="Calibri"/>
                <w:color w:val="000000"/>
              </w:rPr>
              <w:t>2.8%</w:t>
            </w:r>
          </w:p>
        </w:tc>
        <w:tc>
          <w:tcPr>
            <w:tcW w:w="1707" w:type="dxa"/>
            <w:vMerge w:val="restart"/>
            <w:shd w:val="clear" w:color="auto" w:fill="auto"/>
            <w:noWrap/>
            <w:vAlign w:val="center"/>
            <w:hideMark/>
          </w:tcPr>
          <w:p w:rsidR="000A16CD" w:rsidRDefault="000A16CD" w:rsidP="00FC3001">
            <w:pPr>
              <w:jc w:val="center"/>
              <w:rPr>
                <w:color w:val="000000"/>
              </w:rPr>
            </w:pPr>
            <w:r>
              <w:rPr>
                <w:rFonts w:cs="Calibri"/>
                <w:color w:val="000000"/>
              </w:rPr>
              <w:t>781</w:t>
            </w:r>
          </w:p>
        </w:tc>
        <w:tc>
          <w:tcPr>
            <w:tcW w:w="1173" w:type="dxa"/>
            <w:shd w:val="clear" w:color="auto" w:fill="auto"/>
            <w:noWrap/>
            <w:vAlign w:val="center"/>
            <w:hideMark/>
          </w:tcPr>
          <w:p w:rsidR="000A16CD" w:rsidRDefault="000A16CD" w:rsidP="00FC3001">
            <w:pPr>
              <w:jc w:val="center"/>
              <w:rPr>
                <w:color w:val="000000"/>
              </w:rPr>
            </w:pPr>
            <w:r>
              <w:rPr>
                <w:rFonts w:cs="Calibri"/>
                <w:color w:val="000000"/>
              </w:rPr>
              <w:t>11.8 (8.3,15.3)</w:t>
            </w:r>
          </w:p>
        </w:tc>
        <w:tc>
          <w:tcPr>
            <w:tcW w:w="1170" w:type="dxa"/>
            <w:shd w:val="clear" w:color="auto" w:fill="auto"/>
            <w:noWrap/>
            <w:vAlign w:val="center"/>
            <w:hideMark/>
          </w:tcPr>
          <w:p w:rsidR="000A16CD" w:rsidRDefault="000A16CD" w:rsidP="00FC3001">
            <w:pPr>
              <w:jc w:val="center"/>
              <w:rPr>
                <w:color w:val="000000"/>
              </w:rPr>
            </w:pPr>
            <w:r>
              <w:rPr>
                <w:rFonts w:cs="Calibri"/>
                <w:color w:val="000000"/>
              </w:rPr>
              <w:t>1.5%</w:t>
            </w:r>
          </w:p>
        </w:tc>
      </w:tr>
      <w:tr w:rsidR="000A16CD" w:rsidRPr="000A2FC7" w:rsidTr="00DD5099">
        <w:trPr>
          <w:trHeight w:val="176"/>
        </w:trPr>
        <w:tc>
          <w:tcPr>
            <w:tcW w:w="1545" w:type="dxa"/>
            <w:shd w:val="clear" w:color="auto" w:fill="auto"/>
            <w:vAlign w:val="bottom"/>
            <w:hideMark/>
          </w:tcPr>
          <w:p w:rsidR="000A16CD" w:rsidRPr="000A2FC7" w:rsidRDefault="000A16CD" w:rsidP="00FC3001">
            <w:pPr>
              <w:keepNext/>
              <w:rPr>
                <w:rFonts w:eastAsia="Times New Roman" w:cs="Times New Roman"/>
                <w:b/>
                <w:bCs/>
                <w:color w:val="002776"/>
                <w:lang w:eastAsia="en-US"/>
              </w:rPr>
            </w:pPr>
            <w:r w:rsidRPr="000A2FC7">
              <w:rPr>
                <w:rFonts w:eastAsia="Times New Roman" w:cs="Times New Roman"/>
                <w:b/>
                <w:bCs/>
                <w:color w:val="002776"/>
                <w:lang w:eastAsia="en-US"/>
              </w:rPr>
              <w:t xml:space="preserve">Suspended </w:t>
            </w:r>
          </w:p>
        </w:tc>
        <w:tc>
          <w:tcPr>
            <w:tcW w:w="1751" w:type="dxa"/>
            <w:vMerge/>
            <w:vAlign w:val="center"/>
            <w:hideMark/>
          </w:tcPr>
          <w:p w:rsidR="000A16CD" w:rsidRPr="000A2FC7" w:rsidRDefault="000A16CD" w:rsidP="00FC3001">
            <w:pPr>
              <w:keepNext/>
              <w:jc w:val="center"/>
              <w:rPr>
                <w:rFonts w:eastAsia="Times New Roman" w:cs="Times New Roman"/>
                <w:lang w:eastAsia="en-US"/>
              </w:rPr>
            </w:pPr>
          </w:p>
        </w:tc>
        <w:tc>
          <w:tcPr>
            <w:tcW w:w="1579" w:type="dxa"/>
            <w:shd w:val="clear" w:color="auto" w:fill="auto"/>
            <w:noWrap/>
            <w:vAlign w:val="center"/>
            <w:hideMark/>
          </w:tcPr>
          <w:p w:rsidR="000A16CD" w:rsidRDefault="000A16CD" w:rsidP="00FC3001">
            <w:pPr>
              <w:jc w:val="center"/>
              <w:rPr>
                <w:color w:val="000000"/>
              </w:rPr>
            </w:pPr>
            <w:r>
              <w:rPr>
                <w:rFonts w:cs="Calibri"/>
                <w:color w:val="000000"/>
              </w:rPr>
              <w:t>91.6 (14.9,168.4)</w:t>
            </w:r>
          </w:p>
        </w:tc>
        <w:tc>
          <w:tcPr>
            <w:tcW w:w="1170" w:type="dxa"/>
            <w:shd w:val="clear" w:color="auto" w:fill="auto"/>
            <w:noWrap/>
            <w:vAlign w:val="center"/>
            <w:hideMark/>
          </w:tcPr>
          <w:p w:rsidR="000A16CD" w:rsidRDefault="000A16CD" w:rsidP="00FC3001">
            <w:pPr>
              <w:jc w:val="center"/>
              <w:rPr>
                <w:color w:val="000000"/>
              </w:rPr>
            </w:pPr>
            <w:r>
              <w:rPr>
                <w:rFonts w:cs="Calibri"/>
                <w:color w:val="000000"/>
              </w:rPr>
              <w:t>0.9%</w:t>
            </w:r>
          </w:p>
        </w:tc>
        <w:tc>
          <w:tcPr>
            <w:tcW w:w="1707" w:type="dxa"/>
            <w:vMerge/>
            <w:vAlign w:val="center"/>
            <w:hideMark/>
          </w:tcPr>
          <w:p w:rsidR="000A16CD" w:rsidRPr="000A2FC7" w:rsidRDefault="000A16CD" w:rsidP="00FC3001">
            <w:pPr>
              <w:keepNext/>
              <w:jc w:val="center"/>
              <w:rPr>
                <w:rFonts w:eastAsia="Times New Roman" w:cs="Times New Roman"/>
                <w:lang w:eastAsia="en-US"/>
              </w:rPr>
            </w:pPr>
          </w:p>
        </w:tc>
        <w:tc>
          <w:tcPr>
            <w:tcW w:w="1173" w:type="dxa"/>
            <w:shd w:val="clear" w:color="auto" w:fill="auto"/>
            <w:noWrap/>
            <w:vAlign w:val="center"/>
            <w:hideMark/>
          </w:tcPr>
          <w:p w:rsidR="000A16CD" w:rsidRDefault="000A16CD" w:rsidP="00FC3001">
            <w:pPr>
              <w:jc w:val="center"/>
              <w:rPr>
                <w:color w:val="000000"/>
              </w:rPr>
            </w:pPr>
            <w:r>
              <w:rPr>
                <w:rFonts w:cs="Calibri"/>
                <w:color w:val="000000"/>
              </w:rPr>
              <w:t>7.2 (2.0,12.5)</w:t>
            </w:r>
          </w:p>
        </w:tc>
        <w:tc>
          <w:tcPr>
            <w:tcW w:w="1170" w:type="dxa"/>
            <w:shd w:val="clear" w:color="auto" w:fill="auto"/>
            <w:noWrap/>
            <w:vAlign w:val="center"/>
            <w:hideMark/>
          </w:tcPr>
          <w:p w:rsidR="000A16CD" w:rsidRDefault="000A16CD" w:rsidP="00FC3001">
            <w:pPr>
              <w:jc w:val="center"/>
              <w:rPr>
                <w:color w:val="000000"/>
              </w:rPr>
            </w:pPr>
            <w:r>
              <w:rPr>
                <w:rFonts w:cs="Calibri"/>
                <w:color w:val="000000"/>
              </w:rPr>
              <w:t>0.9%</w:t>
            </w:r>
          </w:p>
        </w:tc>
      </w:tr>
      <w:tr w:rsidR="00943B9B" w:rsidRPr="000A2FC7" w:rsidTr="00DD5099">
        <w:trPr>
          <w:trHeight w:val="176"/>
        </w:trPr>
        <w:tc>
          <w:tcPr>
            <w:tcW w:w="10095" w:type="dxa"/>
            <w:gridSpan w:val="7"/>
            <w:shd w:val="clear" w:color="auto" w:fill="auto"/>
            <w:vAlign w:val="center"/>
          </w:tcPr>
          <w:p w:rsidR="00943B9B" w:rsidRPr="00932B3C" w:rsidRDefault="00943B9B" w:rsidP="00FC3001">
            <w:pPr>
              <w:jc w:val="center"/>
              <w:rPr>
                <w:rFonts w:eastAsia="Times New Roman" w:cs="Times New Roman"/>
                <w:color w:val="000000"/>
              </w:rPr>
            </w:pPr>
            <w:r>
              <w:rPr>
                <w:rFonts w:eastAsia="Times New Roman" w:cs="Times New Roman"/>
                <w:b/>
                <w:bCs/>
                <w:color w:val="002776"/>
              </w:rPr>
              <w:t>Expansion program</w:t>
            </w:r>
          </w:p>
        </w:tc>
      </w:tr>
      <w:tr w:rsidR="000A16CD" w:rsidRPr="000A2FC7" w:rsidTr="00DD5099">
        <w:trPr>
          <w:trHeight w:val="176"/>
        </w:trPr>
        <w:tc>
          <w:tcPr>
            <w:tcW w:w="1545" w:type="dxa"/>
            <w:shd w:val="clear" w:color="auto" w:fill="auto"/>
            <w:vAlign w:val="center"/>
          </w:tcPr>
          <w:p w:rsidR="000A16CD" w:rsidRPr="00932B3C" w:rsidRDefault="000A16CD" w:rsidP="00FC3001">
            <w:pPr>
              <w:rPr>
                <w:rFonts w:eastAsia="Times New Roman" w:cs="Times New Roman"/>
                <w:b/>
                <w:bCs/>
                <w:color w:val="002776"/>
              </w:rPr>
            </w:pPr>
            <w:r w:rsidRPr="00932B3C">
              <w:rPr>
                <w:rFonts w:eastAsia="Times New Roman" w:cs="Times New Roman"/>
                <w:b/>
                <w:bCs/>
                <w:color w:val="002776"/>
              </w:rPr>
              <w:t xml:space="preserve">Electric </w:t>
            </w:r>
            <w:r>
              <w:rPr>
                <w:rFonts w:eastAsia="Times New Roman" w:cs="Times New Roman"/>
                <w:b/>
                <w:bCs/>
                <w:color w:val="002776"/>
              </w:rPr>
              <w:t>o</w:t>
            </w:r>
            <w:r w:rsidRPr="00932B3C">
              <w:rPr>
                <w:rFonts w:eastAsia="Times New Roman" w:cs="Times New Roman"/>
                <w:b/>
                <w:bCs/>
                <w:color w:val="002776"/>
              </w:rPr>
              <w:t>nly</w:t>
            </w:r>
          </w:p>
        </w:tc>
        <w:tc>
          <w:tcPr>
            <w:tcW w:w="1751" w:type="dxa"/>
            <w:vAlign w:val="center"/>
          </w:tcPr>
          <w:p w:rsidR="000A16CD" w:rsidRPr="00932B3C" w:rsidRDefault="000A16CD" w:rsidP="00FC3001">
            <w:pPr>
              <w:jc w:val="center"/>
              <w:rPr>
                <w:rFonts w:eastAsia="Times New Roman" w:cs="Times New Roman"/>
                <w:color w:val="000000"/>
              </w:rPr>
            </w:pPr>
            <w:r>
              <w:rPr>
                <w:rFonts w:cs="Calibri"/>
                <w:color w:val="000000"/>
              </w:rPr>
              <w:t>13,472</w:t>
            </w:r>
          </w:p>
        </w:tc>
        <w:tc>
          <w:tcPr>
            <w:tcW w:w="1579" w:type="dxa"/>
            <w:shd w:val="clear" w:color="auto" w:fill="auto"/>
            <w:noWrap/>
            <w:vAlign w:val="center"/>
          </w:tcPr>
          <w:p w:rsidR="000A16CD" w:rsidRPr="00932B3C" w:rsidRDefault="000A16CD" w:rsidP="00FC3001">
            <w:pPr>
              <w:jc w:val="center"/>
              <w:rPr>
                <w:rFonts w:eastAsia="Times New Roman" w:cs="Times New Roman"/>
                <w:color w:val="000000"/>
              </w:rPr>
            </w:pPr>
            <w:r>
              <w:rPr>
                <w:rFonts w:cs="Calibri"/>
                <w:color w:val="000000"/>
              </w:rPr>
              <w:t>195.7 (119.9,271.5)</w:t>
            </w:r>
          </w:p>
        </w:tc>
        <w:tc>
          <w:tcPr>
            <w:tcW w:w="1170" w:type="dxa"/>
            <w:shd w:val="clear" w:color="auto" w:fill="auto"/>
            <w:noWrap/>
            <w:vAlign w:val="center"/>
          </w:tcPr>
          <w:p w:rsidR="000A16CD" w:rsidRPr="00932B3C" w:rsidRDefault="000A16CD" w:rsidP="00FC3001">
            <w:pPr>
              <w:jc w:val="center"/>
              <w:rPr>
                <w:rFonts w:eastAsia="Times New Roman" w:cs="Times New Roman"/>
                <w:color w:val="000000"/>
              </w:rPr>
            </w:pPr>
            <w:r>
              <w:rPr>
                <w:rFonts w:cs="Calibri"/>
                <w:color w:val="000000"/>
              </w:rPr>
              <w:t>1.5%</w:t>
            </w:r>
          </w:p>
        </w:tc>
        <w:tc>
          <w:tcPr>
            <w:tcW w:w="1707" w:type="dxa"/>
            <w:vAlign w:val="center"/>
          </w:tcPr>
          <w:p w:rsidR="000A16CD" w:rsidRPr="00932B3C" w:rsidRDefault="000A16CD" w:rsidP="00FC3001">
            <w:pPr>
              <w:jc w:val="center"/>
              <w:rPr>
                <w:rFonts w:eastAsia="Times New Roman" w:cs="Times New Roman"/>
                <w:color w:val="000000"/>
              </w:rPr>
            </w:pPr>
            <w:r>
              <w:rPr>
                <w:rFonts w:cs="Calibri"/>
                <w:color w:val="000000"/>
              </w:rPr>
              <w:t>N/A</w:t>
            </w:r>
          </w:p>
        </w:tc>
        <w:tc>
          <w:tcPr>
            <w:tcW w:w="1173" w:type="dxa"/>
            <w:shd w:val="clear" w:color="auto" w:fill="auto"/>
            <w:noWrap/>
            <w:vAlign w:val="center"/>
          </w:tcPr>
          <w:p w:rsidR="000A16CD" w:rsidRPr="00932B3C" w:rsidRDefault="000A16CD" w:rsidP="00FC3001">
            <w:pPr>
              <w:jc w:val="center"/>
              <w:rPr>
                <w:rFonts w:eastAsia="Times New Roman" w:cs="Times New Roman"/>
                <w:color w:val="000000"/>
              </w:rPr>
            </w:pPr>
            <w:r>
              <w:rPr>
                <w:rFonts w:cs="Calibri"/>
                <w:color w:val="000000"/>
              </w:rPr>
              <w:t>N/A</w:t>
            </w:r>
          </w:p>
        </w:tc>
        <w:tc>
          <w:tcPr>
            <w:tcW w:w="1170" w:type="dxa"/>
            <w:shd w:val="clear" w:color="auto" w:fill="auto"/>
            <w:noWrap/>
            <w:vAlign w:val="center"/>
          </w:tcPr>
          <w:p w:rsidR="000A16CD" w:rsidRPr="00932B3C" w:rsidRDefault="000A16CD" w:rsidP="00FC3001">
            <w:pPr>
              <w:jc w:val="center"/>
              <w:rPr>
                <w:rFonts w:eastAsia="Times New Roman" w:cs="Times New Roman"/>
                <w:color w:val="000000"/>
              </w:rPr>
            </w:pPr>
            <w:r>
              <w:rPr>
                <w:rFonts w:cs="Calibri"/>
                <w:color w:val="000000"/>
              </w:rPr>
              <w:t>N/A</w:t>
            </w:r>
          </w:p>
        </w:tc>
      </w:tr>
      <w:tr w:rsidR="000A16CD" w:rsidRPr="000A2FC7" w:rsidTr="00DD5099">
        <w:trPr>
          <w:trHeight w:val="176"/>
        </w:trPr>
        <w:tc>
          <w:tcPr>
            <w:tcW w:w="1545" w:type="dxa"/>
            <w:shd w:val="clear" w:color="auto" w:fill="auto"/>
            <w:vAlign w:val="center"/>
          </w:tcPr>
          <w:p w:rsidR="000A16CD" w:rsidRPr="00932B3C" w:rsidRDefault="000A16CD" w:rsidP="00FC3001">
            <w:pPr>
              <w:rPr>
                <w:rFonts w:eastAsia="Times New Roman" w:cs="Times New Roman"/>
                <w:b/>
                <w:bCs/>
                <w:color w:val="002776"/>
              </w:rPr>
            </w:pPr>
            <w:r w:rsidRPr="00932B3C">
              <w:rPr>
                <w:rFonts w:eastAsia="Times New Roman" w:cs="Times New Roman"/>
                <w:b/>
                <w:bCs/>
                <w:color w:val="002776"/>
              </w:rPr>
              <w:t xml:space="preserve">High </w:t>
            </w:r>
            <w:r>
              <w:rPr>
                <w:rFonts w:eastAsia="Times New Roman" w:cs="Times New Roman"/>
                <w:b/>
                <w:bCs/>
                <w:color w:val="002776"/>
              </w:rPr>
              <w:t>u</w:t>
            </w:r>
            <w:r w:rsidRPr="00932B3C">
              <w:rPr>
                <w:rFonts w:eastAsia="Times New Roman" w:cs="Times New Roman"/>
                <w:b/>
                <w:bCs/>
                <w:color w:val="002776"/>
              </w:rPr>
              <w:t>ser</w:t>
            </w:r>
            <w:r>
              <w:rPr>
                <w:rFonts w:eastAsia="Times New Roman" w:cs="Times New Roman"/>
                <w:b/>
                <w:bCs/>
                <w:color w:val="002776"/>
              </w:rPr>
              <w:t>s</w:t>
            </w:r>
          </w:p>
        </w:tc>
        <w:tc>
          <w:tcPr>
            <w:tcW w:w="1751" w:type="dxa"/>
            <w:vAlign w:val="center"/>
          </w:tcPr>
          <w:p w:rsidR="000A16CD" w:rsidRPr="00932B3C" w:rsidRDefault="000A16CD" w:rsidP="00FC3001">
            <w:pPr>
              <w:jc w:val="center"/>
              <w:rPr>
                <w:rFonts w:eastAsia="Times New Roman" w:cs="Times New Roman"/>
                <w:color w:val="000000"/>
              </w:rPr>
            </w:pPr>
            <w:r>
              <w:rPr>
                <w:rFonts w:cs="Calibri"/>
                <w:color w:val="000000"/>
              </w:rPr>
              <w:t>11,131</w:t>
            </w:r>
          </w:p>
        </w:tc>
        <w:tc>
          <w:tcPr>
            <w:tcW w:w="1579" w:type="dxa"/>
            <w:shd w:val="clear" w:color="auto" w:fill="auto"/>
            <w:noWrap/>
            <w:vAlign w:val="center"/>
          </w:tcPr>
          <w:p w:rsidR="000A16CD" w:rsidRPr="00932B3C" w:rsidRDefault="000A16CD" w:rsidP="00FC3001">
            <w:pPr>
              <w:jc w:val="center"/>
              <w:rPr>
                <w:rFonts w:eastAsia="Times New Roman" w:cs="Times New Roman"/>
                <w:color w:val="000000"/>
              </w:rPr>
            </w:pPr>
            <w:r>
              <w:rPr>
                <w:rFonts w:cs="Calibri"/>
                <w:color w:val="000000"/>
              </w:rPr>
              <w:t>213.4 (137.2,289.6)</w:t>
            </w:r>
          </w:p>
        </w:tc>
        <w:tc>
          <w:tcPr>
            <w:tcW w:w="1170" w:type="dxa"/>
            <w:shd w:val="clear" w:color="auto" w:fill="auto"/>
            <w:noWrap/>
            <w:vAlign w:val="center"/>
          </w:tcPr>
          <w:p w:rsidR="000A16CD" w:rsidRPr="00932B3C" w:rsidRDefault="000A16CD" w:rsidP="00FC3001">
            <w:pPr>
              <w:jc w:val="center"/>
              <w:rPr>
                <w:rFonts w:eastAsia="Times New Roman" w:cs="Times New Roman"/>
                <w:color w:val="000000"/>
              </w:rPr>
            </w:pPr>
            <w:r>
              <w:rPr>
                <w:rFonts w:cs="Calibri"/>
                <w:color w:val="000000"/>
              </w:rPr>
              <w:t>1.9%</w:t>
            </w:r>
          </w:p>
        </w:tc>
        <w:tc>
          <w:tcPr>
            <w:tcW w:w="1707" w:type="dxa"/>
            <w:vAlign w:val="center"/>
          </w:tcPr>
          <w:p w:rsidR="000A16CD" w:rsidRPr="00932B3C" w:rsidRDefault="000A16CD" w:rsidP="00FC3001">
            <w:pPr>
              <w:jc w:val="center"/>
              <w:rPr>
                <w:rFonts w:eastAsia="Times New Roman" w:cs="Times New Roman"/>
                <w:color w:val="000000"/>
              </w:rPr>
            </w:pPr>
            <w:r>
              <w:rPr>
                <w:rFonts w:cs="Calibri"/>
                <w:color w:val="000000"/>
              </w:rPr>
              <w:t>777</w:t>
            </w:r>
          </w:p>
        </w:tc>
        <w:tc>
          <w:tcPr>
            <w:tcW w:w="1173" w:type="dxa"/>
            <w:shd w:val="clear" w:color="auto" w:fill="auto"/>
            <w:noWrap/>
            <w:vAlign w:val="center"/>
          </w:tcPr>
          <w:p w:rsidR="000A16CD" w:rsidRPr="00932B3C" w:rsidRDefault="000A16CD" w:rsidP="00FC3001">
            <w:pPr>
              <w:jc w:val="center"/>
              <w:rPr>
                <w:rFonts w:eastAsia="Times New Roman" w:cs="Times New Roman"/>
                <w:color w:val="000000"/>
              </w:rPr>
            </w:pPr>
            <w:r>
              <w:rPr>
                <w:rFonts w:cs="Calibri"/>
                <w:color w:val="000000"/>
              </w:rPr>
              <w:t>9.1 (5.1,13.1)</w:t>
            </w:r>
          </w:p>
        </w:tc>
        <w:tc>
          <w:tcPr>
            <w:tcW w:w="1170" w:type="dxa"/>
            <w:shd w:val="clear" w:color="auto" w:fill="auto"/>
            <w:noWrap/>
            <w:vAlign w:val="center"/>
          </w:tcPr>
          <w:p w:rsidR="000A16CD" w:rsidRPr="00932B3C" w:rsidRDefault="000A16CD" w:rsidP="00FC3001">
            <w:pPr>
              <w:jc w:val="center"/>
              <w:rPr>
                <w:rFonts w:eastAsia="Times New Roman" w:cs="Times New Roman"/>
                <w:color w:val="000000"/>
              </w:rPr>
            </w:pPr>
            <w:r>
              <w:rPr>
                <w:rFonts w:cs="Calibri"/>
                <w:color w:val="000000"/>
              </w:rPr>
              <w:t>1.2%</w:t>
            </w:r>
          </w:p>
        </w:tc>
      </w:tr>
      <w:tr w:rsidR="000A16CD" w:rsidRPr="000A2FC7" w:rsidTr="00DD5099">
        <w:trPr>
          <w:trHeight w:val="176"/>
        </w:trPr>
        <w:tc>
          <w:tcPr>
            <w:tcW w:w="1545" w:type="dxa"/>
            <w:shd w:val="clear" w:color="auto" w:fill="auto"/>
            <w:vAlign w:val="center"/>
          </w:tcPr>
          <w:p w:rsidR="000A16CD" w:rsidRPr="00932B3C" w:rsidRDefault="000A16CD" w:rsidP="00FC3001">
            <w:pPr>
              <w:rPr>
                <w:rFonts w:eastAsia="Times New Roman" w:cs="Times New Roman"/>
                <w:b/>
                <w:bCs/>
                <w:color w:val="002776"/>
              </w:rPr>
            </w:pPr>
            <w:r>
              <w:rPr>
                <w:rFonts w:eastAsia="Times New Roman" w:cs="Times New Roman"/>
                <w:b/>
                <w:bCs/>
                <w:color w:val="002776"/>
              </w:rPr>
              <w:t>Non-urban</w:t>
            </w:r>
            <w:r w:rsidRPr="00932B3C">
              <w:rPr>
                <w:rFonts w:eastAsia="Times New Roman" w:cs="Times New Roman"/>
                <w:b/>
                <w:bCs/>
                <w:color w:val="002776"/>
              </w:rPr>
              <w:t xml:space="preserve"> </w:t>
            </w:r>
          </w:p>
        </w:tc>
        <w:tc>
          <w:tcPr>
            <w:tcW w:w="1751" w:type="dxa"/>
            <w:vAlign w:val="center"/>
          </w:tcPr>
          <w:p w:rsidR="000A16CD" w:rsidRPr="00932B3C" w:rsidRDefault="000A16CD" w:rsidP="00FC3001">
            <w:pPr>
              <w:jc w:val="center"/>
              <w:rPr>
                <w:rFonts w:eastAsia="Times New Roman" w:cs="Times New Roman"/>
                <w:color w:val="000000"/>
              </w:rPr>
            </w:pPr>
            <w:r>
              <w:rPr>
                <w:rFonts w:cs="Calibri"/>
                <w:color w:val="000000"/>
              </w:rPr>
              <w:t>9,969</w:t>
            </w:r>
          </w:p>
        </w:tc>
        <w:tc>
          <w:tcPr>
            <w:tcW w:w="1579" w:type="dxa"/>
            <w:shd w:val="clear" w:color="auto" w:fill="auto"/>
            <w:noWrap/>
            <w:vAlign w:val="center"/>
          </w:tcPr>
          <w:p w:rsidR="000A16CD" w:rsidRPr="00932B3C" w:rsidRDefault="000A16CD" w:rsidP="00FC3001">
            <w:pPr>
              <w:jc w:val="center"/>
              <w:rPr>
                <w:rFonts w:eastAsia="Times New Roman" w:cs="Times New Roman"/>
                <w:color w:val="000000"/>
              </w:rPr>
            </w:pPr>
            <w:r>
              <w:rPr>
                <w:rFonts w:cs="Calibri"/>
                <w:color w:val="000000"/>
              </w:rPr>
              <w:t>118.8 (72.4,165.2)</w:t>
            </w:r>
          </w:p>
        </w:tc>
        <w:tc>
          <w:tcPr>
            <w:tcW w:w="1170" w:type="dxa"/>
            <w:shd w:val="clear" w:color="auto" w:fill="auto"/>
            <w:noWrap/>
            <w:vAlign w:val="center"/>
          </w:tcPr>
          <w:p w:rsidR="000A16CD" w:rsidRPr="00932B3C" w:rsidRDefault="000A16CD" w:rsidP="00FC3001">
            <w:pPr>
              <w:jc w:val="center"/>
              <w:rPr>
                <w:rFonts w:eastAsia="Times New Roman" w:cs="Times New Roman"/>
                <w:color w:val="000000"/>
              </w:rPr>
            </w:pPr>
            <w:r>
              <w:rPr>
                <w:rFonts w:cs="Calibri"/>
                <w:color w:val="000000"/>
              </w:rPr>
              <w:t>1.2%</w:t>
            </w:r>
          </w:p>
        </w:tc>
        <w:tc>
          <w:tcPr>
            <w:tcW w:w="1707" w:type="dxa"/>
            <w:vAlign w:val="center"/>
          </w:tcPr>
          <w:p w:rsidR="000A16CD" w:rsidRPr="00932B3C" w:rsidRDefault="000A16CD" w:rsidP="00FC3001">
            <w:pPr>
              <w:jc w:val="center"/>
              <w:rPr>
                <w:rFonts w:eastAsia="Times New Roman" w:cs="Times New Roman"/>
                <w:color w:val="000000"/>
              </w:rPr>
            </w:pPr>
            <w:r>
              <w:rPr>
                <w:rFonts w:cs="Calibri"/>
                <w:color w:val="000000"/>
              </w:rPr>
              <w:t>690</w:t>
            </w:r>
          </w:p>
        </w:tc>
        <w:tc>
          <w:tcPr>
            <w:tcW w:w="1173" w:type="dxa"/>
            <w:shd w:val="clear" w:color="auto" w:fill="auto"/>
            <w:noWrap/>
            <w:vAlign w:val="center"/>
          </w:tcPr>
          <w:p w:rsidR="000A16CD" w:rsidRPr="00932B3C" w:rsidRDefault="000A16CD" w:rsidP="00FC3001">
            <w:pPr>
              <w:jc w:val="center"/>
              <w:rPr>
                <w:rFonts w:eastAsia="Times New Roman" w:cs="Times New Roman"/>
                <w:color w:val="000000"/>
              </w:rPr>
            </w:pPr>
            <w:r>
              <w:rPr>
                <w:rFonts w:cs="Calibri"/>
                <w:color w:val="000000"/>
              </w:rPr>
              <w:t>4.0 (1.4,6.6)</w:t>
            </w:r>
          </w:p>
        </w:tc>
        <w:tc>
          <w:tcPr>
            <w:tcW w:w="1170" w:type="dxa"/>
            <w:shd w:val="clear" w:color="auto" w:fill="auto"/>
            <w:noWrap/>
            <w:vAlign w:val="center"/>
          </w:tcPr>
          <w:p w:rsidR="000A16CD" w:rsidRPr="00932B3C" w:rsidRDefault="000A16CD" w:rsidP="00FC3001">
            <w:pPr>
              <w:jc w:val="center"/>
              <w:rPr>
                <w:rFonts w:eastAsia="Times New Roman" w:cs="Times New Roman"/>
                <w:color w:val="000000"/>
              </w:rPr>
            </w:pPr>
            <w:r>
              <w:rPr>
                <w:rFonts w:cs="Calibri"/>
                <w:color w:val="000000"/>
              </w:rPr>
              <w:t>0.6%</w:t>
            </w:r>
          </w:p>
        </w:tc>
      </w:tr>
      <w:tr w:rsidR="00DD5099" w:rsidRPr="000A2FC7" w:rsidTr="00DD5099">
        <w:trPr>
          <w:trHeight w:val="176"/>
        </w:trPr>
        <w:tc>
          <w:tcPr>
            <w:tcW w:w="1545" w:type="dxa"/>
            <w:shd w:val="clear" w:color="auto" w:fill="auto"/>
            <w:vAlign w:val="center"/>
          </w:tcPr>
          <w:p w:rsidR="00DD5099" w:rsidRDefault="00DD5099" w:rsidP="00FC3001">
            <w:pPr>
              <w:rPr>
                <w:rFonts w:eastAsia="Times New Roman" w:cs="Times New Roman"/>
                <w:b/>
                <w:bCs/>
                <w:color w:val="002776"/>
              </w:rPr>
            </w:pPr>
            <w:r>
              <w:rPr>
                <w:rFonts w:eastAsia="Times New Roman" w:cs="Times New Roman"/>
                <w:b/>
                <w:bCs/>
                <w:color w:val="002776"/>
              </w:rPr>
              <w:t>Refresh Group</w:t>
            </w:r>
          </w:p>
        </w:tc>
        <w:tc>
          <w:tcPr>
            <w:tcW w:w="1751" w:type="dxa"/>
            <w:vAlign w:val="center"/>
          </w:tcPr>
          <w:p w:rsidR="00DD5099" w:rsidRDefault="00DD5099" w:rsidP="00FC3001">
            <w:pPr>
              <w:jc w:val="center"/>
              <w:rPr>
                <w:rFonts w:cs="Calibri"/>
                <w:color w:val="000000"/>
              </w:rPr>
            </w:pPr>
            <w:r>
              <w:rPr>
                <w:rFonts w:cs="Calibri"/>
                <w:color w:val="000000"/>
              </w:rPr>
              <w:t>Not evaluated</w:t>
            </w:r>
          </w:p>
        </w:tc>
        <w:tc>
          <w:tcPr>
            <w:tcW w:w="1579" w:type="dxa"/>
            <w:shd w:val="clear" w:color="auto" w:fill="auto"/>
            <w:noWrap/>
            <w:vAlign w:val="center"/>
          </w:tcPr>
          <w:p w:rsidR="00DD5099" w:rsidRDefault="00DD5099" w:rsidP="001E3C50">
            <w:pPr>
              <w:jc w:val="center"/>
              <w:rPr>
                <w:rFonts w:cs="Calibri"/>
                <w:color w:val="000000"/>
              </w:rPr>
            </w:pPr>
            <w:r>
              <w:rPr>
                <w:rFonts w:cs="Calibri"/>
                <w:color w:val="000000"/>
              </w:rPr>
              <w:t>Not evaluated</w:t>
            </w:r>
          </w:p>
        </w:tc>
        <w:tc>
          <w:tcPr>
            <w:tcW w:w="1170" w:type="dxa"/>
            <w:shd w:val="clear" w:color="auto" w:fill="auto"/>
            <w:noWrap/>
            <w:vAlign w:val="center"/>
          </w:tcPr>
          <w:p w:rsidR="00DD5099" w:rsidRDefault="00DD5099" w:rsidP="001E3C50">
            <w:pPr>
              <w:jc w:val="center"/>
              <w:rPr>
                <w:rFonts w:cs="Calibri"/>
                <w:color w:val="000000"/>
              </w:rPr>
            </w:pPr>
            <w:r>
              <w:rPr>
                <w:rFonts w:cs="Calibri"/>
                <w:color w:val="000000"/>
              </w:rPr>
              <w:t>Not evaluated</w:t>
            </w:r>
          </w:p>
        </w:tc>
        <w:tc>
          <w:tcPr>
            <w:tcW w:w="1707" w:type="dxa"/>
            <w:vAlign w:val="center"/>
          </w:tcPr>
          <w:p w:rsidR="00DD5099" w:rsidRDefault="00DD5099" w:rsidP="001E3C50">
            <w:pPr>
              <w:jc w:val="center"/>
              <w:rPr>
                <w:rFonts w:cs="Calibri"/>
                <w:color w:val="000000"/>
              </w:rPr>
            </w:pPr>
            <w:r>
              <w:rPr>
                <w:rFonts w:cs="Calibri"/>
                <w:color w:val="000000"/>
              </w:rPr>
              <w:t>Not evaluated</w:t>
            </w:r>
          </w:p>
        </w:tc>
        <w:tc>
          <w:tcPr>
            <w:tcW w:w="1173" w:type="dxa"/>
            <w:shd w:val="clear" w:color="auto" w:fill="auto"/>
            <w:noWrap/>
            <w:vAlign w:val="center"/>
          </w:tcPr>
          <w:p w:rsidR="00DD5099" w:rsidRDefault="00DD5099" w:rsidP="001E3C50">
            <w:pPr>
              <w:jc w:val="center"/>
              <w:rPr>
                <w:rFonts w:cs="Calibri"/>
                <w:color w:val="000000"/>
              </w:rPr>
            </w:pPr>
            <w:r>
              <w:rPr>
                <w:rFonts w:cs="Calibri"/>
                <w:color w:val="000000"/>
              </w:rPr>
              <w:t>Not evaluated</w:t>
            </w:r>
          </w:p>
        </w:tc>
        <w:tc>
          <w:tcPr>
            <w:tcW w:w="1170" w:type="dxa"/>
            <w:shd w:val="clear" w:color="auto" w:fill="auto"/>
            <w:noWrap/>
            <w:vAlign w:val="center"/>
          </w:tcPr>
          <w:p w:rsidR="00DD5099" w:rsidRDefault="00DD5099" w:rsidP="001E3C50">
            <w:pPr>
              <w:jc w:val="center"/>
              <w:rPr>
                <w:rFonts w:cs="Calibri"/>
                <w:color w:val="000000"/>
              </w:rPr>
            </w:pPr>
            <w:r>
              <w:rPr>
                <w:rFonts w:cs="Calibri"/>
                <w:color w:val="000000"/>
              </w:rPr>
              <w:t>Not evaluated</w:t>
            </w:r>
          </w:p>
        </w:tc>
      </w:tr>
    </w:tbl>
    <w:p w:rsidR="00943B9B" w:rsidRDefault="00943B9B" w:rsidP="00E60A20">
      <w:pPr>
        <w:pStyle w:val="ParaText"/>
        <w:ind w:left="180"/>
        <w:rPr>
          <w:i/>
        </w:rPr>
      </w:pPr>
      <w:r w:rsidRPr="00AF5B94">
        <w:rPr>
          <w:i/>
        </w:rPr>
        <w:t>*Based on actual consumption</w:t>
      </w:r>
      <w:r>
        <w:rPr>
          <w:i/>
        </w:rPr>
        <w:t xml:space="preserve"> of the </w:t>
      </w:r>
      <w:r w:rsidRPr="00AF5B94">
        <w:rPr>
          <w:i/>
        </w:rPr>
        <w:t xml:space="preserve">control group </w:t>
      </w:r>
      <w:r>
        <w:rPr>
          <w:i/>
        </w:rPr>
        <w:t xml:space="preserve">in </w:t>
      </w:r>
      <w:r w:rsidR="00E60A20">
        <w:rPr>
          <w:i/>
        </w:rPr>
        <w:t>calendar</w:t>
      </w:r>
      <w:r w:rsidR="00E60A20" w:rsidRPr="00AF5B94">
        <w:rPr>
          <w:i/>
        </w:rPr>
        <w:t xml:space="preserve"> </w:t>
      </w:r>
      <w:r w:rsidRPr="00AF5B94">
        <w:rPr>
          <w:i/>
        </w:rPr>
        <w:t>year</w:t>
      </w:r>
      <w:r>
        <w:rPr>
          <w:i/>
        </w:rPr>
        <w:t xml:space="preserve"> 201</w:t>
      </w:r>
      <w:r w:rsidR="00E60A20">
        <w:rPr>
          <w:i/>
        </w:rPr>
        <w:t>5</w:t>
      </w:r>
    </w:p>
    <w:p w:rsidR="00570465" w:rsidRDefault="00943B9B" w:rsidP="00570465">
      <w:pPr>
        <w:pStyle w:val="BodyText"/>
      </w:pPr>
      <w:r>
        <w:t xml:space="preserve">The three HER Expansion groups started receiving the reports in March 2014 and </w:t>
      </w:r>
      <w:r w:rsidR="009A5494">
        <w:t xml:space="preserve">percent </w:t>
      </w:r>
      <w:r>
        <w:t xml:space="preserve">savings </w:t>
      </w:r>
      <w:r w:rsidR="002D64FB">
        <w:t xml:space="preserve">fall within the magnitude of 1% to 3% </w:t>
      </w:r>
      <w:r w:rsidR="009A5494">
        <w:t xml:space="preserve">savings </w:t>
      </w:r>
      <w:r w:rsidR="002D64FB">
        <w:t xml:space="preserve">that </w:t>
      </w:r>
      <w:r w:rsidR="009A5494">
        <w:t>are</w:t>
      </w:r>
      <w:r w:rsidR="002D64FB">
        <w:t xml:space="preserve"> expected from </w:t>
      </w:r>
      <w:r w:rsidR="009A5494">
        <w:t>the HER</w:t>
      </w:r>
      <w:r w:rsidR="002D64FB">
        <w:t xml:space="preserve"> prog</w:t>
      </w:r>
      <w:r w:rsidR="009A5494">
        <w:t>ram.</w:t>
      </w:r>
      <w:r w:rsidR="002D64FB">
        <w:t xml:space="preserve"> High user groups generated the highest savings of around 1.9% electric savings and 1.2% gas savings while Non-urban </w:t>
      </w:r>
      <w:r w:rsidR="00570465">
        <w:t xml:space="preserve">group produced the lowest electric and gas savings. </w:t>
      </w:r>
    </w:p>
    <w:p w:rsidR="00B31EF0" w:rsidRDefault="00943B9B" w:rsidP="009F39FC">
      <w:pPr>
        <w:spacing w:after="200" w:line="276" w:lineRule="auto"/>
      </w:pPr>
      <w:r>
        <w:fldChar w:fldCharType="begin"/>
      </w:r>
      <w:r>
        <w:instrText xml:space="preserve"> REF _Ref417034797 \h </w:instrText>
      </w:r>
      <w:r>
        <w:fldChar w:fldCharType="separate"/>
      </w:r>
      <w:proofErr w:type="gramStart"/>
      <w:r w:rsidR="00B31EF0">
        <w:t>show</w:t>
      </w:r>
      <w:proofErr w:type="gramEnd"/>
      <w:r w:rsidR="00B31EF0">
        <w:t xml:space="preserve"> the measured electric and gas savings for the Legacy program from 2009 to 2015. The electric savings for the active Legacy HER group (Current) increase through the fifth year of the program, 2013. The Current group savings appear to have flattened or diminished since then but this apparent trend is not statistically significant as of the current program year, 2015.   In addition, it should be noted that HER savings are not weather-normalized, so may reflect natural variation in local </w:t>
      </w:r>
      <w:proofErr w:type="spellStart"/>
      <w:r w:rsidR="00B31EF0">
        <w:t>eather</w:t>
      </w:r>
      <w:proofErr w:type="spellEnd"/>
      <w:r w:rsidR="00B31EF0">
        <w:t>.  Compared to electric savings, Current group gas savings remained relatively flat and ranged from 13 to 15 therms per household in the last 7 years. Evaluation results show that both electric and gas savings for Legacy households still receiving the reports remain at a level similar to previous years.</w:t>
      </w:r>
    </w:p>
    <w:p w:rsidR="00B31EF0" w:rsidRDefault="00B31EF0">
      <w:pPr>
        <w:spacing w:after="200" w:line="276" w:lineRule="auto"/>
      </w:pPr>
      <w:r>
        <w:br w:type="page"/>
      </w:r>
    </w:p>
    <w:p w:rsidR="00386AB3" w:rsidRDefault="00B31EF0" w:rsidP="009F39FC">
      <w:pPr>
        <w:spacing w:after="200" w:line="276" w:lineRule="auto"/>
      </w:pPr>
      <w:r>
        <w:lastRenderedPageBreak/>
        <w:t xml:space="preserve">Figure </w:t>
      </w:r>
      <w:r>
        <w:rPr>
          <w:noProof/>
        </w:rPr>
        <w:t>0</w:t>
      </w:r>
      <w:r>
        <w:noBreakHyphen/>
      </w:r>
      <w:r>
        <w:rPr>
          <w:noProof/>
        </w:rPr>
        <w:t>1</w:t>
      </w:r>
      <w:r w:rsidR="00943B9B">
        <w:fldChar w:fldCharType="end"/>
      </w:r>
      <w:r w:rsidR="00943B9B">
        <w:t xml:space="preserve"> </w:t>
      </w:r>
      <w:bookmarkStart w:id="18" w:name="_Ref417034797"/>
      <w:r w:rsidR="00386AB3">
        <w:t>show the measured electric and gas savings for the Legacy program from 2009 to 2015. The electric savings for the active Legacy HER group (Current) increase through the fifth year of the program, 2013. The Current group savings appear to have flattened or diminished since then but this apparent trend is not statistically significant as of the current program year, 2015.   In addition, it should be noted that HER savings are not weather-normalized, so may reflect natural variation in local eather.  Compared to electric savings, Current group gas savings remained relatively flat and ranged from 13 to 15 therms per household in the last 7 years. Evaluation results show that both electric and gas savings for Legacy households still receiving the reports remain at a level similar to previous years.</w:t>
      </w:r>
    </w:p>
    <w:p w:rsidR="00EB6619" w:rsidRDefault="00EB6619">
      <w:pPr>
        <w:spacing w:after="200" w:line="276" w:lineRule="auto"/>
      </w:pPr>
      <w:r>
        <w:br w:type="page"/>
      </w:r>
    </w:p>
    <w:p w:rsidR="00943B9B" w:rsidRDefault="00943B9B" w:rsidP="00386AB3">
      <w:pPr>
        <w:spacing w:after="200" w:line="276" w:lineRule="auto"/>
      </w:pPr>
      <w:r>
        <w:lastRenderedPageBreak/>
        <w:t xml:space="preserve">Figure </w:t>
      </w:r>
      <w:r>
        <w:fldChar w:fldCharType="begin"/>
      </w:r>
      <w:r>
        <w:instrText xml:space="preserve"> STYLEREF 1 \s </w:instrText>
      </w:r>
      <w:r>
        <w:fldChar w:fldCharType="separate"/>
      </w:r>
      <w:r w:rsidR="00B31EF0">
        <w:rPr>
          <w:noProof/>
        </w:rPr>
        <w:t>0</w:t>
      </w:r>
      <w:r>
        <w:rPr>
          <w:noProof/>
        </w:rPr>
        <w:fldChar w:fldCharType="end"/>
      </w:r>
      <w:r>
        <w:noBreakHyphen/>
      </w:r>
      <w:r>
        <w:fldChar w:fldCharType="begin"/>
      </w:r>
      <w:r>
        <w:instrText xml:space="preserve"> SEQ Figure \* ARABIC \s 1 </w:instrText>
      </w:r>
      <w:r>
        <w:fldChar w:fldCharType="separate"/>
      </w:r>
      <w:r w:rsidR="00B31EF0">
        <w:rPr>
          <w:noProof/>
        </w:rPr>
        <w:t>1</w:t>
      </w:r>
      <w:r>
        <w:rPr>
          <w:noProof/>
        </w:rPr>
        <w:fldChar w:fldCharType="end"/>
      </w:r>
      <w:bookmarkEnd w:id="18"/>
      <w:r>
        <w:t>: Measured HER Electric and G</w:t>
      </w:r>
      <w:r w:rsidR="00386AB3">
        <w:t>as Savings for Legacy, 2009-2015</w:t>
      </w:r>
    </w:p>
    <w:p w:rsidR="00943B9B" w:rsidRDefault="00856820" w:rsidP="00943B9B">
      <w:pPr>
        <w:pStyle w:val="BodyText"/>
      </w:pPr>
      <w:r>
        <w:rPr>
          <w:noProof/>
          <w:lang w:val="en-US" w:eastAsia="en-US"/>
        </w:rPr>
        <w:drawing>
          <wp:inline distT="0" distB="0" distL="0" distR="0" wp14:anchorId="169CEA7E" wp14:editId="1CDCA689">
            <wp:extent cx="6140017" cy="32670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45460" cy="3269971"/>
                    </a:xfrm>
                    <a:prstGeom prst="rect">
                      <a:avLst/>
                    </a:prstGeom>
                    <a:noFill/>
                  </pic:spPr>
                </pic:pic>
              </a:graphicData>
            </a:graphic>
          </wp:inline>
        </w:drawing>
      </w:r>
    </w:p>
    <w:p w:rsidR="00FC3001" w:rsidRPr="00F10DEF" w:rsidRDefault="00943B9B" w:rsidP="009A5494">
      <w:pPr>
        <w:pStyle w:val="BodyText"/>
      </w:pPr>
      <w:r>
        <w:t>The HER program exhibits two different kinds of persistence. Households in the current group that continued to receive reports through the s</w:t>
      </w:r>
      <w:r w:rsidR="003C7943">
        <w:t>eventh</w:t>
      </w:r>
      <w:r>
        <w:t xml:space="preserve"> year generated savings at or above levels established in the first two years of the program. Households in the suspended group that were in their </w:t>
      </w:r>
      <w:r w:rsidR="003C7943">
        <w:t xml:space="preserve">fifth </w:t>
      </w:r>
      <w:r>
        <w:t xml:space="preserve">year of not receiving reports still generated statistically significant savings and at least half of the first year savings of the current treatment group. Interestingly, measured electric savings of the suspended group </w:t>
      </w:r>
      <w:r w:rsidR="003C7943">
        <w:t xml:space="preserve">continued to drop </w:t>
      </w:r>
      <w:r w:rsidR="009A5494">
        <w:t xml:space="preserve">to almost </w:t>
      </w:r>
      <w:r w:rsidR="003C7943">
        <w:t xml:space="preserve">one-fourth </w:t>
      </w:r>
      <w:r>
        <w:t xml:space="preserve">of what the current treatment group was saving while measured gas savings of the suspended group </w:t>
      </w:r>
      <w:r w:rsidR="003C7943">
        <w:t>are still over half of the measured savings of the</w:t>
      </w:r>
      <w:r>
        <w:t xml:space="preserve"> current treatment group. </w:t>
      </w:r>
    </w:p>
    <w:sectPr w:rsidR="00FC3001" w:rsidRPr="00F10DEF" w:rsidSect="00FC3001">
      <w:headerReference w:type="even" r:id="rId12"/>
      <w:headerReference w:type="default" r:id="rId13"/>
      <w:footerReference w:type="even" r:id="rId14"/>
      <w:footerReference w:type="default" r:id="rId15"/>
      <w:headerReference w:type="first" r:id="rId16"/>
      <w:footerReference w:type="first" r:id="rId17"/>
      <w:pgSz w:w="11907" w:h="16839"/>
      <w:pgMar w:top="1757" w:right="1134" w:bottom="1361" w:left="1191" w:header="774"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2"/>
    </wne:keymap>
    <wne:keymap wne:kcmPrimary="0232">
      <wne:acd wne:acdName="acd3"/>
    </wne:keymap>
    <wne:keymap wne:kcmPrimary="0233">
      <wne:acd wne:acdName="acd4"/>
    </wne:keymap>
    <wne:keymap wne:kcmPrimary="0234">
      <wne:acd wne:acdName="acd5"/>
    </wne:keymap>
    <wne:keymap wne:kcmPrimary="0235">
      <wne:acd wne:acdName="acd6"/>
    </wne:keymap>
    <wne:keymap wne:kcmPrimary="0236">
      <wne:acd wne:acdName="acd7"/>
    </wne:keymap>
    <wne:keymap wne:kcmPrimary="0237">
      <wne:acd wne:acdName="acd8"/>
    </wne:keymap>
    <wne:keymap wne:kcmPrimary="0238">
      <wne:acd wne:acdName="acd9"/>
    </wne:keymap>
    <wne:keymap wne:kcmPrimary="0239">
      <wne:acd wne:acdName="acd10"/>
    </wne:keymap>
    <wne:keymap wne:kcmPrimary="0342">
      <wne:acd wne:acdName="acd1"/>
    </wne:keymap>
    <wne:keymap wne:kcmPrimary="034E">
      <wne:acd wne:acdName="acd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QAAAAAA" wne:acdName="acd0" wne:fciIndexBasedOn="0065"/>
    <wne:acd wne:argValue="AQAAAEIA" wne:acdName="acd1" wne:fciIndexBasedOn="0065"/>
    <wne:acd wne:argValue="AQAAAAEA" wne:acdName="acd2" wne:fciIndexBasedOn="0065"/>
    <wne:acd wne:argValue="AQAAAAIA" wne:acdName="acd3" wne:fciIndexBasedOn="0065"/>
    <wne:acd wne:argValue="AQAAAAMA" wne:acdName="acd4" wne:fciIndexBasedOn="0065"/>
    <wne:acd wne:argValue="AQAAAAQA" wne:acdName="acd5" wne:fciIndexBasedOn="0065"/>
    <wne:acd wne:argValue="AQAAAAUA" wne:acdName="acd6" wne:fciIndexBasedOn="0065"/>
    <wne:acd wne:argValue="AQAAAAYA" wne:acdName="acd7" wne:fciIndexBasedOn="0065"/>
    <wne:acd wne:argValue="AQAAAAcA" wne:acdName="acd8" wne:fciIndexBasedOn="0065"/>
    <wne:acd wne:argValue="AQAAAAgA" wne:acdName="acd9" wne:fciIndexBasedOn="0065"/>
    <wne:acd wne:argValue="AQAAAAkA" wne:acdName="acd1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F5A" w:rsidRDefault="007F3F5A">
      <w:r>
        <w:separator/>
      </w:r>
    </w:p>
  </w:endnote>
  <w:endnote w:type="continuationSeparator" w:id="0">
    <w:p w:rsidR="007F3F5A" w:rsidRDefault="007F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6310"/>
      <w:gridCol w:w="227"/>
      <w:gridCol w:w="3045"/>
    </w:tblGrid>
    <w:tr w:rsidR="00FC3001" w:rsidTr="00FC3001">
      <w:tc>
        <w:tcPr>
          <w:tcW w:w="6311" w:type="dxa"/>
          <w:tcBorders>
            <w:top w:val="single" w:sz="2" w:space="0" w:color="009FDA"/>
          </w:tcBorders>
          <w:shd w:val="clear" w:color="auto" w:fill="auto"/>
          <w:vAlign w:val="bottom"/>
        </w:tcPr>
        <w:p w:rsidR="00FC3001" w:rsidRPr="003F3A84" w:rsidRDefault="00FC3001" w:rsidP="00FC3001">
          <w:pPr>
            <w:pStyle w:val="Footer"/>
          </w:pPr>
        </w:p>
      </w:tc>
      <w:tc>
        <w:tcPr>
          <w:tcW w:w="227" w:type="dxa"/>
          <w:tcBorders>
            <w:top w:val="single" w:sz="2" w:space="0" w:color="009FDA"/>
          </w:tcBorders>
          <w:shd w:val="clear" w:color="auto" w:fill="auto"/>
        </w:tcPr>
        <w:p w:rsidR="00FC3001" w:rsidRPr="003F3A84" w:rsidRDefault="00FC3001" w:rsidP="00FC3001">
          <w:pPr>
            <w:pStyle w:val="Footer"/>
          </w:pPr>
        </w:p>
      </w:tc>
      <w:tc>
        <w:tcPr>
          <w:tcW w:w="3045" w:type="dxa"/>
          <w:tcBorders>
            <w:top w:val="single" w:sz="2" w:space="0" w:color="009FDA"/>
          </w:tcBorders>
          <w:shd w:val="clear" w:color="auto" w:fill="auto"/>
          <w:vAlign w:val="bottom"/>
        </w:tcPr>
        <w:p w:rsidR="00FC3001" w:rsidRPr="003F3A84" w:rsidRDefault="00FC3001" w:rsidP="00FC3001">
          <w:pPr>
            <w:pStyle w:val="Footer"/>
            <w:jc w:val="right"/>
          </w:pPr>
          <w:r w:rsidRPr="003F3A84">
            <w:fldChar w:fldCharType="begin"/>
          </w:r>
          <w:r w:rsidRPr="003F3A84">
            <w:instrText xml:space="preserve"> FILENAME </w:instrText>
          </w:r>
          <w:r w:rsidRPr="003F3A84">
            <w:fldChar w:fldCharType="separate"/>
          </w:r>
          <w:r w:rsidR="00B31EF0">
            <w:t>Exhibit 1_Supplement 1_2015 Home Energy Report Evaluation Summary.docx</w:t>
          </w:r>
          <w:r w:rsidRPr="003F3A84">
            <w:fldChar w:fldCharType="end"/>
          </w:r>
        </w:p>
      </w:tc>
    </w:tr>
  </w:tbl>
  <w:p w:rsidR="00FC3001" w:rsidRDefault="00FC30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6310"/>
      <w:gridCol w:w="227"/>
      <w:gridCol w:w="3045"/>
    </w:tblGrid>
    <w:tr w:rsidR="00FC3001" w:rsidTr="00FC3001">
      <w:tc>
        <w:tcPr>
          <w:tcW w:w="6311" w:type="dxa"/>
          <w:tcBorders>
            <w:top w:val="single" w:sz="2" w:space="0" w:color="009FDA"/>
          </w:tcBorders>
          <w:shd w:val="clear" w:color="auto" w:fill="auto"/>
          <w:vAlign w:val="bottom"/>
        </w:tcPr>
        <w:p w:rsidR="00FC3001" w:rsidRPr="003F3A84" w:rsidRDefault="00FC3001" w:rsidP="00FC3001">
          <w:pPr>
            <w:pStyle w:val="Footer"/>
          </w:pPr>
        </w:p>
      </w:tc>
      <w:tc>
        <w:tcPr>
          <w:tcW w:w="227" w:type="dxa"/>
          <w:tcBorders>
            <w:top w:val="single" w:sz="2" w:space="0" w:color="009FDA"/>
          </w:tcBorders>
          <w:shd w:val="clear" w:color="auto" w:fill="auto"/>
        </w:tcPr>
        <w:p w:rsidR="00FC3001" w:rsidRPr="003F3A84" w:rsidRDefault="00FC3001" w:rsidP="00FC3001">
          <w:pPr>
            <w:pStyle w:val="Footer"/>
          </w:pPr>
        </w:p>
      </w:tc>
      <w:tc>
        <w:tcPr>
          <w:tcW w:w="3045" w:type="dxa"/>
          <w:tcBorders>
            <w:top w:val="single" w:sz="2" w:space="0" w:color="009FDA"/>
          </w:tcBorders>
          <w:shd w:val="clear" w:color="auto" w:fill="auto"/>
          <w:vAlign w:val="bottom"/>
        </w:tcPr>
        <w:p w:rsidR="00FC3001" w:rsidRPr="003F3A84" w:rsidRDefault="00FC3001" w:rsidP="00FC3001">
          <w:pPr>
            <w:pStyle w:val="Footer"/>
            <w:jc w:val="right"/>
          </w:pPr>
        </w:p>
      </w:tc>
    </w:tr>
  </w:tbl>
  <w:p w:rsidR="00FC3001" w:rsidRDefault="00FC30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001" w:rsidRDefault="00FC3001" w:rsidP="00FC3001">
    <w:pPr>
      <w:pStyle w:val="DNVGL-HQDetails"/>
    </w:pPr>
  </w:p>
  <w:tbl>
    <w:tblPr>
      <w:tblW w:w="5000" w:type="pct"/>
      <w:tblLayout w:type="fixed"/>
      <w:tblCellMar>
        <w:left w:w="0" w:type="dxa"/>
        <w:right w:w="0" w:type="dxa"/>
      </w:tblCellMar>
      <w:tblLook w:val="04A0" w:firstRow="1" w:lastRow="0" w:firstColumn="1" w:lastColumn="0" w:noHBand="0" w:noVBand="1"/>
    </w:tblPr>
    <w:tblGrid>
      <w:gridCol w:w="6310"/>
      <w:gridCol w:w="227"/>
      <w:gridCol w:w="3045"/>
    </w:tblGrid>
    <w:tr w:rsidR="00FC3001" w:rsidTr="00FC3001">
      <w:tc>
        <w:tcPr>
          <w:tcW w:w="6311" w:type="dxa"/>
          <w:tcBorders>
            <w:top w:val="single" w:sz="2" w:space="0" w:color="009FDA"/>
          </w:tcBorders>
          <w:shd w:val="clear" w:color="auto" w:fill="auto"/>
          <w:vAlign w:val="bottom"/>
        </w:tcPr>
        <w:p w:rsidR="00FC3001" w:rsidRPr="003F3A84" w:rsidRDefault="00B31EF0" w:rsidP="00FC3001">
          <w:pPr>
            <w:pStyle w:val="Footer"/>
          </w:pPr>
          <w:sdt>
            <w:sdtPr>
              <w:tag w:val="DgLegalInformation01"/>
              <w:id w:val="590974587"/>
              <w:showingPlcHdr/>
              <w:dataBinding w:xpath="//Tag[@name='DgLegalInformation01']" w:storeItemID="{BEA7E531-1330-4AA4-B03D-3B103518261E}"/>
              <w:text w:multiLine="1"/>
            </w:sdtPr>
            <w:sdtEndPr/>
            <w:sdtContent>
              <w:r w:rsidR="00FC3001" w:rsidRPr="00AB07EF">
                <w:rPr>
                  <w:rStyle w:val="PlaceholderText"/>
                </w:rPr>
                <w:t>[Legal information]</w:t>
              </w:r>
            </w:sdtContent>
          </w:sdt>
        </w:p>
      </w:tc>
      <w:tc>
        <w:tcPr>
          <w:tcW w:w="227" w:type="dxa"/>
          <w:tcBorders>
            <w:top w:val="single" w:sz="2" w:space="0" w:color="009FDA"/>
          </w:tcBorders>
          <w:shd w:val="clear" w:color="auto" w:fill="auto"/>
        </w:tcPr>
        <w:p w:rsidR="00FC3001" w:rsidRPr="003F3A84" w:rsidRDefault="00FC3001" w:rsidP="00FC3001">
          <w:pPr>
            <w:pStyle w:val="Footer"/>
          </w:pPr>
        </w:p>
      </w:tc>
      <w:tc>
        <w:tcPr>
          <w:tcW w:w="3045" w:type="dxa"/>
          <w:tcBorders>
            <w:top w:val="single" w:sz="2" w:space="0" w:color="009FDA"/>
          </w:tcBorders>
          <w:shd w:val="clear" w:color="auto" w:fill="auto"/>
          <w:vAlign w:val="bottom"/>
        </w:tcPr>
        <w:p w:rsidR="00FC3001" w:rsidRPr="003F3A84" w:rsidRDefault="00FC3001" w:rsidP="00FC3001">
          <w:pPr>
            <w:pStyle w:val="Footer"/>
            <w:jc w:val="right"/>
          </w:pPr>
        </w:p>
      </w:tc>
    </w:tr>
  </w:tbl>
  <w:p w:rsidR="00FC3001" w:rsidRDefault="00FC30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F5A" w:rsidRDefault="007F3F5A">
      <w:r>
        <w:separator/>
      </w:r>
    </w:p>
  </w:footnote>
  <w:footnote w:type="continuationSeparator" w:id="0">
    <w:p w:rsidR="007F3F5A" w:rsidRDefault="007F3F5A">
      <w:r>
        <w:continuationSeparator/>
      </w:r>
    </w:p>
  </w:footnote>
  <w:footnote w:id="1">
    <w:p w:rsidR="00FC3001" w:rsidRPr="00FC3001" w:rsidRDefault="00FC3001" w:rsidP="00A164A6">
      <w:pPr>
        <w:pStyle w:val="FootnoteText"/>
      </w:pPr>
      <w:r>
        <w:rPr>
          <w:rStyle w:val="FootnoteReference"/>
        </w:rPr>
        <w:footnoteRef/>
      </w:r>
      <w:r>
        <w:t xml:space="preserve"> </w:t>
      </w:r>
      <w:r w:rsidR="00A164A6">
        <w:t xml:space="preserve">Program savings from the Refresh group are not included in the 2015 HER evaluation but will be included in the next round of PSE HER evaluation.  </w:t>
      </w:r>
    </w:p>
  </w:footnote>
  <w:footnote w:id="2">
    <w:p w:rsidR="00A164A6" w:rsidRPr="00A164A6" w:rsidRDefault="00A164A6">
      <w:pPr>
        <w:pStyle w:val="FootnoteText"/>
      </w:pPr>
      <w:r>
        <w:rPr>
          <w:rStyle w:val="FootnoteReference"/>
        </w:rPr>
        <w:footnoteRef/>
      </w:r>
      <w:r>
        <w:t xml:space="preserve"> Compared to previous PSE HER evaluation that used daily consumption data all throughout the analysis period, this evaluation used 2015 monthly billing data that Opower provided back to PSE. DNV GL will update the analysis once the daily consumption data becomes available for the calendar year 2015.</w:t>
      </w:r>
    </w:p>
  </w:footnote>
  <w:footnote w:id="3">
    <w:p w:rsidR="00FC3001" w:rsidRPr="00077253" w:rsidRDefault="00FC3001" w:rsidP="00077253">
      <w:pPr>
        <w:pStyle w:val="FootnoteText"/>
      </w:pPr>
      <w:r>
        <w:rPr>
          <w:rStyle w:val="FootnoteReference"/>
        </w:rPr>
        <w:footnoteRef/>
      </w:r>
      <w:r>
        <w:t xml:space="preserve"> Results from the web survey to quantify upstream savings are not yet available and will be incorporated in the final report for 2015 PSE HER.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000" w:firstRow="0" w:lastRow="0" w:firstColumn="0" w:lastColumn="0" w:noHBand="0" w:noVBand="0"/>
    </w:tblPr>
    <w:tblGrid>
      <w:gridCol w:w="9582"/>
    </w:tblGrid>
    <w:tr w:rsidR="00FC3001" w:rsidTr="00FC3001">
      <w:trPr>
        <w:trHeight w:hRule="exact" w:val="737"/>
      </w:trPr>
      <w:tc>
        <w:tcPr>
          <w:tcW w:w="5000" w:type="pct"/>
          <w:noWrap/>
        </w:tcPr>
        <w:p w:rsidR="00FC3001" w:rsidRPr="0026370C" w:rsidRDefault="00FC3001" w:rsidP="00FC3001">
          <w:pPr>
            <w:pStyle w:val="Header"/>
          </w:pPr>
          <w:r>
            <w:rPr>
              <w:lang w:val="en-US" w:eastAsia="en-US"/>
            </w:rPr>
            <w:drawing>
              <wp:inline distT="0" distB="0" distL="0" distR="0" wp14:anchorId="4F314599" wp14:editId="3047D367">
                <wp:extent cx="14401800" cy="38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01800" cy="381000"/>
                        </a:xfrm>
                        <a:prstGeom prst="rect">
                          <a:avLst/>
                        </a:prstGeom>
                        <a:noFill/>
                        <a:ln>
                          <a:noFill/>
                        </a:ln>
                      </pic:spPr>
                    </pic:pic>
                  </a:graphicData>
                </a:graphic>
              </wp:inline>
            </w:drawing>
          </w:r>
        </w:p>
      </w:tc>
    </w:tr>
  </w:tbl>
  <w:p w:rsidR="00FC3001" w:rsidRPr="006738CA" w:rsidRDefault="00FC3001" w:rsidP="00FC3001">
    <w:pPr>
      <w:pStyle w:val="Header"/>
    </w:pPr>
  </w:p>
  <w:p w:rsidR="00FC3001" w:rsidRPr="00227A03" w:rsidRDefault="00FC3001" w:rsidP="00FC3001">
    <w:pPr>
      <w:jc w:val="right"/>
      <w:rPr>
        <w:b/>
        <w:bCs/>
      </w:rPr>
    </w:pPr>
    <w:r w:rsidRPr="00227A03">
      <w:rPr>
        <w:b/>
        <w:bCs/>
      </w:rPr>
      <w:t xml:space="preserve">Page </w:t>
    </w:r>
    <w:r w:rsidRPr="00BC6CB7">
      <w:rPr>
        <w:b/>
        <w:bCs/>
      </w:rPr>
      <w:fldChar w:fldCharType="begin"/>
    </w:r>
    <w:r w:rsidRPr="00BC6CB7">
      <w:rPr>
        <w:b/>
        <w:bCs/>
      </w:rPr>
      <w:instrText xml:space="preserve">PAGE </w:instrText>
    </w:r>
    <w:r w:rsidRPr="00BC6CB7">
      <w:rPr>
        <w:b/>
        <w:bCs/>
      </w:rPr>
      <w:fldChar w:fldCharType="separate"/>
    </w:r>
    <w:r w:rsidRPr="00BC6CB7">
      <w:rPr>
        <w:b/>
        <w:bCs/>
      </w:rPr>
      <w:t>1</w:t>
    </w:r>
    <w:r w:rsidRPr="00BC6CB7">
      <w:rPr>
        <w:b/>
        <w:bCs/>
      </w:rPr>
      <w:fldChar w:fldCharType="end"/>
    </w:r>
    <w:r w:rsidRPr="00227A03">
      <w:rPr>
        <w:b/>
        <w:bCs/>
      </w:rPr>
      <w:t xml:space="preserve"> of </w:t>
    </w:r>
    <w:r w:rsidRPr="00227A03">
      <w:rPr>
        <w:b/>
        <w:bCs/>
      </w:rPr>
      <w:fldChar w:fldCharType="begin"/>
    </w:r>
    <w:r w:rsidRPr="00227A03">
      <w:rPr>
        <w:b/>
        <w:bCs/>
      </w:rPr>
      <w:instrText xml:space="preserve"> NUMPAGES </w:instrText>
    </w:r>
    <w:r w:rsidRPr="00227A03">
      <w:rPr>
        <w:b/>
        <w:bCs/>
      </w:rPr>
      <w:fldChar w:fldCharType="separate"/>
    </w:r>
    <w:r w:rsidR="00B31EF0">
      <w:rPr>
        <w:b/>
        <w:bCs/>
        <w:noProof/>
      </w:rPr>
      <w:t>9</w:t>
    </w:r>
    <w:r w:rsidRPr="00227A03">
      <w:rPr>
        <w:b/>
        <w:bCs/>
      </w:rPr>
      <w:fldChar w:fldCharType="end"/>
    </w:r>
  </w:p>
  <w:p w:rsidR="00FC3001" w:rsidRDefault="00FC30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000" w:firstRow="0" w:lastRow="0" w:firstColumn="0" w:lastColumn="0" w:noHBand="0" w:noVBand="0"/>
    </w:tblPr>
    <w:tblGrid>
      <w:gridCol w:w="9582"/>
    </w:tblGrid>
    <w:tr w:rsidR="00FC3001" w:rsidTr="00FC3001">
      <w:trPr>
        <w:trHeight w:hRule="exact" w:val="737"/>
      </w:trPr>
      <w:tc>
        <w:tcPr>
          <w:tcW w:w="5000" w:type="pct"/>
          <w:noWrap/>
        </w:tcPr>
        <w:p w:rsidR="00FC3001" w:rsidRPr="0026370C" w:rsidRDefault="00FC3001" w:rsidP="00FC3001">
          <w:pPr>
            <w:pStyle w:val="Header"/>
          </w:pPr>
          <w:bookmarkStart w:id="19" w:name="DnvGlSymbol500"/>
          <w:r>
            <w:rPr>
              <w:lang w:val="en-US" w:eastAsia="en-US"/>
            </w:rPr>
            <w:drawing>
              <wp:inline distT="0" distB="0" distL="0" distR="0" wp14:anchorId="2EDFB395" wp14:editId="56F91B1E">
                <wp:extent cx="14401800" cy="381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01800" cy="381000"/>
                        </a:xfrm>
                        <a:prstGeom prst="rect">
                          <a:avLst/>
                        </a:prstGeom>
                        <a:noFill/>
                        <a:ln>
                          <a:noFill/>
                        </a:ln>
                      </pic:spPr>
                    </pic:pic>
                  </a:graphicData>
                </a:graphic>
              </wp:inline>
            </w:drawing>
          </w:r>
          <w:bookmarkEnd w:id="19"/>
        </w:p>
      </w:tc>
    </w:tr>
  </w:tbl>
  <w:p w:rsidR="00FC3001" w:rsidRPr="006738CA" w:rsidRDefault="00FC3001" w:rsidP="00FC3001">
    <w:pPr>
      <w:pStyle w:val="Header"/>
    </w:pPr>
  </w:p>
  <w:p w:rsidR="00FC3001" w:rsidRPr="00227A03" w:rsidRDefault="00FC3001" w:rsidP="00FC3001">
    <w:pPr>
      <w:rPr>
        <w:b/>
        <w:bCs/>
      </w:rPr>
    </w:pPr>
    <w:r w:rsidRPr="00227A03">
      <w:rPr>
        <w:b/>
        <w:bCs/>
      </w:rPr>
      <w:t xml:space="preserve">Page </w:t>
    </w:r>
    <w:r w:rsidRPr="00227A03">
      <w:rPr>
        <w:b/>
        <w:bCs/>
      </w:rPr>
      <w:fldChar w:fldCharType="begin"/>
    </w:r>
    <w:r w:rsidRPr="00227A03">
      <w:rPr>
        <w:b/>
        <w:bCs/>
      </w:rPr>
      <w:instrText xml:space="preserve">PAGE </w:instrText>
    </w:r>
    <w:r w:rsidRPr="00227A03">
      <w:rPr>
        <w:b/>
        <w:bCs/>
      </w:rPr>
      <w:fldChar w:fldCharType="separate"/>
    </w:r>
    <w:r w:rsidR="00B31EF0">
      <w:rPr>
        <w:b/>
        <w:bCs/>
        <w:noProof/>
      </w:rPr>
      <w:t>9</w:t>
    </w:r>
    <w:r w:rsidRPr="00227A03">
      <w:rPr>
        <w:b/>
        <w:bCs/>
      </w:rPr>
      <w:fldChar w:fldCharType="end"/>
    </w:r>
    <w:r w:rsidRPr="00227A03">
      <w:rPr>
        <w:b/>
        <w:bCs/>
      </w:rPr>
      <w:t xml:space="preserve"> of </w:t>
    </w:r>
    <w:r w:rsidRPr="00227A03">
      <w:rPr>
        <w:b/>
        <w:bCs/>
      </w:rPr>
      <w:fldChar w:fldCharType="begin"/>
    </w:r>
    <w:r w:rsidRPr="00227A03">
      <w:rPr>
        <w:b/>
        <w:bCs/>
      </w:rPr>
      <w:instrText xml:space="preserve"> NUMPAGES </w:instrText>
    </w:r>
    <w:r w:rsidRPr="00227A03">
      <w:rPr>
        <w:b/>
        <w:bCs/>
      </w:rPr>
      <w:fldChar w:fldCharType="separate"/>
    </w:r>
    <w:r w:rsidR="00B31EF0">
      <w:rPr>
        <w:b/>
        <w:bCs/>
        <w:noProof/>
      </w:rPr>
      <w:t>9</w:t>
    </w:r>
    <w:r w:rsidRPr="00227A03">
      <w:rPr>
        <w:b/>
        <w:bCs/>
      </w:rPr>
      <w:fldChar w:fldCharType="end"/>
    </w:r>
  </w:p>
  <w:p w:rsidR="00FC3001" w:rsidRDefault="00FC30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000" w:firstRow="0" w:lastRow="0" w:firstColumn="0" w:lastColumn="0" w:noHBand="0" w:noVBand="0"/>
    </w:tblPr>
    <w:tblGrid>
      <w:gridCol w:w="9582"/>
    </w:tblGrid>
    <w:tr w:rsidR="00FC3001" w:rsidTr="00FC3001">
      <w:trPr>
        <w:trHeight w:hRule="exact" w:val="1021"/>
      </w:trPr>
      <w:tc>
        <w:tcPr>
          <w:tcW w:w="5000" w:type="pct"/>
          <w:noWrap/>
        </w:tcPr>
        <w:p w:rsidR="00FC3001" w:rsidRPr="00F22465" w:rsidRDefault="00FC3001" w:rsidP="00FC3001">
          <w:pPr>
            <w:pStyle w:val="Header"/>
          </w:pPr>
          <w:bookmarkStart w:id="20" w:name="DFSx2147483622i1"/>
          <w:bookmarkEnd w:id="20"/>
          <w:r>
            <w:rPr>
              <w:lang w:val="en-US" w:eastAsia="en-US"/>
            </w:rPr>
            <w:drawing>
              <wp:anchor distT="0" distB="0" distL="114300" distR="114300" simplePos="0" relativeHeight="251658240" behindDoc="0" locked="0" layoutInCell="0" allowOverlap="1" wp14:anchorId="30555FF7" wp14:editId="564F5A20">
                <wp:simplePos x="0" y="0"/>
                <wp:positionH relativeFrom="margin">
                  <wp:align>right</wp:align>
                </wp:positionH>
                <wp:positionV relativeFrom="page">
                  <wp:posOffset>971550</wp:posOffset>
                </wp:positionV>
                <wp:extent cx="1195070" cy="161925"/>
                <wp:effectExtent l="0" t="0" r="508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070" cy="161925"/>
                        </a:xfrm>
                        <a:prstGeom prst="rect">
                          <a:avLst/>
                        </a:prstGeom>
                        <a:noFill/>
                      </pic:spPr>
                    </pic:pic>
                  </a:graphicData>
                </a:graphic>
              </wp:anchor>
            </w:drawing>
          </w:r>
          <w:r>
            <w:rPr>
              <w:lang w:val="en-US" w:eastAsia="en-US"/>
            </w:rPr>
            <w:drawing>
              <wp:inline distT="0" distB="0" distL="0" distR="0" wp14:anchorId="3D415DD5" wp14:editId="0FB996EA">
                <wp:extent cx="14401800" cy="3810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401800" cy="381000"/>
                        </a:xfrm>
                        <a:prstGeom prst="rect">
                          <a:avLst/>
                        </a:prstGeom>
                        <a:noFill/>
                        <a:ln>
                          <a:noFill/>
                        </a:ln>
                      </pic:spPr>
                    </pic:pic>
                  </a:graphicData>
                </a:graphic>
              </wp:inline>
            </w:drawing>
          </w:r>
        </w:p>
      </w:tc>
    </w:tr>
  </w:tbl>
  <w:p w:rsidR="00FC3001" w:rsidRPr="006738CA" w:rsidRDefault="00FC3001" w:rsidP="00FC3001">
    <w:pPr>
      <w:pStyle w:val="Header"/>
    </w:pPr>
  </w:p>
  <w:p w:rsidR="00FC3001" w:rsidRPr="00866BDC" w:rsidRDefault="00FC3001">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A648F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EC0D57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1C6D7DC"/>
    <w:lvl w:ilvl="0">
      <w:start w:val="1"/>
      <w:numFmt w:val="decimal"/>
      <w:pStyle w:val="ListNumber3"/>
      <w:lvlText w:val="%1."/>
      <w:lvlJc w:val="left"/>
      <w:pPr>
        <w:tabs>
          <w:tab w:val="num" w:pos="926"/>
        </w:tabs>
        <w:ind w:left="926" w:hanging="360"/>
      </w:pPr>
    </w:lvl>
  </w:abstractNum>
  <w:abstractNum w:abstractNumId="3">
    <w:nsid w:val="FFFFFF7F"/>
    <w:multiLevelType w:val="singleLevel"/>
    <w:tmpl w:val="A8B0F2FE"/>
    <w:lvl w:ilvl="0">
      <w:start w:val="1"/>
      <w:numFmt w:val="decimal"/>
      <w:pStyle w:val="ListNumber2"/>
      <w:lvlText w:val="%1."/>
      <w:lvlJc w:val="left"/>
      <w:pPr>
        <w:tabs>
          <w:tab w:val="num" w:pos="643"/>
        </w:tabs>
        <w:ind w:left="643" w:hanging="360"/>
      </w:pPr>
    </w:lvl>
  </w:abstractNum>
  <w:abstractNum w:abstractNumId="4">
    <w:nsid w:val="FFFFFF80"/>
    <w:multiLevelType w:val="singleLevel"/>
    <w:tmpl w:val="4940976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C862DD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94EC5D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AC882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22CA1AE"/>
    <w:lvl w:ilvl="0">
      <w:start w:val="1"/>
      <w:numFmt w:val="decimal"/>
      <w:pStyle w:val="ListNumber"/>
      <w:lvlText w:val="%1."/>
      <w:lvlJc w:val="left"/>
      <w:pPr>
        <w:tabs>
          <w:tab w:val="num" w:pos="360"/>
        </w:tabs>
        <w:ind w:left="360" w:hanging="360"/>
      </w:pPr>
    </w:lvl>
  </w:abstractNum>
  <w:abstractNum w:abstractNumId="9">
    <w:nsid w:val="FFFFFF89"/>
    <w:multiLevelType w:val="singleLevel"/>
    <w:tmpl w:val="01E2A8C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D42741"/>
    <w:multiLevelType w:val="multilevel"/>
    <w:tmpl w:val="5A18BFB6"/>
    <w:name w:val="DNVGL Headings"/>
    <w:lvl w:ilvl="0">
      <w:start w:val="1"/>
      <w:numFmt w:val="decimal"/>
      <w:pStyle w:val="Heading1"/>
      <w:lvlText w:val="%1"/>
      <w:lvlJc w:val="left"/>
      <w:pPr>
        <w:tabs>
          <w:tab w:val="num" w:pos="454"/>
        </w:tabs>
        <w:ind w:left="454" w:hanging="454"/>
      </w:pPr>
    </w:lvl>
    <w:lvl w:ilvl="1">
      <w:start w:val="1"/>
      <w:numFmt w:val="decimal"/>
      <w:pStyle w:val="Heading2"/>
      <w:lvlText w:val="%1.%2"/>
      <w:lvlJc w:val="left"/>
      <w:pPr>
        <w:tabs>
          <w:tab w:val="num" w:pos="680"/>
        </w:tabs>
        <w:ind w:left="680" w:hanging="680"/>
      </w:pPr>
    </w:lvl>
    <w:lvl w:ilvl="2">
      <w:start w:val="1"/>
      <w:numFmt w:val="decimal"/>
      <w:pStyle w:val="Heading3"/>
      <w:lvlText w:val="%1.%2.%3"/>
      <w:lvlJc w:val="left"/>
      <w:pPr>
        <w:tabs>
          <w:tab w:val="num" w:pos="907"/>
        </w:tabs>
        <w:ind w:left="907" w:hanging="907"/>
      </w:pPr>
    </w:lvl>
    <w:lvl w:ilvl="3">
      <w:start w:val="1"/>
      <w:numFmt w:val="decimal"/>
      <w:pStyle w:val="Heading4"/>
      <w:lvlText w:val="%1.%2.%3.%4"/>
      <w:lvlJc w:val="left"/>
      <w:pPr>
        <w:tabs>
          <w:tab w:val="num" w:pos="1134"/>
        </w:tabs>
        <w:ind w:left="1134" w:hanging="1134"/>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12F8666F"/>
    <w:multiLevelType w:val="multilevel"/>
    <w:tmpl w:val="B5DEAA8E"/>
    <w:name w:val="DNVGL Appendices"/>
    <w:lvl w:ilvl="0">
      <w:start w:val="1"/>
      <w:numFmt w:val="upperLetter"/>
      <w:pStyle w:val="DNVGL-AppListing"/>
      <w:lvlText w:val="Appendix %1"/>
      <w:lvlJc w:val="left"/>
      <w:pPr>
        <w:ind w:left="1417" w:hanging="141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A9202B9"/>
    <w:multiLevelType w:val="hybridMultilevel"/>
    <w:tmpl w:val="399C5F0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C806C0"/>
    <w:multiLevelType w:val="multilevel"/>
    <w:tmpl w:val="16DE8F78"/>
    <w:lvl w:ilvl="0">
      <w:start w:val="1"/>
      <w:numFmt w:val="decimal"/>
      <w:lvlText w:val="%1"/>
      <w:lvlJc w:val="left"/>
      <w:pPr>
        <w:tabs>
          <w:tab w:val="num" w:pos="454"/>
        </w:tabs>
        <w:ind w:left="454" w:hanging="454"/>
      </w:pPr>
    </w:lvl>
    <w:lvl w:ilvl="1">
      <w:start w:val="1"/>
      <w:numFmt w:val="decimal"/>
      <w:lvlText w:val="%1.%2"/>
      <w:lvlJc w:val="left"/>
      <w:pPr>
        <w:tabs>
          <w:tab w:val="num" w:pos="680"/>
        </w:tabs>
        <w:ind w:left="680" w:hanging="680"/>
      </w:pPr>
    </w:lvl>
    <w:lvl w:ilvl="2">
      <w:start w:val="1"/>
      <w:numFmt w:val="decimal"/>
      <w:lvlText w:val="%1.%2.%3"/>
      <w:lvlJc w:val="left"/>
      <w:pPr>
        <w:tabs>
          <w:tab w:val="num" w:pos="907"/>
        </w:tabs>
        <w:ind w:left="907" w:hanging="907"/>
      </w:pPr>
    </w:lvl>
    <w:lvl w:ilvl="3">
      <w:start w:val="1"/>
      <w:numFmt w:val="decimal"/>
      <w:lvlText w:val="%1.%2.%3.%4"/>
      <w:lvlJc w:val="left"/>
      <w:pPr>
        <w:tabs>
          <w:tab w:val="num" w:pos="1134"/>
        </w:tabs>
        <w:ind w:left="1134" w:hanging="1134"/>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2F5E726C"/>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42557A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BE14C2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0"/>
  </w:num>
  <w:num w:numId="2">
    <w:abstractNumId w:val="9"/>
  </w:num>
  <w:num w:numId="3">
    <w:abstractNumId w:val="8"/>
  </w:num>
  <w:num w:numId="4">
    <w:abstractNumId w:val="11"/>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5"/>
  </w:num>
  <w:num w:numId="14">
    <w:abstractNumId w:val="14"/>
  </w:num>
  <w:num w:numId="15">
    <w:abstractNumId w:val="16"/>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FS_FileId" w:val="COR004.dotx"/>
    <w:docVar w:name="DFS_FormId" w:val="1759"/>
    <w:docVar w:name="DFS_FormNo" w:val="COR 004"/>
    <w:docVar w:name="DFS_FormversionNo" w:val="8"/>
    <w:docVar w:name="DFS_Issue" w:val="2014-11"/>
    <w:docVar w:name="DNVeFormDoc_guid" w:val="0814d8863d8d41cf82fd21b04fa02e3c"/>
    <w:docVar w:name="eForms_xdoc_doc_config" w:val="&lt;?xml version=&quot;1.0&quot; encoding=&quot;UTF-8&quot;?&gt;&lt;DNVeFormsCore version=&quot;1.0&quot;&gt;&lt;doc_config client_app=&quot;&quot;&gt;&lt;setting name=&quot;form_config&quot;&gt;&lt;form form_id=&quot;1759&quot; formversion_no=&quot;8&quot; code=&quot;COR 004&quot; name=&quot;Memo&quot; issue=&quot;2014-11&quot; formgroup_id=&quot;0&quot; distribution_bits=&quot;15&quot; FU=&quot;1&quot; SS=&quot;1&quot; SL=&quot;1&quot; ST=&quot;1&quot; filename=&quot;cor004.dotx&quot; type=&quot;Word&quot; datafolder=&quot;COR 004&quot; form_id_field=&quot;&quot; formflow_filename=&quot;&quot; standalone=&quot;n&quot;&gt;_x000d__x000a_  &lt;templates&gt;_x000d__x000a_    &lt;template name=&quot;&quot; filename=&quot;cor004.dotx&quot; /&gt;_x000d__x000a_  &lt;/templates&gt;_x000d__x000a_  &lt;menuitems&gt;_x000d__x000a_    &lt;menuitem caption=&quot;Print Preview&quot;&gt;_x000d__x000a_      &lt;click method=&quot;PrintPreview&quot; /&gt;_x000d__x000a_    &lt;/menuitem&gt;_x000d__x000a_    &lt;menuitem caption=&quot;Update all Fields (incl. TOC)&quot;&gt;_x000d__x000a_      &lt;click method=&quot;UpdateAllFields&quot; /&gt;_x000d__x000a_    &lt;/menuitem&gt;_x000d__x000a_    &lt;menuitem caption=&quot;Insert table&quot;&gt;_x000d__x000a_      &lt;click method=&quot;InsertTable&quot; /&gt;_x000d__x000a_    &lt;/menuitem&gt;_x000d__x000a_    &lt;menuitem caption=&quot;Insert table caption&quot;&gt;_x000d__x000a_      &lt;click method=&quot;InsertTableCaption&quot; /&gt;_x000d__x000a_    &lt;/menuitem&gt;_x000d__x000a_    &lt;menuitem caption=&quot;Insert figure caption&quot;&gt;_x000d__x000a_      &lt;click method=&quot;InsertFigureCaption&quot; /&gt;_x000d__x000a_    &lt;/menuitem&gt;_x000d__x000a_  &lt;/menuitems&gt;_x000d__x000a_&lt;/form&gt;&lt;/setting&gt;&lt;/doc_config&gt;&lt;/DNVeFormsCore&gt;"/>
    <w:docVar w:name="eFormsDataStoreItemId" w:val="440d1571f9014b1483f470beb868f785"/>
    <w:docVar w:name="eFormsFormConfig" w:val="&lt;form form_id=&quot;1759&quot; formversion_no=&quot;8&quot; code=&quot;COR 004&quot; name=&quot;Memo&quot; issue=&quot;2014-11&quot; formgroup_id=&quot;0&quot; distribution_bits=&quot;15&quot; FU=&quot;1&quot; SS=&quot;1&quot; SL=&quot;1&quot; ST=&quot;1&quot; filename=&quot;cor004.dotx&quot; type=&quot;Word&quot; datafolder=&quot;COR 004&quot; form_id_field=&quot;&quot; formflow_filename=&quot;&quot; standalone=&quot;n&quot;&gt;_x000d__x000a_  &lt;templates&gt;_x000d__x000a_    &lt;template name=&quot;&quot; filename=&quot;cor004.dotx&quot; /&gt;_x000d__x000a_  &lt;/templates&gt;_x000d__x000a_  &lt;menuitems&gt;_x000d__x000a_    &lt;menuitem caption=&quot;Print Preview&quot;&gt;_x000d__x000a_      &lt;click method=&quot;PrintPreview&quot; /&gt;_x000d__x000a_    &lt;/menuitem&gt;_x000d__x000a_    &lt;menuitem caption=&quot;Update all Fields (incl. TOC)&quot;&gt;_x000d__x000a_      &lt;click method=&quot;UpdateAllFields&quot; /&gt;_x000d__x000a_    &lt;/menuitem&gt;_x000d__x000a_    &lt;menuitem caption=&quot;Insert table&quot;&gt;_x000d__x000a_      &lt;click method=&quot;InsertTable&quot; /&gt;_x000d__x000a_    &lt;/menuitem&gt;_x000d__x000a_    &lt;menuitem caption=&quot;Insert table caption&quot;&gt;_x000d__x000a_      &lt;click method=&quot;InsertTableCaption&quot; /&gt;_x000d__x000a_    &lt;/menuitem&gt;_x000d__x000a_    &lt;menuitem caption=&quot;Insert figure caption&quot;&gt;_x000d__x000a_      &lt;click method=&quot;InsertFigureCaption&quot; /&gt;_x000d__x000a_    &lt;/menuitem&gt;_x000d__x000a_  &lt;/menuitems&gt;_x000d__x000a_&lt;/form&gt;"/>
    <w:docVar w:name="TB build" w:val="20141125 110107"/>
    <w:docVar w:name="TB filename" w:val="COR004.dotx"/>
    <w:docVar w:name="TB id" w:val="7323"/>
    <w:docVar w:name="TB name" w:val="DNV GL - COR 004"/>
    <w:docVar w:name="TMPeF_datafolder" w:val="COR 004"/>
    <w:docVar w:name="XCD450QKD" w:val="730c587424c64a3cbc49aca6813fd929"/>
  </w:docVars>
  <w:rsids>
    <w:rsidRoot w:val="00943B9B"/>
    <w:rsid w:val="00077253"/>
    <w:rsid w:val="000836CD"/>
    <w:rsid w:val="000A16CD"/>
    <w:rsid w:val="00144689"/>
    <w:rsid w:val="001A5875"/>
    <w:rsid w:val="002206DE"/>
    <w:rsid w:val="0026261E"/>
    <w:rsid w:val="002C2C69"/>
    <w:rsid w:val="002D64FB"/>
    <w:rsid w:val="00386AB3"/>
    <w:rsid w:val="00397A37"/>
    <w:rsid w:val="003C7943"/>
    <w:rsid w:val="003F05E8"/>
    <w:rsid w:val="003F306B"/>
    <w:rsid w:val="00422161"/>
    <w:rsid w:val="00494051"/>
    <w:rsid w:val="004A4784"/>
    <w:rsid w:val="0054419A"/>
    <w:rsid w:val="00570465"/>
    <w:rsid w:val="00663DE8"/>
    <w:rsid w:val="0069213C"/>
    <w:rsid w:val="00793E4F"/>
    <w:rsid w:val="007D67BE"/>
    <w:rsid w:val="007F3F5A"/>
    <w:rsid w:val="00804651"/>
    <w:rsid w:val="00856820"/>
    <w:rsid w:val="00885E5B"/>
    <w:rsid w:val="008C10DB"/>
    <w:rsid w:val="008D3B67"/>
    <w:rsid w:val="00920BB2"/>
    <w:rsid w:val="00943B9B"/>
    <w:rsid w:val="00974527"/>
    <w:rsid w:val="009A4A6E"/>
    <w:rsid w:val="009A5494"/>
    <w:rsid w:val="009B044E"/>
    <w:rsid w:val="009F39FC"/>
    <w:rsid w:val="00A164A6"/>
    <w:rsid w:val="00A24725"/>
    <w:rsid w:val="00AD7973"/>
    <w:rsid w:val="00AF0BB5"/>
    <w:rsid w:val="00B31EF0"/>
    <w:rsid w:val="00B673D8"/>
    <w:rsid w:val="00C413CA"/>
    <w:rsid w:val="00C70D5B"/>
    <w:rsid w:val="00C953DC"/>
    <w:rsid w:val="00D16E60"/>
    <w:rsid w:val="00D80A93"/>
    <w:rsid w:val="00DD5099"/>
    <w:rsid w:val="00E2275D"/>
    <w:rsid w:val="00E60A20"/>
    <w:rsid w:val="00EB6619"/>
    <w:rsid w:val="00FA0E0A"/>
    <w:rsid w:val="00FC3001"/>
    <w:rsid w:val="00FF4E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unhideWhenUsed="0" w:qFormat="1"/>
    <w:lsdException w:name="heading 3" w:uiPriority="9" w:unhideWhenUsed="0" w:qFormat="1"/>
    <w:lsdException w:name="heading 4" w:uiPriority="9" w:unhideWhenUsed="0" w:qFormat="1"/>
    <w:lsdException w:name="heading 5" w:unhideWhenUsed="0" w:qFormat="1"/>
    <w:lsdException w:name="heading 6" w:unhideWhenUsed="0"/>
    <w:lsdException w:name="heading 7" w:unhideWhenUsed="0"/>
    <w:lsdException w:name="heading 8" w:unhideWhenUsed="0"/>
    <w:lsdException w:name="heading 9" w:unhideWhenUsed="0"/>
    <w:lsdException w:name="footnote text" w:unhideWhenUsed="0"/>
    <w:lsdException w:name="header" w:unhideWhenUsed="0"/>
    <w:lsdException w:name="footer" w:unhideWhenUsed="0"/>
    <w:lsdException w:name="caption" w:uiPriority="0" w:unhideWhenUsed="0" w:qFormat="1"/>
    <w:lsdException w:name="List Bullet" w:unhideWhenUsed="0"/>
    <w:lsdException w:name="List Number" w:unhideWhenUsed="0"/>
    <w:lsdException w:name="Title" w:semiHidden="0"/>
    <w:lsdException w:name="Body Text" w:uiPriority="0" w:unhideWhenUsed="0" w:qFormat="1"/>
    <w:lsdException w:name="Subtitle" w:semiHidden="0"/>
    <w:lsdException w:name="Strong" w:semiHidden="0"/>
    <w:lsdException w:name="Emphasis" w:semiHidden="0"/>
    <w:lsdException w:name="Table Grid" w:semiHidden="0" w:unhideWhenUsed="0"/>
    <w:lsdException w:name="Placeholder Text" w:unhideWhenUsed="0"/>
    <w:lsdException w:name="No Spacing" w:semiHidden="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lsdException w:name="Quote" w:semiHidden="0"/>
    <w:lsdException w:name="Intense Quote" w:semiHidden="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lsdException w:name="Intense Emphasis" w:semiHidden="0"/>
    <w:lsdException w:name="Subtle Reference" w:semiHidden="0"/>
    <w:lsdException w:name="Intense Reference" w:semiHidden="0"/>
    <w:lsdException w:name="Book Title" w:semiHidden="0"/>
  </w:latentStyles>
  <w:style w:type="paragraph" w:default="1" w:styleId="Normal">
    <w:name w:val="Normal"/>
    <w:uiPriority w:val="1"/>
    <w:qFormat/>
    <w:rsid w:val="00866BDC"/>
    <w:pPr>
      <w:spacing w:after="0" w:line="240" w:lineRule="auto"/>
    </w:pPr>
    <w:rPr>
      <w:rFonts w:ascii="Verdana" w:hAnsi="Verdana" w:cs="Verdana"/>
      <w:sz w:val="18"/>
      <w:szCs w:val="18"/>
      <w:lang w:val="en-GB"/>
    </w:rPr>
  </w:style>
  <w:style w:type="paragraph" w:styleId="Heading1">
    <w:name w:val="heading 1"/>
    <w:basedOn w:val="Normal"/>
    <w:next w:val="BodyText"/>
    <w:link w:val="Heading1Char"/>
    <w:uiPriority w:val="9"/>
    <w:qFormat/>
    <w:rsid w:val="00866BDC"/>
    <w:pPr>
      <w:keepNext/>
      <w:numPr>
        <w:numId w:val="1"/>
      </w:numPr>
      <w:outlineLvl w:val="0"/>
    </w:pPr>
    <w:rPr>
      <w:b/>
      <w:caps/>
      <w:color w:val="009FDA"/>
      <w:sz w:val="26"/>
    </w:rPr>
  </w:style>
  <w:style w:type="paragraph" w:styleId="Heading2">
    <w:name w:val="heading 2"/>
    <w:basedOn w:val="Normal"/>
    <w:next w:val="BodyText"/>
    <w:link w:val="Heading2Char"/>
    <w:uiPriority w:val="9"/>
    <w:qFormat/>
    <w:rsid w:val="00866BDC"/>
    <w:pPr>
      <w:keepNext/>
      <w:numPr>
        <w:ilvl w:val="1"/>
        <w:numId w:val="1"/>
      </w:numPr>
      <w:spacing w:before="280"/>
      <w:outlineLvl w:val="1"/>
    </w:pPr>
    <w:rPr>
      <w:b/>
      <w:color w:val="009FDA"/>
      <w:sz w:val="26"/>
    </w:rPr>
  </w:style>
  <w:style w:type="paragraph" w:styleId="Heading3">
    <w:name w:val="heading 3"/>
    <w:basedOn w:val="Normal"/>
    <w:next w:val="BodyText"/>
    <w:link w:val="Heading3Char"/>
    <w:uiPriority w:val="9"/>
    <w:qFormat/>
    <w:rsid w:val="00866BDC"/>
    <w:pPr>
      <w:keepNext/>
      <w:numPr>
        <w:ilvl w:val="2"/>
        <w:numId w:val="1"/>
      </w:numPr>
      <w:spacing w:before="120"/>
      <w:outlineLvl w:val="2"/>
    </w:pPr>
    <w:rPr>
      <w:color w:val="009FDA"/>
      <w:sz w:val="26"/>
    </w:rPr>
  </w:style>
  <w:style w:type="paragraph" w:styleId="Heading4">
    <w:name w:val="heading 4"/>
    <w:basedOn w:val="Normal"/>
    <w:next w:val="BodyText"/>
    <w:link w:val="Heading4Char"/>
    <w:uiPriority w:val="9"/>
    <w:qFormat/>
    <w:rsid w:val="00866BDC"/>
    <w:pPr>
      <w:keepNext/>
      <w:numPr>
        <w:ilvl w:val="3"/>
        <w:numId w:val="1"/>
      </w:numPr>
      <w:spacing w:before="120"/>
      <w:outlineLvl w:val="3"/>
    </w:pPr>
    <w:rPr>
      <w:b/>
      <w:color w:val="009FDA"/>
      <w:sz w:val="22"/>
    </w:rPr>
  </w:style>
  <w:style w:type="paragraph" w:styleId="Heading5">
    <w:name w:val="heading 5"/>
    <w:basedOn w:val="Normal"/>
    <w:next w:val="BodyText"/>
    <w:link w:val="Heading5Char"/>
    <w:uiPriority w:val="99"/>
    <w:qFormat/>
    <w:rsid w:val="00866BDC"/>
    <w:pPr>
      <w:numPr>
        <w:ilvl w:val="4"/>
        <w:numId w:val="1"/>
      </w:numPr>
      <w:spacing w:before="60" w:after="60"/>
      <w:outlineLvl w:val="4"/>
    </w:pPr>
    <w:rPr>
      <w:sz w:val="22"/>
    </w:rPr>
  </w:style>
  <w:style w:type="paragraph" w:styleId="Heading6">
    <w:name w:val="heading 6"/>
    <w:basedOn w:val="Heading1"/>
    <w:next w:val="BodyText"/>
    <w:link w:val="Heading6Char"/>
    <w:uiPriority w:val="99"/>
    <w:rsid w:val="00866BDC"/>
    <w:pPr>
      <w:numPr>
        <w:numId w:val="0"/>
      </w:numPr>
      <w:outlineLvl w:val="5"/>
    </w:pPr>
  </w:style>
  <w:style w:type="paragraph" w:styleId="Heading7">
    <w:name w:val="heading 7"/>
    <w:basedOn w:val="Heading2"/>
    <w:next w:val="BodyText"/>
    <w:link w:val="Heading7Char"/>
    <w:uiPriority w:val="99"/>
    <w:rsid w:val="00866BDC"/>
    <w:pPr>
      <w:numPr>
        <w:ilvl w:val="0"/>
        <w:numId w:val="0"/>
      </w:numPr>
      <w:outlineLvl w:val="6"/>
    </w:pPr>
  </w:style>
  <w:style w:type="paragraph" w:styleId="Heading8">
    <w:name w:val="heading 8"/>
    <w:basedOn w:val="Heading3"/>
    <w:next w:val="BodyText"/>
    <w:link w:val="Heading8Char"/>
    <w:uiPriority w:val="99"/>
    <w:rsid w:val="00866BDC"/>
    <w:pPr>
      <w:numPr>
        <w:ilvl w:val="0"/>
        <w:numId w:val="0"/>
      </w:numPr>
      <w:outlineLvl w:val="7"/>
    </w:pPr>
  </w:style>
  <w:style w:type="paragraph" w:styleId="Heading9">
    <w:name w:val="heading 9"/>
    <w:basedOn w:val="Heading4"/>
    <w:next w:val="BodyText"/>
    <w:link w:val="Heading9Char"/>
    <w:uiPriority w:val="99"/>
    <w:rsid w:val="00866BDC"/>
    <w:pPr>
      <w:numPr>
        <w:ilvl w:val="0"/>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6BDC"/>
    <w:rPr>
      <w:rFonts w:ascii="Verdana" w:hAnsi="Verdana" w:cs="Verdana"/>
      <w:b/>
      <w:caps/>
      <w:color w:val="009FDA"/>
      <w:sz w:val="26"/>
      <w:szCs w:val="18"/>
      <w:lang w:val="en-GB"/>
    </w:rPr>
  </w:style>
  <w:style w:type="character" w:customStyle="1" w:styleId="Heading2Char">
    <w:name w:val="Heading 2 Char"/>
    <w:basedOn w:val="DefaultParagraphFont"/>
    <w:link w:val="Heading2"/>
    <w:rsid w:val="00866BDC"/>
    <w:rPr>
      <w:rFonts w:ascii="Verdana" w:hAnsi="Verdana" w:cs="Verdana"/>
      <w:b/>
      <w:color w:val="009FDA"/>
      <w:sz w:val="26"/>
      <w:szCs w:val="18"/>
      <w:lang w:val="en-GB"/>
    </w:rPr>
  </w:style>
  <w:style w:type="character" w:customStyle="1" w:styleId="Heading3Char">
    <w:name w:val="Heading 3 Char"/>
    <w:basedOn w:val="DefaultParagraphFont"/>
    <w:link w:val="Heading3"/>
    <w:uiPriority w:val="99"/>
    <w:rsid w:val="00866BDC"/>
    <w:rPr>
      <w:rFonts w:ascii="Verdana" w:hAnsi="Verdana" w:cs="Verdana"/>
      <w:color w:val="009FDA"/>
      <w:sz w:val="26"/>
      <w:szCs w:val="18"/>
      <w:lang w:val="en-GB"/>
    </w:rPr>
  </w:style>
  <w:style w:type="character" w:customStyle="1" w:styleId="Heading4Char">
    <w:name w:val="Heading 4 Char"/>
    <w:basedOn w:val="DefaultParagraphFont"/>
    <w:link w:val="Heading4"/>
    <w:uiPriority w:val="99"/>
    <w:rsid w:val="00866BDC"/>
    <w:rPr>
      <w:rFonts w:ascii="Verdana" w:hAnsi="Verdana" w:cs="Verdana"/>
      <w:b/>
      <w:color w:val="009FDA"/>
      <w:szCs w:val="18"/>
      <w:lang w:val="en-GB"/>
    </w:rPr>
  </w:style>
  <w:style w:type="paragraph" w:styleId="BodyText">
    <w:name w:val="Body Text"/>
    <w:basedOn w:val="Normal"/>
    <w:link w:val="BodyTextChar"/>
    <w:qFormat/>
    <w:rsid w:val="00866BDC"/>
    <w:pPr>
      <w:spacing w:before="40" w:after="140" w:line="280" w:lineRule="atLeast"/>
    </w:pPr>
  </w:style>
  <w:style w:type="character" w:customStyle="1" w:styleId="BodyTextChar">
    <w:name w:val="Body Text Char"/>
    <w:basedOn w:val="DefaultParagraphFont"/>
    <w:link w:val="BodyText"/>
    <w:rsid w:val="00866BDC"/>
    <w:rPr>
      <w:rFonts w:ascii="Verdana" w:hAnsi="Verdana" w:cs="Verdana"/>
      <w:sz w:val="18"/>
      <w:szCs w:val="18"/>
      <w:lang w:val="en-GB"/>
    </w:rPr>
  </w:style>
  <w:style w:type="character" w:styleId="PlaceholderText">
    <w:name w:val="Placeholder Text"/>
    <w:basedOn w:val="DefaultParagraphFont"/>
    <w:uiPriority w:val="99"/>
    <w:rsid w:val="00866BDC"/>
    <w:rPr>
      <w:noProof/>
      <w:vanish/>
      <w:color w:val="808080"/>
      <w:lang w:val="en-GB"/>
    </w:rPr>
  </w:style>
  <w:style w:type="character" w:customStyle="1" w:styleId="Heading5Char">
    <w:name w:val="Heading 5 Char"/>
    <w:basedOn w:val="DefaultParagraphFont"/>
    <w:link w:val="Heading5"/>
    <w:uiPriority w:val="99"/>
    <w:rsid w:val="00866BDC"/>
    <w:rPr>
      <w:rFonts w:ascii="Verdana" w:hAnsi="Verdana" w:cs="Verdana"/>
      <w:szCs w:val="18"/>
      <w:lang w:val="en-GB"/>
    </w:rPr>
  </w:style>
  <w:style w:type="character" w:customStyle="1" w:styleId="Heading6Char">
    <w:name w:val="Heading 6 Char"/>
    <w:basedOn w:val="DefaultParagraphFont"/>
    <w:link w:val="Heading6"/>
    <w:uiPriority w:val="99"/>
    <w:rsid w:val="00866BDC"/>
    <w:rPr>
      <w:rFonts w:ascii="Verdana" w:hAnsi="Verdana" w:cs="Verdana"/>
      <w:b/>
      <w:caps/>
      <w:color w:val="009FDA"/>
      <w:sz w:val="26"/>
      <w:szCs w:val="18"/>
      <w:lang w:val="en-GB"/>
    </w:rPr>
  </w:style>
  <w:style w:type="character" w:customStyle="1" w:styleId="Heading7Char">
    <w:name w:val="Heading 7 Char"/>
    <w:basedOn w:val="DefaultParagraphFont"/>
    <w:link w:val="Heading7"/>
    <w:uiPriority w:val="99"/>
    <w:rsid w:val="00866BDC"/>
    <w:rPr>
      <w:rFonts w:ascii="Verdana" w:hAnsi="Verdana" w:cs="Verdana"/>
      <w:b/>
      <w:color w:val="009FDA"/>
      <w:sz w:val="26"/>
      <w:szCs w:val="18"/>
      <w:lang w:val="en-GB"/>
    </w:rPr>
  </w:style>
  <w:style w:type="character" w:customStyle="1" w:styleId="Heading8Char">
    <w:name w:val="Heading 8 Char"/>
    <w:basedOn w:val="DefaultParagraphFont"/>
    <w:link w:val="Heading8"/>
    <w:uiPriority w:val="99"/>
    <w:rsid w:val="00866BDC"/>
    <w:rPr>
      <w:rFonts w:ascii="Verdana" w:hAnsi="Verdana" w:cs="Verdana"/>
      <w:color w:val="009FDA"/>
      <w:sz w:val="26"/>
      <w:szCs w:val="18"/>
      <w:lang w:val="en-GB"/>
    </w:rPr>
  </w:style>
  <w:style w:type="character" w:customStyle="1" w:styleId="Heading9Char">
    <w:name w:val="Heading 9 Char"/>
    <w:basedOn w:val="DefaultParagraphFont"/>
    <w:link w:val="Heading9"/>
    <w:uiPriority w:val="99"/>
    <w:rsid w:val="00866BDC"/>
    <w:rPr>
      <w:rFonts w:ascii="Verdana" w:hAnsi="Verdana" w:cs="Verdana"/>
      <w:b/>
      <w:color w:val="009FDA"/>
      <w:szCs w:val="18"/>
      <w:lang w:val="en-GB"/>
    </w:rPr>
  </w:style>
  <w:style w:type="paragraph" w:styleId="TOC1">
    <w:name w:val="toc 1"/>
    <w:basedOn w:val="Normal"/>
    <w:uiPriority w:val="99"/>
    <w:semiHidden/>
    <w:unhideWhenUsed/>
    <w:rsid w:val="00866BDC"/>
    <w:pPr>
      <w:tabs>
        <w:tab w:val="right" w:leader="dot" w:pos="9581"/>
      </w:tabs>
      <w:spacing w:before="240"/>
      <w:ind w:left="850" w:right="850" w:hanging="850"/>
    </w:pPr>
    <w:rPr>
      <w:caps/>
      <w:noProof/>
    </w:rPr>
  </w:style>
  <w:style w:type="paragraph" w:styleId="TOC2">
    <w:name w:val="toc 2"/>
    <w:basedOn w:val="Normal"/>
    <w:uiPriority w:val="99"/>
    <w:semiHidden/>
    <w:unhideWhenUsed/>
    <w:rsid w:val="00866BDC"/>
    <w:pPr>
      <w:tabs>
        <w:tab w:val="right" w:pos="9581"/>
      </w:tabs>
      <w:spacing w:before="60"/>
      <w:ind w:left="850" w:right="850" w:hanging="850"/>
    </w:pPr>
    <w:rPr>
      <w:noProof/>
    </w:rPr>
  </w:style>
  <w:style w:type="paragraph" w:styleId="TOC3">
    <w:name w:val="toc 3"/>
    <w:basedOn w:val="Normal"/>
    <w:uiPriority w:val="99"/>
    <w:semiHidden/>
    <w:unhideWhenUsed/>
    <w:rsid w:val="00866BDC"/>
    <w:pPr>
      <w:tabs>
        <w:tab w:val="right" w:pos="9581"/>
      </w:tabs>
      <w:ind w:left="1134" w:right="850" w:hanging="1134"/>
    </w:pPr>
    <w:rPr>
      <w:noProof/>
    </w:rPr>
  </w:style>
  <w:style w:type="paragraph" w:styleId="TOC4">
    <w:name w:val="toc 4"/>
    <w:basedOn w:val="Normal"/>
    <w:uiPriority w:val="99"/>
    <w:semiHidden/>
    <w:unhideWhenUsed/>
    <w:rsid w:val="00866BDC"/>
    <w:pPr>
      <w:tabs>
        <w:tab w:val="right" w:pos="9581"/>
      </w:tabs>
      <w:ind w:left="1417" w:right="850" w:hanging="1417"/>
    </w:pPr>
    <w:rPr>
      <w:noProof/>
    </w:rPr>
  </w:style>
  <w:style w:type="paragraph" w:styleId="TOC5">
    <w:name w:val="toc 5"/>
    <w:basedOn w:val="Normal"/>
    <w:uiPriority w:val="99"/>
    <w:semiHidden/>
    <w:unhideWhenUsed/>
    <w:rsid w:val="00866BDC"/>
    <w:pPr>
      <w:tabs>
        <w:tab w:val="right" w:pos="9581"/>
      </w:tabs>
      <w:ind w:left="1417" w:right="850" w:hanging="1417"/>
    </w:pPr>
    <w:rPr>
      <w:noProof/>
    </w:rPr>
  </w:style>
  <w:style w:type="paragraph" w:styleId="TOC6">
    <w:name w:val="toc 6"/>
    <w:basedOn w:val="TOC1"/>
    <w:uiPriority w:val="99"/>
    <w:semiHidden/>
    <w:unhideWhenUsed/>
    <w:rsid w:val="00866BDC"/>
  </w:style>
  <w:style w:type="paragraph" w:styleId="TOC7">
    <w:name w:val="toc 7"/>
    <w:basedOn w:val="TOC2"/>
    <w:uiPriority w:val="99"/>
    <w:semiHidden/>
    <w:unhideWhenUsed/>
    <w:rsid w:val="00866BDC"/>
  </w:style>
  <w:style w:type="paragraph" w:styleId="TOC8">
    <w:name w:val="toc 8"/>
    <w:basedOn w:val="TOC4"/>
    <w:uiPriority w:val="99"/>
    <w:semiHidden/>
    <w:unhideWhenUsed/>
    <w:rsid w:val="00866BDC"/>
  </w:style>
  <w:style w:type="paragraph" w:styleId="Header">
    <w:name w:val="header"/>
    <w:basedOn w:val="Normal"/>
    <w:link w:val="HeaderChar"/>
    <w:uiPriority w:val="99"/>
    <w:rsid w:val="00866BDC"/>
    <w:rPr>
      <w:noProof/>
    </w:rPr>
  </w:style>
  <w:style w:type="character" w:customStyle="1" w:styleId="HeaderChar">
    <w:name w:val="Header Char"/>
    <w:basedOn w:val="DefaultParagraphFont"/>
    <w:link w:val="Header"/>
    <w:uiPriority w:val="99"/>
    <w:rsid w:val="00866BDC"/>
    <w:rPr>
      <w:rFonts w:ascii="Verdana" w:hAnsi="Verdana" w:cs="Verdana"/>
      <w:noProof/>
      <w:sz w:val="18"/>
      <w:szCs w:val="18"/>
      <w:lang w:val="en-GB"/>
    </w:rPr>
  </w:style>
  <w:style w:type="paragraph" w:styleId="Footer">
    <w:name w:val="footer"/>
    <w:basedOn w:val="Normal"/>
    <w:link w:val="FooterChar"/>
    <w:uiPriority w:val="99"/>
    <w:rsid w:val="00866BDC"/>
    <w:pPr>
      <w:spacing w:line="160" w:lineRule="atLeast"/>
    </w:pPr>
    <w:rPr>
      <w:noProof/>
      <w:sz w:val="13"/>
    </w:rPr>
  </w:style>
  <w:style w:type="character" w:customStyle="1" w:styleId="FooterChar">
    <w:name w:val="Footer Char"/>
    <w:basedOn w:val="DefaultParagraphFont"/>
    <w:link w:val="Footer"/>
    <w:uiPriority w:val="99"/>
    <w:rsid w:val="00866BDC"/>
    <w:rPr>
      <w:rFonts w:ascii="Verdana" w:hAnsi="Verdana" w:cs="Verdana"/>
      <w:noProof/>
      <w:sz w:val="13"/>
      <w:szCs w:val="18"/>
      <w:lang w:val="en-GB"/>
    </w:rPr>
  </w:style>
  <w:style w:type="paragraph" w:styleId="Caption">
    <w:name w:val="caption"/>
    <w:basedOn w:val="Normal"/>
    <w:next w:val="BodyText"/>
    <w:link w:val="CaptionChar"/>
    <w:qFormat/>
    <w:rsid w:val="00866BDC"/>
    <w:rPr>
      <w:b/>
    </w:rPr>
  </w:style>
  <w:style w:type="paragraph" w:styleId="ListBullet">
    <w:name w:val="List Bullet"/>
    <w:basedOn w:val="Normal"/>
    <w:uiPriority w:val="99"/>
    <w:rsid w:val="00866BDC"/>
    <w:pPr>
      <w:numPr>
        <w:numId w:val="2"/>
      </w:numPr>
      <w:ind w:left="0" w:firstLine="0"/>
      <w:contextualSpacing/>
    </w:pPr>
  </w:style>
  <w:style w:type="paragraph" w:styleId="ListNumber">
    <w:name w:val="List Number"/>
    <w:basedOn w:val="Normal"/>
    <w:uiPriority w:val="99"/>
    <w:rsid w:val="00866BDC"/>
    <w:pPr>
      <w:numPr>
        <w:numId w:val="3"/>
      </w:numPr>
      <w:contextualSpacing/>
    </w:pPr>
  </w:style>
  <w:style w:type="paragraph" w:styleId="FootnoteText">
    <w:name w:val="footnote text"/>
    <w:aliases w:val="DFSListFootnote"/>
    <w:basedOn w:val="Normal"/>
    <w:link w:val="FootnoteTextChar"/>
    <w:uiPriority w:val="99"/>
    <w:rsid w:val="00866BDC"/>
    <w:pPr>
      <w:ind w:left="397" w:hanging="397"/>
    </w:pPr>
    <w:rPr>
      <w:sz w:val="13"/>
    </w:rPr>
  </w:style>
  <w:style w:type="character" w:customStyle="1" w:styleId="FootnoteTextChar">
    <w:name w:val="Footnote Text Char"/>
    <w:aliases w:val="DFSListFootnote Char"/>
    <w:basedOn w:val="DefaultParagraphFont"/>
    <w:link w:val="FootnoteText"/>
    <w:uiPriority w:val="99"/>
    <w:rsid w:val="00866BDC"/>
    <w:rPr>
      <w:rFonts w:ascii="Verdana" w:hAnsi="Verdana" w:cs="Verdana"/>
      <w:sz w:val="13"/>
      <w:szCs w:val="18"/>
      <w:lang w:val="en-GB"/>
    </w:rPr>
  </w:style>
  <w:style w:type="character" w:styleId="FootnoteReference">
    <w:name w:val="footnote reference"/>
    <w:basedOn w:val="DefaultParagraphFont"/>
    <w:uiPriority w:val="99"/>
    <w:unhideWhenUsed/>
    <w:rsid w:val="00866BDC"/>
    <w:rPr>
      <w:sz w:val="18"/>
      <w:vertAlign w:val="superscript"/>
    </w:rPr>
  </w:style>
  <w:style w:type="paragraph" w:customStyle="1" w:styleId="DNVGL-Hidden">
    <w:name w:val="DNVGL-Hidden"/>
    <w:basedOn w:val="Normal"/>
    <w:next w:val="BodyText"/>
    <w:link w:val="DNVGL-HiddenChar"/>
    <w:uiPriority w:val="99"/>
    <w:rsid w:val="00866BDC"/>
    <w:rPr>
      <w:noProof/>
      <w:vanish/>
      <w:color w:val="FF0000"/>
    </w:rPr>
  </w:style>
  <w:style w:type="character" w:customStyle="1" w:styleId="DNVGL-HiddenChar">
    <w:name w:val="DNVGL-Hidden Char"/>
    <w:basedOn w:val="DefaultParagraphFont"/>
    <w:link w:val="DNVGL-Hidden"/>
    <w:uiPriority w:val="99"/>
    <w:rsid w:val="00866BDC"/>
    <w:rPr>
      <w:rFonts w:ascii="Verdana" w:hAnsi="Verdana" w:cs="Verdana"/>
      <w:noProof/>
      <w:vanish/>
      <w:color w:val="FF0000"/>
      <w:sz w:val="18"/>
      <w:szCs w:val="18"/>
      <w:lang w:val="en-GB"/>
    </w:rPr>
  </w:style>
  <w:style w:type="paragraph" w:customStyle="1" w:styleId="DNVGL-HQDetails">
    <w:name w:val="DNVGL-HQ Details"/>
    <w:basedOn w:val="Normal"/>
    <w:link w:val="DNVGL-HQDetailsChar"/>
    <w:uiPriority w:val="99"/>
    <w:rsid w:val="00866BDC"/>
    <w:pPr>
      <w:spacing w:after="240" w:line="200" w:lineRule="atLeast"/>
    </w:pPr>
    <w:rPr>
      <w:noProof/>
      <w:color w:val="009FDA"/>
      <w:sz w:val="16"/>
    </w:rPr>
  </w:style>
  <w:style w:type="character" w:customStyle="1" w:styleId="DNVGL-HQDetailsChar">
    <w:name w:val="DNVGL-HQ Details Char"/>
    <w:basedOn w:val="DefaultParagraphFont"/>
    <w:link w:val="DNVGL-HQDetails"/>
    <w:rsid w:val="00866BDC"/>
    <w:rPr>
      <w:rFonts w:ascii="Verdana" w:hAnsi="Verdana" w:cs="Verdana"/>
      <w:noProof/>
      <w:color w:val="009FDA"/>
      <w:sz w:val="16"/>
      <w:szCs w:val="18"/>
      <w:lang w:val="en-GB"/>
    </w:rPr>
  </w:style>
  <w:style w:type="paragraph" w:customStyle="1" w:styleId="DNVGL-Address-receiver">
    <w:name w:val="DNVGL-Address - receiver"/>
    <w:basedOn w:val="Normal"/>
    <w:link w:val="DNVGL-Address-receiverChar"/>
    <w:uiPriority w:val="99"/>
    <w:rsid w:val="00866BDC"/>
    <w:pPr>
      <w:keepLines/>
      <w:spacing w:line="280" w:lineRule="atLeast"/>
    </w:pPr>
    <w:rPr>
      <w:noProof/>
    </w:rPr>
  </w:style>
  <w:style w:type="character" w:customStyle="1" w:styleId="DNVGL-Address-receiverChar">
    <w:name w:val="DNVGL-Address - receiver Char"/>
    <w:basedOn w:val="DefaultParagraphFont"/>
    <w:link w:val="DNVGL-Address-receiver"/>
    <w:uiPriority w:val="99"/>
    <w:rsid w:val="00866BDC"/>
    <w:rPr>
      <w:rFonts w:ascii="Verdana" w:hAnsi="Verdana" w:cs="Verdana"/>
      <w:noProof/>
      <w:sz w:val="18"/>
      <w:szCs w:val="18"/>
      <w:lang w:val="en-GB"/>
    </w:rPr>
  </w:style>
  <w:style w:type="paragraph" w:customStyle="1" w:styleId="DNVGL-Address-sender">
    <w:name w:val="DNVGL-Address - sender"/>
    <w:basedOn w:val="Normal"/>
    <w:link w:val="DNVGL-Address-senderChar"/>
    <w:uiPriority w:val="99"/>
    <w:rsid w:val="00866BDC"/>
    <w:pPr>
      <w:keepLines/>
      <w:spacing w:line="280" w:lineRule="atLeast"/>
    </w:pPr>
    <w:rPr>
      <w:noProof/>
    </w:rPr>
  </w:style>
  <w:style w:type="character" w:customStyle="1" w:styleId="DNVGL-Address-senderChar">
    <w:name w:val="DNVGL-Address - sender Char"/>
    <w:basedOn w:val="DefaultParagraphFont"/>
    <w:link w:val="DNVGL-Address-sender"/>
    <w:uiPriority w:val="99"/>
    <w:rsid w:val="00866BDC"/>
    <w:rPr>
      <w:rFonts w:ascii="Verdana" w:hAnsi="Verdana" w:cs="Verdana"/>
      <w:noProof/>
      <w:sz w:val="18"/>
      <w:szCs w:val="18"/>
      <w:lang w:val="en-GB"/>
    </w:rPr>
  </w:style>
  <w:style w:type="paragraph" w:customStyle="1" w:styleId="DNVGL-Details">
    <w:name w:val="DNVGL-Details"/>
    <w:basedOn w:val="Normal"/>
    <w:link w:val="DNVGL-DetailsChar"/>
    <w:uiPriority w:val="99"/>
    <w:rsid w:val="00866BDC"/>
    <w:pPr>
      <w:keepLines/>
      <w:spacing w:line="280" w:lineRule="atLeast"/>
    </w:pPr>
    <w:rPr>
      <w:noProof/>
    </w:rPr>
  </w:style>
  <w:style w:type="character" w:customStyle="1" w:styleId="DNVGL-DetailsChar">
    <w:name w:val="DNVGL-Details Char"/>
    <w:basedOn w:val="DefaultParagraphFont"/>
    <w:link w:val="DNVGL-Details"/>
    <w:uiPriority w:val="99"/>
    <w:rsid w:val="00866BDC"/>
    <w:rPr>
      <w:rFonts w:ascii="Verdana" w:hAnsi="Verdana" w:cs="Verdana"/>
      <w:noProof/>
      <w:sz w:val="18"/>
      <w:szCs w:val="18"/>
      <w:lang w:val="en-GB"/>
    </w:rPr>
  </w:style>
  <w:style w:type="paragraph" w:customStyle="1" w:styleId="DNVGL-Revisionrow">
    <w:name w:val="DNVGL-Revision row"/>
    <w:basedOn w:val="Normal"/>
    <w:link w:val="DNVGL-RevisionrowChar"/>
    <w:uiPriority w:val="99"/>
    <w:rsid w:val="00866BDC"/>
    <w:pPr>
      <w:keepLines/>
      <w:spacing w:line="280" w:lineRule="atLeast"/>
    </w:pPr>
    <w:rPr>
      <w:sz w:val="14"/>
    </w:rPr>
  </w:style>
  <w:style w:type="character" w:customStyle="1" w:styleId="DNVGL-RevisionrowChar">
    <w:name w:val="DNVGL-Revision row Char"/>
    <w:basedOn w:val="DefaultParagraphFont"/>
    <w:link w:val="DNVGL-Revisionrow"/>
    <w:uiPriority w:val="99"/>
    <w:rsid w:val="00866BDC"/>
    <w:rPr>
      <w:rFonts w:ascii="Verdana" w:hAnsi="Verdana" w:cs="Verdana"/>
      <w:sz w:val="14"/>
      <w:szCs w:val="18"/>
      <w:lang w:val="en-GB"/>
    </w:rPr>
  </w:style>
  <w:style w:type="paragraph" w:customStyle="1" w:styleId="DNVGL-Revisionheadingrow">
    <w:name w:val="DNVGL-Revision heading row"/>
    <w:basedOn w:val="Normal"/>
    <w:link w:val="DNVGL-RevisionheadingrowChar"/>
    <w:uiPriority w:val="99"/>
    <w:rsid w:val="00866BDC"/>
    <w:pPr>
      <w:keepLines/>
    </w:pPr>
    <w:rPr>
      <w:sz w:val="14"/>
    </w:rPr>
  </w:style>
  <w:style w:type="character" w:customStyle="1" w:styleId="DNVGL-RevisionheadingrowChar">
    <w:name w:val="DNVGL-Revision heading row Char"/>
    <w:basedOn w:val="DefaultParagraphFont"/>
    <w:link w:val="DNVGL-Revisionheadingrow"/>
    <w:uiPriority w:val="99"/>
    <w:rsid w:val="00866BDC"/>
    <w:rPr>
      <w:rFonts w:ascii="Verdana" w:hAnsi="Verdana" w:cs="Verdana"/>
      <w:sz w:val="14"/>
      <w:szCs w:val="18"/>
      <w:lang w:val="en-GB"/>
    </w:rPr>
  </w:style>
  <w:style w:type="paragraph" w:customStyle="1" w:styleId="DNVGL-Signature">
    <w:name w:val="DNVGL-Signature"/>
    <w:basedOn w:val="Normal"/>
    <w:link w:val="DNVGL-SignatureChar"/>
    <w:uiPriority w:val="99"/>
    <w:rsid w:val="00866BDC"/>
    <w:pPr>
      <w:keepLines/>
      <w:contextualSpacing/>
    </w:pPr>
    <w:rPr>
      <w:noProof/>
    </w:rPr>
  </w:style>
  <w:style w:type="character" w:customStyle="1" w:styleId="DNVGL-SignatureChar">
    <w:name w:val="DNVGL-Signature Char"/>
    <w:basedOn w:val="DefaultParagraphFont"/>
    <w:link w:val="DNVGL-Signature"/>
    <w:uiPriority w:val="99"/>
    <w:rsid w:val="00866BDC"/>
    <w:rPr>
      <w:rFonts w:ascii="Verdana" w:hAnsi="Verdana" w:cs="Verdana"/>
      <w:noProof/>
      <w:sz w:val="18"/>
      <w:szCs w:val="18"/>
      <w:lang w:val="en-GB"/>
    </w:rPr>
  </w:style>
  <w:style w:type="paragraph" w:customStyle="1" w:styleId="DNVGL-Signaturesmall">
    <w:name w:val="DNVGL-Signature (small)"/>
    <w:basedOn w:val="DNVGL-Signature"/>
    <w:link w:val="DNVGL-SignaturesmallChar"/>
    <w:uiPriority w:val="99"/>
    <w:rsid w:val="00866BDC"/>
    <w:rPr>
      <w:sz w:val="14"/>
    </w:rPr>
  </w:style>
  <w:style w:type="character" w:customStyle="1" w:styleId="DNVGL-SignaturesmallChar">
    <w:name w:val="DNVGL-Signature (small) Char"/>
    <w:basedOn w:val="DefaultParagraphFont"/>
    <w:link w:val="DNVGL-Signaturesmall"/>
    <w:uiPriority w:val="99"/>
    <w:rsid w:val="00866BDC"/>
    <w:rPr>
      <w:rFonts w:ascii="Verdana" w:hAnsi="Verdana" w:cs="Verdana"/>
      <w:noProof/>
      <w:sz w:val="14"/>
      <w:szCs w:val="18"/>
      <w:lang w:val="en-GB"/>
    </w:rPr>
  </w:style>
  <w:style w:type="paragraph" w:customStyle="1" w:styleId="DNVGL-Closing">
    <w:name w:val="DNVGL-Closing"/>
    <w:basedOn w:val="Normal"/>
    <w:next w:val="DNVGL-Signature"/>
    <w:link w:val="DNVGL-ClosingChar"/>
    <w:uiPriority w:val="99"/>
    <w:rsid w:val="00866BDC"/>
    <w:pPr>
      <w:keepNext/>
      <w:keepLines/>
      <w:spacing w:before="480" w:after="720" w:line="280" w:lineRule="atLeast"/>
      <w:contextualSpacing/>
    </w:pPr>
    <w:rPr>
      <w:noProof/>
    </w:rPr>
  </w:style>
  <w:style w:type="character" w:customStyle="1" w:styleId="DNVGL-ClosingChar">
    <w:name w:val="DNVGL-Closing Char"/>
    <w:basedOn w:val="DefaultParagraphFont"/>
    <w:link w:val="DNVGL-Closing"/>
    <w:uiPriority w:val="99"/>
    <w:rsid w:val="00866BDC"/>
    <w:rPr>
      <w:rFonts w:ascii="Verdana" w:hAnsi="Verdana" w:cs="Verdana"/>
      <w:noProof/>
      <w:sz w:val="18"/>
      <w:szCs w:val="18"/>
      <w:lang w:val="en-GB"/>
    </w:rPr>
  </w:style>
  <w:style w:type="paragraph" w:customStyle="1" w:styleId="CMCHeading">
    <w:name w:val="CMCHeading"/>
    <w:basedOn w:val="Normal"/>
    <w:next w:val="Normal"/>
    <w:link w:val="CMCHeadingChar"/>
    <w:uiPriority w:val="99"/>
    <w:rsid w:val="00866BDC"/>
    <w:rPr>
      <w:b/>
      <w:sz w:val="22"/>
    </w:rPr>
  </w:style>
  <w:style w:type="character" w:customStyle="1" w:styleId="CMCHeadingChar">
    <w:name w:val="CMCHeading Char"/>
    <w:basedOn w:val="DefaultParagraphFont"/>
    <w:link w:val="CMCHeading"/>
    <w:uiPriority w:val="99"/>
    <w:rsid w:val="00866BDC"/>
    <w:rPr>
      <w:rFonts w:ascii="Verdana" w:hAnsi="Verdana" w:cs="Verdana"/>
      <w:b/>
      <w:szCs w:val="18"/>
      <w:lang w:val="en-GB"/>
    </w:rPr>
  </w:style>
  <w:style w:type="paragraph" w:customStyle="1" w:styleId="CMCConfidential">
    <w:name w:val="CMCConfidential"/>
    <w:basedOn w:val="Normal"/>
    <w:link w:val="CMCConfidentialChar"/>
    <w:uiPriority w:val="99"/>
    <w:rsid w:val="00866BDC"/>
    <w:rPr>
      <w:color w:val="FF0000"/>
    </w:rPr>
  </w:style>
  <w:style w:type="character" w:customStyle="1" w:styleId="CMCConfidentialChar">
    <w:name w:val="CMCConfidential Char"/>
    <w:basedOn w:val="DefaultParagraphFont"/>
    <w:link w:val="CMCConfidential"/>
    <w:uiPriority w:val="99"/>
    <w:rsid w:val="00866BDC"/>
    <w:rPr>
      <w:rFonts w:ascii="Verdana" w:hAnsi="Verdana" w:cs="Verdana"/>
      <w:color w:val="FF0000"/>
      <w:sz w:val="18"/>
      <w:szCs w:val="18"/>
      <w:lang w:val="en-GB"/>
    </w:rPr>
  </w:style>
  <w:style w:type="paragraph" w:customStyle="1" w:styleId="CMCConfidentialText">
    <w:name w:val="CMCConfidentialText"/>
    <w:basedOn w:val="CMCConfidential"/>
    <w:link w:val="CMCConfidentialTextChar"/>
    <w:uiPriority w:val="99"/>
    <w:rsid w:val="00866BDC"/>
  </w:style>
  <w:style w:type="character" w:customStyle="1" w:styleId="CMCConfidentialTextChar">
    <w:name w:val="CMCConfidentialText Char"/>
    <w:basedOn w:val="DefaultParagraphFont"/>
    <w:link w:val="CMCConfidentialText"/>
    <w:rsid w:val="00866BDC"/>
    <w:rPr>
      <w:rFonts w:ascii="Verdana" w:hAnsi="Verdana" w:cs="Verdana"/>
      <w:color w:val="FF0000"/>
      <w:sz w:val="18"/>
      <w:szCs w:val="18"/>
      <w:lang w:val="en-GB"/>
    </w:rPr>
  </w:style>
  <w:style w:type="paragraph" w:customStyle="1" w:styleId="DNVGL-AppListing">
    <w:name w:val="DNVGL-App Listing"/>
    <w:basedOn w:val="Normal"/>
    <w:link w:val="DNVGL-AppListingChar"/>
    <w:uiPriority w:val="99"/>
    <w:rsid w:val="00866BDC"/>
    <w:pPr>
      <w:keepLines/>
      <w:numPr>
        <w:numId w:val="4"/>
      </w:numPr>
    </w:pPr>
    <w:rPr>
      <w:color w:val="009FDA"/>
    </w:rPr>
  </w:style>
  <w:style w:type="character" w:customStyle="1" w:styleId="DNVGL-AppListingChar">
    <w:name w:val="DNVGL-App Listing Char"/>
    <w:basedOn w:val="DefaultParagraphFont"/>
    <w:link w:val="DNVGL-AppListing"/>
    <w:uiPriority w:val="99"/>
    <w:rsid w:val="00866BDC"/>
    <w:rPr>
      <w:rFonts w:ascii="Verdana" w:hAnsi="Verdana" w:cs="Verdana"/>
      <w:color w:val="009FDA"/>
      <w:sz w:val="18"/>
      <w:szCs w:val="18"/>
      <w:lang w:val="en-GB"/>
    </w:rPr>
  </w:style>
  <w:style w:type="paragraph" w:customStyle="1" w:styleId="DNVGL-AppText">
    <w:name w:val="DNVGL-App Text"/>
    <w:basedOn w:val="Normal"/>
    <w:next w:val="BodyText"/>
    <w:link w:val="DNVGL-AppTextChar"/>
    <w:uiPriority w:val="99"/>
    <w:rsid w:val="00866BDC"/>
    <w:pPr>
      <w:spacing w:after="120"/>
    </w:pPr>
    <w:rPr>
      <w:b/>
      <w:color w:val="009FDA"/>
      <w:sz w:val="26"/>
    </w:rPr>
  </w:style>
  <w:style w:type="character" w:customStyle="1" w:styleId="DNVGL-AppTextChar">
    <w:name w:val="DNVGL-App Text Char"/>
    <w:basedOn w:val="DefaultParagraphFont"/>
    <w:link w:val="DNVGL-AppText"/>
    <w:uiPriority w:val="99"/>
    <w:rsid w:val="00866BDC"/>
    <w:rPr>
      <w:rFonts w:ascii="Verdana" w:hAnsi="Verdana" w:cs="Verdana"/>
      <w:b/>
      <w:color w:val="009FDA"/>
      <w:sz w:val="26"/>
      <w:szCs w:val="18"/>
      <w:lang w:val="en-GB"/>
    </w:rPr>
  </w:style>
  <w:style w:type="paragraph" w:customStyle="1" w:styleId="DNVGL-Appendix">
    <w:name w:val="DNVGL-Appendix"/>
    <w:basedOn w:val="Normal"/>
    <w:next w:val="BodyText"/>
    <w:link w:val="DNVGL-AppendixChar"/>
    <w:uiPriority w:val="99"/>
    <w:rsid w:val="00866BDC"/>
    <w:pPr>
      <w:pBdr>
        <w:bottom w:val="single" w:sz="6" w:space="0" w:color="009FDA"/>
      </w:pBdr>
    </w:pPr>
    <w:rPr>
      <w:b/>
      <w:caps/>
      <w:noProof/>
      <w:color w:val="009FDA"/>
      <w:sz w:val="26"/>
    </w:rPr>
  </w:style>
  <w:style w:type="character" w:customStyle="1" w:styleId="DNVGL-AppendixChar">
    <w:name w:val="DNVGL-Appendix Char"/>
    <w:basedOn w:val="DefaultParagraphFont"/>
    <w:link w:val="DNVGL-Appendix"/>
    <w:uiPriority w:val="99"/>
    <w:rsid w:val="00866BDC"/>
    <w:rPr>
      <w:rFonts w:ascii="Verdana" w:hAnsi="Verdana" w:cs="Verdana"/>
      <w:b/>
      <w:caps/>
      <w:noProof/>
      <w:color w:val="009FDA"/>
      <w:sz w:val="26"/>
      <w:szCs w:val="18"/>
      <w:lang w:val="en-GB"/>
    </w:rPr>
  </w:style>
  <w:style w:type="paragraph" w:customStyle="1" w:styleId="DNVGL-BackcoverTitle">
    <w:name w:val="DNVGL-Backcover Title"/>
    <w:basedOn w:val="Normal"/>
    <w:next w:val="BodyText"/>
    <w:link w:val="DNVGL-BackcoverTitleChar"/>
    <w:uiPriority w:val="99"/>
    <w:rsid w:val="00866BDC"/>
    <w:rPr>
      <w:b/>
      <w:noProof/>
      <w:color w:val="009FDA"/>
      <w:sz w:val="26"/>
    </w:rPr>
  </w:style>
  <w:style w:type="character" w:customStyle="1" w:styleId="DNVGL-BackcoverTitleChar">
    <w:name w:val="DNVGL-Backcover Title Char"/>
    <w:basedOn w:val="DefaultParagraphFont"/>
    <w:link w:val="DNVGL-BackcoverTitle"/>
    <w:uiPriority w:val="99"/>
    <w:rsid w:val="00866BDC"/>
    <w:rPr>
      <w:rFonts w:ascii="Verdana" w:hAnsi="Verdana" w:cs="Verdana"/>
      <w:b/>
      <w:noProof/>
      <w:color w:val="009FDA"/>
      <w:sz w:val="26"/>
      <w:szCs w:val="18"/>
      <w:lang w:val="en-GB"/>
    </w:rPr>
  </w:style>
  <w:style w:type="paragraph" w:customStyle="1" w:styleId="Bodytexthighlight">
    <w:name w:val="Body text highlight"/>
    <w:basedOn w:val="BodyText"/>
    <w:link w:val="BodytexthighlightChar"/>
    <w:uiPriority w:val="99"/>
    <w:rsid w:val="00866BDC"/>
    <w:pPr>
      <w:shd w:val="clear" w:color="auto" w:fill="FFFF99"/>
    </w:pPr>
    <w:rPr>
      <w:color w:val="009FDA"/>
    </w:rPr>
  </w:style>
  <w:style w:type="character" w:customStyle="1" w:styleId="BodytexthighlightChar">
    <w:name w:val="Body text highlight Char"/>
    <w:basedOn w:val="DefaultParagraphFont"/>
    <w:link w:val="Bodytexthighlight"/>
    <w:uiPriority w:val="99"/>
    <w:rsid w:val="00866BDC"/>
    <w:rPr>
      <w:rFonts w:ascii="Verdana" w:hAnsi="Verdana" w:cs="Verdana"/>
      <w:color w:val="009FDA"/>
      <w:sz w:val="18"/>
      <w:szCs w:val="18"/>
      <w:shd w:val="clear" w:color="auto" w:fill="FFFF99"/>
      <w:lang w:val="en-GB"/>
    </w:rPr>
  </w:style>
  <w:style w:type="paragraph" w:customStyle="1" w:styleId="DNVGL-capEquation">
    <w:name w:val="DNVGL-capEquation"/>
    <w:basedOn w:val="Normal"/>
    <w:next w:val="BodyText"/>
    <w:link w:val="DNVGL-capEquationChar"/>
    <w:uiPriority w:val="99"/>
    <w:rsid w:val="00866BDC"/>
    <w:pPr>
      <w:keepLines/>
      <w:spacing w:before="120" w:after="120"/>
      <w:ind w:left="142" w:right="113" w:hanging="142"/>
    </w:pPr>
    <w:rPr>
      <w:b/>
    </w:rPr>
  </w:style>
  <w:style w:type="character" w:customStyle="1" w:styleId="DNVGL-capEquationChar">
    <w:name w:val="DNVGL-capEquation Char"/>
    <w:basedOn w:val="DefaultParagraphFont"/>
    <w:link w:val="DNVGL-capEquation"/>
    <w:uiPriority w:val="99"/>
    <w:rsid w:val="00866BDC"/>
    <w:rPr>
      <w:rFonts w:ascii="Verdana" w:hAnsi="Verdana" w:cs="Verdana"/>
      <w:b/>
      <w:sz w:val="18"/>
      <w:szCs w:val="18"/>
      <w:lang w:val="en-GB"/>
    </w:rPr>
  </w:style>
  <w:style w:type="paragraph" w:customStyle="1" w:styleId="DNVGL-capFigure">
    <w:name w:val="DNVGL-capFigure"/>
    <w:basedOn w:val="Normal"/>
    <w:next w:val="BodyText"/>
    <w:link w:val="DNVGL-capFigureChar"/>
    <w:uiPriority w:val="99"/>
    <w:rsid w:val="00866BDC"/>
    <w:pPr>
      <w:keepNext/>
    </w:pPr>
    <w:rPr>
      <w:b/>
    </w:rPr>
  </w:style>
  <w:style w:type="character" w:customStyle="1" w:styleId="DNVGL-capFigureChar">
    <w:name w:val="DNVGL-capFigure Char"/>
    <w:basedOn w:val="DefaultParagraphFont"/>
    <w:link w:val="DNVGL-capFigure"/>
    <w:uiPriority w:val="99"/>
    <w:rsid w:val="00866BDC"/>
    <w:rPr>
      <w:rFonts w:ascii="Verdana" w:hAnsi="Verdana" w:cs="Verdana"/>
      <w:b/>
      <w:sz w:val="18"/>
      <w:szCs w:val="18"/>
      <w:lang w:val="en-GB"/>
    </w:rPr>
  </w:style>
  <w:style w:type="paragraph" w:customStyle="1" w:styleId="DNVGL-capTable">
    <w:name w:val="DNVGL-capTable"/>
    <w:basedOn w:val="Normal"/>
    <w:next w:val="BodyText"/>
    <w:link w:val="DNVGL-capTableChar"/>
    <w:uiPriority w:val="99"/>
    <w:rsid w:val="00866BDC"/>
    <w:pPr>
      <w:keepNext/>
      <w:spacing w:before="100" w:after="60" w:line="280" w:lineRule="atLeast"/>
    </w:pPr>
    <w:rPr>
      <w:b/>
    </w:rPr>
  </w:style>
  <w:style w:type="character" w:customStyle="1" w:styleId="DNVGL-capTableChar">
    <w:name w:val="DNVGL-capTable Char"/>
    <w:basedOn w:val="DefaultParagraphFont"/>
    <w:link w:val="DNVGL-capTable"/>
    <w:uiPriority w:val="99"/>
    <w:rsid w:val="00866BDC"/>
    <w:rPr>
      <w:rFonts w:ascii="Verdana" w:hAnsi="Verdana" w:cs="Verdana"/>
      <w:b/>
      <w:sz w:val="18"/>
      <w:szCs w:val="18"/>
      <w:lang w:val="en-GB"/>
    </w:rPr>
  </w:style>
  <w:style w:type="paragraph" w:customStyle="1" w:styleId="DNVGL-FigureComment">
    <w:name w:val="DNVGL-FigureComment"/>
    <w:basedOn w:val="Normal"/>
    <w:link w:val="DNVGL-FigureCommentChar"/>
    <w:uiPriority w:val="99"/>
    <w:rsid w:val="00866BDC"/>
    <w:pPr>
      <w:keepLines/>
      <w:spacing w:after="180"/>
      <w:ind w:left="142" w:hanging="142"/>
      <w:contextualSpacing/>
    </w:pPr>
    <w:rPr>
      <w:sz w:val="13"/>
    </w:rPr>
  </w:style>
  <w:style w:type="character" w:customStyle="1" w:styleId="DNVGL-FigureCommentChar">
    <w:name w:val="DNVGL-FigureComment Char"/>
    <w:basedOn w:val="DefaultParagraphFont"/>
    <w:link w:val="DNVGL-FigureComment"/>
    <w:uiPriority w:val="99"/>
    <w:rsid w:val="00866BDC"/>
    <w:rPr>
      <w:rFonts w:ascii="Verdana" w:hAnsi="Verdana" w:cs="Verdana"/>
      <w:sz w:val="13"/>
      <w:szCs w:val="18"/>
      <w:lang w:val="en-GB"/>
    </w:rPr>
  </w:style>
  <w:style w:type="paragraph" w:customStyle="1" w:styleId="DNVGL-TableComment">
    <w:name w:val="DNVGL-TableComment"/>
    <w:basedOn w:val="Normal"/>
    <w:link w:val="DNVGL-TableCommentChar"/>
    <w:uiPriority w:val="99"/>
    <w:rsid w:val="00866BDC"/>
    <w:pPr>
      <w:keepLines/>
      <w:spacing w:after="180"/>
      <w:ind w:left="142" w:hanging="142"/>
      <w:contextualSpacing/>
    </w:pPr>
    <w:rPr>
      <w:sz w:val="13"/>
    </w:rPr>
  </w:style>
  <w:style w:type="character" w:customStyle="1" w:styleId="DNVGL-TableCommentChar">
    <w:name w:val="DNVGL-TableComment Char"/>
    <w:basedOn w:val="DefaultParagraphFont"/>
    <w:link w:val="DNVGL-TableComment"/>
    <w:uiPriority w:val="99"/>
    <w:rsid w:val="00866BDC"/>
    <w:rPr>
      <w:rFonts w:ascii="Verdana" w:hAnsi="Verdana" w:cs="Verdana"/>
      <w:sz w:val="13"/>
      <w:szCs w:val="18"/>
      <w:lang w:val="en-GB"/>
    </w:rPr>
  </w:style>
  <w:style w:type="paragraph" w:customStyle="1" w:styleId="DNVGL-TableText">
    <w:name w:val="DNVGL-TableText"/>
    <w:basedOn w:val="Normal"/>
    <w:link w:val="DNVGL-TableTextChar"/>
    <w:uiPriority w:val="99"/>
    <w:rsid w:val="00866BDC"/>
    <w:pPr>
      <w:keepNext/>
      <w:keepLines/>
      <w:spacing w:before="20" w:after="20"/>
    </w:pPr>
    <w:rPr>
      <w:sz w:val="16"/>
    </w:rPr>
  </w:style>
  <w:style w:type="character" w:customStyle="1" w:styleId="DNVGL-TableTextChar">
    <w:name w:val="DNVGL-TableText Char"/>
    <w:basedOn w:val="DefaultParagraphFont"/>
    <w:link w:val="DNVGL-TableText"/>
    <w:uiPriority w:val="99"/>
    <w:rsid w:val="00866BDC"/>
    <w:rPr>
      <w:rFonts w:ascii="Verdana" w:hAnsi="Verdana" w:cs="Verdana"/>
      <w:sz w:val="16"/>
      <w:szCs w:val="18"/>
      <w:lang w:val="en-GB"/>
    </w:rPr>
  </w:style>
  <w:style w:type="paragraph" w:customStyle="1" w:styleId="DNVGL-TableHeadingText">
    <w:name w:val="DNVGL-TableHeadingText"/>
    <w:basedOn w:val="DNVGL-TableText"/>
    <w:link w:val="DNVGL-TableHeadingTextChar"/>
    <w:uiPriority w:val="99"/>
    <w:rsid w:val="00866BDC"/>
    <w:rPr>
      <w:b/>
    </w:rPr>
  </w:style>
  <w:style w:type="character" w:customStyle="1" w:styleId="DNVGL-TableHeadingTextChar">
    <w:name w:val="DNVGL-TableHeadingText Char"/>
    <w:basedOn w:val="DefaultParagraphFont"/>
    <w:link w:val="DNVGL-TableHeadingText"/>
    <w:uiPriority w:val="99"/>
    <w:rsid w:val="00866BDC"/>
    <w:rPr>
      <w:rFonts w:ascii="Verdana" w:hAnsi="Verdana" w:cs="Verdana"/>
      <w:b/>
      <w:sz w:val="16"/>
      <w:szCs w:val="18"/>
      <w:lang w:val="en-GB"/>
    </w:rPr>
  </w:style>
  <w:style w:type="paragraph" w:customStyle="1" w:styleId="DNVGL-TOCHeading">
    <w:name w:val="DNVGL-TOC Heading"/>
    <w:basedOn w:val="Normal"/>
    <w:next w:val="Normal"/>
    <w:link w:val="DNVGL-TOCHeadingChar"/>
    <w:uiPriority w:val="99"/>
    <w:rsid w:val="00866BDC"/>
    <w:pPr>
      <w:keepNext/>
      <w:pageBreakBefore/>
      <w:spacing w:before="180"/>
      <w:outlineLvl w:val="0"/>
    </w:pPr>
    <w:rPr>
      <w:sz w:val="26"/>
    </w:rPr>
  </w:style>
  <w:style w:type="character" w:customStyle="1" w:styleId="DNVGL-TOCHeadingChar">
    <w:name w:val="DNVGL-TOC Heading Char"/>
    <w:basedOn w:val="DefaultParagraphFont"/>
    <w:link w:val="DNVGL-TOCHeading"/>
    <w:uiPriority w:val="99"/>
    <w:rsid w:val="00866BDC"/>
    <w:rPr>
      <w:rFonts w:ascii="Verdana" w:hAnsi="Verdana" w:cs="Verdana"/>
      <w:sz w:val="26"/>
      <w:szCs w:val="18"/>
      <w:lang w:val="en-GB"/>
    </w:rPr>
  </w:style>
  <w:style w:type="paragraph" w:customStyle="1" w:styleId="DNVGL-Cover-ProjectName">
    <w:name w:val="DNVGL-Cover-ProjectName"/>
    <w:basedOn w:val="Normal"/>
    <w:link w:val="DNVGL-Cover-ProjectNameChar"/>
    <w:uiPriority w:val="99"/>
    <w:rsid w:val="00866BDC"/>
    <w:pPr>
      <w:keepNext/>
      <w:keepLines/>
      <w:contextualSpacing/>
    </w:pPr>
    <w:rPr>
      <w:b/>
      <w:caps/>
      <w:noProof/>
      <w:color w:val="565655"/>
      <w:sz w:val="26"/>
    </w:rPr>
  </w:style>
  <w:style w:type="character" w:customStyle="1" w:styleId="DNVGL-Cover-ProjectNameChar">
    <w:name w:val="DNVGL-Cover-ProjectName Char"/>
    <w:basedOn w:val="DefaultParagraphFont"/>
    <w:link w:val="DNVGL-Cover-ProjectName"/>
    <w:uiPriority w:val="99"/>
    <w:rsid w:val="00866BDC"/>
    <w:rPr>
      <w:rFonts w:ascii="Verdana" w:hAnsi="Verdana" w:cs="Verdana"/>
      <w:b/>
      <w:caps/>
      <w:noProof/>
      <w:color w:val="565655"/>
      <w:sz w:val="26"/>
      <w:szCs w:val="18"/>
      <w:lang w:val="en-GB"/>
    </w:rPr>
  </w:style>
  <w:style w:type="paragraph" w:customStyle="1" w:styleId="DNVGL-Cover-ReportTitle">
    <w:name w:val="DNVGL-Cover-ReportTitle"/>
    <w:basedOn w:val="Normal"/>
    <w:link w:val="DNVGL-Cover-ReportTitleChar"/>
    <w:uiPriority w:val="99"/>
    <w:rsid w:val="00866BDC"/>
    <w:pPr>
      <w:keepNext/>
      <w:keepLines/>
      <w:spacing w:after="240"/>
      <w:contextualSpacing/>
    </w:pPr>
    <w:rPr>
      <w:b/>
      <w:noProof/>
      <w:color w:val="00B1EC"/>
      <w:sz w:val="56"/>
    </w:rPr>
  </w:style>
  <w:style w:type="character" w:customStyle="1" w:styleId="DNVGL-Cover-ReportTitleChar">
    <w:name w:val="DNVGL-Cover-ReportTitle Char"/>
    <w:basedOn w:val="DefaultParagraphFont"/>
    <w:link w:val="DNVGL-Cover-ReportTitle"/>
    <w:uiPriority w:val="99"/>
    <w:rsid w:val="00866BDC"/>
    <w:rPr>
      <w:rFonts w:ascii="Verdana" w:hAnsi="Verdana" w:cs="Verdana"/>
      <w:b/>
      <w:noProof/>
      <w:color w:val="00B1EC"/>
      <w:sz w:val="56"/>
      <w:szCs w:val="18"/>
      <w:lang w:val="en-GB"/>
    </w:rPr>
  </w:style>
  <w:style w:type="paragraph" w:customStyle="1" w:styleId="DNVGL-Cover-Company">
    <w:name w:val="DNVGL-Cover-Company"/>
    <w:basedOn w:val="Normal"/>
    <w:link w:val="DNVGL-Cover-CompanyChar"/>
    <w:uiPriority w:val="99"/>
    <w:rsid w:val="00866BDC"/>
    <w:pPr>
      <w:keepNext/>
      <w:keepLines/>
      <w:contextualSpacing/>
    </w:pPr>
    <w:rPr>
      <w:b/>
      <w:noProof/>
      <w:color w:val="565655"/>
      <w:sz w:val="28"/>
    </w:rPr>
  </w:style>
  <w:style w:type="character" w:customStyle="1" w:styleId="DNVGL-Cover-CompanyChar">
    <w:name w:val="DNVGL-Cover-Company Char"/>
    <w:basedOn w:val="DefaultParagraphFont"/>
    <w:link w:val="DNVGL-Cover-Company"/>
    <w:uiPriority w:val="99"/>
    <w:rsid w:val="00866BDC"/>
    <w:rPr>
      <w:rFonts w:ascii="Verdana" w:hAnsi="Verdana" w:cs="Verdana"/>
      <w:b/>
      <w:noProof/>
      <w:color w:val="565655"/>
      <w:sz w:val="28"/>
      <w:szCs w:val="18"/>
      <w:lang w:val="en-GB"/>
    </w:rPr>
  </w:style>
  <w:style w:type="paragraph" w:styleId="BalloonText">
    <w:name w:val="Balloon Text"/>
    <w:basedOn w:val="Normal"/>
    <w:link w:val="BalloonTextChar"/>
    <w:uiPriority w:val="99"/>
    <w:semiHidden/>
    <w:unhideWhenUsed/>
    <w:rsid w:val="00866BDC"/>
    <w:rPr>
      <w:rFonts w:ascii="Tahoma" w:hAnsi="Tahoma" w:cs="Tahoma"/>
      <w:sz w:val="16"/>
      <w:szCs w:val="16"/>
    </w:rPr>
  </w:style>
  <w:style w:type="character" w:customStyle="1" w:styleId="BalloonTextChar">
    <w:name w:val="Balloon Text Char"/>
    <w:basedOn w:val="DefaultParagraphFont"/>
    <w:link w:val="BalloonText"/>
    <w:uiPriority w:val="99"/>
    <w:semiHidden/>
    <w:rsid w:val="00866BDC"/>
    <w:rPr>
      <w:rFonts w:ascii="Tahoma" w:hAnsi="Tahoma" w:cs="Tahoma"/>
      <w:sz w:val="16"/>
      <w:szCs w:val="16"/>
      <w:lang w:val="en-GB"/>
    </w:rPr>
  </w:style>
  <w:style w:type="paragraph" w:styleId="Bibliography">
    <w:name w:val="Bibliography"/>
    <w:basedOn w:val="Normal"/>
    <w:next w:val="Normal"/>
    <w:uiPriority w:val="99"/>
    <w:semiHidden/>
    <w:unhideWhenUsed/>
    <w:rsid w:val="00866BDC"/>
  </w:style>
  <w:style w:type="paragraph" w:styleId="BlockText">
    <w:name w:val="Block Text"/>
    <w:basedOn w:val="Normal"/>
    <w:uiPriority w:val="99"/>
    <w:semiHidden/>
    <w:unhideWhenUsed/>
    <w:rsid w:val="00866BD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hAnsiTheme="minorHAnsi" w:cstheme="minorBidi"/>
      <w:i/>
      <w:iCs/>
      <w:color w:val="4F81BD" w:themeColor="accent1"/>
    </w:rPr>
  </w:style>
  <w:style w:type="paragraph" w:styleId="BodyText2">
    <w:name w:val="Body Text 2"/>
    <w:basedOn w:val="Normal"/>
    <w:link w:val="BodyText2Char"/>
    <w:uiPriority w:val="99"/>
    <w:semiHidden/>
    <w:unhideWhenUsed/>
    <w:rsid w:val="00866BDC"/>
    <w:pPr>
      <w:spacing w:after="120" w:line="480" w:lineRule="auto"/>
    </w:pPr>
  </w:style>
  <w:style w:type="character" w:customStyle="1" w:styleId="BodyText2Char">
    <w:name w:val="Body Text 2 Char"/>
    <w:basedOn w:val="DefaultParagraphFont"/>
    <w:link w:val="BodyText2"/>
    <w:uiPriority w:val="99"/>
    <w:semiHidden/>
    <w:rsid w:val="00866BDC"/>
    <w:rPr>
      <w:rFonts w:ascii="Verdana" w:hAnsi="Verdana" w:cs="Verdana"/>
      <w:sz w:val="18"/>
      <w:szCs w:val="18"/>
      <w:lang w:val="en-GB"/>
    </w:rPr>
  </w:style>
  <w:style w:type="paragraph" w:styleId="BodyText3">
    <w:name w:val="Body Text 3"/>
    <w:basedOn w:val="Normal"/>
    <w:link w:val="BodyText3Char"/>
    <w:uiPriority w:val="99"/>
    <w:semiHidden/>
    <w:unhideWhenUsed/>
    <w:rsid w:val="00866BDC"/>
    <w:pPr>
      <w:spacing w:after="120"/>
    </w:pPr>
    <w:rPr>
      <w:sz w:val="16"/>
      <w:szCs w:val="16"/>
    </w:rPr>
  </w:style>
  <w:style w:type="character" w:customStyle="1" w:styleId="BodyText3Char">
    <w:name w:val="Body Text 3 Char"/>
    <w:basedOn w:val="DefaultParagraphFont"/>
    <w:link w:val="BodyText3"/>
    <w:uiPriority w:val="99"/>
    <w:semiHidden/>
    <w:rsid w:val="00866BDC"/>
    <w:rPr>
      <w:rFonts w:ascii="Verdana" w:hAnsi="Verdana" w:cs="Verdana"/>
      <w:sz w:val="16"/>
      <w:szCs w:val="16"/>
      <w:lang w:val="en-GB"/>
    </w:rPr>
  </w:style>
  <w:style w:type="paragraph" w:styleId="BodyTextFirstIndent">
    <w:name w:val="Body Text First Indent"/>
    <w:basedOn w:val="BodyText"/>
    <w:link w:val="BodyTextFirstIndentChar"/>
    <w:uiPriority w:val="99"/>
    <w:semiHidden/>
    <w:unhideWhenUsed/>
    <w:rsid w:val="00866BDC"/>
    <w:pPr>
      <w:spacing w:before="0" w:after="0" w:line="240" w:lineRule="auto"/>
      <w:ind w:firstLine="360"/>
    </w:pPr>
  </w:style>
  <w:style w:type="character" w:customStyle="1" w:styleId="BodyTextFirstIndentChar">
    <w:name w:val="Body Text First Indent Char"/>
    <w:basedOn w:val="BodyTextChar"/>
    <w:link w:val="BodyTextFirstIndent"/>
    <w:uiPriority w:val="99"/>
    <w:semiHidden/>
    <w:rsid w:val="00866BDC"/>
    <w:rPr>
      <w:rFonts w:ascii="Verdana" w:hAnsi="Verdana" w:cs="Verdana"/>
      <w:sz w:val="18"/>
      <w:szCs w:val="18"/>
      <w:lang w:val="en-GB"/>
    </w:rPr>
  </w:style>
  <w:style w:type="paragraph" w:styleId="BodyTextIndent">
    <w:name w:val="Body Text Indent"/>
    <w:basedOn w:val="Normal"/>
    <w:link w:val="BodyTextIndentChar"/>
    <w:uiPriority w:val="99"/>
    <w:semiHidden/>
    <w:unhideWhenUsed/>
    <w:rsid w:val="00866BDC"/>
    <w:pPr>
      <w:spacing w:after="120"/>
      <w:ind w:left="283"/>
    </w:pPr>
  </w:style>
  <w:style w:type="character" w:customStyle="1" w:styleId="BodyTextIndentChar">
    <w:name w:val="Body Text Indent Char"/>
    <w:basedOn w:val="DefaultParagraphFont"/>
    <w:link w:val="BodyTextIndent"/>
    <w:uiPriority w:val="99"/>
    <w:semiHidden/>
    <w:rsid w:val="00866BDC"/>
    <w:rPr>
      <w:rFonts w:ascii="Verdana" w:hAnsi="Verdana" w:cs="Verdana"/>
      <w:sz w:val="18"/>
      <w:szCs w:val="18"/>
      <w:lang w:val="en-GB"/>
    </w:rPr>
  </w:style>
  <w:style w:type="paragraph" w:styleId="BodyTextFirstIndent2">
    <w:name w:val="Body Text First Indent 2"/>
    <w:basedOn w:val="BodyTextIndent"/>
    <w:link w:val="BodyTextFirstIndent2Char"/>
    <w:uiPriority w:val="99"/>
    <w:semiHidden/>
    <w:unhideWhenUsed/>
    <w:rsid w:val="00866BDC"/>
    <w:pPr>
      <w:spacing w:after="0"/>
      <w:ind w:left="360" w:firstLine="360"/>
    </w:pPr>
  </w:style>
  <w:style w:type="character" w:customStyle="1" w:styleId="BodyTextFirstIndent2Char">
    <w:name w:val="Body Text First Indent 2 Char"/>
    <w:basedOn w:val="BodyTextIndentChar"/>
    <w:link w:val="BodyTextFirstIndent2"/>
    <w:uiPriority w:val="99"/>
    <w:semiHidden/>
    <w:rsid w:val="00866BDC"/>
    <w:rPr>
      <w:rFonts w:ascii="Verdana" w:hAnsi="Verdana" w:cs="Verdana"/>
      <w:sz w:val="18"/>
      <w:szCs w:val="18"/>
      <w:lang w:val="en-GB"/>
    </w:rPr>
  </w:style>
  <w:style w:type="paragraph" w:styleId="BodyTextIndent2">
    <w:name w:val="Body Text Indent 2"/>
    <w:basedOn w:val="Normal"/>
    <w:link w:val="BodyTextIndent2Char"/>
    <w:uiPriority w:val="99"/>
    <w:semiHidden/>
    <w:unhideWhenUsed/>
    <w:rsid w:val="00866BDC"/>
    <w:pPr>
      <w:spacing w:after="120" w:line="480" w:lineRule="auto"/>
      <w:ind w:left="283"/>
    </w:pPr>
  </w:style>
  <w:style w:type="character" w:customStyle="1" w:styleId="BodyTextIndent2Char">
    <w:name w:val="Body Text Indent 2 Char"/>
    <w:basedOn w:val="DefaultParagraphFont"/>
    <w:link w:val="BodyTextIndent2"/>
    <w:uiPriority w:val="99"/>
    <w:semiHidden/>
    <w:rsid w:val="00866BDC"/>
    <w:rPr>
      <w:rFonts w:ascii="Verdana" w:hAnsi="Verdana" w:cs="Verdana"/>
      <w:sz w:val="18"/>
      <w:szCs w:val="18"/>
      <w:lang w:val="en-GB"/>
    </w:rPr>
  </w:style>
  <w:style w:type="paragraph" w:styleId="BodyTextIndent3">
    <w:name w:val="Body Text Indent 3"/>
    <w:basedOn w:val="Normal"/>
    <w:link w:val="BodyTextIndent3Char"/>
    <w:uiPriority w:val="99"/>
    <w:semiHidden/>
    <w:unhideWhenUsed/>
    <w:rsid w:val="00866BD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66BDC"/>
    <w:rPr>
      <w:rFonts w:ascii="Verdana" w:hAnsi="Verdana" w:cs="Verdana"/>
      <w:sz w:val="16"/>
      <w:szCs w:val="16"/>
      <w:lang w:val="en-GB"/>
    </w:rPr>
  </w:style>
  <w:style w:type="character" w:styleId="BookTitle">
    <w:name w:val="Book Title"/>
    <w:basedOn w:val="DefaultParagraphFont"/>
    <w:uiPriority w:val="99"/>
    <w:semiHidden/>
    <w:unhideWhenUsed/>
    <w:rsid w:val="00866BDC"/>
    <w:rPr>
      <w:b/>
      <w:bCs/>
      <w:smallCaps/>
      <w:spacing w:val="5"/>
    </w:rPr>
  </w:style>
  <w:style w:type="paragraph" w:styleId="Closing">
    <w:name w:val="Closing"/>
    <w:basedOn w:val="Normal"/>
    <w:link w:val="ClosingChar"/>
    <w:uiPriority w:val="99"/>
    <w:semiHidden/>
    <w:unhideWhenUsed/>
    <w:rsid w:val="00866BDC"/>
    <w:pPr>
      <w:ind w:left="4252"/>
    </w:pPr>
  </w:style>
  <w:style w:type="character" w:customStyle="1" w:styleId="ClosingChar">
    <w:name w:val="Closing Char"/>
    <w:basedOn w:val="DefaultParagraphFont"/>
    <w:link w:val="Closing"/>
    <w:uiPriority w:val="99"/>
    <w:semiHidden/>
    <w:rsid w:val="00866BDC"/>
    <w:rPr>
      <w:rFonts w:ascii="Verdana" w:hAnsi="Verdana" w:cs="Verdana"/>
      <w:sz w:val="18"/>
      <w:szCs w:val="18"/>
      <w:lang w:val="en-GB"/>
    </w:rPr>
  </w:style>
  <w:style w:type="character" w:styleId="CommentReference">
    <w:name w:val="annotation reference"/>
    <w:basedOn w:val="DefaultParagraphFont"/>
    <w:uiPriority w:val="99"/>
    <w:semiHidden/>
    <w:unhideWhenUsed/>
    <w:rsid w:val="00866BDC"/>
    <w:rPr>
      <w:sz w:val="16"/>
      <w:szCs w:val="16"/>
    </w:rPr>
  </w:style>
  <w:style w:type="paragraph" w:styleId="CommentText">
    <w:name w:val="annotation text"/>
    <w:basedOn w:val="Normal"/>
    <w:link w:val="CommentTextChar"/>
    <w:uiPriority w:val="99"/>
    <w:semiHidden/>
    <w:unhideWhenUsed/>
    <w:rsid w:val="00866BDC"/>
    <w:rPr>
      <w:sz w:val="20"/>
      <w:szCs w:val="20"/>
    </w:rPr>
  </w:style>
  <w:style w:type="character" w:customStyle="1" w:styleId="CommentTextChar">
    <w:name w:val="Comment Text Char"/>
    <w:basedOn w:val="DefaultParagraphFont"/>
    <w:link w:val="CommentText"/>
    <w:uiPriority w:val="99"/>
    <w:semiHidden/>
    <w:rsid w:val="00866BDC"/>
    <w:rPr>
      <w:rFonts w:ascii="Verdana" w:hAnsi="Verdana" w:cs="Verdana"/>
      <w:sz w:val="20"/>
      <w:szCs w:val="20"/>
      <w:lang w:val="en-GB"/>
    </w:rPr>
  </w:style>
  <w:style w:type="paragraph" w:styleId="CommentSubject">
    <w:name w:val="annotation subject"/>
    <w:basedOn w:val="CommentText"/>
    <w:next w:val="CommentText"/>
    <w:link w:val="CommentSubjectChar"/>
    <w:uiPriority w:val="99"/>
    <w:semiHidden/>
    <w:unhideWhenUsed/>
    <w:rsid w:val="00866BDC"/>
    <w:rPr>
      <w:b/>
      <w:bCs/>
    </w:rPr>
  </w:style>
  <w:style w:type="character" w:customStyle="1" w:styleId="CommentSubjectChar">
    <w:name w:val="Comment Subject Char"/>
    <w:basedOn w:val="CommentTextChar"/>
    <w:link w:val="CommentSubject"/>
    <w:uiPriority w:val="99"/>
    <w:semiHidden/>
    <w:rsid w:val="00866BDC"/>
    <w:rPr>
      <w:rFonts w:ascii="Verdana" w:hAnsi="Verdana" w:cs="Verdana"/>
      <w:b/>
      <w:bCs/>
      <w:sz w:val="20"/>
      <w:szCs w:val="20"/>
      <w:lang w:val="en-GB"/>
    </w:rPr>
  </w:style>
  <w:style w:type="paragraph" w:styleId="Date">
    <w:name w:val="Date"/>
    <w:basedOn w:val="Normal"/>
    <w:next w:val="Normal"/>
    <w:link w:val="DateChar"/>
    <w:uiPriority w:val="99"/>
    <w:semiHidden/>
    <w:unhideWhenUsed/>
    <w:rsid w:val="00866BDC"/>
  </w:style>
  <w:style w:type="character" w:customStyle="1" w:styleId="DateChar">
    <w:name w:val="Date Char"/>
    <w:basedOn w:val="DefaultParagraphFont"/>
    <w:link w:val="Date"/>
    <w:uiPriority w:val="99"/>
    <w:semiHidden/>
    <w:rsid w:val="00866BDC"/>
    <w:rPr>
      <w:rFonts w:ascii="Verdana" w:hAnsi="Verdana" w:cs="Verdana"/>
      <w:sz w:val="18"/>
      <w:szCs w:val="18"/>
      <w:lang w:val="en-GB"/>
    </w:rPr>
  </w:style>
  <w:style w:type="paragraph" w:styleId="DocumentMap">
    <w:name w:val="Document Map"/>
    <w:basedOn w:val="Normal"/>
    <w:link w:val="DocumentMapChar"/>
    <w:uiPriority w:val="99"/>
    <w:semiHidden/>
    <w:unhideWhenUsed/>
    <w:rsid w:val="00866BDC"/>
    <w:rPr>
      <w:rFonts w:ascii="Tahoma" w:hAnsi="Tahoma" w:cs="Tahoma"/>
      <w:sz w:val="16"/>
      <w:szCs w:val="16"/>
    </w:rPr>
  </w:style>
  <w:style w:type="character" w:customStyle="1" w:styleId="DocumentMapChar">
    <w:name w:val="Document Map Char"/>
    <w:basedOn w:val="DefaultParagraphFont"/>
    <w:link w:val="DocumentMap"/>
    <w:uiPriority w:val="99"/>
    <w:semiHidden/>
    <w:rsid w:val="00866BD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866BDC"/>
  </w:style>
  <w:style w:type="character" w:customStyle="1" w:styleId="E-mailSignatureChar">
    <w:name w:val="E-mail Signature Char"/>
    <w:basedOn w:val="DefaultParagraphFont"/>
    <w:link w:val="E-mailSignature"/>
    <w:uiPriority w:val="99"/>
    <w:semiHidden/>
    <w:rsid w:val="00866BDC"/>
    <w:rPr>
      <w:rFonts w:ascii="Verdana" w:hAnsi="Verdana" w:cs="Verdana"/>
      <w:sz w:val="18"/>
      <w:szCs w:val="18"/>
      <w:lang w:val="en-GB"/>
    </w:rPr>
  </w:style>
  <w:style w:type="character" w:styleId="Emphasis">
    <w:name w:val="Emphasis"/>
    <w:basedOn w:val="DefaultParagraphFont"/>
    <w:uiPriority w:val="99"/>
    <w:semiHidden/>
    <w:unhideWhenUsed/>
    <w:rsid w:val="00866BDC"/>
    <w:rPr>
      <w:i/>
      <w:iCs/>
    </w:rPr>
  </w:style>
  <w:style w:type="character" w:styleId="EndnoteReference">
    <w:name w:val="endnote reference"/>
    <w:basedOn w:val="DefaultParagraphFont"/>
    <w:uiPriority w:val="99"/>
    <w:semiHidden/>
    <w:unhideWhenUsed/>
    <w:rsid w:val="00866BDC"/>
    <w:rPr>
      <w:vertAlign w:val="superscript"/>
    </w:rPr>
  </w:style>
  <w:style w:type="paragraph" w:styleId="EndnoteText">
    <w:name w:val="endnote text"/>
    <w:basedOn w:val="Normal"/>
    <w:link w:val="EndnoteTextChar"/>
    <w:uiPriority w:val="99"/>
    <w:semiHidden/>
    <w:unhideWhenUsed/>
    <w:rsid w:val="00866BDC"/>
    <w:rPr>
      <w:sz w:val="20"/>
      <w:szCs w:val="20"/>
    </w:rPr>
  </w:style>
  <w:style w:type="character" w:customStyle="1" w:styleId="EndnoteTextChar">
    <w:name w:val="Endnote Text Char"/>
    <w:basedOn w:val="DefaultParagraphFont"/>
    <w:link w:val="EndnoteText"/>
    <w:uiPriority w:val="99"/>
    <w:semiHidden/>
    <w:rsid w:val="00866BDC"/>
    <w:rPr>
      <w:rFonts w:ascii="Verdana" w:hAnsi="Verdana" w:cs="Verdana"/>
      <w:sz w:val="20"/>
      <w:szCs w:val="20"/>
      <w:lang w:val="en-GB"/>
    </w:rPr>
  </w:style>
  <w:style w:type="paragraph" w:styleId="EnvelopeAddress">
    <w:name w:val="envelope address"/>
    <w:basedOn w:val="Normal"/>
    <w:uiPriority w:val="99"/>
    <w:semiHidden/>
    <w:unhideWhenUsed/>
    <w:rsid w:val="00866BD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66BDC"/>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66BDC"/>
    <w:rPr>
      <w:color w:val="800080" w:themeColor="followedHyperlink"/>
      <w:u w:val="single"/>
    </w:rPr>
  </w:style>
  <w:style w:type="character" w:styleId="HTMLAcronym">
    <w:name w:val="HTML Acronym"/>
    <w:basedOn w:val="DefaultParagraphFont"/>
    <w:uiPriority w:val="99"/>
    <w:semiHidden/>
    <w:unhideWhenUsed/>
    <w:rsid w:val="00866BDC"/>
  </w:style>
  <w:style w:type="paragraph" w:styleId="HTMLAddress">
    <w:name w:val="HTML Address"/>
    <w:basedOn w:val="Normal"/>
    <w:link w:val="HTMLAddressChar"/>
    <w:uiPriority w:val="99"/>
    <w:semiHidden/>
    <w:unhideWhenUsed/>
    <w:rsid w:val="00866BDC"/>
    <w:rPr>
      <w:i/>
      <w:iCs/>
    </w:rPr>
  </w:style>
  <w:style w:type="character" w:customStyle="1" w:styleId="HTMLAddressChar">
    <w:name w:val="HTML Address Char"/>
    <w:basedOn w:val="DefaultParagraphFont"/>
    <w:link w:val="HTMLAddress"/>
    <w:uiPriority w:val="99"/>
    <w:semiHidden/>
    <w:rsid w:val="00866BDC"/>
    <w:rPr>
      <w:rFonts w:ascii="Verdana" w:hAnsi="Verdana" w:cs="Verdana"/>
      <w:i/>
      <w:iCs/>
      <w:sz w:val="18"/>
      <w:szCs w:val="18"/>
      <w:lang w:val="en-GB"/>
    </w:rPr>
  </w:style>
  <w:style w:type="character" w:styleId="HTMLCite">
    <w:name w:val="HTML Cite"/>
    <w:basedOn w:val="DefaultParagraphFont"/>
    <w:uiPriority w:val="99"/>
    <w:semiHidden/>
    <w:unhideWhenUsed/>
    <w:rsid w:val="00866BDC"/>
    <w:rPr>
      <w:i/>
      <w:iCs/>
    </w:rPr>
  </w:style>
  <w:style w:type="character" w:styleId="HTMLCode">
    <w:name w:val="HTML Code"/>
    <w:basedOn w:val="DefaultParagraphFont"/>
    <w:uiPriority w:val="99"/>
    <w:semiHidden/>
    <w:unhideWhenUsed/>
    <w:rsid w:val="00866BDC"/>
    <w:rPr>
      <w:rFonts w:ascii="Consolas" w:hAnsi="Consolas"/>
      <w:sz w:val="20"/>
      <w:szCs w:val="20"/>
    </w:rPr>
  </w:style>
  <w:style w:type="character" w:styleId="HTMLDefinition">
    <w:name w:val="HTML Definition"/>
    <w:basedOn w:val="DefaultParagraphFont"/>
    <w:uiPriority w:val="99"/>
    <w:semiHidden/>
    <w:unhideWhenUsed/>
    <w:rsid w:val="00866BDC"/>
    <w:rPr>
      <w:i/>
      <w:iCs/>
    </w:rPr>
  </w:style>
  <w:style w:type="character" w:styleId="HTMLKeyboard">
    <w:name w:val="HTML Keyboard"/>
    <w:basedOn w:val="DefaultParagraphFont"/>
    <w:uiPriority w:val="99"/>
    <w:semiHidden/>
    <w:unhideWhenUsed/>
    <w:rsid w:val="00866BDC"/>
    <w:rPr>
      <w:rFonts w:ascii="Consolas" w:hAnsi="Consolas"/>
      <w:sz w:val="20"/>
      <w:szCs w:val="20"/>
    </w:rPr>
  </w:style>
  <w:style w:type="paragraph" w:styleId="HTMLPreformatted">
    <w:name w:val="HTML Preformatted"/>
    <w:basedOn w:val="Normal"/>
    <w:link w:val="HTMLPreformattedChar"/>
    <w:uiPriority w:val="99"/>
    <w:semiHidden/>
    <w:unhideWhenUsed/>
    <w:rsid w:val="00866BD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66BDC"/>
    <w:rPr>
      <w:rFonts w:ascii="Consolas" w:hAnsi="Consolas" w:cs="Verdana"/>
      <w:sz w:val="20"/>
      <w:szCs w:val="20"/>
      <w:lang w:val="en-GB"/>
    </w:rPr>
  </w:style>
  <w:style w:type="character" w:styleId="HTMLSample">
    <w:name w:val="HTML Sample"/>
    <w:basedOn w:val="DefaultParagraphFont"/>
    <w:uiPriority w:val="99"/>
    <w:semiHidden/>
    <w:unhideWhenUsed/>
    <w:rsid w:val="00866BDC"/>
    <w:rPr>
      <w:rFonts w:ascii="Consolas" w:hAnsi="Consolas"/>
      <w:sz w:val="24"/>
      <w:szCs w:val="24"/>
    </w:rPr>
  </w:style>
  <w:style w:type="character" w:styleId="HTMLTypewriter">
    <w:name w:val="HTML Typewriter"/>
    <w:basedOn w:val="DefaultParagraphFont"/>
    <w:uiPriority w:val="99"/>
    <w:semiHidden/>
    <w:unhideWhenUsed/>
    <w:rsid w:val="00866BDC"/>
    <w:rPr>
      <w:rFonts w:ascii="Consolas" w:hAnsi="Consolas"/>
      <w:sz w:val="20"/>
      <w:szCs w:val="20"/>
    </w:rPr>
  </w:style>
  <w:style w:type="character" w:styleId="HTMLVariable">
    <w:name w:val="HTML Variable"/>
    <w:basedOn w:val="DefaultParagraphFont"/>
    <w:uiPriority w:val="99"/>
    <w:semiHidden/>
    <w:unhideWhenUsed/>
    <w:rsid w:val="00866BDC"/>
    <w:rPr>
      <w:i/>
      <w:iCs/>
    </w:rPr>
  </w:style>
  <w:style w:type="character" w:styleId="Hyperlink">
    <w:name w:val="Hyperlink"/>
    <w:basedOn w:val="DefaultParagraphFont"/>
    <w:uiPriority w:val="99"/>
    <w:unhideWhenUsed/>
    <w:rsid w:val="00866BDC"/>
    <w:rPr>
      <w:color w:val="0000FF" w:themeColor="hyperlink"/>
      <w:u w:val="single"/>
    </w:rPr>
  </w:style>
  <w:style w:type="paragraph" w:styleId="Index1">
    <w:name w:val="index 1"/>
    <w:basedOn w:val="Normal"/>
    <w:next w:val="Normal"/>
    <w:autoRedefine/>
    <w:uiPriority w:val="99"/>
    <w:semiHidden/>
    <w:unhideWhenUsed/>
    <w:rsid w:val="00866BDC"/>
    <w:pPr>
      <w:ind w:left="180" w:hanging="180"/>
    </w:pPr>
  </w:style>
  <w:style w:type="paragraph" w:styleId="Index2">
    <w:name w:val="index 2"/>
    <w:basedOn w:val="Normal"/>
    <w:next w:val="Normal"/>
    <w:autoRedefine/>
    <w:uiPriority w:val="99"/>
    <w:semiHidden/>
    <w:unhideWhenUsed/>
    <w:rsid w:val="00866BDC"/>
    <w:pPr>
      <w:ind w:left="360" w:hanging="180"/>
    </w:pPr>
  </w:style>
  <w:style w:type="paragraph" w:styleId="Index3">
    <w:name w:val="index 3"/>
    <w:basedOn w:val="Normal"/>
    <w:next w:val="Normal"/>
    <w:autoRedefine/>
    <w:uiPriority w:val="99"/>
    <w:semiHidden/>
    <w:unhideWhenUsed/>
    <w:rsid w:val="00866BDC"/>
    <w:pPr>
      <w:ind w:left="540" w:hanging="180"/>
    </w:pPr>
  </w:style>
  <w:style w:type="paragraph" w:styleId="Index4">
    <w:name w:val="index 4"/>
    <w:basedOn w:val="Normal"/>
    <w:next w:val="Normal"/>
    <w:autoRedefine/>
    <w:uiPriority w:val="99"/>
    <w:semiHidden/>
    <w:unhideWhenUsed/>
    <w:rsid w:val="00866BDC"/>
    <w:pPr>
      <w:ind w:left="720" w:hanging="180"/>
    </w:pPr>
  </w:style>
  <w:style w:type="paragraph" w:styleId="Index5">
    <w:name w:val="index 5"/>
    <w:basedOn w:val="Normal"/>
    <w:next w:val="Normal"/>
    <w:autoRedefine/>
    <w:uiPriority w:val="99"/>
    <w:semiHidden/>
    <w:unhideWhenUsed/>
    <w:rsid w:val="00866BDC"/>
    <w:pPr>
      <w:ind w:left="900" w:hanging="180"/>
    </w:pPr>
  </w:style>
  <w:style w:type="paragraph" w:styleId="Index6">
    <w:name w:val="index 6"/>
    <w:basedOn w:val="Normal"/>
    <w:next w:val="Normal"/>
    <w:autoRedefine/>
    <w:uiPriority w:val="99"/>
    <w:semiHidden/>
    <w:unhideWhenUsed/>
    <w:rsid w:val="00866BDC"/>
    <w:pPr>
      <w:ind w:left="1080" w:hanging="180"/>
    </w:pPr>
  </w:style>
  <w:style w:type="paragraph" w:styleId="Index7">
    <w:name w:val="index 7"/>
    <w:basedOn w:val="Normal"/>
    <w:next w:val="Normal"/>
    <w:autoRedefine/>
    <w:uiPriority w:val="99"/>
    <w:semiHidden/>
    <w:unhideWhenUsed/>
    <w:rsid w:val="00866BDC"/>
    <w:pPr>
      <w:ind w:left="1260" w:hanging="180"/>
    </w:pPr>
  </w:style>
  <w:style w:type="paragraph" w:styleId="Index8">
    <w:name w:val="index 8"/>
    <w:basedOn w:val="Normal"/>
    <w:next w:val="Normal"/>
    <w:autoRedefine/>
    <w:uiPriority w:val="99"/>
    <w:semiHidden/>
    <w:unhideWhenUsed/>
    <w:rsid w:val="00866BDC"/>
    <w:pPr>
      <w:ind w:left="1440" w:hanging="180"/>
    </w:pPr>
  </w:style>
  <w:style w:type="paragraph" w:styleId="Index9">
    <w:name w:val="index 9"/>
    <w:basedOn w:val="Normal"/>
    <w:next w:val="Normal"/>
    <w:autoRedefine/>
    <w:uiPriority w:val="99"/>
    <w:semiHidden/>
    <w:unhideWhenUsed/>
    <w:rsid w:val="00866BDC"/>
    <w:pPr>
      <w:ind w:left="1620" w:hanging="180"/>
    </w:pPr>
  </w:style>
  <w:style w:type="paragraph" w:styleId="IndexHeading">
    <w:name w:val="index heading"/>
    <w:basedOn w:val="Normal"/>
    <w:next w:val="Index1"/>
    <w:uiPriority w:val="99"/>
    <w:semiHidden/>
    <w:unhideWhenUsed/>
    <w:rsid w:val="00866BDC"/>
    <w:rPr>
      <w:rFonts w:asciiTheme="majorHAnsi" w:eastAsiaTheme="majorEastAsia" w:hAnsiTheme="majorHAnsi" w:cstheme="majorBidi"/>
      <w:b/>
      <w:bCs/>
    </w:rPr>
  </w:style>
  <w:style w:type="character" w:styleId="IntenseEmphasis">
    <w:name w:val="Intense Emphasis"/>
    <w:basedOn w:val="DefaultParagraphFont"/>
    <w:uiPriority w:val="99"/>
    <w:semiHidden/>
    <w:unhideWhenUsed/>
    <w:rsid w:val="00866BDC"/>
    <w:rPr>
      <w:b/>
      <w:bCs/>
      <w:i/>
      <w:iCs/>
      <w:color w:val="4F81BD" w:themeColor="accent1"/>
    </w:rPr>
  </w:style>
  <w:style w:type="paragraph" w:styleId="IntenseQuote">
    <w:name w:val="Intense Quote"/>
    <w:basedOn w:val="Normal"/>
    <w:next w:val="Normal"/>
    <w:link w:val="IntenseQuoteChar"/>
    <w:uiPriority w:val="99"/>
    <w:semiHidden/>
    <w:unhideWhenUsed/>
    <w:rsid w:val="00866BD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66BDC"/>
    <w:rPr>
      <w:rFonts w:ascii="Verdana" w:hAnsi="Verdana" w:cs="Verdana"/>
      <w:b/>
      <w:bCs/>
      <w:i/>
      <w:iCs/>
      <w:color w:val="4F81BD" w:themeColor="accent1"/>
      <w:sz w:val="18"/>
      <w:szCs w:val="18"/>
      <w:lang w:val="en-GB"/>
    </w:rPr>
  </w:style>
  <w:style w:type="character" w:styleId="IntenseReference">
    <w:name w:val="Intense Reference"/>
    <w:basedOn w:val="DefaultParagraphFont"/>
    <w:uiPriority w:val="99"/>
    <w:semiHidden/>
    <w:unhideWhenUsed/>
    <w:rsid w:val="00866BDC"/>
    <w:rPr>
      <w:b/>
      <w:bCs/>
      <w:smallCaps/>
      <w:color w:val="C0504D" w:themeColor="accent2"/>
      <w:spacing w:val="5"/>
      <w:u w:val="single"/>
    </w:rPr>
  </w:style>
  <w:style w:type="character" w:styleId="LineNumber">
    <w:name w:val="line number"/>
    <w:basedOn w:val="DefaultParagraphFont"/>
    <w:uiPriority w:val="99"/>
    <w:semiHidden/>
    <w:unhideWhenUsed/>
    <w:rsid w:val="00866BDC"/>
  </w:style>
  <w:style w:type="paragraph" w:styleId="List">
    <w:name w:val="List"/>
    <w:basedOn w:val="Normal"/>
    <w:uiPriority w:val="99"/>
    <w:semiHidden/>
    <w:unhideWhenUsed/>
    <w:rsid w:val="00866BDC"/>
    <w:pPr>
      <w:ind w:left="283" w:hanging="283"/>
      <w:contextualSpacing/>
    </w:pPr>
  </w:style>
  <w:style w:type="paragraph" w:styleId="List2">
    <w:name w:val="List 2"/>
    <w:basedOn w:val="Normal"/>
    <w:uiPriority w:val="99"/>
    <w:semiHidden/>
    <w:unhideWhenUsed/>
    <w:rsid w:val="00866BDC"/>
    <w:pPr>
      <w:ind w:left="566" w:hanging="283"/>
      <w:contextualSpacing/>
    </w:pPr>
  </w:style>
  <w:style w:type="paragraph" w:styleId="List3">
    <w:name w:val="List 3"/>
    <w:basedOn w:val="Normal"/>
    <w:uiPriority w:val="99"/>
    <w:semiHidden/>
    <w:unhideWhenUsed/>
    <w:rsid w:val="00866BDC"/>
    <w:pPr>
      <w:ind w:left="849" w:hanging="283"/>
      <w:contextualSpacing/>
    </w:pPr>
  </w:style>
  <w:style w:type="paragraph" w:styleId="List4">
    <w:name w:val="List 4"/>
    <w:basedOn w:val="Normal"/>
    <w:uiPriority w:val="99"/>
    <w:semiHidden/>
    <w:unhideWhenUsed/>
    <w:rsid w:val="00866BDC"/>
    <w:pPr>
      <w:ind w:left="1132" w:hanging="283"/>
      <w:contextualSpacing/>
    </w:pPr>
  </w:style>
  <w:style w:type="paragraph" w:styleId="List5">
    <w:name w:val="List 5"/>
    <w:basedOn w:val="Normal"/>
    <w:uiPriority w:val="99"/>
    <w:semiHidden/>
    <w:unhideWhenUsed/>
    <w:rsid w:val="00866BDC"/>
    <w:pPr>
      <w:ind w:left="1415" w:hanging="283"/>
      <w:contextualSpacing/>
    </w:pPr>
  </w:style>
  <w:style w:type="paragraph" w:styleId="ListBullet2">
    <w:name w:val="List Bullet 2"/>
    <w:basedOn w:val="Normal"/>
    <w:uiPriority w:val="99"/>
    <w:semiHidden/>
    <w:unhideWhenUsed/>
    <w:rsid w:val="00866BDC"/>
    <w:pPr>
      <w:numPr>
        <w:numId w:val="5"/>
      </w:numPr>
      <w:contextualSpacing/>
    </w:pPr>
  </w:style>
  <w:style w:type="paragraph" w:styleId="ListBullet3">
    <w:name w:val="List Bullet 3"/>
    <w:basedOn w:val="Normal"/>
    <w:uiPriority w:val="99"/>
    <w:semiHidden/>
    <w:unhideWhenUsed/>
    <w:rsid w:val="00866BDC"/>
    <w:pPr>
      <w:numPr>
        <w:numId w:val="6"/>
      </w:numPr>
      <w:contextualSpacing/>
    </w:pPr>
  </w:style>
  <w:style w:type="paragraph" w:styleId="ListBullet4">
    <w:name w:val="List Bullet 4"/>
    <w:basedOn w:val="Normal"/>
    <w:uiPriority w:val="99"/>
    <w:semiHidden/>
    <w:unhideWhenUsed/>
    <w:rsid w:val="00866BDC"/>
    <w:pPr>
      <w:numPr>
        <w:numId w:val="7"/>
      </w:numPr>
      <w:contextualSpacing/>
    </w:pPr>
  </w:style>
  <w:style w:type="paragraph" w:styleId="ListBullet5">
    <w:name w:val="List Bullet 5"/>
    <w:basedOn w:val="Normal"/>
    <w:uiPriority w:val="99"/>
    <w:semiHidden/>
    <w:unhideWhenUsed/>
    <w:rsid w:val="00866BDC"/>
    <w:pPr>
      <w:numPr>
        <w:numId w:val="8"/>
      </w:numPr>
      <w:contextualSpacing/>
    </w:pPr>
  </w:style>
  <w:style w:type="paragraph" w:styleId="ListContinue">
    <w:name w:val="List Continue"/>
    <w:basedOn w:val="Normal"/>
    <w:uiPriority w:val="99"/>
    <w:semiHidden/>
    <w:unhideWhenUsed/>
    <w:rsid w:val="00866BDC"/>
    <w:pPr>
      <w:spacing w:after="120"/>
      <w:ind w:left="283"/>
      <w:contextualSpacing/>
    </w:pPr>
  </w:style>
  <w:style w:type="paragraph" w:styleId="ListContinue2">
    <w:name w:val="List Continue 2"/>
    <w:basedOn w:val="Normal"/>
    <w:uiPriority w:val="99"/>
    <w:semiHidden/>
    <w:unhideWhenUsed/>
    <w:rsid w:val="00866BDC"/>
    <w:pPr>
      <w:spacing w:after="120"/>
      <w:ind w:left="566"/>
      <w:contextualSpacing/>
    </w:pPr>
  </w:style>
  <w:style w:type="paragraph" w:styleId="ListContinue3">
    <w:name w:val="List Continue 3"/>
    <w:basedOn w:val="Normal"/>
    <w:uiPriority w:val="99"/>
    <w:semiHidden/>
    <w:unhideWhenUsed/>
    <w:rsid w:val="00866BDC"/>
    <w:pPr>
      <w:spacing w:after="120"/>
      <w:ind w:left="849"/>
      <w:contextualSpacing/>
    </w:pPr>
  </w:style>
  <w:style w:type="paragraph" w:styleId="ListContinue4">
    <w:name w:val="List Continue 4"/>
    <w:basedOn w:val="Normal"/>
    <w:uiPriority w:val="99"/>
    <w:semiHidden/>
    <w:unhideWhenUsed/>
    <w:rsid w:val="00866BDC"/>
    <w:pPr>
      <w:spacing w:after="120"/>
      <w:ind w:left="1132"/>
      <w:contextualSpacing/>
    </w:pPr>
  </w:style>
  <w:style w:type="paragraph" w:styleId="ListContinue5">
    <w:name w:val="List Continue 5"/>
    <w:basedOn w:val="Normal"/>
    <w:uiPriority w:val="99"/>
    <w:semiHidden/>
    <w:unhideWhenUsed/>
    <w:rsid w:val="00866BDC"/>
    <w:pPr>
      <w:spacing w:after="120"/>
      <w:ind w:left="1415"/>
      <w:contextualSpacing/>
    </w:pPr>
  </w:style>
  <w:style w:type="paragraph" w:styleId="ListNumber2">
    <w:name w:val="List Number 2"/>
    <w:basedOn w:val="Normal"/>
    <w:uiPriority w:val="99"/>
    <w:semiHidden/>
    <w:unhideWhenUsed/>
    <w:rsid w:val="00866BDC"/>
    <w:pPr>
      <w:numPr>
        <w:numId w:val="9"/>
      </w:numPr>
      <w:contextualSpacing/>
    </w:pPr>
  </w:style>
  <w:style w:type="paragraph" w:styleId="ListNumber3">
    <w:name w:val="List Number 3"/>
    <w:basedOn w:val="Normal"/>
    <w:uiPriority w:val="99"/>
    <w:semiHidden/>
    <w:unhideWhenUsed/>
    <w:rsid w:val="00866BDC"/>
    <w:pPr>
      <w:numPr>
        <w:numId w:val="10"/>
      </w:numPr>
      <w:contextualSpacing/>
    </w:pPr>
  </w:style>
  <w:style w:type="paragraph" w:styleId="ListNumber4">
    <w:name w:val="List Number 4"/>
    <w:basedOn w:val="Normal"/>
    <w:uiPriority w:val="99"/>
    <w:semiHidden/>
    <w:unhideWhenUsed/>
    <w:rsid w:val="00866BDC"/>
    <w:pPr>
      <w:numPr>
        <w:numId w:val="11"/>
      </w:numPr>
      <w:contextualSpacing/>
    </w:pPr>
  </w:style>
  <w:style w:type="paragraph" w:styleId="ListNumber5">
    <w:name w:val="List Number 5"/>
    <w:basedOn w:val="Normal"/>
    <w:uiPriority w:val="99"/>
    <w:semiHidden/>
    <w:unhideWhenUsed/>
    <w:rsid w:val="00866BDC"/>
    <w:pPr>
      <w:numPr>
        <w:numId w:val="12"/>
      </w:numPr>
      <w:contextualSpacing/>
    </w:pPr>
  </w:style>
  <w:style w:type="paragraph" w:styleId="ListParagraph">
    <w:name w:val="List Paragraph"/>
    <w:basedOn w:val="Normal"/>
    <w:uiPriority w:val="99"/>
    <w:semiHidden/>
    <w:unhideWhenUsed/>
    <w:rsid w:val="00866BDC"/>
    <w:pPr>
      <w:ind w:left="720"/>
      <w:contextualSpacing/>
    </w:pPr>
  </w:style>
  <w:style w:type="paragraph" w:styleId="MacroText">
    <w:name w:val="macro"/>
    <w:link w:val="MacroTextChar"/>
    <w:uiPriority w:val="99"/>
    <w:semiHidden/>
    <w:unhideWhenUsed/>
    <w:rsid w:val="00866BD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Verdana"/>
      <w:sz w:val="20"/>
      <w:szCs w:val="20"/>
      <w:lang w:val="en-GB"/>
    </w:rPr>
  </w:style>
  <w:style w:type="character" w:customStyle="1" w:styleId="MacroTextChar">
    <w:name w:val="Macro Text Char"/>
    <w:basedOn w:val="DefaultParagraphFont"/>
    <w:link w:val="MacroText"/>
    <w:uiPriority w:val="99"/>
    <w:semiHidden/>
    <w:rsid w:val="00866BDC"/>
    <w:rPr>
      <w:rFonts w:ascii="Consolas" w:hAnsi="Consolas" w:cs="Verdana"/>
      <w:sz w:val="20"/>
      <w:szCs w:val="20"/>
      <w:lang w:val="en-GB"/>
    </w:rPr>
  </w:style>
  <w:style w:type="paragraph" w:styleId="MessageHeader">
    <w:name w:val="Message Header"/>
    <w:basedOn w:val="Normal"/>
    <w:link w:val="MessageHeaderChar"/>
    <w:uiPriority w:val="99"/>
    <w:semiHidden/>
    <w:unhideWhenUsed/>
    <w:rsid w:val="00866BD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66BDC"/>
    <w:rPr>
      <w:rFonts w:asciiTheme="majorHAnsi" w:eastAsiaTheme="majorEastAsia" w:hAnsiTheme="majorHAnsi" w:cstheme="majorBidi"/>
      <w:sz w:val="24"/>
      <w:szCs w:val="24"/>
      <w:shd w:val="pct20" w:color="auto" w:fill="auto"/>
      <w:lang w:val="en-GB"/>
    </w:rPr>
  </w:style>
  <w:style w:type="paragraph" w:styleId="NoSpacing">
    <w:name w:val="No Spacing"/>
    <w:uiPriority w:val="99"/>
    <w:semiHidden/>
    <w:unhideWhenUsed/>
    <w:rsid w:val="00866BDC"/>
    <w:pPr>
      <w:spacing w:after="0" w:line="240" w:lineRule="auto"/>
    </w:pPr>
    <w:rPr>
      <w:rFonts w:ascii="Verdana" w:hAnsi="Verdana" w:cs="Verdana"/>
      <w:sz w:val="18"/>
      <w:szCs w:val="18"/>
      <w:lang w:val="en-GB"/>
    </w:rPr>
  </w:style>
  <w:style w:type="paragraph" w:styleId="NormalWeb">
    <w:name w:val="Normal (Web)"/>
    <w:basedOn w:val="Normal"/>
    <w:uiPriority w:val="99"/>
    <w:semiHidden/>
    <w:unhideWhenUsed/>
    <w:rsid w:val="00866BDC"/>
    <w:rPr>
      <w:rFonts w:ascii="Times New Roman" w:hAnsi="Times New Roman" w:cs="Times New Roman"/>
      <w:sz w:val="24"/>
      <w:szCs w:val="24"/>
    </w:rPr>
  </w:style>
  <w:style w:type="paragraph" w:styleId="NormalIndent">
    <w:name w:val="Normal Indent"/>
    <w:basedOn w:val="Normal"/>
    <w:uiPriority w:val="99"/>
    <w:semiHidden/>
    <w:unhideWhenUsed/>
    <w:rsid w:val="00866BDC"/>
    <w:pPr>
      <w:ind w:left="720"/>
    </w:pPr>
  </w:style>
  <w:style w:type="paragraph" w:customStyle="1" w:styleId="NoteHeading1">
    <w:name w:val="Note Heading1"/>
    <w:basedOn w:val="Normal"/>
    <w:next w:val="Normal"/>
    <w:link w:val="NoteHeadingChar"/>
    <w:uiPriority w:val="99"/>
    <w:semiHidden/>
    <w:unhideWhenUsed/>
    <w:rsid w:val="00866BDC"/>
  </w:style>
  <w:style w:type="character" w:customStyle="1" w:styleId="NoteHeadingChar">
    <w:name w:val="Note Heading Char"/>
    <w:basedOn w:val="DefaultParagraphFont"/>
    <w:link w:val="NoteHeading1"/>
    <w:uiPriority w:val="99"/>
    <w:semiHidden/>
    <w:rsid w:val="00866BDC"/>
    <w:rPr>
      <w:rFonts w:ascii="Verdana" w:hAnsi="Verdana" w:cs="Verdana"/>
      <w:sz w:val="18"/>
      <w:szCs w:val="18"/>
      <w:lang w:val="en-GB"/>
    </w:rPr>
  </w:style>
  <w:style w:type="character" w:styleId="PageNumber">
    <w:name w:val="page number"/>
    <w:basedOn w:val="DefaultParagraphFont"/>
    <w:uiPriority w:val="99"/>
    <w:semiHidden/>
    <w:unhideWhenUsed/>
    <w:rsid w:val="00866BDC"/>
  </w:style>
  <w:style w:type="paragraph" w:styleId="PlainText">
    <w:name w:val="Plain Text"/>
    <w:basedOn w:val="Normal"/>
    <w:link w:val="PlainTextChar"/>
    <w:uiPriority w:val="99"/>
    <w:semiHidden/>
    <w:unhideWhenUsed/>
    <w:rsid w:val="00866BDC"/>
    <w:rPr>
      <w:rFonts w:ascii="Consolas" w:hAnsi="Consolas"/>
      <w:sz w:val="21"/>
      <w:szCs w:val="21"/>
    </w:rPr>
  </w:style>
  <w:style w:type="character" w:customStyle="1" w:styleId="PlainTextChar">
    <w:name w:val="Plain Text Char"/>
    <w:basedOn w:val="DefaultParagraphFont"/>
    <w:link w:val="PlainText"/>
    <w:uiPriority w:val="99"/>
    <w:semiHidden/>
    <w:rsid w:val="00866BDC"/>
    <w:rPr>
      <w:rFonts w:ascii="Consolas" w:hAnsi="Consolas" w:cs="Verdana"/>
      <w:sz w:val="21"/>
      <w:szCs w:val="21"/>
      <w:lang w:val="en-GB"/>
    </w:rPr>
  </w:style>
  <w:style w:type="paragraph" w:styleId="Quote">
    <w:name w:val="Quote"/>
    <w:basedOn w:val="Normal"/>
    <w:next w:val="Normal"/>
    <w:link w:val="QuoteChar"/>
    <w:uiPriority w:val="99"/>
    <w:semiHidden/>
    <w:unhideWhenUsed/>
    <w:rsid w:val="00866BDC"/>
    <w:rPr>
      <w:i/>
      <w:iCs/>
      <w:color w:val="000000" w:themeColor="text1"/>
    </w:rPr>
  </w:style>
  <w:style w:type="character" w:customStyle="1" w:styleId="QuoteChar">
    <w:name w:val="Quote Char"/>
    <w:basedOn w:val="DefaultParagraphFont"/>
    <w:link w:val="Quote"/>
    <w:uiPriority w:val="29"/>
    <w:rsid w:val="00866BDC"/>
    <w:rPr>
      <w:rFonts w:ascii="Verdana" w:hAnsi="Verdana" w:cs="Verdana"/>
      <w:i/>
      <w:iCs/>
      <w:color w:val="000000" w:themeColor="text1"/>
      <w:sz w:val="18"/>
      <w:szCs w:val="18"/>
      <w:lang w:val="en-GB"/>
    </w:rPr>
  </w:style>
  <w:style w:type="paragraph" w:styleId="Salutation">
    <w:name w:val="Salutation"/>
    <w:basedOn w:val="Normal"/>
    <w:next w:val="Normal"/>
    <w:link w:val="SalutationChar"/>
    <w:uiPriority w:val="99"/>
    <w:semiHidden/>
    <w:unhideWhenUsed/>
    <w:rsid w:val="00866BDC"/>
  </w:style>
  <w:style w:type="character" w:customStyle="1" w:styleId="SalutationChar">
    <w:name w:val="Salutation Char"/>
    <w:basedOn w:val="DefaultParagraphFont"/>
    <w:link w:val="Salutation"/>
    <w:uiPriority w:val="99"/>
    <w:semiHidden/>
    <w:rsid w:val="00866BDC"/>
    <w:rPr>
      <w:rFonts w:ascii="Verdana" w:hAnsi="Verdana" w:cs="Verdana"/>
      <w:sz w:val="18"/>
      <w:szCs w:val="18"/>
      <w:lang w:val="en-GB"/>
    </w:rPr>
  </w:style>
  <w:style w:type="paragraph" w:styleId="Signature">
    <w:name w:val="Signature"/>
    <w:basedOn w:val="Normal"/>
    <w:link w:val="SignatureChar"/>
    <w:uiPriority w:val="99"/>
    <w:semiHidden/>
    <w:unhideWhenUsed/>
    <w:rsid w:val="00866BDC"/>
    <w:pPr>
      <w:ind w:left="4252"/>
    </w:pPr>
  </w:style>
  <w:style w:type="character" w:customStyle="1" w:styleId="SignatureChar">
    <w:name w:val="Signature Char"/>
    <w:basedOn w:val="DefaultParagraphFont"/>
    <w:link w:val="Signature"/>
    <w:uiPriority w:val="99"/>
    <w:semiHidden/>
    <w:rsid w:val="00866BDC"/>
    <w:rPr>
      <w:rFonts w:ascii="Verdana" w:hAnsi="Verdana" w:cs="Verdana"/>
      <w:sz w:val="18"/>
      <w:szCs w:val="18"/>
      <w:lang w:val="en-GB"/>
    </w:rPr>
  </w:style>
  <w:style w:type="character" w:styleId="Strong">
    <w:name w:val="Strong"/>
    <w:basedOn w:val="DefaultParagraphFont"/>
    <w:uiPriority w:val="99"/>
    <w:semiHidden/>
    <w:unhideWhenUsed/>
    <w:rsid w:val="00866BDC"/>
    <w:rPr>
      <w:b/>
      <w:bCs/>
    </w:rPr>
  </w:style>
  <w:style w:type="paragraph" w:styleId="Subtitle">
    <w:name w:val="Subtitle"/>
    <w:basedOn w:val="Normal"/>
    <w:next w:val="Normal"/>
    <w:link w:val="SubtitleChar"/>
    <w:uiPriority w:val="99"/>
    <w:semiHidden/>
    <w:unhideWhenUsed/>
    <w:rsid w:val="00866BD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66BDC"/>
    <w:rPr>
      <w:rFonts w:asciiTheme="majorHAnsi" w:eastAsiaTheme="majorEastAsia" w:hAnsiTheme="majorHAnsi" w:cstheme="majorBidi"/>
      <w:i/>
      <w:iCs/>
      <w:color w:val="4F81BD" w:themeColor="accent1"/>
      <w:spacing w:val="15"/>
      <w:sz w:val="24"/>
      <w:szCs w:val="24"/>
      <w:lang w:val="en-GB"/>
    </w:rPr>
  </w:style>
  <w:style w:type="character" w:styleId="SubtleEmphasis">
    <w:name w:val="Subtle Emphasis"/>
    <w:basedOn w:val="DefaultParagraphFont"/>
    <w:uiPriority w:val="99"/>
    <w:semiHidden/>
    <w:unhideWhenUsed/>
    <w:rsid w:val="00866BDC"/>
    <w:rPr>
      <w:i/>
      <w:iCs/>
      <w:color w:val="808080" w:themeColor="text1" w:themeTint="7F"/>
    </w:rPr>
  </w:style>
  <w:style w:type="character" w:styleId="SubtleReference">
    <w:name w:val="Subtle Reference"/>
    <w:basedOn w:val="DefaultParagraphFont"/>
    <w:uiPriority w:val="99"/>
    <w:semiHidden/>
    <w:unhideWhenUsed/>
    <w:rsid w:val="00866BDC"/>
    <w:rPr>
      <w:smallCaps/>
      <w:color w:val="C0504D" w:themeColor="accent2"/>
      <w:u w:val="single"/>
    </w:rPr>
  </w:style>
  <w:style w:type="paragraph" w:styleId="TableofAuthorities">
    <w:name w:val="table of authorities"/>
    <w:basedOn w:val="Normal"/>
    <w:next w:val="Normal"/>
    <w:uiPriority w:val="99"/>
    <w:semiHidden/>
    <w:unhideWhenUsed/>
    <w:rsid w:val="00866BDC"/>
    <w:pPr>
      <w:ind w:left="180" w:hanging="180"/>
    </w:pPr>
  </w:style>
  <w:style w:type="paragraph" w:styleId="TableofFigures">
    <w:name w:val="table of figures"/>
    <w:basedOn w:val="Normal"/>
    <w:next w:val="Normal"/>
    <w:uiPriority w:val="99"/>
    <w:semiHidden/>
    <w:unhideWhenUsed/>
    <w:rsid w:val="00866BDC"/>
  </w:style>
  <w:style w:type="paragraph" w:styleId="Title">
    <w:name w:val="Title"/>
    <w:basedOn w:val="Normal"/>
    <w:next w:val="Normal"/>
    <w:link w:val="TitleChar"/>
    <w:uiPriority w:val="99"/>
    <w:semiHidden/>
    <w:unhideWhenUsed/>
    <w:rsid w:val="00866BD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66BDC"/>
    <w:rPr>
      <w:rFonts w:asciiTheme="majorHAnsi" w:eastAsiaTheme="majorEastAsia" w:hAnsiTheme="majorHAnsi" w:cstheme="majorBidi"/>
      <w:color w:val="17365D" w:themeColor="text2" w:themeShade="BF"/>
      <w:spacing w:val="5"/>
      <w:kern w:val="28"/>
      <w:sz w:val="52"/>
      <w:szCs w:val="52"/>
      <w:lang w:val="en-GB"/>
    </w:rPr>
  </w:style>
  <w:style w:type="paragraph" w:styleId="TOAHeading">
    <w:name w:val="toa heading"/>
    <w:basedOn w:val="Normal"/>
    <w:next w:val="Normal"/>
    <w:uiPriority w:val="99"/>
    <w:semiHidden/>
    <w:unhideWhenUsed/>
    <w:rsid w:val="00866BDC"/>
    <w:pPr>
      <w:spacing w:before="120"/>
    </w:pPr>
    <w:rPr>
      <w:rFonts w:asciiTheme="majorHAnsi" w:eastAsiaTheme="majorEastAsia" w:hAnsiTheme="majorHAnsi" w:cstheme="majorBidi"/>
      <w:b/>
      <w:bCs/>
      <w:sz w:val="24"/>
      <w:szCs w:val="24"/>
    </w:rPr>
  </w:style>
  <w:style w:type="paragraph" w:styleId="TOC9">
    <w:name w:val="toc 9"/>
    <w:basedOn w:val="Normal"/>
    <w:next w:val="Normal"/>
    <w:autoRedefine/>
    <w:uiPriority w:val="99"/>
    <w:semiHidden/>
    <w:unhideWhenUsed/>
    <w:rsid w:val="00866BDC"/>
    <w:pPr>
      <w:spacing w:after="100"/>
      <w:ind w:left="1440"/>
    </w:pPr>
  </w:style>
  <w:style w:type="paragraph" w:styleId="TOCHeading">
    <w:name w:val="TOC Heading"/>
    <w:basedOn w:val="Heading1"/>
    <w:next w:val="Normal"/>
    <w:uiPriority w:val="99"/>
    <w:semiHidden/>
    <w:unhideWhenUsed/>
    <w:rsid w:val="00866BDC"/>
    <w:pPr>
      <w:keepLines/>
      <w:numPr>
        <w:numId w:val="0"/>
      </w:numPr>
      <w:spacing w:before="480"/>
      <w:outlineLvl w:val="9"/>
    </w:pPr>
    <w:rPr>
      <w:rFonts w:asciiTheme="majorHAnsi" w:eastAsiaTheme="majorEastAsia" w:hAnsiTheme="majorHAnsi" w:cstheme="majorBidi"/>
      <w:bCs/>
      <w:caps w:val="0"/>
      <w:color w:val="365F91" w:themeColor="accent1" w:themeShade="BF"/>
      <w:sz w:val="28"/>
      <w:szCs w:val="28"/>
    </w:rPr>
  </w:style>
  <w:style w:type="numbering" w:styleId="111111">
    <w:name w:val="Outline List 2"/>
    <w:basedOn w:val="NoList"/>
    <w:uiPriority w:val="99"/>
    <w:semiHidden/>
    <w:unhideWhenUsed/>
    <w:rsid w:val="00F10DEF"/>
    <w:pPr>
      <w:numPr>
        <w:numId w:val="13"/>
      </w:numPr>
    </w:pPr>
  </w:style>
  <w:style w:type="numbering" w:styleId="1ai">
    <w:name w:val="Outline List 1"/>
    <w:basedOn w:val="NoList"/>
    <w:uiPriority w:val="99"/>
    <w:semiHidden/>
    <w:unhideWhenUsed/>
    <w:rsid w:val="00F10DEF"/>
    <w:pPr>
      <w:numPr>
        <w:numId w:val="14"/>
      </w:numPr>
    </w:pPr>
  </w:style>
  <w:style w:type="numbering" w:styleId="ArticleSection">
    <w:name w:val="Outline List 3"/>
    <w:basedOn w:val="NoList"/>
    <w:uiPriority w:val="99"/>
    <w:semiHidden/>
    <w:unhideWhenUsed/>
    <w:rsid w:val="00F10DEF"/>
    <w:pPr>
      <w:numPr>
        <w:numId w:val="15"/>
      </w:numPr>
    </w:pPr>
  </w:style>
  <w:style w:type="table" w:styleId="ColorfulGrid">
    <w:name w:val="Colorful Grid"/>
    <w:basedOn w:val="TableNormal"/>
    <w:uiPriority w:val="99"/>
    <w:rsid w:val="00F10DE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rsid w:val="00F10DE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rsid w:val="00F10DE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rsid w:val="00F10DE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rsid w:val="00F10DE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rsid w:val="00F10DE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rsid w:val="00F10DE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9"/>
    <w:rsid w:val="00F10DE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rsid w:val="00F10DEF"/>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rsid w:val="00F10DEF"/>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rsid w:val="00F10DEF"/>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rsid w:val="00F10DEF"/>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rsid w:val="00F10DEF"/>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rsid w:val="00F10DEF"/>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9"/>
    <w:rsid w:val="00F10DEF"/>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rsid w:val="00F10DEF"/>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rsid w:val="00F10DEF"/>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rsid w:val="00F10DEF"/>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9"/>
    <w:rsid w:val="00F10DEF"/>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rsid w:val="00F10DEF"/>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rsid w:val="00F10DEF"/>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rsid w:val="00F10DE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rsid w:val="00F10DEF"/>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rsid w:val="00F10DEF"/>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rsid w:val="00F10DEF"/>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rsid w:val="00F10DEF"/>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rsid w:val="00F10DEF"/>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rsid w:val="00F10DEF"/>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ghtGrid">
    <w:name w:val="Light Grid"/>
    <w:basedOn w:val="TableNormal"/>
    <w:uiPriority w:val="99"/>
    <w:rsid w:val="00F10DE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rsid w:val="00F10D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rsid w:val="00F10DE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rsid w:val="00F10DE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rsid w:val="00F10DE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rsid w:val="00F10DE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rsid w:val="00F10DE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9"/>
    <w:rsid w:val="00F10DE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rsid w:val="00F10D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rsid w:val="00F10DE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9"/>
    <w:rsid w:val="00F10DE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9"/>
    <w:rsid w:val="00F10DE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rsid w:val="00F10DE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rsid w:val="00F10DE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rsid w:val="00F10DE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rsid w:val="00F10DE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rsid w:val="00F10DE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rsid w:val="00F10DE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rsid w:val="00F10DE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rsid w:val="00F10DE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rsid w:val="00F10DE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Grid1">
    <w:name w:val="Medium Grid 1"/>
    <w:basedOn w:val="TableNormal"/>
    <w:uiPriority w:val="99"/>
    <w:rsid w:val="00F10DE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rsid w:val="00F10DE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rsid w:val="00F10DE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rsid w:val="00F10DE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rsid w:val="00F10DE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rsid w:val="00F10D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rsid w:val="00F10DE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rsid w:val="00F10DE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rsid w:val="00F10DE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rsid w:val="00F10DE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rsid w:val="00F10DE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rsid w:val="00F10DE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rsid w:val="00F10DE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rsid w:val="00F10DE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rsid w:val="00F10DE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rsid w:val="00F10DE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rsid w:val="00F10DE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rsid w:val="00F10DE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rsid w:val="00F10DE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rsid w:val="00F10DE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rsid w:val="00F10DE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9"/>
    <w:rsid w:val="00F10DE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rsid w:val="00F10DEF"/>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rsid w:val="00F10DEF"/>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rsid w:val="00F10DEF"/>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rsid w:val="00F10DEF"/>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rsid w:val="00F10DEF"/>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rsid w:val="00F10DEF"/>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rsid w:val="00F10DE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rsid w:val="00F10DE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rsid w:val="00F10DE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rsid w:val="00F10DE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rsid w:val="00F10DE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rsid w:val="00F10DE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rsid w:val="00F10DE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rsid w:val="00F10DE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rsid w:val="00F10DE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rsid w:val="00F10DE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rsid w:val="00F10DE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rsid w:val="00F10DE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rsid w:val="00F10D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rsid w:val="00F10DE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rsid w:val="00F10DE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rsid w:val="00F10DE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rsid w:val="00F10DE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F10DE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F10DE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F10DE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F10DE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F10DEF"/>
    <w:pPr>
      <w:spacing w:after="0" w:line="240" w:lineRule="auto"/>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uiPriority w:val="99"/>
    <w:semiHidden/>
    <w:unhideWhenUsed/>
    <w:rsid w:val="00F10DEF"/>
    <w:pPr>
      <w:spacing w:after="0" w:line="240" w:lineRule="auto"/>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uiPriority w:val="99"/>
    <w:semiHidden/>
    <w:unhideWhenUsed/>
    <w:rsid w:val="00F10DEF"/>
    <w:pPr>
      <w:spacing w:after="0" w:line="240" w:lineRule="auto"/>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uiPriority w:val="99"/>
    <w:semiHidden/>
    <w:unhideWhenUsed/>
    <w:rsid w:val="00F10DEF"/>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uiPriority w:val="99"/>
    <w:semiHidden/>
    <w:unhideWhenUsed/>
    <w:rsid w:val="00F10DEF"/>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uiPriority w:val="99"/>
    <w:semiHidden/>
    <w:unhideWhenUsed/>
    <w:rsid w:val="00F10DEF"/>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uiPriority w:val="99"/>
    <w:semiHidden/>
    <w:unhideWhenUsed/>
    <w:rsid w:val="00F10DEF"/>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uiPriority w:val="99"/>
    <w:semiHidden/>
    <w:unhideWhenUsed/>
    <w:rsid w:val="00F10DEF"/>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uiPriority w:val="99"/>
    <w:semiHidden/>
    <w:unhideWhenUsed/>
    <w:rsid w:val="00F10DEF"/>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uiPriority w:val="99"/>
    <w:semiHidden/>
    <w:unhideWhenUsed/>
    <w:rsid w:val="00F10DEF"/>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uiPriority w:val="99"/>
    <w:semiHidden/>
    <w:unhideWhenUsed/>
    <w:rsid w:val="00F10DEF"/>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uiPriority w:val="99"/>
    <w:semiHidden/>
    <w:unhideWhenUsed/>
    <w:rsid w:val="00F10DEF"/>
    <w:pPr>
      <w:spacing w:after="0" w:line="240" w:lineRule="auto"/>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uiPriority w:val="99"/>
    <w:semiHidden/>
    <w:unhideWhenUsed/>
    <w:rsid w:val="00F10DEF"/>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uiPriority w:val="99"/>
    <w:semiHidden/>
    <w:unhideWhenUsed/>
    <w:rsid w:val="00F10DEF"/>
    <w:pPr>
      <w:spacing w:after="0" w:line="240" w:lineRule="auto"/>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10DEF"/>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10DEF"/>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uiPriority w:val="99"/>
    <w:semiHidden/>
    <w:unhideWhenUsed/>
    <w:rsid w:val="00F10DEF"/>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99"/>
    <w:rsid w:val="00F10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F10DEF"/>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uiPriority w:val="99"/>
    <w:semiHidden/>
    <w:unhideWhenUsed/>
    <w:rsid w:val="00F10DEF"/>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uiPriority w:val="99"/>
    <w:semiHidden/>
    <w:unhideWhenUsed/>
    <w:rsid w:val="00F10DEF"/>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uiPriority w:val="99"/>
    <w:semiHidden/>
    <w:unhideWhenUsed/>
    <w:rsid w:val="00F10DEF"/>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uiPriority w:val="99"/>
    <w:semiHidden/>
    <w:unhideWhenUsed/>
    <w:rsid w:val="00F10DEF"/>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uiPriority w:val="99"/>
    <w:semiHidden/>
    <w:unhideWhenUsed/>
    <w:rsid w:val="00F10DEF"/>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uiPriority w:val="99"/>
    <w:semiHidden/>
    <w:unhideWhenUsed/>
    <w:rsid w:val="00F10DEF"/>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uiPriority w:val="99"/>
    <w:semiHidden/>
    <w:unhideWhenUsed/>
    <w:rsid w:val="00F10DEF"/>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uiPriority w:val="99"/>
    <w:semiHidden/>
    <w:unhideWhenUsed/>
    <w:rsid w:val="00F10DEF"/>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uiPriority w:val="99"/>
    <w:semiHidden/>
    <w:unhideWhenUsed/>
    <w:rsid w:val="00F10DEF"/>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uiPriority w:val="99"/>
    <w:semiHidden/>
    <w:unhideWhenUsed/>
    <w:rsid w:val="00F10DEF"/>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uiPriority w:val="99"/>
    <w:semiHidden/>
    <w:unhideWhenUsed/>
    <w:rsid w:val="00F10DEF"/>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uiPriority w:val="99"/>
    <w:semiHidden/>
    <w:unhideWhenUsed/>
    <w:rsid w:val="00F10DEF"/>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uiPriority w:val="99"/>
    <w:semiHidden/>
    <w:unhideWhenUsed/>
    <w:rsid w:val="00F10DEF"/>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uiPriority w:val="99"/>
    <w:semiHidden/>
    <w:unhideWhenUsed/>
    <w:rsid w:val="00F10DEF"/>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uiPriority w:val="99"/>
    <w:semiHidden/>
    <w:unhideWhenUsed/>
    <w:rsid w:val="00F10DEF"/>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leProfessional">
    <w:name w:val="Table Professional"/>
    <w:basedOn w:val="TableNormal"/>
    <w:uiPriority w:val="99"/>
    <w:semiHidden/>
    <w:unhideWhenUsed/>
    <w:rsid w:val="00F10DEF"/>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uiPriority w:val="99"/>
    <w:semiHidden/>
    <w:unhideWhenUsed/>
    <w:rsid w:val="00F10DEF"/>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uiPriority w:val="99"/>
    <w:semiHidden/>
    <w:unhideWhenUsed/>
    <w:rsid w:val="00F10DEF"/>
    <w:pPr>
      <w:spacing w:after="0" w:line="240" w:lineRule="auto"/>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uiPriority w:val="99"/>
    <w:semiHidden/>
    <w:unhideWhenUsed/>
    <w:rsid w:val="00F10DEF"/>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uiPriority w:val="99"/>
    <w:semiHidden/>
    <w:unhideWhenUsed/>
    <w:rsid w:val="00F10DEF"/>
    <w:pPr>
      <w:spacing w:after="0" w:line="240" w:lineRule="auto"/>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uiPriority w:val="99"/>
    <w:semiHidden/>
    <w:unhideWhenUsed/>
    <w:rsid w:val="00F10DEF"/>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uiPriority w:val="99"/>
    <w:semiHidden/>
    <w:unhideWhenUsed/>
    <w:rsid w:val="00F10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10DEF"/>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uiPriority w:val="99"/>
    <w:semiHidden/>
    <w:unhideWhenUsed/>
    <w:rsid w:val="00F10DEF"/>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uiPriority w:val="99"/>
    <w:semiHidden/>
    <w:unhideWhenUsed/>
    <w:rsid w:val="00F10DEF"/>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customStyle="1" w:styleId="ParaText">
    <w:name w:val="ParaText"/>
    <w:basedOn w:val="Normal"/>
    <w:link w:val="ParaTextChar"/>
    <w:rsid w:val="00943B9B"/>
    <w:pPr>
      <w:spacing w:after="240"/>
    </w:pPr>
    <w:rPr>
      <w:lang w:val="en-US" w:eastAsia="en-US"/>
    </w:rPr>
  </w:style>
  <w:style w:type="character" w:customStyle="1" w:styleId="ParaTextChar">
    <w:name w:val="ParaText Char"/>
    <w:basedOn w:val="DefaultParagraphFont"/>
    <w:link w:val="ParaText"/>
    <w:rsid w:val="00943B9B"/>
    <w:rPr>
      <w:rFonts w:ascii="Verdana" w:hAnsi="Verdana" w:cs="Verdana"/>
      <w:sz w:val="18"/>
      <w:szCs w:val="18"/>
      <w:lang w:eastAsia="en-US"/>
    </w:rPr>
  </w:style>
  <w:style w:type="character" w:customStyle="1" w:styleId="CaptionChar">
    <w:name w:val="Caption Char"/>
    <w:basedOn w:val="DefaultParagraphFont"/>
    <w:link w:val="Caption"/>
    <w:rsid w:val="00943B9B"/>
    <w:rPr>
      <w:rFonts w:ascii="Verdana" w:hAnsi="Verdana" w:cs="Verdana"/>
      <w:b/>
      <w:sz w:val="18"/>
      <w:szCs w:val="18"/>
      <w:lang w:val="en-GB"/>
    </w:rPr>
  </w:style>
  <w:style w:type="paragraph" w:styleId="Revision">
    <w:name w:val="Revision"/>
    <w:hidden/>
    <w:uiPriority w:val="99"/>
    <w:semiHidden/>
    <w:rsid w:val="00077253"/>
    <w:pPr>
      <w:spacing w:after="0" w:line="240" w:lineRule="auto"/>
    </w:pPr>
    <w:rPr>
      <w:rFonts w:ascii="Verdana" w:hAnsi="Verdana" w:cs="Verdana"/>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unhideWhenUsed="0" w:qFormat="1"/>
    <w:lsdException w:name="heading 3" w:uiPriority="9" w:unhideWhenUsed="0" w:qFormat="1"/>
    <w:lsdException w:name="heading 4" w:uiPriority="9" w:unhideWhenUsed="0" w:qFormat="1"/>
    <w:lsdException w:name="heading 5" w:unhideWhenUsed="0" w:qFormat="1"/>
    <w:lsdException w:name="heading 6" w:unhideWhenUsed="0"/>
    <w:lsdException w:name="heading 7" w:unhideWhenUsed="0"/>
    <w:lsdException w:name="heading 8" w:unhideWhenUsed="0"/>
    <w:lsdException w:name="heading 9" w:unhideWhenUsed="0"/>
    <w:lsdException w:name="footnote text" w:unhideWhenUsed="0"/>
    <w:lsdException w:name="header" w:unhideWhenUsed="0"/>
    <w:lsdException w:name="footer" w:unhideWhenUsed="0"/>
    <w:lsdException w:name="caption" w:uiPriority="0" w:unhideWhenUsed="0" w:qFormat="1"/>
    <w:lsdException w:name="List Bullet" w:unhideWhenUsed="0"/>
    <w:lsdException w:name="List Number" w:unhideWhenUsed="0"/>
    <w:lsdException w:name="Title" w:semiHidden="0"/>
    <w:lsdException w:name="Body Text" w:uiPriority="0" w:unhideWhenUsed="0" w:qFormat="1"/>
    <w:lsdException w:name="Subtitle" w:semiHidden="0"/>
    <w:lsdException w:name="Strong" w:semiHidden="0"/>
    <w:lsdException w:name="Emphasis" w:semiHidden="0"/>
    <w:lsdException w:name="Table Grid" w:semiHidden="0" w:unhideWhenUsed="0"/>
    <w:lsdException w:name="Placeholder Text" w:unhideWhenUsed="0"/>
    <w:lsdException w:name="No Spacing" w:semiHidden="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lsdException w:name="Quote" w:semiHidden="0"/>
    <w:lsdException w:name="Intense Quote" w:semiHidden="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lsdException w:name="Intense Emphasis" w:semiHidden="0"/>
    <w:lsdException w:name="Subtle Reference" w:semiHidden="0"/>
    <w:lsdException w:name="Intense Reference" w:semiHidden="0"/>
    <w:lsdException w:name="Book Title" w:semiHidden="0"/>
  </w:latentStyles>
  <w:style w:type="paragraph" w:default="1" w:styleId="Normal">
    <w:name w:val="Normal"/>
    <w:uiPriority w:val="1"/>
    <w:qFormat/>
    <w:rsid w:val="00866BDC"/>
    <w:pPr>
      <w:spacing w:after="0" w:line="240" w:lineRule="auto"/>
    </w:pPr>
    <w:rPr>
      <w:rFonts w:ascii="Verdana" w:hAnsi="Verdana" w:cs="Verdana"/>
      <w:sz w:val="18"/>
      <w:szCs w:val="18"/>
      <w:lang w:val="en-GB"/>
    </w:rPr>
  </w:style>
  <w:style w:type="paragraph" w:styleId="Heading1">
    <w:name w:val="heading 1"/>
    <w:basedOn w:val="Normal"/>
    <w:next w:val="BodyText"/>
    <w:link w:val="Heading1Char"/>
    <w:uiPriority w:val="9"/>
    <w:qFormat/>
    <w:rsid w:val="00866BDC"/>
    <w:pPr>
      <w:keepNext/>
      <w:numPr>
        <w:numId w:val="1"/>
      </w:numPr>
      <w:outlineLvl w:val="0"/>
    </w:pPr>
    <w:rPr>
      <w:b/>
      <w:caps/>
      <w:color w:val="009FDA"/>
      <w:sz w:val="26"/>
    </w:rPr>
  </w:style>
  <w:style w:type="paragraph" w:styleId="Heading2">
    <w:name w:val="heading 2"/>
    <w:basedOn w:val="Normal"/>
    <w:next w:val="BodyText"/>
    <w:link w:val="Heading2Char"/>
    <w:uiPriority w:val="9"/>
    <w:qFormat/>
    <w:rsid w:val="00866BDC"/>
    <w:pPr>
      <w:keepNext/>
      <w:numPr>
        <w:ilvl w:val="1"/>
        <w:numId w:val="1"/>
      </w:numPr>
      <w:spacing w:before="280"/>
      <w:outlineLvl w:val="1"/>
    </w:pPr>
    <w:rPr>
      <w:b/>
      <w:color w:val="009FDA"/>
      <w:sz w:val="26"/>
    </w:rPr>
  </w:style>
  <w:style w:type="paragraph" w:styleId="Heading3">
    <w:name w:val="heading 3"/>
    <w:basedOn w:val="Normal"/>
    <w:next w:val="BodyText"/>
    <w:link w:val="Heading3Char"/>
    <w:uiPriority w:val="9"/>
    <w:qFormat/>
    <w:rsid w:val="00866BDC"/>
    <w:pPr>
      <w:keepNext/>
      <w:numPr>
        <w:ilvl w:val="2"/>
        <w:numId w:val="1"/>
      </w:numPr>
      <w:spacing w:before="120"/>
      <w:outlineLvl w:val="2"/>
    </w:pPr>
    <w:rPr>
      <w:color w:val="009FDA"/>
      <w:sz w:val="26"/>
    </w:rPr>
  </w:style>
  <w:style w:type="paragraph" w:styleId="Heading4">
    <w:name w:val="heading 4"/>
    <w:basedOn w:val="Normal"/>
    <w:next w:val="BodyText"/>
    <w:link w:val="Heading4Char"/>
    <w:uiPriority w:val="9"/>
    <w:qFormat/>
    <w:rsid w:val="00866BDC"/>
    <w:pPr>
      <w:keepNext/>
      <w:numPr>
        <w:ilvl w:val="3"/>
        <w:numId w:val="1"/>
      </w:numPr>
      <w:spacing w:before="120"/>
      <w:outlineLvl w:val="3"/>
    </w:pPr>
    <w:rPr>
      <w:b/>
      <w:color w:val="009FDA"/>
      <w:sz w:val="22"/>
    </w:rPr>
  </w:style>
  <w:style w:type="paragraph" w:styleId="Heading5">
    <w:name w:val="heading 5"/>
    <w:basedOn w:val="Normal"/>
    <w:next w:val="BodyText"/>
    <w:link w:val="Heading5Char"/>
    <w:uiPriority w:val="99"/>
    <w:qFormat/>
    <w:rsid w:val="00866BDC"/>
    <w:pPr>
      <w:numPr>
        <w:ilvl w:val="4"/>
        <w:numId w:val="1"/>
      </w:numPr>
      <w:spacing w:before="60" w:after="60"/>
      <w:outlineLvl w:val="4"/>
    </w:pPr>
    <w:rPr>
      <w:sz w:val="22"/>
    </w:rPr>
  </w:style>
  <w:style w:type="paragraph" w:styleId="Heading6">
    <w:name w:val="heading 6"/>
    <w:basedOn w:val="Heading1"/>
    <w:next w:val="BodyText"/>
    <w:link w:val="Heading6Char"/>
    <w:uiPriority w:val="99"/>
    <w:rsid w:val="00866BDC"/>
    <w:pPr>
      <w:numPr>
        <w:numId w:val="0"/>
      </w:numPr>
      <w:outlineLvl w:val="5"/>
    </w:pPr>
  </w:style>
  <w:style w:type="paragraph" w:styleId="Heading7">
    <w:name w:val="heading 7"/>
    <w:basedOn w:val="Heading2"/>
    <w:next w:val="BodyText"/>
    <w:link w:val="Heading7Char"/>
    <w:uiPriority w:val="99"/>
    <w:rsid w:val="00866BDC"/>
    <w:pPr>
      <w:numPr>
        <w:ilvl w:val="0"/>
        <w:numId w:val="0"/>
      </w:numPr>
      <w:outlineLvl w:val="6"/>
    </w:pPr>
  </w:style>
  <w:style w:type="paragraph" w:styleId="Heading8">
    <w:name w:val="heading 8"/>
    <w:basedOn w:val="Heading3"/>
    <w:next w:val="BodyText"/>
    <w:link w:val="Heading8Char"/>
    <w:uiPriority w:val="99"/>
    <w:rsid w:val="00866BDC"/>
    <w:pPr>
      <w:numPr>
        <w:ilvl w:val="0"/>
        <w:numId w:val="0"/>
      </w:numPr>
      <w:outlineLvl w:val="7"/>
    </w:pPr>
  </w:style>
  <w:style w:type="paragraph" w:styleId="Heading9">
    <w:name w:val="heading 9"/>
    <w:basedOn w:val="Heading4"/>
    <w:next w:val="BodyText"/>
    <w:link w:val="Heading9Char"/>
    <w:uiPriority w:val="99"/>
    <w:rsid w:val="00866BDC"/>
    <w:pPr>
      <w:numPr>
        <w:ilvl w:val="0"/>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6BDC"/>
    <w:rPr>
      <w:rFonts w:ascii="Verdana" w:hAnsi="Verdana" w:cs="Verdana"/>
      <w:b/>
      <w:caps/>
      <w:color w:val="009FDA"/>
      <w:sz w:val="26"/>
      <w:szCs w:val="18"/>
      <w:lang w:val="en-GB"/>
    </w:rPr>
  </w:style>
  <w:style w:type="character" w:customStyle="1" w:styleId="Heading2Char">
    <w:name w:val="Heading 2 Char"/>
    <w:basedOn w:val="DefaultParagraphFont"/>
    <w:link w:val="Heading2"/>
    <w:rsid w:val="00866BDC"/>
    <w:rPr>
      <w:rFonts w:ascii="Verdana" w:hAnsi="Verdana" w:cs="Verdana"/>
      <w:b/>
      <w:color w:val="009FDA"/>
      <w:sz w:val="26"/>
      <w:szCs w:val="18"/>
      <w:lang w:val="en-GB"/>
    </w:rPr>
  </w:style>
  <w:style w:type="character" w:customStyle="1" w:styleId="Heading3Char">
    <w:name w:val="Heading 3 Char"/>
    <w:basedOn w:val="DefaultParagraphFont"/>
    <w:link w:val="Heading3"/>
    <w:uiPriority w:val="99"/>
    <w:rsid w:val="00866BDC"/>
    <w:rPr>
      <w:rFonts w:ascii="Verdana" w:hAnsi="Verdana" w:cs="Verdana"/>
      <w:color w:val="009FDA"/>
      <w:sz w:val="26"/>
      <w:szCs w:val="18"/>
      <w:lang w:val="en-GB"/>
    </w:rPr>
  </w:style>
  <w:style w:type="character" w:customStyle="1" w:styleId="Heading4Char">
    <w:name w:val="Heading 4 Char"/>
    <w:basedOn w:val="DefaultParagraphFont"/>
    <w:link w:val="Heading4"/>
    <w:uiPriority w:val="99"/>
    <w:rsid w:val="00866BDC"/>
    <w:rPr>
      <w:rFonts w:ascii="Verdana" w:hAnsi="Verdana" w:cs="Verdana"/>
      <w:b/>
      <w:color w:val="009FDA"/>
      <w:szCs w:val="18"/>
      <w:lang w:val="en-GB"/>
    </w:rPr>
  </w:style>
  <w:style w:type="paragraph" w:styleId="BodyText">
    <w:name w:val="Body Text"/>
    <w:basedOn w:val="Normal"/>
    <w:link w:val="BodyTextChar"/>
    <w:qFormat/>
    <w:rsid w:val="00866BDC"/>
    <w:pPr>
      <w:spacing w:before="40" w:after="140" w:line="280" w:lineRule="atLeast"/>
    </w:pPr>
  </w:style>
  <w:style w:type="character" w:customStyle="1" w:styleId="BodyTextChar">
    <w:name w:val="Body Text Char"/>
    <w:basedOn w:val="DefaultParagraphFont"/>
    <w:link w:val="BodyText"/>
    <w:rsid w:val="00866BDC"/>
    <w:rPr>
      <w:rFonts w:ascii="Verdana" w:hAnsi="Verdana" w:cs="Verdana"/>
      <w:sz w:val="18"/>
      <w:szCs w:val="18"/>
      <w:lang w:val="en-GB"/>
    </w:rPr>
  </w:style>
  <w:style w:type="character" w:styleId="PlaceholderText">
    <w:name w:val="Placeholder Text"/>
    <w:basedOn w:val="DefaultParagraphFont"/>
    <w:uiPriority w:val="99"/>
    <w:rsid w:val="00866BDC"/>
    <w:rPr>
      <w:noProof/>
      <w:vanish/>
      <w:color w:val="808080"/>
      <w:lang w:val="en-GB"/>
    </w:rPr>
  </w:style>
  <w:style w:type="character" w:customStyle="1" w:styleId="Heading5Char">
    <w:name w:val="Heading 5 Char"/>
    <w:basedOn w:val="DefaultParagraphFont"/>
    <w:link w:val="Heading5"/>
    <w:uiPriority w:val="99"/>
    <w:rsid w:val="00866BDC"/>
    <w:rPr>
      <w:rFonts w:ascii="Verdana" w:hAnsi="Verdana" w:cs="Verdana"/>
      <w:szCs w:val="18"/>
      <w:lang w:val="en-GB"/>
    </w:rPr>
  </w:style>
  <w:style w:type="character" w:customStyle="1" w:styleId="Heading6Char">
    <w:name w:val="Heading 6 Char"/>
    <w:basedOn w:val="DefaultParagraphFont"/>
    <w:link w:val="Heading6"/>
    <w:uiPriority w:val="99"/>
    <w:rsid w:val="00866BDC"/>
    <w:rPr>
      <w:rFonts w:ascii="Verdana" w:hAnsi="Verdana" w:cs="Verdana"/>
      <w:b/>
      <w:caps/>
      <w:color w:val="009FDA"/>
      <w:sz w:val="26"/>
      <w:szCs w:val="18"/>
      <w:lang w:val="en-GB"/>
    </w:rPr>
  </w:style>
  <w:style w:type="character" w:customStyle="1" w:styleId="Heading7Char">
    <w:name w:val="Heading 7 Char"/>
    <w:basedOn w:val="DefaultParagraphFont"/>
    <w:link w:val="Heading7"/>
    <w:uiPriority w:val="99"/>
    <w:rsid w:val="00866BDC"/>
    <w:rPr>
      <w:rFonts w:ascii="Verdana" w:hAnsi="Verdana" w:cs="Verdana"/>
      <w:b/>
      <w:color w:val="009FDA"/>
      <w:sz w:val="26"/>
      <w:szCs w:val="18"/>
      <w:lang w:val="en-GB"/>
    </w:rPr>
  </w:style>
  <w:style w:type="character" w:customStyle="1" w:styleId="Heading8Char">
    <w:name w:val="Heading 8 Char"/>
    <w:basedOn w:val="DefaultParagraphFont"/>
    <w:link w:val="Heading8"/>
    <w:uiPriority w:val="99"/>
    <w:rsid w:val="00866BDC"/>
    <w:rPr>
      <w:rFonts w:ascii="Verdana" w:hAnsi="Verdana" w:cs="Verdana"/>
      <w:color w:val="009FDA"/>
      <w:sz w:val="26"/>
      <w:szCs w:val="18"/>
      <w:lang w:val="en-GB"/>
    </w:rPr>
  </w:style>
  <w:style w:type="character" w:customStyle="1" w:styleId="Heading9Char">
    <w:name w:val="Heading 9 Char"/>
    <w:basedOn w:val="DefaultParagraphFont"/>
    <w:link w:val="Heading9"/>
    <w:uiPriority w:val="99"/>
    <w:rsid w:val="00866BDC"/>
    <w:rPr>
      <w:rFonts w:ascii="Verdana" w:hAnsi="Verdana" w:cs="Verdana"/>
      <w:b/>
      <w:color w:val="009FDA"/>
      <w:szCs w:val="18"/>
      <w:lang w:val="en-GB"/>
    </w:rPr>
  </w:style>
  <w:style w:type="paragraph" w:styleId="TOC1">
    <w:name w:val="toc 1"/>
    <w:basedOn w:val="Normal"/>
    <w:uiPriority w:val="99"/>
    <w:semiHidden/>
    <w:unhideWhenUsed/>
    <w:rsid w:val="00866BDC"/>
    <w:pPr>
      <w:tabs>
        <w:tab w:val="right" w:leader="dot" w:pos="9581"/>
      </w:tabs>
      <w:spacing w:before="240"/>
      <w:ind w:left="850" w:right="850" w:hanging="850"/>
    </w:pPr>
    <w:rPr>
      <w:caps/>
      <w:noProof/>
    </w:rPr>
  </w:style>
  <w:style w:type="paragraph" w:styleId="TOC2">
    <w:name w:val="toc 2"/>
    <w:basedOn w:val="Normal"/>
    <w:uiPriority w:val="99"/>
    <w:semiHidden/>
    <w:unhideWhenUsed/>
    <w:rsid w:val="00866BDC"/>
    <w:pPr>
      <w:tabs>
        <w:tab w:val="right" w:pos="9581"/>
      </w:tabs>
      <w:spacing w:before="60"/>
      <w:ind w:left="850" w:right="850" w:hanging="850"/>
    </w:pPr>
    <w:rPr>
      <w:noProof/>
    </w:rPr>
  </w:style>
  <w:style w:type="paragraph" w:styleId="TOC3">
    <w:name w:val="toc 3"/>
    <w:basedOn w:val="Normal"/>
    <w:uiPriority w:val="99"/>
    <w:semiHidden/>
    <w:unhideWhenUsed/>
    <w:rsid w:val="00866BDC"/>
    <w:pPr>
      <w:tabs>
        <w:tab w:val="right" w:pos="9581"/>
      </w:tabs>
      <w:ind w:left="1134" w:right="850" w:hanging="1134"/>
    </w:pPr>
    <w:rPr>
      <w:noProof/>
    </w:rPr>
  </w:style>
  <w:style w:type="paragraph" w:styleId="TOC4">
    <w:name w:val="toc 4"/>
    <w:basedOn w:val="Normal"/>
    <w:uiPriority w:val="99"/>
    <w:semiHidden/>
    <w:unhideWhenUsed/>
    <w:rsid w:val="00866BDC"/>
    <w:pPr>
      <w:tabs>
        <w:tab w:val="right" w:pos="9581"/>
      </w:tabs>
      <w:ind w:left="1417" w:right="850" w:hanging="1417"/>
    </w:pPr>
    <w:rPr>
      <w:noProof/>
    </w:rPr>
  </w:style>
  <w:style w:type="paragraph" w:styleId="TOC5">
    <w:name w:val="toc 5"/>
    <w:basedOn w:val="Normal"/>
    <w:uiPriority w:val="99"/>
    <w:semiHidden/>
    <w:unhideWhenUsed/>
    <w:rsid w:val="00866BDC"/>
    <w:pPr>
      <w:tabs>
        <w:tab w:val="right" w:pos="9581"/>
      </w:tabs>
      <w:ind w:left="1417" w:right="850" w:hanging="1417"/>
    </w:pPr>
    <w:rPr>
      <w:noProof/>
    </w:rPr>
  </w:style>
  <w:style w:type="paragraph" w:styleId="TOC6">
    <w:name w:val="toc 6"/>
    <w:basedOn w:val="TOC1"/>
    <w:uiPriority w:val="99"/>
    <w:semiHidden/>
    <w:unhideWhenUsed/>
    <w:rsid w:val="00866BDC"/>
  </w:style>
  <w:style w:type="paragraph" w:styleId="TOC7">
    <w:name w:val="toc 7"/>
    <w:basedOn w:val="TOC2"/>
    <w:uiPriority w:val="99"/>
    <w:semiHidden/>
    <w:unhideWhenUsed/>
    <w:rsid w:val="00866BDC"/>
  </w:style>
  <w:style w:type="paragraph" w:styleId="TOC8">
    <w:name w:val="toc 8"/>
    <w:basedOn w:val="TOC4"/>
    <w:uiPriority w:val="99"/>
    <w:semiHidden/>
    <w:unhideWhenUsed/>
    <w:rsid w:val="00866BDC"/>
  </w:style>
  <w:style w:type="paragraph" w:styleId="Header">
    <w:name w:val="header"/>
    <w:basedOn w:val="Normal"/>
    <w:link w:val="HeaderChar"/>
    <w:uiPriority w:val="99"/>
    <w:rsid w:val="00866BDC"/>
    <w:rPr>
      <w:noProof/>
    </w:rPr>
  </w:style>
  <w:style w:type="character" w:customStyle="1" w:styleId="HeaderChar">
    <w:name w:val="Header Char"/>
    <w:basedOn w:val="DefaultParagraphFont"/>
    <w:link w:val="Header"/>
    <w:uiPriority w:val="99"/>
    <w:rsid w:val="00866BDC"/>
    <w:rPr>
      <w:rFonts w:ascii="Verdana" w:hAnsi="Verdana" w:cs="Verdana"/>
      <w:noProof/>
      <w:sz w:val="18"/>
      <w:szCs w:val="18"/>
      <w:lang w:val="en-GB"/>
    </w:rPr>
  </w:style>
  <w:style w:type="paragraph" w:styleId="Footer">
    <w:name w:val="footer"/>
    <w:basedOn w:val="Normal"/>
    <w:link w:val="FooterChar"/>
    <w:uiPriority w:val="99"/>
    <w:rsid w:val="00866BDC"/>
    <w:pPr>
      <w:spacing w:line="160" w:lineRule="atLeast"/>
    </w:pPr>
    <w:rPr>
      <w:noProof/>
      <w:sz w:val="13"/>
    </w:rPr>
  </w:style>
  <w:style w:type="character" w:customStyle="1" w:styleId="FooterChar">
    <w:name w:val="Footer Char"/>
    <w:basedOn w:val="DefaultParagraphFont"/>
    <w:link w:val="Footer"/>
    <w:uiPriority w:val="99"/>
    <w:rsid w:val="00866BDC"/>
    <w:rPr>
      <w:rFonts w:ascii="Verdana" w:hAnsi="Verdana" w:cs="Verdana"/>
      <w:noProof/>
      <w:sz w:val="13"/>
      <w:szCs w:val="18"/>
      <w:lang w:val="en-GB"/>
    </w:rPr>
  </w:style>
  <w:style w:type="paragraph" w:styleId="Caption">
    <w:name w:val="caption"/>
    <w:basedOn w:val="Normal"/>
    <w:next w:val="BodyText"/>
    <w:link w:val="CaptionChar"/>
    <w:qFormat/>
    <w:rsid w:val="00866BDC"/>
    <w:rPr>
      <w:b/>
    </w:rPr>
  </w:style>
  <w:style w:type="paragraph" w:styleId="ListBullet">
    <w:name w:val="List Bullet"/>
    <w:basedOn w:val="Normal"/>
    <w:uiPriority w:val="99"/>
    <w:rsid w:val="00866BDC"/>
    <w:pPr>
      <w:numPr>
        <w:numId w:val="2"/>
      </w:numPr>
      <w:ind w:left="0" w:firstLine="0"/>
      <w:contextualSpacing/>
    </w:pPr>
  </w:style>
  <w:style w:type="paragraph" w:styleId="ListNumber">
    <w:name w:val="List Number"/>
    <w:basedOn w:val="Normal"/>
    <w:uiPriority w:val="99"/>
    <w:rsid w:val="00866BDC"/>
    <w:pPr>
      <w:numPr>
        <w:numId w:val="3"/>
      </w:numPr>
      <w:contextualSpacing/>
    </w:pPr>
  </w:style>
  <w:style w:type="paragraph" w:styleId="FootnoteText">
    <w:name w:val="footnote text"/>
    <w:aliases w:val="DFSListFootnote"/>
    <w:basedOn w:val="Normal"/>
    <w:link w:val="FootnoteTextChar"/>
    <w:uiPriority w:val="99"/>
    <w:rsid w:val="00866BDC"/>
    <w:pPr>
      <w:ind w:left="397" w:hanging="397"/>
    </w:pPr>
    <w:rPr>
      <w:sz w:val="13"/>
    </w:rPr>
  </w:style>
  <w:style w:type="character" w:customStyle="1" w:styleId="FootnoteTextChar">
    <w:name w:val="Footnote Text Char"/>
    <w:aliases w:val="DFSListFootnote Char"/>
    <w:basedOn w:val="DefaultParagraphFont"/>
    <w:link w:val="FootnoteText"/>
    <w:uiPriority w:val="99"/>
    <w:rsid w:val="00866BDC"/>
    <w:rPr>
      <w:rFonts w:ascii="Verdana" w:hAnsi="Verdana" w:cs="Verdana"/>
      <w:sz w:val="13"/>
      <w:szCs w:val="18"/>
      <w:lang w:val="en-GB"/>
    </w:rPr>
  </w:style>
  <w:style w:type="character" w:styleId="FootnoteReference">
    <w:name w:val="footnote reference"/>
    <w:basedOn w:val="DefaultParagraphFont"/>
    <w:uiPriority w:val="99"/>
    <w:unhideWhenUsed/>
    <w:rsid w:val="00866BDC"/>
    <w:rPr>
      <w:sz w:val="18"/>
      <w:vertAlign w:val="superscript"/>
    </w:rPr>
  </w:style>
  <w:style w:type="paragraph" w:customStyle="1" w:styleId="DNVGL-Hidden">
    <w:name w:val="DNVGL-Hidden"/>
    <w:basedOn w:val="Normal"/>
    <w:next w:val="BodyText"/>
    <w:link w:val="DNVGL-HiddenChar"/>
    <w:uiPriority w:val="99"/>
    <w:rsid w:val="00866BDC"/>
    <w:rPr>
      <w:noProof/>
      <w:vanish/>
      <w:color w:val="FF0000"/>
    </w:rPr>
  </w:style>
  <w:style w:type="character" w:customStyle="1" w:styleId="DNVGL-HiddenChar">
    <w:name w:val="DNVGL-Hidden Char"/>
    <w:basedOn w:val="DefaultParagraphFont"/>
    <w:link w:val="DNVGL-Hidden"/>
    <w:uiPriority w:val="99"/>
    <w:rsid w:val="00866BDC"/>
    <w:rPr>
      <w:rFonts w:ascii="Verdana" w:hAnsi="Verdana" w:cs="Verdana"/>
      <w:noProof/>
      <w:vanish/>
      <w:color w:val="FF0000"/>
      <w:sz w:val="18"/>
      <w:szCs w:val="18"/>
      <w:lang w:val="en-GB"/>
    </w:rPr>
  </w:style>
  <w:style w:type="paragraph" w:customStyle="1" w:styleId="DNVGL-HQDetails">
    <w:name w:val="DNVGL-HQ Details"/>
    <w:basedOn w:val="Normal"/>
    <w:link w:val="DNVGL-HQDetailsChar"/>
    <w:uiPriority w:val="99"/>
    <w:rsid w:val="00866BDC"/>
    <w:pPr>
      <w:spacing w:after="240" w:line="200" w:lineRule="atLeast"/>
    </w:pPr>
    <w:rPr>
      <w:noProof/>
      <w:color w:val="009FDA"/>
      <w:sz w:val="16"/>
    </w:rPr>
  </w:style>
  <w:style w:type="character" w:customStyle="1" w:styleId="DNVGL-HQDetailsChar">
    <w:name w:val="DNVGL-HQ Details Char"/>
    <w:basedOn w:val="DefaultParagraphFont"/>
    <w:link w:val="DNVGL-HQDetails"/>
    <w:rsid w:val="00866BDC"/>
    <w:rPr>
      <w:rFonts w:ascii="Verdana" w:hAnsi="Verdana" w:cs="Verdana"/>
      <w:noProof/>
      <w:color w:val="009FDA"/>
      <w:sz w:val="16"/>
      <w:szCs w:val="18"/>
      <w:lang w:val="en-GB"/>
    </w:rPr>
  </w:style>
  <w:style w:type="paragraph" w:customStyle="1" w:styleId="DNVGL-Address-receiver">
    <w:name w:val="DNVGL-Address - receiver"/>
    <w:basedOn w:val="Normal"/>
    <w:link w:val="DNVGL-Address-receiverChar"/>
    <w:uiPriority w:val="99"/>
    <w:rsid w:val="00866BDC"/>
    <w:pPr>
      <w:keepLines/>
      <w:spacing w:line="280" w:lineRule="atLeast"/>
    </w:pPr>
    <w:rPr>
      <w:noProof/>
    </w:rPr>
  </w:style>
  <w:style w:type="character" w:customStyle="1" w:styleId="DNVGL-Address-receiverChar">
    <w:name w:val="DNVGL-Address - receiver Char"/>
    <w:basedOn w:val="DefaultParagraphFont"/>
    <w:link w:val="DNVGL-Address-receiver"/>
    <w:uiPriority w:val="99"/>
    <w:rsid w:val="00866BDC"/>
    <w:rPr>
      <w:rFonts w:ascii="Verdana" w:hAnsi="Verdana" w:cs="Verdana"/>
      <w:noProof/>
      <w:sz w:val="18"/>
      <w:szCs w:val="18"/>
      <w:lang w:val="en-GB"/>
    </w:rPr>
  </w:style>
  <w:style w:type="paragraph" w:customStyle="1" w:styleId="DNVGL-Address-sender">
    <w:name w:val="DNVGL-Address - sender"/>
    <w:basedOn w:val="Normal"/>
    <w:link w:val="DNVGL-Address-senderChar"/>
    <w:uiPriority w:val="99"/>
    <w:rsid w:val="00866BDC"/>
    <w:pPr>
      <w:keepLines/>
      <w:spacing w:line="280" w:lineRule="atLeast"/>
    </w:pPr>
    <w:rPr>
      <w:noProof/>
    </w:rPr>
  </w:style>
  <w:style w:type="character" w:customStyle="1" w:styleId="DNVGL-Address-senderChar">
    <w:name w:val="DNVGL-Address - sender Char"/>
    <w:basedOn w:val="DefaultParagraphFont"/>
    <w:link w:val="DNVGL-Address-sender"/>
    <w:uiPriority w:val="99"/>
    <w:rsid w:val="00866BDC"/>
    <w:rPr>
      <w:rFonts w:ascii="Verdana" w:hAnsi="Verdana" w:cs="Verdana"/>
      <w:noProof/>
      <w:sz w:val="18"/>
      <w:szCs w:val="18"/>
      <w:lang w:val="en-GB"/>
    </w:rPr>
  </w:style>
  <w:style w:type="paragraph" w:customStyle="1" w:styleId="DNVGL-Details">
    <w:name w:val="DNVGL-Details"/>
    <w:basedOn w:val="Normal"/>
    <w:link w:val="DNVGL-DetailsChar"/>
    <w:uiPriority w:val="99"/>
    <w:rsid w:val="00866BDC"/>
    <w:pPr>
      <w:keepLines/>
      <w:spacing w:line="280" w:lineRule="atLeast"/>
    </w:pPr>
    <w:rPr>
      <w:noProof/>
    </w:rPr>
  </w:style>
  <w:style w:type="character" w:customStyle="1" w:styleId="DNVGL-DetailsChar">
    <w:name w:val="DNVGL-Details Char"/>
    <w:basedOn w:val="DefaultParagraphFont"/>
    <w:link w:val="DNVGL-Details"/>
    <w:uiPriority w:val="99"/>
    <w:rsid w:val="00866BDC"/>
    <w:rPr>
      <w:rFonts w:ascii="Verdana" w:hAnsi="Verdana" w:cs="Verdana"/>
      <w:noProof/>
      <w:sz w:val="18"/>
      <w:szCs w:val="18"/>
      <w:lang w:val="en-GB"/>
    </w:rPr>
  </w:style>
  <w:style w:type="paragraph" w:customStyle="1" w:styleId="DNVGL-Revisionrow">
    <w:name w:val="DNVGL-Revision row"/>
    <w:basedOn w:val="Normal"/>
    <w:link w:val="DNVGL-RevisionrowChar"/>
    <w:uiPriority w:val="99"/>
    <w:rsid w:val="00866BDC"/>
    <w:pPr>
      <w:keepLines/>
      <w:spacing w:line="280" w:lineRule="atLeast"/>
    </w:pPr>
    <w:rPr>
      <w:sz w:val="14"/>
    </w:rPr>
  </w:style>
  <w:style w:type="character" w:customStyle="1" w:styleId="DNVGL-RevisionrowChar">
    <w:name w:val="DNVGL-Revision row Char"/>
    <w:basedOn w:val="DefaultParagraphFont"/>
    <w:link w:val="DNVGL-Revisionrow"/>
    <w:uiPriority w:val="99"/>
    <w:rsid w:val="00866BDC"/>
    <w:rPr>
      <w:rFonts w:ascii="Verdana" w:hAnsi="Verdana" w:cs="Verdana"/>
      <w:sz w:val="14"/>
      <w:szCs w:val="18"/>
      <w:lang w:val="en-GB"/>
    </w:rPr>
  </w:style>
  <w:style w:type="paragraph" w:customStyle="1" w:styleId="DNVGL-Revisionheadingrow">
    <w:name w:val="DNVGL-Revision heading row"/>
    <w:basedOn w:val="Normal"/>
    <w:link w:val="DNVGL-RevisionheadingrowChar"/>
    <w:uiPriority w:val="99"/>
    <w:rsid w:val="00866BDC"/>
    <w:pPr>
      <w:keepLines/>
    </w:pPr>
    <w:rPr>
      <w:sz w:val="14"/>
    </w:rPr>
  </w:style>
  <w:style w:type="character" w:customStyle="1" w:styleId="DNVGL-RevisionheadingrowChar">
    <w:name w:val="DNVGL-Revision heading row Char"/>
    <w:basedOn w:val="DefaultParagraphFont"/>
    <w:link w:val="DNVGL-Revisionheadingrow"/>
    <w:uiPriority w:val="99"/>
    <w:rsid w:val="00866BDC"/>
    <w:rPr>
      <w:rFonts w:ascii="Verdana" w:hAnsi="Verdana" w:cs="Verdana"/>
      <w:sz w:val="14"/>
      <w:szCs w:val="18"/>
      <w:lang w:val="en-GB"/>
    </w:rPr>
  </w:style>
  <w:style w:type="paragraph" w:customStyle="1" w:styleId="DNVGL-Signature">
    <w:name w:val="DNVGL-Signature"/>
    <w:basedOn w:val="Normal"/>
    <w:link w:val="DNVGL-SignatureChar"/>
    <w:uiPriority w:val="99"/>
    <w:rsid w:val="00866BDC"/>
    <w:pPr>
      <w:keepLines/>
      <w:contextualSpacing/>
    </w:pPr>
    <w:rPr>
      <w:noProof/>
    </w:rPr>
  </w:style>
  <w:style w:type="character" w:customStyle="1" w:styleId="DNVGL-SignatureChar">
    <w:name w:val="DNVGL-Signature Char"/>
    <w:basedOn w:val="DefaultParagraphFont"/>
    <w:link w:val="DNVGL-Signature"/>
    <w:uiPriority w:val="99"/>
    <w:rsid w:val="00866BDC"/>
    <w:rPr>
      <w:rFonts w:ascii="Verdana" w:hAnsi="Verdana" w:cs="Verdana"/>
      <w:noProof/>
      <w:sz w:val="18"/>
      <w:szCs w:val="18"/>
      <w:lang w:val="en-GB"/>
    </w:rPr>
  </w:style>
  <w:style w:type="paragraph" w:customStyle="1" w:styleId="DNVGL-Signaturesmall">
    <w:name w:val="DNVGL-Signature (small)"/>
    <w:basedOn w:val="DNVGL-Signature"/>
    <w:link w:val="DNVGL-SignaturesmallChar"/>
    <w:uiPriority w:val="99"/>
    <w:rsid w:val="00866BDC"/>
    <w:rPr>
      <w:sz w:val="14"/>
    </w:rPr>
  </w:style>
  <w:style w:type="character" w:customStyle="1" w:styleId="DNVGL-SignaturesmallChar">
    <w:name w:val="DNVGL-Signature (small) Char"/>
    <w:basedOn w:val="DefaultParagraphFont"/>
    <w:link w:val="DNVGL-Signaturesmall"/>
    <w:uiPriority w:val="99"/>
    <w:rsid w:val="00866BDC"/>
    <w:rPr>
      <w:rFonts w:ascii="Verdana" w:hAnsi="Verdana" w:cs="Verdana"/>
      <w:noProof/>
      <w:sz w:val="14"/>
      <w:szCs w:val="18"/>
      <w:lang w:val="en-GB"/>
    </w:rPr>
  </w:style>
  <w:style w:type="paragraph" w:customStyle="1" w:styleId="DNVGL-Closing">
    <w:name w:val="DNVGL-Closing"/>
    <w:basedOn w:val="Normal"/>
    <w:next w:val="DNVGL-Signature"/>
    <w:link w:val="DNVGL-ClosingChar"/>
    <w:uiPriority w:val="99"/>
    <w:rsid w:val="00866BDC"/>
    <w:pPr>
      <w:keepNext/>
      <w:keepLines/>
      <w:spacing w:before="480" w:after="720" w:line="280" w:lineRule="atLeast"/>
      <w:contextualSpacing/>
    </w:pPr>
    <w:rPr>
      <w:noProof/>
    </w:rPr>
  </w:style>
  <w:style w:type="character" w:customStyle="1" w:styleId="DNVGL-ClosingChar">
    <w:name w:val="DNVGL-Closing Char"/>
    <w:basedOn w:val="DefaultParagraphFont"/>
    <w:link w:val="DNVGL-Closing"/>
    <w:uiPriority w:val="99"/>
    <w:rsid w:val="00866BDC"/>
    <w:rPr>
      <w:rFonts w:ascii="Verdana" w:hAnsi="Verdana" w:cs="Verdana"/>
      <w:noProof/>
      <w:sz w:val="18"/>
      <w:szCs w:val="18"/>
      <w:lang w:val="en-GB"/>
    </w:rPr>
  </w:style>
  <w:style w:type="paragraph" w:customStyle="1" w:styleId="CMCHeading">
    <w:name w:val="CMCHeading"/>
    <w:basedOn w:val="Normal"/>
    <w:next w:val="Normal"/>
    <w:link w:val="CMCHeadingChar"/>
    <w:uiPriority w:val="99"/>
    <w:rsid w:val="00866BDC"/>
    <w:rPr>
      <w:b/>
      <w:sz w:val="22"/>
    </w:rPr>
  </w:style>
  <w:style w:type="character" w:customStyle="1" w:styleId="CMCHeadingChar">
    <w:name w:val="CMCHeading Char"/>
    <w:basedOn w:val="DefaultParagraphFont"/>
    <w:link w:val="CMCHeading"/>
    <w:uiPriority w:val="99"/>
    <w:rsid w:val="00866BDC"/>
    <w:rPr>
      <w:rFonts w:ascii="Verdana" w:hAnsi="Verdana" w:cs="Verdana"/>
      <w:b/>
      <w:szCs w:val="18"/>
      <w:lang w:val="en-GB"/>
    </w:rPr>
  </w:style>
  <w:style w:type="paragraph" w:customStyle="1" w:styleId="CMCConfidential">
    <w:name w:val="CMCConfidential"/>
    <w:basedOn w:val="Normal"/>
    <w:link w:val="CMCConfidentialChar"/>
    <w:uiPriority w:val="99"/>
    <w:rsid w:val="00866BDC"/>
    <w:rPr>
      <w:color w:val="FF0000"/>
    </w:rPr>
  </w:style>
  <w:style w:type="character" w:customStyle="1" w:styleId="CMCConfidentialChar">
    <w:name w:val="CMCConfidential Char"/>
    <w:basedOn w:val="DefaultParagraphFont"/>
    <w:link w:val="CMCConfidential"/>
    <w:uiPriority w:val="99"/>
    <w:rsid w:val="00866BDC"/>
    <w:rPr>
      <w:rFonts w:ascii="Verdana" w:hAnsi="Verdana" w:cs="Verdana"/>
      <w:color w:val="FF0000"/>
      <w:sz w:val="18"/>
      <w:szCs w:val="18"/>
      <w:lang w:val="en-GB"/>
    </w:rPr>
  </w:style>
  <w:style w:type="paragraph" w:customStyle="1" w:styleId="CMCConfidentialText">
    <w:name w:val="CMCConfidentialText"/>
    <w:basedOn w:val="CMCConfidential"/>
    <w:link w:val="CMCConfidentialTextChar"/>
    <w:uiPriority w:val="99"/>
    <w:rsid w:val="00866BDC"/>
  </w:style>
  <w:style w:type="character" w:customStyle="1" w:styleId="CMCConfidentialTextChar">
    <w:name w:val="CMCConfidentialText Char"/>
    <w:basedOn w:val="DefaultParagraphFont"/>
    <w:link w:val="CMCConfidentialText"/>
    <w:rsid w:val="00866BDC"/>
    <w:rPr>
      <w:rFonts w:ascii="Verdana" w:hAnsi="Verdana" w:cs="Verdana"/>
      <w:color w:val="FF0000"/>
      <w:sz w:val="18"/>
      <w:szCs w:val="18"/>
      <w:lang w:val="en-GB"/>
    </w:rPr>
  </w:style>
  <w:style w:type="paragraph" w:customStyle="1" w:styleId="DNVGL-AppListing">
    <w:name w:val="DNVGL-App Listing"/>
    <w:basedOn w:val="Normal"/>
    <w:link w:val="DNVGL-AppListingChar"/>
    <w:uiPriority w:val="99"/>
    <w:rsid w:val="00866BDC"/>
    <w:pPr>
      <w:keepLines/>
      <w:numPr>
        <w:numId w:val="4"/>
      </w:numPr>
    </w:pPr>
    <w:rPr>
      <w:color w:val="009FDA"/>
    </w:rPr>
  </w:style>
  <w:style w:type="character" w:customStyle="1" w:styleId="DNVGL-AppListingChar">
    <w:name w:val="DNVGL-App Listing Char"/>
    <w:basedOn w:val="DefaultParagraphFont"/>
    <w:link w:val="DNVGL-AppListing"/>
    <w:uiPriority w:val="99"/>
    <w:rsid w:val="00866BDC"/>
    <w:rPr>
      <w:rFonts w:ascii="Verdana" w:hAnsi="Verdana" w:cs="Verdana"/>
      <w:color w:val="009FDA"/>
      <w:sz w:val="18"/>
      <w:szCs w:val="18"/>
      <w:lang w:val="en-GB"/>
    </w:rPr>
  </w:style>
  <w:style w:type="paragraph" w:customStyle="1" w:styleId="DNVGL-AppText">
    <w:name w:val="DNVGL-App Text"/>
    <w:basedOn w:val="Normal"/>
    <w:next w:val="BodyText"/>
    <w:link w:val="DNVGL-AppTextChar"/>
    <w:uiPriority w:val="99"/>
    <w:rsid w:val="00866BDC"/>
    <w:pPr>
      <w:spacing w:after="120"/>
    </w:pPr>
    <w:rPr>
      <w:b/>
      <w:color w:val="009FDA"/>
      <w:sz w:val="26"/>
    </w:rPr>
  </w:style>
  <w:style w:type="character" w:customStyle="1" w:styleId="DNVGL-AppTextChar">
    <w:name w:val="DNVGL-App Text Char"/>
    <w:basedOn w:val="DefaultParagraphFont"/>
    <w:link w:val="DNVGL-AppText"/>
    <w:uiPriority w:val="99"/>
    <w:rsid w:val="00866BDC"/>
    <w:rPr>
      <w:rFonts w:ascii="Verdana" w:hAnsi="Verdana" w:cs="Verdana"/>
      <w:b/>
      <w:color w:val="009FDA"/>
      <w:sz w:val="26"/>
      <w:szCs w:val="18"/>
      <w:lang w:val="en-GB"/>
    </w:rPr>
  </w:style>
  <w:style w:type="paragraph" w:customStyle="1" w:styleId="DNVGL-Appendix">
    <w:name w:val="DNVGL-Appendix"/>
    <w:basedOn w:val="Normal"/>
    <w:next w:val="BodyText"/>
    <w:link w:val="DNVGL-AppendixChar"/>
    <w:uiPriority w:val="99"/>
    <w:rsid w:val="00866BDC"/>
    <w:pPr>
      <w:pBdr>
        <w:bottom w:val="single" w:sz="6" w:space="0" w:color="009FDA"/>
      </w:pBdr>
    </w:pPr>
    <w:rPr>
      <w:b/>
      <w:caps/>
      <w:noProof/>
      <w:color w:val="009FDA"/>
      <w:sz w:val="26"/>
    </w:rPr>
  </w:style>
  <w:style w:type="character" w:customStyle="1" w:styleId="DNVGL-AppendixChar">
    <w:name w:val="DNVGL-Appendix Char"/>
    <w:basedOn w:val="DefaultParagraphFont"/>
    <w:link w:val="DNVGL-Appendix"/>
    <w:uiPriority w:val="99"/>
    <w:rsid w:val="00866BDC"/>
    <w:rPr>
      <w:rFonts w:ascii="Verdana" w:hAnsi="Verdana" w:cs="Verdana"/>
      <w:b/>
      <w:caps/>
      <w:noProof/>
      <w:color w:val="009FDA"/>
      <w:sz w:val="26"/>
      <w:szCs w:val="18"/>
      <w:lang w:val="en-GB"/>
    </w:rPr>
  </w:style>
  <w:style w:type="paragraph" w:customStyle="1" w:styleId="DNVGL-BackcoverTitle">
    <w:name w:val="DNVGL-Backcover Title"/>
    <w:basedOn w:val="Normal"/>
    <w:next w:val="BodyText"/>
    <w:link w:val="DNVGL-BackcoverTitleChar"/>
    <w:uiPriority w:val="99"/>
    <w:rsid w:val="00866BDC"/>
    <w:rPr>
      <w:b/>
      <w:noProof/>
      <w:color w:val="009FDA"/>
      <w:sz w:val="26"/>
    </w:rPr>
  </w:style>
  <w:style w:type="character" w:customStyle="1" w:styleId="DNVGL-BackcoverTitleChar">
    <w:name w:val="DNVGL-Backcover Title Char"/>
    <w:basedOn w:val="DefaultParagraphFont"/>
    <w:link w:val="DNVGL-BackcoverTitle"/>
    <w:uiPriority w:val="99"/>
    <w:rsid w:val="00866BDC"/>
    <w:rPr>
      <w:rFonts w:ascii="Verdana" w:hAnsi="Verdana" w:cs="Verdana"/>
      <w:b/>
      <w:noProof/>
      <w:color w:val="009FDA"/>
      <w:sz w:val="26"/>
      <w:szCs w:val="18"/>
      <w:lang w:val="en-GB"/>
    </w:rPr>
  </w:style>
  <w:style w:type="paragraph" w:customStyle="1" w:styleId="Bodytexthighlight">
    <w:name w:val="Body text highlight"/>
    <w:basedOn w:val="BodyText"/>
    <w:link w:val="BodytexthighlightChar"/>
    <w:uiPriority w:val="99"/>
    <w:rsid w:val="00866BDC"/>
    <w:pPr>
      <w:shd w:val="clear" w:color="auto" w:fill="FFFF99"/>
    </w:pPr>
    <w:rPr>
      <w:color w:val="009FDA"/>
    </w:rPr>
  </w:style>
  <w:style w:type="character" w:customStyle="1" w:styleId="BodytexthighlightChar">
    <w:name w:val="Body text highlight Char"/>
    <w:basedOn w:val="DefaultParagraphFont"/>
    <w:link w:val="Bodytexthighlight"/>
    <w:uiPriority w:val="99"/>
    <w:rsid w:val="00866BDC"/>
    <w:rPr>
      <w:rFonts w:ascii="Verdana" w:hAnsi="Verdana" w:cs="Verdana"/>
      <w:color w:val="009FDA"/>
      <w:sz w:val="18"/>
      <w:szCs w:val="18"/>
      <w:shd w:val="clear" w:color="auto" w:fill="FFFF99"/>
      <w:lang w:val="en-GB"/>
    </w:rPr>
  </w:style>
  <w:style w:type="paragraph" w:customStyle="1" w:styleId="DNVGL-capEquation">
    <w:name w:val="DNVGL-capEquation"/>
    <w:basedOn w:val="Normal"/>
    <w:next w:val="BodyText"/>
    <w:link w:val="DNVGL-capEquationChar"/>
    <w:uiPriority w:val="99"/>
    <w:rsid w:val="00866BDC"/>
    <w:pPr>
      <w:keepLines/>
      <w:spacing w:before="120" w:after="120"/>
      <w:ind w:left="142" w:right="113" w:hanging="142"/>
    </w:pPr>
    <w:rPr>
      <w:b/>
    </w:rPr>
  </w:style>
  <w:style w:type="character" w:customStyle="1" w:styleId="DNVGL-capEquationChar">
    <w:name w:val="DNVGL-capEquation Char"/>
    <w:basedOn w:val="DefaultParagraphFont"/>
    <w:link w:val="DNVGL-capEquation"/>
    <w:uiPriority w:val="99"/>
    <w:rsid w:val="00866BDC"/>
    <w:rPr>
      <w:rFonts w:ascii="Verdana" w:hAnsi="Verdana" w:cs="Verdana"/>
      <w:b/>
      <w:sz w:val="18"/>
      <w:szCs w:val="18"/>
      <w:lang w:val="en-GB"/>
    </w:rPr>
  </w:style>
  <w:style w:type="paragraph" w:customStyle="1" w:styleId="DNVGL-capFigure">
    <w:name w:val="DNVGL-capFigure"/>
    <w:basedOn w:val="Normal"/>
    <w:next w:val="BodyText"/>
    <w:link w:val="DNVGL-capFigureChar"/>
    <w:uiPriority w:val="99"/>
    <w:rsid w:val="00866BDC"/>
    <w:pPr>
      <w:keepNext/>
    </w:pPr>
    <w:rPr>
      <w:b/>
    </w:rPr>
  </w:style>
  <w:style w:type="character" w:customStyle="1" w:styleId="DNVGL-capFigureChar">
    <w:name w:val="DNVGL-capFigure Char"/>
    <w:basedOn w:val="DefaultParagraphFont"/>
    <w:link w:val="DNVGL-capFigure"/>
    <w:uiPriority w:val="99"/>
    <w:rsid w:val="00866BDC"/>
    <w:rPr>
      <w:rFonts w:ascii="Verdana" w:hAnsi="Verdana" w:cs="Verdana"/>
      <w:b/>
      <w:sz w:val="18"/>
      <w:szCs w:val="18"/>
      <w:lang w:val="en-GB"/>
    </w:rPr>
  </w:style>
  <w:style w:type="paragraph" w:customStyle="1" w:styleId="DNVGL-capTable">
    <w:name w:val="DNVGL-capTable"/>
    <w:basedOn w:val="Normal"/>
    <w:next w:val="BodyText"/>
    <w:link w:val="DNVGL-capTableChar"/>
    <w:uiPriority w:val="99"/>
    <w:rsid w:val="00866BDC"/>
    <w:pPr>
      <w:keepNext/>
      <w:spacing w:before="100" w:after="60" w:line="280" w:lineRule="atLeast"/>
    </w:pPr>
    <w:rPr>
      <w:b/>
    </w:rPr>
  </w:style>
  <w:style w:type="character" w:customStyle="1" w:styleId="DNVGL-capTableChar">
    <w:name w:val="DNVGL-capTable Char"/>
    <w:basedOn w:val="DefaultParagraphFont"/>
    <w:link w:val="DNVGL-capTable"/>
    <w:uiPriority w:val="99"/>
    <w:rsid w:val="00866BDC"/>
    <w:rPr>
      <w:rFonts w:ascii="Verdana" w:hAnsi="Verdana" w:cs="Verdana"/>
      <w:b/>
      <w:sz w:val="18"/>
      <w:szCs w:val="18"/>
      <w:lang w:val="en-GB"/>
    </w:rPr>
  </w:style>
  <w:style w:type="paragraph" w:customStyle="1" w:styleId="DNVGL-FigureComment">
    <w:name w:val="DNVGL-FigureComment"/>
    <w:basedOn w:val="Normal"/>
    <w:link w:val="DNVGL-FigureCommentChar"/>
    <w:uiPriority w:val="99"/>
    <w:rsid w:val="00866BDC"/>
    <w:pPr>
      <w:keepLines/>
      <w:spacing w:after="180"/>
      <w:ind w:left="142" w:hanging="142"/>
      <w:contextualSpacing/>
    </w:pPr>
    <w:rPr>
      <w:sz w:val="13"/>
    </w:rPr>
  </w:style>
  <w:style w:type="character" w:customStyle="1" w:styleId="DNVGL-FigureCommentChar">
    <w:name w:val="DNVGL-FigureComment Char"/>
    <w:basedOn w:val="DefaultParagraphFont"/>
    <w:link w:val="DNVGL-FigureComment"/>
    <w:uiPriority w:val="99"/>
    <w:rsid w:val="00866BDC"/>
    <w:rPr>
      <w:rFonts w:ascii="Verdana" w:hAnsi="Verdana" w:cs="Verdana"/>
      <w:sz w:val="13"/>
      <w:szCs w:val="18"/>
      <w:lang w:val="en-GB"/>
    </w:rPr>
  </w:style>
  <w:style w:type="paragraph" w:customStyle="1" w:styleId="DNVGL-TableComment">
    <w:name w:val="DNVGL-TableComment"/>
    <w:basedOn w:val="Normal"/>
    <w:link w:val="DNVGL-TableCommentChar"/>
    <w:uiPriority w:val="99"/>
    <w:rsid w:val="00866BDC"/>
    <w:pPr>
      <w:keepLines/>
      <w:spacing w:after="180"/>
      <w:ind w:left="142" w:hanging="142"/>
      <w:contextualSpacing/>
    </w:pPr>
    <w:rPr>
      <w:sz w:val="13"/>
    </w:rPr>
  </w:style>
  <w:style w:type="character" w:customStyle="1" w:styleId="DNVGL-TableCommentChar">
    <w:name w:val="DNVGL-TableComment Char"/>
    <w:basedOn w:val="DefaultParagraphFont"/>
    <w:link w:val="DNVGL-TableComment"/>
    <w:uiPriority w:val="99"/>
    <w:rsid w:val="00866BDC"/>
    <w:rPr>
      <w:rFonts w:ascii="Verdana" w:hAnsi="Verdana" w:cs="Verdana"/>
      <w:sz w:val="13"/>
      <w:szCs w:val="18"/>
      <w:lang w:val="en-GB"/>
    </w:rPr>
  </w:style>
  <w:style w:type="paragraph" w:customStyle="1" w:styleId="DNVGL-TableText">
    <w:name w:val="DNVGL-TableText"/>
    <w:basedOn w:val="Normal"/>
    <w:link w:val="DNVGL-TableTextChar"/>
    <w:uiPriority w:val="99"/>
    <w:rsid w:val="00866BDC"/>
    <w:pPr>
      <w:keepNext/>
      <w:keepLines/>
      <w:spacing w:before="20" w:after="20"/>
    </w:pPr>
    <w:rPr>
      <w:sz w:val="16"/>
    </w:rPr>
  </w:style>
  <w:style w:type="character" w:customStyle="1" w:styleId="DNVGL-TableTextChar">
    <w:name w:val="DNVGL-TableText Char"/>
    <w:basedOn w:val="DefaultParagraphFont"/>
    <w:link w:val="DNVGL-TableText"/>
    <w:uiPriority w:val="99"/>
    <w:rsid w:val="00866BDC"/>
    <w:rPr>
      <w:rFonts w:ascii="Verdana" w:hAnsi="Verdana" w:cs="Verdana"/>
      <w:sz w:val="16"/>
      <w:szCs w:val="18"/>
      <w:lang w:val="en-GB"/>
    </w:rPr>
  </w:style>
  <w:style w:type="paragraph" w:customStyle="1" w:styleId="DNVGL-TableHeadingText">
    <w:name w:val="DNVGL-TableHeadingText"/>
    <w:basedOn w:val="DNVGL-TableText"/>
    <w:link w:val="DNVGL-TableHeadingTextChar"/>
    <w:uiPriority w:val="99"/>
    <w:rsid w:val="00866BDC"/>
    <w:rPr>
      <w:b/>
    </w:rPr>
  </w:style>
  <w:style w:type="character" w:customStyle="1" w:styleId="DNVGL-TableHeadingTextChar">
    <w:name w:val="DNVGL-TableHeadingText Char"/>
    <w:basedOn w:val="DefaultParagraphFont"/>
    <w:link w:val="DNVGL-TableHeadingText"/>
    <w:uiPriority w:val="99"/>
    <w:rsid w:val="00866BDC"/>
    <w:rPr>
      <w:rFonts w:ascii="Verdana" w:hAnsi="Verdana" w:cs="Verdana"/>
      <w:b/>
      <w:sz w:val="16"/>
      <w:szCs w:val="18"/>
      <w:lang w:val="en-GB"/>
    </w:rPr>
  </w:style>
  <w:style w:type="paragraph" w:customStyle="1" w:styleId="DNVGL-TOCHeading">
    <w:name w:val="DNVGL-TOC Heading"/>
    <w:basedOn w:val="Normal"/>
    <w:next w:val="Normal"/>
    <w:link w:val="DNVGL-TOCHeadingChar"/>
    <w:uiPriority w:val="99"/>
    <w:rsid w:val="00866BDC"/>
    <w:pPr>
      <w:keepNext/>
      <w:pageBreakBefore/>
      <w:spacing w:before="180"/>
      <w:outlineLvl w:val="0"/>
    </w:pPr>
    <w:rPr>
      <w:sz w:val="26"/>
    </w:rPr>
  </w:style>
  <w:style w:type="character" w:customStyle="1" w:styleId="DNVGL-TOCHeadingChar">
    <w:name w:val="DNVGL-TOC Heading Char"/>
    <w:basedOn w:val="DefaultParagraphFont"/>
    <w:link w:val="DNVGL-TOCHeading"/>
    <w:uiPriority w:val="99"/>
    <w:rsid w:val="00866BDC"/>
    <w:rPr>
      <w:rFonts w:ascii="Verdana" w:hAnsi="Verdana" w:cs="Verdana"/>
      <w:sz w:val="26"/>
      <w:szCs w:val="18"/>
      <w:lang w:val="en-GB"/>
    </w:rPr>
  </w:style>
  <w:style w:type="paragraph" w:customStyle="1" w:styleId="DNVGL-Cover-ProjectName">
    <w:name w:val="DNVGL-Cover-ProjectName"/>
    <w:basedOn w:val="Normal"/>
    <w:link w:val="DNVGL-Cover-ProjectNameChar"/>
    <w:uiPriority w:val="99"/>
    <w:rsid w:val="00866BDC"/>
    <w:pPr>
      <w:keepNext/>
      <w:keepLines/>
      <w:contextualSpacing/>
    </w:pPr>
    <w:rPr>
      <w:b/>
      <w:caps/>
      <w:noProof/>
      <w:color w:val="565655"/>
      <w:sz w:val="26"/>
    </w:rPr>
  </w:style>
  <w:style w:type="character" w:customStyle="1" w:styleId="DNVGL-Cover-ProjectNameChar">
    <w:name w:val="DNVGL-Cover-ProjectName Char"/>
    <w:basedOn w:val="DefaultParagraphFont"/>
    <w:link w:val="DNVGL-Cover-ProjectName"/>
    <w:uiPriority w:val="99"/>
    <w:rsid w:val="00866BDC"/>
    <w:rPr>
      <w:rFonts w:ascii="Verdana" w:hAnsi="Verdana" w:cs="Verdana"/>
      <w:b/>
      <w:caps/>
      <w:noProof/>
      <w:color w:val="565655"/>
      <w:sz w:val="26"/>
      <w:szCs w:val="18"/>
      <w:lang w:val="en-GB"/>
    </w:rPr>
  </w:style>
  <w:style w:type="paragraph" w:customStyle="1" w:styleId="DNVGL-Cover-ReportTitle">
    <w:name w:val="DNVGL-Cover-ReportTitle"/>
    <w:basedOn w:val="Normal"/>
    <w:link w:val="DNVGL-Cover-ReportTitleChar"/>
    <w:uiPriority w:val="99"/>
    <w:rsid w:val="00866BDC"/>
    <w:pPr>
      <w:keepNext/>
      <w:keepLines/>
      <w:spacing w:after="240"/>
      <w:contextualSpacing/>
    </w:pPr>
    <w:rPr>
      <w:b/>
      <w:noProof/>
      <w:color w:val="00B1EC"/>
      <w:sz w:val="56"/>
    </w:rPr>
  </w:style>
  <w:style w:type="character" w:customStyle="1" w:styleId="DNVGL-Cover-ReportTitleChar">
    <w:name w:val="DNVGL-Cover-ReportTitle Char"/>
    <w:basedOn w:val="DefaultParagraphFont"/>
    <w:link w:val="DNVGL-Cover-ReportTitle"/>
    <w:uiPriority w:val="99"/>
    <w:rsid w:val="00866BDC"/>
    <w:rPr>
      <w:rFonts w:ascii="Verdana" w:hAnsi="Verdana" w:cs="Verdana"/>
      <w:b/>
      <w:noProof/>
      <w:color w:val="00B1EC"/>
      <w:sz w:val="56"/>
      <w:szCs w:val="18"/>
      <w:lang w:val="en-GB"/>
    </w:rPr>
  </w:style>
  <w:style w:type="paragraph" w:customStyle="1" w:styleId="DNVGL-Cover-Company">
    <w:name w:val="DNVGL-Cover-Company"/>
    <w:basedOn w:val="Normal"/>
    <w:link w:val="DNVGL-Cover-CompanyChar"/>
    <w:uiPriority w:val="99"/>
    <w:rsid w:val="00866BDC"/>
    <w:pPr>
      <w:keepNext/>
      <w:keepLines/>
      <w:contextualSpacing/>
    </w:pPr>
    <w:rPr>
      <w:b/>
      <w:noProof/>
      <w:color w:val="565655"/>
      <w:sz w:val="28"/>
    </w:rPr>
  </w:style>
  <w:style w:type="character" w:customStyle="1" w:styleId="DNVGL-Cover-CompanyChar">
    <w:name w:val="DNVGL-Cover-Company Char"/>
    <w:basedOn w:val="DefaultParagraphFont"/>
    <w:link w:val="DNVGL-Cover-Company"/>
    <w:uiPriority w:val="99"/>
    <w:rsid w:val="00866BDC"/>
    <w:rPr>
      <w:rFonts w:ascii="Verdana" w:hAnsi="Verdana" w:cs="Verdana"/>
      <w:b/>
      <w:noProof/>
      <w:color w:val="565655"/>
      <w:sz w:val="28"/>
      <w:szCs w:val="18"/>
      <w:lang w:val="en-GB"/>
    </w:rPr>
  </w:style>
  <w:style w:type="paragraph" w:styleId="BalloonText">
    <w:name w:val="Balloon Text"/>
    <w:basedOn w:val="Normal"/>
    <w:link w:val="BalloonTextChar"/>
    <w:uiPriority w:val="99"/>
    <w:semiHidden/>
    <w:unhideWhenUsed/>
    <w:rsid w:val="00866BDC"/>
    <w:rPr>
      <w:rFonts w:ascii="Tahoma" w:hAnsi="Tahoma" w:cs="Tahoma"/>
      <w:sz w:val="16"/>
      <w:szCs w:val="16"/>
    </w:rPr>
  </w:style>
  <w:style w:type="character" w:customStyle="1" w:styleId="BalloonTextChar">
    <w:name w:val="Balloon Text Char"/>
    <w:basedOn w:val="DefaultParagraphFont"/>
    <w:link w:val="BalloonText"/>
    <w:uiPriority w:val="99"/>
    <w:semiHidden/>
    <w:rsid w:val="00866BDC"/>
    <w:rPr>
      <w:rFonts w:ascii="Tahoma" w:hAnsi="Tahoma" w:cs="Tahoma"/>
      <w:sz w:val="16"/>
      <w:szCs w:val="16"/>
      <w:lang w:val="en-GB"/>
    </w:rPr>
  </w:style>
  <w:style w:type="paragraph" w:styleId="Bibliography">
    <w:name w:val="Bibliography"/>
    <w:basedOn w:val="Normal"/>
    <w:next w:val="Normal"/>
    <w:uiPriority w:val="99"/>
    <w:semiHidden/>
    <w:unhideWhenUsed/>
    <w:rsid w:val="00866BDC"/>
  </w:style>
  <w:style w:type="paragraph" w:styleId="BlockText">
    <w:name w:val="Block Text"/>
    <w:basedOn w:val="Normal"/>
    <w:uiPriority w:val="99"/>
    <w:semiHidden/>
    <w:unhideWhenUsed/>
    <w:rsid w:val="00866BD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hAnsiTheme="minorHAnsi" w:cstheme="minorBidi"/>
      <w:i/>
      <w:iCs/>
      <w:color w:val="4F81BD" w:themeColor="accent1"/>
    </w:rPr>
  </w:style>
  <w:style w:type="paragraph" w:styleId="BodyText2">
    <w:name w:val="Body Text 2"/>
    <w:basedOn w:val="Normal"/>
    <w:link w:val="BodyText2Char"/>
    <w:uiPriority w:val="99"/>
    <w:semiHidden/>
    <w:unhideWhenUsed/>
    <w:rsid w:val="00866BDC"/>
    <w:pPr>
      <w:spacing w:after="120" w:line="480" w:lineRule="auto"/>
    </w:pPr>
  </w:style>
  <w:style w:type="character" w:customStyle="1" w:styleId="BodyText2Char">
    <w:name w:val="Body Text 2 Char"/>
    <w:basedOn w:val="DefaultParagraphFont"/>
    <w:link w:val="BodyText2"/>
    <w:uiPriority w:val="99"/>
    <w:semiHidden/>
    <w:rsid w:val="00866BDC"/>
    <w:rPr>
      <w:rFonts w:ascii="Verdana" w:hAnsi="Verdana" w:cs="Verdana"/>
      <w:sz w:val="18"/>
      <w:szCs w:val="18"/>
      <w:lang w:val="en-GB"/>
    </w:rPr>
  </w:style>
  <w:style w:type="paragraph" w:styleId="BodyText3">
    <w:name w:val="Body Text 3"/>
    <w:basedOn w:val="Normal"/>
    <w:link w:val="BodyText3Char"/>
    <w:uiPriority w:val="99"/>
    <w:semiHidden/>
    <w:unhideWhenUsed/>
    <w:rsid w:val="00866BDC"/>
    <w:pPr>
      <w:spacing w:after="120"/>
    </w:pPr>
    <w:rPr>
      <w:sz w:val="16"/>
      <w:szCs w:val="16"/>
    </w:rPr>
  </w:style>
  <w:style w:type="character" w:customStyle="1" w:styleId="BodyText3Char">
    <w:name w:val="Body Text 3 Char"/>
    <w:basedOn w:val="DefaultParagraphFont"/>
    <w:link w:val="BodyText3"/>
    <w:uiPriority w:val="99"/>
    <w:semiHidden/>
    <w:rsid w:val="00866BDC"/>
    <w:rPr>
      <w:rFonts w:ascii="Verdana" w:hAnsi="Verdana" w:cs="Verdana"/>
      <w:sz w:val="16"/>
      <w:szCs w:val="16"/>
      <w:lang w:val="en-GB"/>
    </w:rPr>
  </w:style>
  <w:style w:type="paragraph" w:styleId="BodyTextFirstIndent">
    <w:name w:val="Body Text First Indent"/>
    <w:basedOn w:val="BodyText"/>
    <w:link w:val="BodyTextFirstIndentChar"/>
    <w:uiPriority w:val="99"/>
    <w:semiHidden/>
    <w:unhideWhenUsed/>
    <w:rsid w:val="00866BDC"/>
    <w:pPr>
      <w:spacing w:before="0" w:after="0" w:line="240" w:lineRule="auto"/>
      <w:ind w:firstLine="360"/>
    </w:pPr>
  </w:style>
  <w:style w:type="character" w:customStyle="1" w:styleId="BodyTextFirstIndentChar">
    <w:name w:val="Body Text First Indent Char"/>
    <w:basedOn w:val="BodyTextChar"/>
    <w:link w:val="BodyTextFirstIndent"/>
    <w:uiPriority w:val="99"/>
    <w:semiHidden/>
    <w:rsid w:val="00866BDC"/>
    <w:rPr>
      <w:rFonts w:ascii="Verdana" w:hAnsi="Verdana" w:cs="Verdana"/>
      <w:sz w:val="18"/>
      <w:szCs w:val="18"/>
      <w:lang w:val="en-GB"/>
    </w:rPr>
  </w:style>
  <w:style w:type="paragraph" w:styleId="BodyTextIndent">
    <w:name w:val="Body Text Indent"/>
    <w:basedOn w:val="Normal"/>
    <w:link w:val="BodyTextIndentChar"/>
    <w:uiPriority w:val="99"/>
    <w:semiHidden/>
    <w:unhideWhenUsed/>
    <w:rsid w:val="00866BDC"/>
    <w:pPr>
      <w:spacing w:after="120"/>
      <w:ind w:left="283"/>
    </w:pPr>
  </w:style>
  <w:style w:type="character" w:customStyle="1" w:styleId="BodyTextIndentChar">
    <w:name w:val="Body Text Indent Char"/>
    <w:basedOn w:val="DefaultParagraphFont"/>
    <w:link w:val="BodyTextIndent"/>
    <w:uiPriority w:val="99"/>
    <w:semiHidden/>
    <w:rsid w:val="00866BDC"/>
    <w:rPr>
      <w:rFonts w:ascii="Verdana" w:hAnsi="Verdana" w:cs="Verdana"/>
      <w:sz w:val="18"/>
      <w:szCs w:val="18"/>
      <w:lang w:val="en-GB"/>
    </w:rPr>
  </w:style>
  <w:style w:type="paragraph" w:styleId="BodyTextFirstIndent2">
    <w:name w:val="Body Text First Indent 2"/>
    <w:basedOn w:val="BodyTextIndent"/>
    <w:link w:val="BodyTextFirstIndent2Char"/>
    <w:uiPriority w:val="99"/>
    <w:semiHidden/>
    <w:unhideWhenUsed/>
    <w:rsid w:val="00866BDC"/>
    <w:pPr>
      <w:spacing w:after="0"/>
      <w:ind w:left="360" w:firstLine="360"/>
    </w:pPr>
  </w:style>
  <w:style w:type="character" w:customStyle="1" w:styleId="BodyTextFirstIndent2Char">
    <w:name w:val="Body Text First Indent 2 Char"/>
    <w:basedOn w:val="BodyTextIndentChar"/>
    <w:link w:val="BodyTextFirstIndent2"/>
    <w:uiPriority w:val="99"/>
    <w:semiHidden/>
    <w:rsid w:val="00866BDC"/>
    <w:rPr>
      <w:rFonts w:ascii="Verdana" w:hAnsi="Verdana" w:cs="Verdana"/>
      <w:sz w:val="18"/>
      <w:szCs w:val="18"/>
      <w:lang w:val="en-GB"/>
    </w:rPr>
  </w:style>
  <w:style w:type="paragraph" w:styleId="BodyTextIndent2">
    <w:name w:val="Body Text Indent 2"/>
    <w:basedOn w:val="Normal"/>
    <w:link w:val="BodyTextIndent2Char"/>
    <w:uiPriority w:val="99"/>
    <w:semiHidden/>
    <w:unhideWhenUsed/>
    <w:rsid w:val="00866BDC"/>
    <w:pPr>
      <w:spacing w:after="120" w:line="480" w:lineRule="auto"/>
      <w:ind w:left="283"/>
    </w:pPr>
  </w:style>
  <w:style w:type="character" w:customStyle="1" w:styleId="BodyTextIndent2Char">
    <w:name w:val="Body Text Indent 2 Char"/>
    <w:basedOn w:val="DefaultParagraphFont"/>
    <w:link w:val="BodyTextIndent2"/>
    <w:uiPriority w:val="99"/>
    <w:semiHidden/>
    <w:rsid w:val="00866BDC"/>
    <w:rPr>
      <w:rFonts w:ascii="Verdana" w:hAnsi="Verdana" w:cs="Verdana"/>
      <w:sz w:val="18"/>
      <w:szCs w:val="18"/>
      <w:lang w:val="en-GB"/>
    </w:rPr>
  </w:style>
  <w:style w:type="paragraph" w:styleId="BodyTextIndent3">
    <w:name w:val="Body Text Indent 3"/>
    <w:basedOn w:val="Normal"/>
    <w:link w:val="BodyTextIndent3Char"/>
    <w:uiPriority w:val="99"/>
    <w:semiHidden/>
    <w:unhideWhenUsed/>
    <w:rsid w:val="00866BD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66BDC"/>
    <w:rPr>
      <w:rFonts w:ascii="Verdana" w:hAnsi="Verdana" w:cs="Verdana"/>
      <w:sz w:val="16"/>
      <w:szCs w:val="16"/>
      <w:lang w:val="en-GB"/>
    </w:rPr>
  </w:style>
  <w:style w:type="character" w:styleId="BookTitle">
    <w:name w:val="Book Title"/>
    <w:basedOn w:val="DefaultParagraphFont"/>
    <w:uiPriority w:val="99"/>
    <w:semiHidden/>
    <w:unhideWhenUsed/>
    <w:rsid w:val="00866BDC"/>
    <w:rPr>
      <w:b/>
      <w:bCs/>
      <w:smallCaps/>
      <w:spacing w:val="5"/>
    </w:rPr>
  </w:style>
  <w:style w:type="paragraph" w:styleId="Closing">
    <w:name w:val="Closing"/>
    <w:basedOn w:val="Normal"/>
    <w:link w:val="ClosingChar"/>
    <w:uiPriority w:val="99"/>
    <w:semiHidden/>
    <w:unhideWhenUsed/>
    <w:rsid w:val="00866BDC"/>
    <w:pPr>
      <w:ind w:left="4252"/>
    </w:pPr>
  </w:style>
  <w:style w:type="character" w:customStyle="1" w:styleId="ClosingChar">
    <w:name w:val="Closing Char"/>
    <w:basedOn w:val="DefaultParagraphFont"/>
    <w:link w:val="Closing"/>
    <w:uiPriority w:val="99"/>
    <w:semiHidden/>
    <w:rsid w:val="00866BDC"/>
    <w:rPr>
      <w:rFonts w:ascii="Verdana" w:hAnsi="Verdana" w:cs="Verdana"/>
      <w:sz w:val="18"/>
      <w:szCs w:val="18"/>
      <w:lang w:val="en-GB"/>
    </w:rPr>
  </w:style>
  <w:style w:type="character" w:styleId="CommentReference">
    <w:name w:val="annotation reference"/>
    <w:basedOn w:val="DefaultParagraphFont"/>
    <w:uiPriority w:val="99"/>
    <w:semiHidden/>
    <w:unhideWhenUsed/>
    <w:rsid w:val="00866BDC"/>
    <w:rPr>
      <w:sz w:val="16"/>
      <w:szCs w:val="16"/>
    </w:rPr>
  </w:style>
  <w:style w:type="paragraph" w:styleId="CommentText">
    <w:name w:val="annotation text"/>
    <w:basedOn w:val="Normal"/>
    <w:link w:val="CommentTextChar"/>
    <w:uiPriority w:val="99"/>
    <w:semiHidden/>
    <w:unhideWhenUsed/>
    <w:rsid w:val="00866BDC"/>
    <w:rPr>
      <w:sz w:val="20"/>
      <w:szCs w:val="20"/>
    </w:rPr>
  </w:style>
  <w:style w:type="character" w:customStyle="1" w:styleId="CommentTextChar">
    <w:name w:val="Comment Text Char"/>
    <w:basedOn w:val="DefaultParagraphFont"/>
    <w:link w:val="CommentText"/>
    <w:uiPriority w:val="99"/>
    <w:semiHidden/>
    <w:rsid w:val="00866BDC"/>
    <w:rPr>
      <w:rFonts w:ascii="Verdana" w:hAnsi="Verdana" w:cs="Verdana"/>
      <w:sz w:val="20"/>
      <w:szCs w:val="20"/>
      <w:lang w:val="en-GB"/>
    </w:rPr>
  </w:style>
  <w:style w:type="paragraph" w:styleId="CommentSubject">
    <w:name w:val="annotation subject"/>
    <w:basedOn w:val="CommentText"/>
    <w:next w:val="CommentText"/>
    <w:link w:val="CommentSubjectChar"/>
    <w:uiPriority w:val="99"/>
    <w:semiHidden/>
    <w:unhideWhenUsed/>
    <w:rsid w:val="00866BDC"/>
    <w:rPr>
      <w:b/>
      <w:bCs/>
    </w:rPr>
  </w:style>
  <w:style w:type="character" w:customStyle="1" w:styleId="CommentSubjectChar">
    <w:name w:val="Comment Subject Char"/>
    <w:basedOn w:val="CommentTextChar"/>
    <w:link w:val="CommentSubject"/>
    <w:uiPriority w:val="99"/>
    <w:semiHidden/>
    <w:rsid w:val="00866BDC"/>
    <w:rPr>
      <w:rFonts w:ascii="Verdana" w:hAnsi="Verdana" w:cs="Verdana"/>
      <w:b/>
      <w:bCs/>
      <w:sz w:val="20"/>
      <w:szCs w:val="20"/>
      <w:lang w:val="en-GB"/>
    </w:rPr>
  </w:style>
  <w:style w:type="paragraph" w:styleId="Date">
    <w:name w:val="Date"/>
    <w:basedOn w:val="Normal"/>
    <w:next w:val="Normal"/>
    <w:link w:val="DateChar"/>
    <w:uiPriority w:val="99"/>
    <w:semiHidden/>
    <w:unhideWhenUsed/>
    <w:rsid w:val="00866BDC"/>
  </w:style>
  <w:style w:type="character" w:customStyle="1" w:styleId="DateChar">
    <w:name w:val="Date Char"/>
    <w:basedOn w:val="DefaultParagraphFont"/>
    <w:link w:val="Date"/>
    <w:uiPriority w:val="99"/>
    <w:semiHidden/>
    <w:rsid w:val="00866BDC"/>
    <w:rPr>
      <w:rFonts w:ascii="Verdana" w:hAnsi="Verdana" w:cs="Verdana"/>
      <w:sz w:val="18"/>
      <w:szCs w:val="18"/>
      <w:lang w:val="en-GB"/>
    </w:rPr>
  </w:style>
  <w:style w:type="paragraph" w:styleId="DocumentMap">
    <w:name w:val="Document Map"/>
    <w:basedOn w:val="Normal"/>
    <w:link w:val="DocumentMapChar"/>
    <w:uiPriority w:val="99"/>
    <w:semiHidden/>
    <w:unhideWhenUsed/>
    <w:rsid w:val="00866BDC"/>
    <w:rPr>
      <w:rFonts w:ascii="Tahoma" w:hAnsi="Tahoma" w:cs="Tahoma"/>
      <w:sz w:val="16"/>
      <w:szCs w:val="16"/>
    </w:rPr>
  </w:style>
  <w:style w:type="character" w:customStyle="1" w:styleId="DocumentMapChar">
    <w:name w:val="Document Map Char"/>
    <w:basedOn w:val="DefaultParagraphFont"/>
    <w:link w:val="DocumentMap"/>
    <w:uiPriority w:val="99"/>
    <w:semiHidden/>
    <w:rsid w:val="00866BD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866BDC"/>
  </w:style>
  <w:style w:type="character" w:customStyle="1" w:styleId="E-mailSignatureChar">
    <w:name w:val="E-mail Signature Char"/>
    <w:basedOn w:val="DefaultParagraphFont"/>
    <w:link w:val="E-mailSignature"/>
    <w:uiPriority w:val="99"/>
    <w:semiHidden/>
    <w:rsid w:val="00866BDC"/>
    <w:rPr>
      <w:rFonts w:ascii="Verdana" w:hAnsi="Verdana" w:cs="Verdana"/>
      <w:sz w:val="18"/>
      <w:szCs w:val="18"/>
      <w:lang w:val="en-GB"/>
    </w:rPr>
  </w:style>
  <w:style w:type="character" w:styleId="Emphasis">
    <w:name w:val="Emphasis"/>
    <w:basedOn w:val="DefaultParagraphFont"/>
    <w:uiPriority w:val="99"/>
    <w:semiHidden/>
    <w:unhideWhenUsed/>
    <w:rsid w:val="00866BDC"/>
    <w:rPr>
      <w:i/>
      <w:iCs/>
    </w:rPr>
  </w:style>
  <w:style w:type="character" w:styleId="EndnoteReference">
    <w:name w:val="endnote reference"/>
    <w:basedOn w:val="DefaultParagraphFont"/>
    <w:uiPriority w:val="99"/>
    <w:semiHidden/>
    <w:unhideWhenUsed/>
    <w:rsid w:val="00866BDC"/>
    <w:rPr>
      <w:vertAlign w:val="superscript"/>
    </w:rPr>
  </w:style>
  <w:style w:type="paragraph" w:styleId="EndnoteText">
    <w:name w:val="endnote text"/>
    <w:basedOn w:val="Normal"/>
    <w:link w:val="EndnoteTextChar"/>
    <w:uiPriority w:val="99"/>
    <w:semiHidden/>
    <w:unhideWhenUsed/>
    <w:rsid w:val="00866BDC"/>
    <w:rPr>
      <w:sz w:val="20"/>
      <w:szCs w:val="20"/>
    </w:rPr>
  </w:style>
  <w:style w:type="character" w:customStyle="1" w:styleId="EndnoteTextChar">
    <w:name w:val="Endnote Text Char"/>
    <w:basedOn w:val="DefaultParagraphFont"/>
    <w:link w:val="EndnoteText"/>
    <w:uiPriority w:val="99"/>
    <w:semiHidden/>
    <w:rsid w:val="00866BDC"/>
    <w:rPr>
      <w:rFonts w:ascii="Verdana" w:hAnsi="Verdana" w:cs="Verdana"/>
      <w:sz w:val="20"/>
      <w:szCs w:val="20"/>
      <w:lang w:val="en-GB"/>
    </w:rPr>
  </w:style>
  <w:style w:type="paragraph" w:styleId="EnvelopeAddress">
    <w:name w:val="envelope address"/>
    <w:basedOn w:val="Normal"/>
    <w:uiPriority w:val="99"/>
    <w:semiHidden/>
    <w:unhideWhenUsed/>
    <w:rsid w:val="00866BD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66BDC"/>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66BDC"/>
    <w:rPr>
      <w:color w:val="800080" w:themeColor="followedHyperlink"/>
      <w:u w:val="single"/>
    </w:rPr>
  </w:style>
  <w:style w:type="character" w:styleId="HTMLAcronym">
    <w:name w:val="HTML Acronym"/>
    <w:basedOn w:val="DefaultParagraphFont"/>
    <w:uiPriority w:val="99"/>
    <w:semiHidden/>
    <w:unhideWhenUsed/>
    <w:rsid w:val="00866BDC"/>
  </w:style>
  <w:style w:type="paragraph" w:styleId="HTMLAddress">
    <w:name w:val="HTML Address"/>
    <w:basedOn w:val="Normal"/>
    <w:link w:val="HTMLAddressChar"/>
    <w:uiPriority w:val="99"/>
    <w:semiHidden/>
    <w:unhideWhenUsed/>
    <w:rsid w:val="00866BDC"/>
    <w:rPr>
      <w:i/>
      <w:iCs/>
    </w:rPr>
  </w:style>
  <w:style w:type="character" w:customStyle="1" w:styleId="HTMLAddressChar">
    <w:name w:val="HTML Address Char"/>
    <w:basedOn w:val="DefaultParagraphFont"/>
    <w:link w:val="HTMLAddress"/>
    <w:uiPriority w:val="99"/>
    <w:semiHidden/>
    <w:rsid w:val="00866BDC"/>
    <w:rPr>
      <w:rFonts w:ascii="Verdana" w:hAnsi="Verdana" w:cs="Verdana"/>
      <w:i/>
      <w:iCs/>
      <w:sz w:val="18"/>
      <w:szCs w:val="18"/>
      <w:lang w:val="en-GB"/>
    </w:rPr>
  </w:style>
  <w:style w:type="character" w:styleId="HTMLCite">
    <w:name w:val="HTML Cite"/>
    <w:basedOn w:val="DefaultParagraphFont"/>
    <w:uiPriority w:val="99"/>
    <w:semiHidden/>
    <w:unhideWhenUsed/>
    <w:rsid w:val="00866BDC"/>
    <w:rPr>
      <w:i/>
      <w:iCs/>
    </w:rPr>
  </w:style>
  <w:style w:type="character" w:styleId="HTMLCode">
    <w:name w:val="HTML Code"/>
    <w:basedOn w:val="DefaultParagraphFont"/>
    <w:uiPriority w:val="99"/>
    <w:semiHidden/>
    <w:unhideWhenUsed/>
    <w:rsid w:val="00866BDC"/>
    <w:rPr>
      <w:rFonts w:ascii="Consolas" w:hAnsi="Consolas"/>
      <w:sz w:val="20"/>
      <w:szCs w:val="20"/>
    </w:rPr>
  </w:style>
  <w:style w:type="character" w:styleId="HTMLDefinition">
    <w:name w:val="HTML Definition"/>
    <w:basedOn w:val="DefaultParagraphFont"/>
    <w:uiPriority w:val="99"/>
    <w:semiHidden/>
    <w:unhideWhenUsed/>
    <w:rsid w:val="00866BDC"/>
    <w:rPr>
      <w:i/>
      <w:iCs/>
    </w:rPr>
  </w:style>
  <w:style w:type="character" w:styleId="HTMLKeyboard">
    <w:name w:val="HTML Keyboard"/>
    <w:basedOn w:val="DefaultParagraphFont"/>
    <w:uiPriority w:val="99"/>
    <w:semiHidden/>
    <w:unhideWhenUsed/>
    <w:rsid w:val="00866BDC"/>
    <w:rPr>
      <w:rFonts w:ascii="Consolas" w:hAnsi="Consolas"/>
      <w:sz w:val="20"/>
      <w:szCs w:val="20"/>
    </w:rPr>
  </w:style>
  <w:style w:type="paragraph" w:styleId="HTMLPreformatted">
    <w:name w:val="HTML Preformatted"/>
    <w:basedOn w:val="Normal"/>
    <w:link w:val="HTMLPreformattedChar"/>
    <w:uiPriority w:val="99"/>
    <w:semiHidden/>
    <w:unhideWhenUsed/>
    <w:rsid w:val="00866BD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66BDC"/>
    <w:rPr>
      <w:rFonts w:ascii="Consolas" w:hAnsi="Consolas" w:cs="Verdana"/>
      <w:sz w:val="20"/>
      <w:szCs w:val="20"/>
      <w:lang w:val="en-GB"/>
    </w:rPr>
  </w:style>
  <w:style w:type="character" w:styleId="HTMLSample">
    <w:name w:val="HTML Sample"/>
    <w:basedOn w:val="DefaultParagraphFont"/>
    <w:uiPriority w:val="99"/>
    <w:semiHidden/>
    <w:unhideWhenUsed/>
    <w:rsid w:val="00866BDC"/>
    <w:rPr>
      <w:rFonts w:ascii="Consolas" w:hAnsi="Consolas"/>
      <w:sz w:val="24"/>
      <w:szCs w:val="24"/>
    </w:rPr>
  </w:style>
  <w:style w:type="character" w:styleId="HTMLTypewriter">
    <w:name w:val="HTML Typewriter"/>
    <w:basedOn w:val="DefaultParagraphFont"/>
    <w:uiPriority w:val="99"/>
    <w:semiHidden/>
    <w:unhideWhenUsed/>
    <w:rsid w:val="00866BDC"/>
    <w:rPr>
      <w:rFonts w:ascii="Consolas" w:hAnsi="Consolas"/>
      <w:sz w:val="20"/>
      <w:szCs w:val="20"/>
    </w:rPr>
  </w:style>
  <w:style w:type="character" w:styleId="HTMLVariable">
    <w:name w:val="HTML Variable"/>
    <w:basedOn w:val="DefaultParagraphFont"/>
    <w:uiPriority w:val="99"/>
    <w:semiHidden/>
    <w:unhideWhenUsed/>
    <w:rsid w:val="00866BDC"/>
    <w:rPr>
      <w:i/>
      <w:iCs/>
    </w:rPr>
  </w:style>
  <w:style w:type="character" w:styleId="Hyperlink">
    <w:name w:val="Hyperlink"/>
    <w:basedOn w:val="DefaultParagraphFont"/>
    <w:uiPriority w:val="99"/>
    <w:unhideWhenUsed/>
    <w:rsid w:val="00866BDC"/>
    <w:rPr>
      <w:color w:val="0000FF" w:themeColor="hyperlink"/>
      <w:u w:val="single"/>
    </w:rPr>
  </w:style>
  <w:style w:type="paragraph" w:styleId="Index1">
    <w:name w:val="index 1"/>
    <w:basedOn w:val="Normal"/>
    <w:next w:val="Normal"/>
    <w:autoRedefine/>
    <w:uiPriority w:val="99"/>
    <w:semiHidden/>
    <w:unhideWhenUsed/>
    <w:rsid w:val="00866BDC"/>
    <w:pPr>
      <w:ind w:left="180" w:hanging="180"/>
    </w:pPr>
  </w:style>
  <w:style w:type="paragraph" w:styleId="Index2">
    <w:name w:val="index 2"/>
    <w:basedOn w:val="Normal"/>
    <w:next w:val="Normal"/>
    <w:autoRedefine/>
    <w:uiPriority w:val="99"/>
    <w:semiHidden/>
    <w:unhideWhenUsed/>
    <w:rsid w:val="00866BDC"/>
    <w:pPr>
      <w:ind w:left="360" w:hanging="180"/>
    </w:pPr>
  </w:style>
  <w:style w:type="paragraph" w:styleId="Index3">
    <w:name w:val="index 3"/>
    <w:basedOn w:val="Normal"/>
    <w:next w:val="Normal"/>
    <w:autoRedefine/>
    <w:uiPriority w:val="99"/>
    <w:semiHidden/>
    <w:unhideWhenUsed/>
    <w:rsid w:val="00866BDC"/>
    <w:pPr>
      <w:ind w:left="540" w:hanging="180"/>
    </w:pPr>
  </w:style>
  <w:style w:type="paragraph" w:styleId="Index4">
    <w:name w:val="index 4"/>
    <w:basedOn w:val="Normal"/>
    <w:next w:val="Normal"/>
    <w:autoRedefine/>
    <w:uiPriority w:val="99"/>
    <w:semiHidden/>
    <w:unhideWhenUsed/>
    <w:rsid w:val="00866BDC"/>
    <w:pPr>
      <w:ind w:left="720" w:hanging="180"/>
    </w:pPr>
  </w:style>
  <w:style w:type="paragraph" w:styleId="Index5">
    <w:name w:val="index 5"/>
    <w:basedOn w:val="Normal"/>
    <w:next w:val="Normal"/>
    <w:autoRedefine/>
    <w:uiPriority w:val="99"/>
    <w:semiHidden/>
    <w:unhideWhenUsed/>
    <w:rsid w:val="00866BDC"/>
    <w:pPr>
      <w:ind w:left="900" w:hanging="180"/>
    </w:pPr>
  </w:style>
  <w:style w:type="paragraph" w:styleId="Index6">
    <w:name w:val="index 6"/>
    <w:basedOn w:val="Normal"/>
    <w:next w:val="Normal"/>
    <w:autoRedefine/>
    <w:uiPriority w:val="99"/>
    <w:semiHidden/>
    <w:unhideWhenUsed/>
    <w:rsid w:val="00866BDC"/>
    <w:pPr>
      <w:ind w:left="1080" w:hanging="180"/>
    </w:pPr>
  </w:style>
  <w:style w:type="paragraph" w:styleId="Index7">
    <w:name w:val="index 7"/>
    <w:basedOn w:val="Normal"/>
    <w:next w:val="Normal"/>
    <w:autoRedefine/>
    <w:uiPriority w:val="99"/>
    <w:semiHidden/>
    <w:unhideWhenUsed/>
    <w:rsid w:val="00866BDC"/>
    <w:pPr>
      <w:ind w:left="1260" w:hanging="180"/>
    </w:pPr>
  </w:style>
  <w:style w:type="paragraph" w:styleId="Index8">
    <w:name w:val="index 8"/>
    <w:basedOn w:val="Normal"/>
    <w:next w:val="Normal"/>
    <w:autoRedefine/>
    <w:uiPriority w:val="99"/>
    <w:semiHidden/>
    <w:unhideWhenUsed/>
    <w:rsid w:val="00866BDC"/>
    <w:pPr>
      <w:ind w:left="1440" w:hanging="180"/>
    </w:pPr>
  </w:style>
  <w:style w:type="paragraph" w:styleId="Index9">
    <w:name w:val="index 9"/>
    <w:basedOn w:val="Normal"/>
    <w:next w:val="Normal"/>
    <w:autoRedefine/>
    <w:uiPriority w:val="99"/>
    <w:semiHidden/>
    <w:unhideWhenUsed/>
    <w:rsid w:val="00866BDC"/>
    <w:pPr>
      <w:ind w:left="1620" w:hanging="180"/>
    </w:pPr>
  </w:style>
  <w:style w:type="paragraph" w:styleId="IndexHeading">
    <w:name w:val="index heading"/>
    <w:basedOn w:val="Normal"/>
    <w:next w:val="Index1"/>
    <w:uiPriority w:val="99"/>
    <w:semiHidden/>
    <w:unhideWhenUsed/>
    <w:rsid w:val="00866BDC"/>
    <w:rPr>
      <w:rFonts w:asciiTheme="majorHAnsi" w:eastAsiaTheme="majorEastAsia" w:hAnsiTheme="majorHAnsi" w:cstheme="majorBidi"/>
      <w:b/>
      <w:bCs/>
    </w:rPr>
  </w:style>
  <w:style w:type="character" w:styleId="IntenseEmphasis">
    <w:name w:val="Intense Emphasis"/>
    <w:basedOn w:val="DefaultParagraphFont"/>
    <w:uiPriority w:val="99"/>
    <w:semiHidden/>
    <w:unhideWhenUsed/>
    <w:rsid w:val="00866BDC"/>
    <w:rPr>
      <w:b/>
      <w:bCs/>
      <w:i/>
      <w:iCs/>
      <w:color w:val="4F81BD" w:themeColor="accent1"/>
    </w:rPr>
  </w:style>
  <w:style w:type="paragraph" w:styleId="IntenseQuote">
    <w:name w:val="Intense Quote"/>
    <w:basedOn w:val="Normal"/>
    <w:next w:val="Normal"/>
    <w:link w:val="IntenseQuoteChar"/>
    <w:uiPriority w:val="99"/>
    <w:semiHidden/>
    <w:unhideWhenUsed/>
    <w:rsid w:val="00866BD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66BDC"/>
    <w:rPr>
      <w:rFonts w:ascii="Verdana" w:hAnsi="Verdana" w:cs="Verdana"/>
      <w:b/>
      <w:bCs/>
      <w:i/>
      <w:iCs/>
      <w:color w:val="4F81BD" w:themeColor="accent1"/>
      <w:sz w:val="18"/>
      <w:szCs w:val="18"/>
      <w:lang w:val="en-GB"/>
    </w:rPr>
  </w:style>
  <w:style w:type="character" w:styleId="IntenseReference">
    <w:name w:val="Intense Reference"/>
    <w:basedOn w:val="DefaultParagraphFont"/>
    <w:uiPriority w:val="99"/>
    <w:semiHidden/>
    <w:unhideWhenUsed/>
    <w:rsid w:val="00866BDC"/>
    <w:rPr>
      <w:b/>
      <w:bCs/>
      <w:smallCaps/>
      <w:color w:val="C0504D" w:themeColor="accent2"/>
      <w:spacing w:val="5"/>
      <w:u w:val="single"/>
    </w:rPr>
  </w:style>
  <w:style w:type="character" w:styleId="LineNumber">
    <w:name w:val="line number"/>
    <w:basedOn w:val="DefaultParagraphFont"/>
    <w:uiPriority w:val="99"/>
    <w:semiHidden/>
    <w:unhideWhenUsed/>
    <w:rsid w:val="00866BDC"/>
  </w:style>
  <w:style w:type="paragraph" w:styleId="List">
    <w:name w:val="List"/>
    <w:basedOn w:val="Normal"/>
    <w:uiPriority w:val="99"/>
    <w:semiHidden/>
    <w:unhideWhenUsed/>
    <w:rsid w:val="00866BDC"/>
    <w:pPr>
      <w:ind w:left="283" w:hanging="283"/>
      <w:contextualSpacing/>
    </w:pPr>
  </w:style>
  <w:style w:type="paragraph" w:styleId="List2">
    <w:name w:val="List 2"/>
    <w:basedOn w:val="Normal"/>
    <w:uiPriority w:val="99"/>
    <w:semiHidden/>
    <w:unhideWhenUsed/>
    <w:rsid w:val="00866BDC"/>
    <w:pPr>
      <w:ind w:left="566" w:hanging="283"/>
      <w:contextualSpacing/>
    </w:pPr>
  </w:style>
  <w:style w:type="paragraph" w:styleId="List3">
    <w:name w:val="List 3"/>
    <w:basedOn w:val="Normal"/>
    <w:uiPriority w:val="99"/>
    <w:semiHidden/>
    <w:unhideWhenUsed/>
    <w:rsid w:val="00866BDC"/>
    <w:pPr>
      <w:ind w:left="849" w:hanging="283"/>
      <w:contextualSpacing/>
    </w:pPr>
  </w:style>
  <w:style w:type="paragraph" w:styleId="List4">
    <w:name w:val="List 4"/>
    <w:basedOn w:val="Normal"/>
    <w:uiPriority w:val="99"/>
    <w:semiHidden/>
    <w:unhideWhenUsed/>
    <w:rsid w:val="00866BDC"/>
    <w:pPr>
      <w:ind w:left="1132" w:hanging="283"/>
      <w:contextualSpacing/>
    </w:pPr>
  </w:style>
  <w:style w:type="paragraph" w:styleId="List5">
    <w:name w:val="List 5"/>
    <w:basedOn w:val="Normal"/>
    <w:uiPriority w:val="99"/>
    <w:semiHidden/>
    <w:unhideWhenUsed/>
    <w:rsid w:val="00866BDC"/>
    <w:pPr>
      <w:ind w:left="1415" w:hanging="283"/>
      <w:contextualSpacing/>
    </w:pPr>
  </w:style>
  <w:style w:type="paragraph" w:styleId="ListBullet2">
    <w:name w:val="List Bullet 2"/>
    <w:basedOn w:val="Normal"/>
    <w:uiPriority w:val="99"/>
    <w:semiHidden/>
    <w:unhideWhenUsed/>
    <w:rsid w:val="00866BDC"/>
    <w:pPr>
      <w:numPr>
        <w:numId w:val="5"/>
      </w:numPr>
      <w:contextualSpacing/>
    </w:pPr>
  </w:style>
  <w:style w:type="paragraph" w:styleId="ListBullet3">
    <w:name w:val="List Bullet 3"/>
    <w:basedOn w:val="Normal"/>
    <w:uiPriority w:val="99"/>
    <w:semiHidden/>
    <w:unhideWhenUsed/>
    <w:rsid w:val="00866BDC"/>
    <w:pPr>
      <w:numPr>
        <w:numId w:val="6"/>
      </w:numPr>
      <w:contextualSpacing/>
    </w:pPr>
  </w:style>
  <w:style w:type="paragraph" w:styleId="ListBullet4">
    <w:name w:val="List Bullet 4"/>
    <w:basedOn w:val="Normal"/>
    <w:uiPriority w:val="99"/>
    <w:semiHidden/>
    <w:unhideWhenUsed/>
    <w:rsid w:val="00866BDC"/>
    <w:pPr>
      <w:numPr>
        <w:numId w:val="7"/>
      </w:numPr>
      <w:contextualSpacing/>
    </w:pPr>
  </w:style>
  <w:style w:type="paragraph" w:styleId="ListBullet5">
    <w:name w:val="List Bullet 5"/>
    <w:basedOn w:val="Normal"/>
    <w:uiPriority w:val="99"/>
    <w:semiHidden/>
    <w:unhideWhenUsed/>
    <w:rsid w:val="00866BDC"/>
    <w:pPr>
      <w:numPr>
        <w:numId w:val="8"/>
      </w:numPr>
      <w:contextualSpacing/>
    </w:pPr>
  </w:style>
  <w:style w:type="paragraph" w:styleId="ListContinue">
    <w:name w:val="List Continue"/>
    <w:basedOn w:val="Normal"/>
    <w:uiPriority w:val="99"/>
    <w:semiHidden/>
    <w:unhideWhenUsed/>
    <w:rsid w:val="00866BDC"/>
    <w:pPr>
      <w:spacing w:after="120"/>
      <w:ind w:left="283"/>
      <w:contextualSpacing/>
    </w:pPr>
  </w:style>
  <w:style w:type="paragraph" w:styleId="ListContinue2">
    <w:name w:val="List Continue 2"/>
    <w:basedOn w:val="Normal"/>
    <w:uiPriority w:val="99"/>
    <w:semiHidden/>
    <w:unhideWhenUsed/>
    <w:rsid w:val="00866BDC"/>
    <w:pPr>
      <w:spacing w:after="120"/>
      <w:ind w:left="566"/>
      <w:contextualSpacing/>
    </w:pPr>
  </w:style>
  <w:style w:type="paragraph" w:styleId="ListContinue3">
    <w:name w:val="List Continue 3"/>
    <w:basedOn w:val="Normal"/>
    <w:uiPriority w:val="99"/>
    <w:semiHidden/>
    <w:unhideWhenUsed/>
    <w:rsid w:val="00866BDC"/>
    <w:pPr>
      <w:spacing w:after="120"/>
      <w:ind w:left="849"/>
      <w:contextualSpacing/>
    </w:pPr>
  </w:style>
  <w:style w:type="paragraph" w:styleId="ListContinue4">
    <w:name w:val="List Continue 4"/>
    <w:basedOn w:val="Normal"/>
    <w:uiPriority w:val="99"/>
    <w:semiHidden/>
    <w:unhideWhenUsed/>
    <w:rsid w:val="00866BDC"/>
    <w:pPr>
      <w:spacing w:after="120"/>
      <w:ind w:left="1132"/>
      <w:contextualSpacing/>
    </w:pPr>
  </w:style>
  <w:style w:type="paragraph" w:styleId="ListContinue5">
    <w:name w:val="List Continue 5"/>
    <w:basedOn w:val="Normal"/>
    <w:uiPriority w:val="99"/>
    <w:semiHidden/>
    <w:unhideWhenUsed/>
    <w:rsid w:val="00866BDC"/>
    <w:pPr>
      <w:spacing w:after="120"/>
      <w:ind w:left="1415"/>
      <w:contextualSpacing/>
    </w:pPr>
  </w:style>
  <w:style w:type="paragraph" w:styleId="ListNumber2">
    <w:name w:val="List Number 2"/>
    <w:basedOn w:val="Normal"/>
    <w:uiPriority w:val="99"/>
    <w:semiHidden/>
    <w:unhideWhenUsed/>
    <w:rsid w:val="00866BDC"/>
    <w:pPr>
      <w:numPr>
        <w:numId w:val="9"/>
      </w:numPr>
      <w:contextualSpacing/>
    </w:pPr>
  </w:style>
  <w:style w:type="paragraph" w:styleId="ListNumber3">
    <w:name w:val="List Number 3"/>
    <w:basedOn w:val="Normal"/>
    <w:uiPriority w:val="99"/>
    <w:semiHidden/>
    <w:unhideWhenUsed/>
    <w:rsid w:val="00866BDC"/>
    <w:pPr>
      <w:numPr>
        <w:numId w:val="10"/>
      </w:numPr>
      <w:contextualSpacing/>
    </w:pPr>
  </w:style>
  <w:style w:type="paragraph" w:styleId="ListNumber4">
    <w:name w:val="List Number 4"/>
    <w:basedOn w:val="Normal"/>
    <w:uiPriority w:val="99"/>
    <w:semiHidden/>
    <w:unhideWhenUsed/>
    <w:rsid w:val="00866BDC"/>
    <w:pPr>
      <w:numPr>
        <w:numId w:val="11"/>
      </w:numPr>
      <w:contextualSpacing/>
    </w:pPr>
  </w:style>
  <w:style w:type="paragraph" w:styleId="ListNumber5">
    <w:name w:val="List Number 5"/>
    <w:basedOn w:val="Normal"/>
    <w:uiPriority w:val="99"/>
    <w:semiHidden/>
    <w:unhideWhenUsed/>
    <w:rsid w:val="00866BDC"/>
    <w:pPr>
      <w:numPr>
        <w:numId w:val="12"/>
      </w:numPr>
      <w:contextualSpacing/>
    </w:pPr>
  </w:style>
  <w:style w:type="paragraph" w:styleId="ListParagraph">
    <w:name w:val="List Paragraph"/>
    <w:basedOn w:val="Normal"/>
    <w:uiPriority w:val="99"/>
    <w:semiHidden/>
    <w:unhideWhenUsed/>
    <w:rsid w:val="00866BDC"/>
    <w:pPr>
      <w:ind w:left="720"/>
      <w:contextualSpacing/>
    </w:pPr>
  </w:style>
  <w:style w:type="paragraph" w:styleId="MacroText">
    <w:name w:val="macro"/>
    <w:link w:val="MacroTextChar"/>
    <w:uiPriority w:val="99"/>
    <w:semiHidden/>
    <w:unhideWhenUsed/>
    <w:rsid w:val="00866BD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Verdana"/>
      <w:sz w:val="20"/>
      <w:szCs w:val="20"/>
      <w:lang w:val="en-GB"/>
    </w:rPr>
  </w:style>
  <w:style w:type="character" w:customStyle="1" w:styleId="MacroTextChar">
    <w:name w:val="Macro Text Char"/>
    <w:basedOn w:val="DefaultParagraphFont"/>
    <w:link w:val="MacroText"/>
    <w:uiPriority w:val="99"/>
    <w:semiHidden/>
    <w:rsid w:val="00866BDC"/>
    <w:rPr>
      <w:rFonts w:ascii="Consolas" w:hAnsi="Consolas" w:cs="Verdana"/>
      <w:sz w:val="20"/>
      <w:szCs w:val="20"/>
      <w:lang w:val="en-GB"/>
    </w:rPr>
  </w:style>
  <w:style w:type="paragraph" w:styleId="MessageHeader">
    <w:name w:val="Message Header"/>
    <w:basedOn w:val="Normal"/>
    <w:link w:val="MessageHeaderChar"/>
    <w:uiPriority w:val="99"/>
    <w:semiHidden/>
    <w:unhideWhenUsed/>
    <w:rsid w:val="00866BD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66BDC"/>
    <w:rPr>
      <w:rFonts w:asciiTheme="majorHAnsi" w:eastAsiaTheme="majorEastAsia" w:hAnsiTheme="majorHAnsi" w:cstheme="majorBidi"/>
      <w:sz w:val="24"/>
      <w:szCs w:val="24"/>
      <w:shd w:val="pct20" w:color="auto" w:fill="auto"/>
      <w:lang w:val="en-GB"/>
    </w:rPr>
  </w:style>
  <w:style w:type="paragraph" w:styleId="NoSpacing">
    <w:name w:val="No Spacing"/>
    <w:uiPriority w:val="99"/>
    <w:semiHidden/>
    <w:unhideWhenUsed/>
    <w:rsid w:val="00866BDC"/>
    <w:pPr>
      <w:spacing w:after="0" w:line="240" w:lineRule="auto"/>
    </w:pPr>
    <w:rPr>
      <w:rFonts w:ascii="Verdana" w:hAnsi="Verdana" w:cs="Verdana"/>
      <w:sz w:val="18"/>
      <w:szCs w:val="18"/>
      <w:lang w:val="en-GB"/>
    </w:rPr>
  </w:style>
  <w:style w:type="paragraph" w:styleId="NormalWeb">
    <w:name w:val="Normal (Web)"/>
    <w:basedOn w:val="Normal"/>
    <w:uiPriority w:val="99"/>
    <w:semiHidden/>
    <w:unhideWhenUsed/>
    <w:rsid w:val="00866BDC"/>
    <w:rPr>
      <w:rFonts w:ascii="Times New Roman" w:hAnsi="Times New Roman" w:cs="Times New Roman"/>
      <w:sz w:val="24"/>
      <w:szCs w:val="24"/>
    </w:rPr>
  </w:style>
  <w:style w:type="paragraph" w:styleId="NormalIndent">
    <w:name w:val="Normal Indent"/>
    <w:basedOn w:val="Normal"/>
    <w:uiPriority w:val="99"/>
    <w:semiHidden/>
    <w:unhideWhenUsed/>
    <w:rsid w:val="00866BDC"/>
    <w:pPr>
      <w:ind w:left="720"/>
    </w:pPr>
  </w:style>
  <w:style w:type="paragraph" w:customStyle="1" w:styleId="NoteHeading1">
    <w:name w:val="Note Heading1"/>
    <w:basedOn w:val="Normal"/>
    <w:next w:val="Normal"/>
    <w:link w:val="NoteHeadingChar"/>
    <w:uiPriority w:val="99"/>
    <w:semiHidden/>
    <w:unhideWhenUsed/>
    <w:rsid w:val="00866BDC"/>
  </w:style>
  <w:style w:type="character" w:customStyle="1" w:styleId="NoteHeadingChar">
    <w:name w:val="Note Heading Char"/>
    <w:basedOn w:val="DefaultParagraphFont"/>
    <w:link w:val="NoteHeading1"/>
    <w:uiPriority w:val="99"/>
    <w:semiHidden/>
    <w:rsid w:val="00866BDC"/>
    <w:rPr>
      <w:rFonts w:ascii="Verdana" w:hAnsi="Verdana" w:cs="Verdana"/>
      <w:sz w:val="18"/>
      <w:szCs w:val="18"/>
      <w:lang w:val="en-GB"/>
    </w:rPr>
  </w:style>
  <w:style w:type="character" w:styleId="PageNumber">
    <w:name w:val="page number"/>
    <w:basedOn w:val="DefaultParagraphFont"/>
    <w:uiPriority w:val="99"/>
    <w:semiHidden/>
    <w:unhideWhenUsed/>
    <w:rsid w:val="00866BDC"/>
  </w:style>
  <w:style w:type="paragraph" w:styleId="PlainText">
    <w:name w:val="Plain Text"/>
    <w:basedOn w:val="Normal"/>
    <w:link w:val="PlainTextChar"/>
    <w:uiPriority w:val="99"/>
    <w:semiHidden/>
    <w:unhideWhenUsed/>
    <w:rsid w:val="00866BDC"/>
    <w:rPr>
      <w:rFonts w:ascii="Consolas" w:hAnsi="Consolas"/>
      <w:sz w:val="21"/>
      <w:szCs w:val="21"/>
    </w:rPr>
  </w:style>
  <w:style w:type="character" w:customStyle="1" w:styleId="PlainTextChar">
    <w:name w:val="Plain Text Char"/>
    <w:basedOn w:val="DefaultParagraphFont"/>
    <w:link w:val="PlainText"/>
    <w:uiPriority w:val="99"/>
    <w:semiHidden/>
    <w:rsid w:val="00866BDC"/>
    <w:rPr>
      <w:rFonts w:ascii="Consolas" w:hAnsi="Consolas" w:cs="Verdana"/>
      <w:sz w:val="21"/>
      <w:szCs w:val="21"/>
      <w:lang w:val="en-GB"/>
    </w:rPr>
  </w:style>
  <w:style w:type="paragraph" w:styleId="Quote">
    <w:name w:val="Quote"/>
    <w:basedOn w:val="Normal"/>
    <w:next w:val="Normal"/>
    <w:link w:val="QuoteChar"/>
    <w:uiPriority w:val="99"/>
    <w:semiHidden/>
    <w:unhideWhenUsed/>
    <w:rsid w:val="00866BDC"/>
    <w:rPr>
      <w:i/>
      <w:iCs/>
      <w:color w:val="000000" w:themeColor="text1"/>
    </w:rPr>
  </w:style>
  <w:style w:type="character" w:customStyle="1" w:styleId="QuoteChar">
    <w:name w:val="Quote Char"/>
    <w:basedOn w:val="DefaultParagraphFont"/>
    <w:link w:val="Quote"/>
    <w:uiPriority w:val="29"/>
    <w:rsid w:val="00866BDC"/>
    <w:rPr>
      <w:rFonts w:ascii="Verdana" w:hAnsi="Verdana" w:cs="Verdana"/>
      <w:i/>
      <w:iCs/>
      <w:color w:val="000000" w:themeColor="text1"/>
      <w:sz w:val="18"/>
      <w:szCs w:val="18"/>
      <w:lang w:val="en-GB"/>
    </w:rPr>
  </w:style>
  <w:style w:type="paragraph" w:styleId="Salutation">
    <w:name w:val="Salutation"/>
    <w:basedOn w:val="Normal"/>
    <w:next w:val="Normal"/>
    <w:link w:val="SalutationChar"/>
    <w:uiPriority w:val="99"/>
    <w:semiHidden/>
    <w:unhideWhenUsed/>
    <w:rsid w:val="00866BDC"/>
  </w:style>
  <w:style w:type="character" w:customStyle="1" w:styleId="SalutationChar">
    <w:name w:val="Salutation Char"/>
    <w:basedOn w:val="DefaultParagraphFont"/>
    <w:link w:val="Salutation"/>
    <w:uiPriority w:val="99"/>
    <w:semiHidden/>
    <w:rsid w:val="00866BDC"/>
    <w:rPr>
      <w:rFonts w:ascii="Verdana" w:hAnsi="Verdana" w:cs="Verdana"/>
      <w:sz w:val="18"/>
      <w:szCs w:val="18"/>
      <w:lang w:val="en-GB"/>
    </w:rPr>
  </w:style>
  <w:style w:type="paragraph" w:styleId="Signature">
    <w:name w:val="Signature"/>
    <w:basedOn w:val="Normal"/>
    <w:link w:val="SignatureChar"/>
    <w:uiPriority w:val="99"/>
    <w:semiHidden/>
    <w:unhideWhenUsed/>
    <w:rsid w:val="00866BDC"/>
    <w:pPr>
      <w:ind w:left="4252"/>
    </w:pPr>
  </w:style>
  <w:style w:type="character" w:customStyle="1" w:styleId="SignatureChar">
    <w:name w:val="Signature Char"/>
    <w:basedOn w:val="DefaultParagraphFont"/>
    <w:link w:val="Signature"/>
    <w:uiPriority w:val="99"/>
    <w:semiHidden/>
    <w:rsid w:val="00866BDC"/>
    <w:rPr>
      <w:rFonts w:ascii="Verdana" w:hAnsi="Verdana" w:cs="Verdana"/>
      <w:sz w:val="18"/>
      <w:szCs w:val="18"/>
      <w:lang w:val="en-GB"/>
    </w:rPr>
  </w:style>
  <w:style w:type="character" w:styleId="Strong">
    <w:name w:val="Strong"/>
    <w:basedOn w:val="DefaultParagraphFont"/>
    <w:uiPriority w:val="99"/>
    <w:semiHidden/>
    <w:unhideWhenUsed/>
    <w:rsid w:val="00866BDC"/>
    <w:rPr>
      <w:b/>
      <w:bCs/>
    </w:rPr>
  </w:style>
  <w:style w:type="paragraph" w:styleId="Subtitle">
    <w:name w:val="Subtitle"/>
    <w:basedOn w:val="Normal"/>
    <w:next w:val="Normal"/>
    <w:link w:val="SubtitleChar"/>
    <w:uiPriority w:val="99"/>
    <w:semiHidden/>
    <w:unhideWhenUsed/>
    <w:rsid w:val="00866BD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66BDC"/>
    <w:rPr>
      <w:rFonts w:asciiTheme="majorHAnsi" w:eastAsiaTheme="majorEastAsia" w:hAnsiTheme="majorHAnsi" w:cstheme="majorBidi"/>
      <w:i/>
      <w:iCs/>
      <w:color w:val="4F81BD" w:themeColor="accent1"/>
      <w:spacing w:val="15"/>
      <w:sz w:val="24"/>
      <w:szCs w:val="24"/>
      <w:lang w:val="en-GB"/>
    </w:rPr>
  </w:style>
  <w:style w:type="character" w:styleId="SubtleEmphasis">
    <w:name w:val="Subtle Emphasis"/>
    <w:basedOn w:val="DefaultParagraphFont"/>
    <w:uiPriority w:val="99"/>
    <w:semiHidden/>
    <w:unhideWhenUsed/>
    <w:rsid w:val="00866BDC"/>
    <w:rPr>
      <w:i/>
      <w:iCs/>
      <w:color w:val="808080" w:themeColor="text1" w:themeTint="7F"/>
    </w:rPr>
  </w:style>
  <w:style w:type="character" w:styleId="SubtleReference">
    <w:name w:val="Subtle Reference"/>
    <w:basedOn w:val="DefaultParagraphFont"/>
    <w:uiPriority w:val="99"/>
    <w:semiHidden/>
    <w:unhideWhenUsed/>
    <w:rsid w:val="00866BDC"/>
    <w:rPr>
      <w:smallCaps/>
      <w:color w:val="C0504D" w:themeColor="accent2"/>
      <w:u w:val="single"/>
    </w:rPr>
  </w:style>
  <w:style w:type="paragraph" w:styleId="TableofAuthorities">
    <w:name w:val="table of authorities"/>
    <w:basedOn w:val="Normal"/>
    <w:next w:val="Normal"/>
    <w:uiPriority w:val="99"/>
    <w:semiHidden/>
    <w:unhideWhenUsed/>
    <w:rsid w:val="00866BDC"/>
    <w:pPr>
      <w:ind w:left="180" w:hanging="180"/>
    </w:pPr>
  </w:style>
  <w:style w:type="paragraph" w:styleId="TableofFigures">
    <w:name w:val="table of figures"/>
    <w:basedOn w:val="Normal"/>
    <w:next w:val="Normal"/>
    <w:uiPriority w:val="99"/>
    <w:semiHidden/>
    <w:unhideWhenUsed/>
    <w:rsid w:val="00866BDC"/>
  </w:style>
  <w:style w:type="paragraph" w:styleId="Title">
    <w:name w:val="Title"/>
    <w:basedOn w:val="Normal"/>
    <w:next w:val="Normal"/>
    <w:link w:val="TitleChar"/>
    <w:uiPriority w:val="99"/>
    <w:semiHidden/>
    <w:unhideWhenUsed/>
    <w:rsid w:val="00866BD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66BDC"/>
    <w:rPr>
      <w:rFonts w:asciiTheme="majorHAnsi" w:eastAsiaTheme="majorEastAsia" w:hAnsiTheme="majorHAnsi" w:cstheme="majorBidi"/>
      <w:color w:val="17365D" w:themeColor="text2" w:themeShade="BF"/>
      <w:spacing w:val="5"/>
      <w:kern w:val="28"/>
      <w:sz w:val="52"/>
      <w:szCs w:val="52"/>
      <w:lang w:val="en-GB"/>
    </w:rPr>
  </w:style>
  <w:style w:type="paragraph" w:styleId="TOAHeading">
    <w:name w:val="toa heading"/>
    <w:basedOn w:val="Normal"/>
    <w:next w:val="Normal"/>
    <w:uiPriority w:val="99"/>
    <w:semiHidden/>
    <w:unhideWhenUsed/>
    <w:rsid w:val="00866BDC"/>
    <w:pPr>
      <w:spacing w:before="120"/>
    </w:pPr>
    <w:rPr>
      <w:rFonts w:asciiTheme="majorHAnsi" w:eastAsiaTheme="majorEastAsia" w:hAnsiTheme="majorHAnsi" w:cstheme="majorBidi"/>
      <w:b/>
      <w:bCs/>
      <w:sz w:val="24"/>
      <w:szCs w:val="24"/>
    </w:rPr>
  </w:style>
  <w:style w:type="paragraph" w:styleId="TOC9">
    <w:name w:val="toc 9"/>
    <w:basedOn w:val="Normal"/>
    <w:next w:val="Normal"/>
    <w:autoRedefine/>
    <w:uiPriority w:val="99"/>
    <w:semiHidden/>
    <w:unhideWhenUsed/>
    <w:rsid w:val="00866BDC"/>
    <w:pPr>
      <w:spacing w:after="100"/>
      <w:ind w:left="1440"/>
    </w:pPr>
  </w:style>
  <w:style w:type="paragraph" w:styleId="TOCHeading">
    <w:name w:val="TOC Heading"/>
    <w:basedOn w:val="Heading1"/>
    <w:next w:val="Normal"/>
    <w:uiPriority w:val="99"/>
    <w:semiHidden/>
    <w:unhideWhenUsed/>
    <w:rsid w:val="00866BDC"/>
    <w:pPr>
      <w:keepLines/>
      <w:numPr>
        <w:numId w:val="0"/>
      </w:numPr>
      <w:spacing w:before="480"/>
      <w:outlineLvl w:val="9"/>
    </w:pPr>
    <w:rPr>
      <w:rFonts w:asciiTheme="majorHAnsi" w:eastAsiaTheme="majorEastAsia" w:hAnsiTheme="majorHAnsi" w:cstheme="majorBidi"/>
      <w:bCs/>
      <w:caps w:val="0"/>
      <w:color w:val="365F91" w:themeColor="accent1" w:themeShade="BF"/>
      <w:sz w:val="28"/>
      <w:szCs w:val="28"/>
    </w:rPr>
  </w:style>
  <w:style w:type="numbering" w:styleId="111111">
    <w:name w:val="Outline List 2"/>
    <w:basedOn w:val="NoList"/>
    <w:uiPriority w:val="99"/>
    <w:semiHidden/>
    <w:unhideWhenUsed/>
    <w:rsid w:val="00F10DEF"/>
    <w:pPr>
      <w:numPr>
        <w:numId w:val="13"/>
      </w:numPr>
    </w:pPr>
  </w:style>
  <w:style w:type="numbering" w:styleId="1ai">
    <w:name w:val="Outline List 1"/>
    <w:basedOn w:val="NoList"/>
    <w:uiPriority w:val="99"/>
    <w:semiHidden/>
    <w:unhideWhenUsed/>
    <w:rsid w:val="00F10DEF"/>
    <w:pPr>
      <w:numPr>
        <w:numId w:val="14"/>
      </w:numPr>
    </w:pPr>
  </w:style>
  <w:style w:type="numbering" w:styleId="ArticleSection">
    <w:name w:val="Outline List 3"/>
    <w:basedOn w:val="NoList"/>
    <w:uiPriority w:val="99"/>
    <w:semiHidden/>
    <w:unhideWhenUsed/>
    <w:rsid w:val="00F10DEF"/>
    <w:pPr>
      <w:numPr>
        <w:numId w:val="15"/>
      </w:numPr>
    </w:pPr>
  </w:style>
  <w:style w:type="table" w:styleId="ColorfulGrid">
    <w:name w:val="Colorful Grid"/>
    <w:basedOn w:val="TableNormal"/>
    <w:uiPriority w:val="99"/>
    <w:rsid w:val="00F10DE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rsid w:val="00F10DE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rsid w:val="00F10DE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rsid w:val="00F10DE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rsid w:val="00F10DE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rsid w:val="00F10DE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rsid w:val="00F10DE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9"/>
    <w:rsid w:val="00F10DE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rsid w:val="00F10DEF"/>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rsid w:val="00F10DEF"/>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rsid w:val="00F10DEF"/>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rsid w:val="00F10DEF"/>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rsid w:val="00F10DEF"/>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rsid w:val="00F10DEF"/>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9"/>
    <w:rsid w:val="00F10DEF"/>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rsid w:val="00F10DEF"/>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rsid w:val="00F10DEF"/>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rsid w:val="00F10DEF"/>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9"/>
    <w:rsid w:val="00F10DEF"/>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rsid w:val="00F10DEF"/>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rsid w:val="00F10DEF"/>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rsid w:val="00F10DE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rsid w:val="00F10DEF"/>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rsid w:val="00F10DEF"/>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rsid w:val="00F10DEF"/>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rsid w:val="00F10DEF"/>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rsid w:val="00F10DEF"/>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rsid w:val="00F10DEF"/>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ghtGrid">
    <w:name w:val="Light Grid"/>
    <w:basedOn w:val="TableNormal"/>
    <w:uiPriority w:val="99"/>
    <w:rsid w:val="00F10DE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rsid w:val="00F10D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rsid w:val="00F10DE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rsid w:val="00F10DE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rsid w:val="00F10DE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rsid w:val="00F10DE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rsid w:val="00F10DE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9"/>
    <w:rsid w:val="00F10DE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rsid w:val="00F10D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rsid w:val="00F10DE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9"/>
    <w:rsid w:val="00F10DE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9"/>
    <w:rsid w:val="00F10DE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rsid w:val="00F10DE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rsid w:val="00F10DE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rsid w:val="00F10DE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rsid w:val="00F10DE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rsid w:val="00F10DE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rsid w:val="00F10DE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rsid w:val="00F10DE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rsid w:val="00F10DE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rsid w:val="00F10DE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Grid1">
    <w:name w:val="Medium Grid 1"/>
    <w:basedOn w:val="TableNormal"/>
    <w:uiPriority w:val="99"/>
    <w:rsid w:val="00F10DE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rsid w:val="00F10DE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rsid w:val="00F10DE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rsid w:val="00F10DE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rsid w:val="00F10DE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rsid w:val="00F10D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rsid w:val="00F10DE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rsid w:val="00F10DE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rsid w:val="00F10DE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rsid w:val="00F10DE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rsid w:val="00F10DE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rsid w:val="00F10DE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rsid w:val="00F10DE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rsid w:val="00F10DE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rsid w:val="00F10DE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rsid w:val="00F10DE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rsid w:val="00F10DE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rsid w:val="00F10DE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rsid w:val="00F10DE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rsid w:val="00F10DE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rsid w:val="00F10DE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9"/>
    <w:rsid w:val="00F10DE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rsid w:val="00F10DEF"/>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rsid w:val="00F10DEF"/>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rsid w:val="00F10DEF"/>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rsid w:val="00F10DEF"/>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rsid w:val="00F10DEF"/>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rsid w:val="00F10DEF"/>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rsid w:val="00F10DE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rsid w:val="00F10DE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rsid w:val="00F10DE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rsid w:val="00F10DE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rsid w:val="00F10DE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rsid w:val="00F10DE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rsid w:val="00F10DE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rsid w:val="00F10DE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rsid w:val="00F10DE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rsid w:val="00F10DE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rsid w:val="00F10DE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rsid w:val="00F10DE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rsid w:val="00F10D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rsid w:val="00F10DE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rsid w:val="00F10DE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rsid w:val="00F10DE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rsid w:val="00F10DE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F10DE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F10DE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F10DE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F10DE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F10DEF"/>
    <w:pPr>
      <w:spacing w:after="0" w:line="240" w:lineRule="auto"/>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uiPriority w:val="99"/>
    <w:semiHidden/>
    <w:unhideWhenUsed/>
    <w:rsid w:val="00F10DEF"/>
    <w:pPr>
      <w:spacing w:after="0" w:line="240" w:lineRule="auto"/>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uiPriority w:val="99"/>
    <w:semiHidden/>
    <w:unhideWhenUsed/>
    <w:rsid w:val="00F10DEF"/>
    <w:pPr>
      <w:spacing w:after="0" w:line="240" w:lineRule="auto"/>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uiPriority w:val="99"/>
    <w:semiHidden/>
    <w:unhideWhenUsed/>
    <w:rsid w:val="00F10DEF"/>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uiPriority w:val="99"/>
    <w:semiHidden/>
    <w:unhideWhenUsed/>
    <w:rsid w:val="00F10DEF"/>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uiPriority w:val="99"/>
    <w:semiHidden/>
    <w:unhideWhenUsed/>
    <w:rsid w:val="00F10DEF"/>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uiPriority w:val="99"/>
    <w:semiHidden/>
    <w:unhideWhenUsed/>
    <w:rsid w:val="00F10DEF"/>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uiPriority w:val="99"/>
    <w:semiHidden/>
    <w:unhideWhenUsed/>
    <w:rsid w:val="00F10DEF"/>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uiPriority w:val="99"/>
    <w:semiHidden/>
    <w:unhideWhenUsed/>
    <w:rsid w:val="00F10DEF"/>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uiPriority w:val="99"/>
    <w:semiHidden/>
    <w:unhideWhenUsed/>
    <w:rsid w:val="00F10DEF"/>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uiPriority w:val="99"/>
    <w:semiHidden/>
    <w:unhideWhenUsed/>
    <w:rsid w:val="00F10DEF"/>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uiPriority w:val="99"/>
    <w:semiHidden/>
    <w:unhideWhenUsed/>
    <w:rsid w:val="00F10DEF"/>
    <w:pPr>
      <w:spacing w:after="0" w:line="240" w:lineRule="auto"/>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uiPriority w:val="99"/>
    <w:semiHidden/>
    <w:unhideWhenUsed/>
    <w:rsid w:val="00F10DEF"/>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uiPriority w:val="99"/>
    <w:semiHidden/>
    <w:unhideWhenUsed/>
    <w:rsid w:val="00F10DEF"/>
    <w:pPr>
      <w:spacing w:after="0" w:line="240" w:lineRule="auto"/>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10DEF"/>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10DEF"/>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uiPriority w:val="99"/>
    <w:semiHidden/>
    <w:unhideWhenUsed/>
    <w:rsid w:val="00F10DEF"/>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99"/>
    <w:rsid w:val="00F10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F10DEF"/>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uiPriority w:val="99"/>
    <w:semiHidden/>
    <w:unhideWhenUsed/>
    <w:rsid w:val="00F10DEF"/>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uiPriority w:val="99"/>
    <w:semiHidden/>
    <w:unhideWhenUsed/>
    <w:rsid w:val="00F10DEF"/>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uiPriority w:val="99"/>
    <w:semiHidden/>
    <w:unhideWhenUsed/>
    <w:rsid w:val="00F10DEF"/>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uiPriority w:val="99"/>
    <w:semiHidden/>
    <w:unhideWhenUsed/>
    <w:rsid w:val="00F10DEF"/>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uiPriority w:val="99"/>
    <w:semiHidden/>
    <w:unhideWhenUsed/>
    <w:rsid w:val="00F10DEF"/>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uiPriority w:val="99"/>
    <w:semiHidden/>
    <w:unhideWhenUsed/>
    <w:rsid w:val="00F10DEF"/>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uiPriority w:val="99"/>
    <w:semiHidden/>
    <w:unhideWhenUsed/>
    <w:rsid w:val="00F10DEF"/>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uiPriority w:val="99"/>
    <w:semiHidden/>
    <w:unhideWhenUsed/>
    <w:rsid w:val="00F10DEF"/>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uiPriority w:val="99"/>
    <w:semiHidden/>
    <w:unhideWhenUsed/>
    <w:rsid w:val="00F10DEF"/>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uiPriority w:val="99"/>
    <w:semiHidden/>
    <w:unhideWhenUsed/>
    <w:rsid w:val="00F10DEF"/>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uiPriority w:val="99"/>
    <w:semiHidden/>
    <w:unhideWhenUsed/>
    <w:rsid w:val="00F10DEF"/>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uiPriority w:val="99"/>
    <w:semiHidden/>
    <w:unhideWhenUsed/>
    <w:rsid w:val="00F10DEF"/>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uiPriority w:val="99"/>
    <w:semiHidden/>
    <w:unhideWhenUsed/>
    <w:rsid w:val="00F10DEF"/>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uiPriority w:val="99"/>
    <w:semiHidden/>
    <w:unhideWhenUsed/>
    <w:rsid w:val="00F10DEF"/>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uiPriority w:val="99"/>
    <w:semiHidden/>
    <w:unhideWhenUsed/>
    <w:rsid w:val="00F10DEF"/>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leProfessional">
    <w:name w:val="Table Professional"/>
    <w:basedOn w:val="TableNormal"/>
    <w:uiPriority w:val="99"/>
    <w:semiHidden/>
    <w:unhideWhenUsed/>
    <w:rsid w:val="00F10DEF"/>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uiPriority w:val="99"/>
    <w:semiHidden/>
    <w:unhideWhenUsed/>
    <w:rsid w:val="00F10DEF"/>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uiPriority w:val="99"/>
    <w:semiHidden/>
    <w:unhideWhenUsed/>
    <w:rsid w:val="00F10DEF"/>
    <w:pPr>
      <w:spacing w:after="0" w:line="240" w:lineRule="auto"/>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uiPriority w:val="99"/>
    <w:semiHidden/>
    <w:unhideWhenUsed/>
    <w:rsid w:val="00F10DEF"/>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uiPriority w:val="99"/>
    <w:semiHidden/>
    <w:unhideWhenUsed/>
    <w:rsid w:val="00F10DEF"/>
    <w:pPr>
      <w:spacing w:after="0" w:line="240" w:lineRule="auto"/>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uiPriority w:val="99"/>
    <w:semiHidden/>
    <w:unhideWhenUsed/>
    <w:rsid w:val="00F10DEF"/>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uiPriority w:val="99"/>
    <w:semiHidden/>
    <w:unhideWhenUsed/>
    <w:rsid w:val="00F10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10DEF"/>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uiPriority w:val="99"/>
    <w:semiHidden/>
    <w:unhideWhenUsed/>
    <w:rsid w:val="00F10DEF"/>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uiPriority w:val="99"/>
    <w:semiHidden/>
    <w:unhideWhenUsed/>
    <w:rsid w:val="00F10DEF"/>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customStyle="1" w:styleId="ParaText">
    <w:name w:val="ParaText"/>
    <w:basedOn w:val="Normal"/>
    <w:link w:val="ParaTextChar"/>
    <w:rsid w:val="00943B9B"/>
    <w:pPr>
      <w:spacing w:after="240"/>
    </w:pPr>
    <w:rPr>
      <w:lang w:val="en-US" w:eastAsia="en-US"/>
    </w:rPr>
  </w:style>
  <w:style w:type="character" w:customStyle="1" w:styleId="ParaTextChar">
    <w:name w:val="ParaText Char"/>
    <w:basedOn w:val="DefaultParagraphFont"/>
    <w:link w:val="ParaText"/>
    <w:rsid w:val="00943B9B"/>
    <w:rPr>
      <w:rFonts w:ascii="Verdana" w:hAnsi="Verdana" w:cs="Verdana"/>
      <w:sz w:val="18"/>
      <w:szCs w:val="18"/>
      <w:lang w:eastAsia="en-US"/>
    </w:rPr>
  </w:style>
  <w:style w:type="character" w:customStyle="1" w:styleId="CaptionChar">
    <w:name w:val="Caption Char"/>
    <w:basedOn w:val="DefaultParagraphFont"/>
    <w:link w:val="Caption"/>
    <w:rsid w:val="00943B9B"/>
    <w:rPr>
      <w:rFonts w:ascii="Verdana" w:hAnsi="Verdana" w:cs="Verdana"/>
      <w:b/>
      <w:sz w:val="18"/>
      <w:szCs w:val="18"/>
      <w:lang w:val="en-GB"/>
    </w:rPr>
  </w:style>
  <w:style w:type="paragraph" w:styleId="Revision">
    <w:name w:val="Revision"/>
    <w:hidden/>
    <w:uiPriority w:val="99"/>
    <w:semiHidden/>
    <w:rsid w:val="00077253"/>
    <w:pPr>
      <w:spacing w:after="0" w:line="240" w:lineRule="auto"/>
    </w:pPr>
    <w:rPr>
      <w:rFonts w:ascii="Verdana" w:hAnsi="Verdana" w:cs="Verdana"/>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902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customXml" Target="../customXml/item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customXml" Target="../customXml/item3.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customXml" Target="../customXml/item6.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1940A5867748F42B23F2496B49568D7" ma:contentTypeVersion="135" ma:contentTypeDescription="" ma:contentTypeScope="" ma:versionID="e2e13ec935221c26056da10e8a06728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root>
  <Tag name="DgLegalInformation01"/>
</root>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2013-10-31T07:00:00+00:00</OpenedDate>
    <Date1 xmlns="dc463f71-b30c-4ab2-9473-d307f9d35888">2016-05-31T07:00:00+00:00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132043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3BEAB74-165F-4279-A2A3-1083D0BEE806}"/>
</file>

<file path=customXml/itemProps2.xml><?xml version="1.0" encoding="utf-8"?>
<ds:datastoreItem xmlns:ds="http://schemas.openxmlformats.org/officeDocument/2006/customXml" ds:itemID="{F6621368-9F51-4033-B43E-179132FC8A94}"/>
</file>

<file path=customXml/itemProps3.xml><?xml version="1.0" encoding="utf-8"?>
<ds:datastoreItem xmlns:ds="http://schemas.openxmlformats.org/officeDocument/2006/customXml" ds:itemID="{7D8D9792-51F0-439C-AEA8-1B0F6221E84A}"/>
</file>

<file path=customXml/itemProps4.xml><?xml version="1.0" encoding="utf-8"?>
<ds:datastoreItem xmlns:ds="http://schemas.openxmlformats.org/officeDocument/2006/customXml" ds:itemID="{BEA7E531-1330-4AA4-B03D-3B103518261E}"/>
</file>

<file path=customXml/itemProps5.xml><?xml version="1.0" encoding="utf-8"?>
<ds:datastoreItem xmlns:ds="http://schemas.openxmlformats.org/officeDocument/2006/customXml" ds:itemID="{64403BDA-2464-4117-ABDB-8F62ECFD2F71}"/>
</file>

<file path=customXml/itemProps6.xml><?xml version="1.0" encoding="utf-8"?>
<ds:datastoreItem xmlns:ds="http://schemas.openxmlformats.org/officeDocument/2006/customXml" ds:itemID="{4F9441F7-8E57-4F9B-8958-3A9CAFD13D9F}"/>
</file>

<file path=docProps/app.xml><?xml version="1.0" encoding="utf-8"?>
<Properties xmlns="http://schemas.openxmlformats.org/officeDocument/2006/extended-properties" xmlns:vt="http://schemas.openxmlformats.org/officeDocument/2006/docPropsVTypes">
  <Template>Normal.dotm</Template>
  <TotalTime>8</TotalTime>
  <Pages>9</Pages>
  <Words>1970</Words>
  <Characters>11852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Emerick, Romilee</dc:creator>
  <cp:lastModifiedBy>Andy Hemstreet</cp:lastModifiedBy>
  <cp:revision>3</cp:revision>
  <cp:lastPrinted>2016-05-26T17:57:00Z</cp:lastPrinted>
  <dcterms:created xsi:type="dcterms:W3CDTF">2016-05-26T17:54:00Z</dcterms:created>
  <dcterms:modified xsi:type="dcterms:W3CDTF">2016-05-26T18:01:00Z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B build">
    <vt:lpwstr>20141125 110107</vt:lpwstr>
  </property>
  <property fmtid="{D5CDD505-2E9C-101B-9397-08002B2CF9AE}" pid="3" name="TB filename">
    <vt:lpwstr>COR004.dotx</vt:lpwstr>
  </property>
  <property fmtid="{D5CDD505-2E9C-101B-9397-08002B2CF9AE}" pid="4" name="TB id">
    <vt:lpwstr>7323</vt:lpwstr>
  </property>
  <property fmtid="{D5CDD505-2E9C-101B-9397-08002B2CF9AE}" pid="5" name="TB name">
    <vt:lpwstr>DNV GL - COR 004</vt:lpwstr>
  </property>
  <property fmtid="{D5CDD505-2E9C-101B-9397-08002B2CF9AE}" pid="6" name="ContentTypeId">
    <vt:lpwstr>0x0101006E56B4D1795A2E4DB2F0B01679ED314A0011940A5867748F42B23F2496B49568D7</vt:lpwstr>
  </property>
  <property fmtid="{D5CDD505-2E9C-101B-9397-08002B2CF9AE}" pid="7" name="_docset_NoMedatataSyncRequired">
    <vt:lpwstr>False</vt:lpwstr>
  </property>
</Properties>
</file>