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6554D4" w:rsidP="006554D4">
      <w:pPr>
        <w:tabs>
          <w:tab w:val="left" w:pos="1260"/>
        </w:tabs>
        <w:spacing w:line="480" w:lineRule="auto"/>
        <w:jc w:val="center"/>
        <w:rPr>
          <w:sz w:val="28"/>
          <w:szCs w:val="28"/>
        </w:rPr>
      </w:pPr>
      <w:r w:rsidRPr="003D71F3">
        <w:rPr>
          <w:sz w:val="28"/>
          <w:szCs w:val="28"/>
          <w:highlight w:val="lightGray"/>
        </w:rPr>
        <w:t>REVISED Page 45 - April 18, 2012</w:t>
      </w: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F85036">
        <w:t>1</w:t>
      </w:r>
      <w:r w:rsidR="0003051A">
        <w:t>2</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F85036">
        <w:t>1</w:t>
      </w:r>
      <w:r w:rsidR="0003051A">
        <w:t>2</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1D224A">
          <w:headerReference w:type="default" r:id="rId8"/>
          <w:footerReference w:type="default" r:id="rId9"/>
          <w:headerReference w:type="first" r:id="rId10"/>
          <w:footerReference w:type="first" r:id="rId11"/>
          <w:type w:val="continuous"/>
          <w:pgSz w:w="12240" w:h="15840" w:code="1"/>
          <w:pgMar w:top="1440" w:right="1584" w:bottom="1584"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5540EB" w:rsidRDefault="00914F08">
      <w:pPr>
        <w:pStyle w:val="Heading5"/>
        <w:rPr>
          <w:rStyle w:val="PageNumber"/>
          <w:u w:val="single"/>
        </w:rPr>
      </w:pPr>
      <w:r w:rsidRPr="005540EB">
        <w:rPr>
          <w:rStyle w:val="PageNumber"/>
          <w:u w:val="single"/>
        </w:rPr>
        <w:lastRenderedPageBreak/>
        <w:t xml:space="preserve">I.  </w:t>
      </w:r>
      <w:r w:rsidR="000D6ABC" w:rsidRPr="005540EB">
        <w:rPr>
          <w:rStyle w:val="PageNumber"/>
          <w:u w:val="single"/>
        </w:rPr>
        <w:t xml:space="preserve">   </w:t>
      </w:r>
      <w:r w:rsidRPr="005540EB">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A4037C" w:rsidRDefault="005540EB" w:rsidP="00A4037C">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4037C" w:rsidRPr="005540EB">
        <w:rPr>
          <w:rFonts w:ascii="Times New Roman" w:hAnsi="Times New Roman" w:cs="Times New Roman"/>
        </w:rPr>
        <w:t xml:space="preserve">I am a </w:t>
      </w:r>
      <w:r w:rsidR="00A4037C">
        <w:rPr>
          <w:rFonts w:ascii="Times New Roman" w:hAnsi="Times New Roman" w:cs="Times New Roman"/>
        </w:rPr>
        <w:t>1995</w:t>
      </w:r>
      <w:r w:rsidR="00A4037C" w:rsidRPr="005540EB">
        <w:rPr>
          <w:rFonts w:ascii="Times New Roman" w:hAnsi="Times New Roman" w:cs="Times New Roman"/>
        </w:rPr>
        <w:t xml:space="preserve"> graduate of </w:t>
      </w:r>
      <w:r w:rsidR="00A4037C">
        <w:rPr>
          <w:rFonts w:ascii="Times New Roman" w:hAnsi="Times New Roman" w:cs="Times New Roman"/>
        </w:rPr>
        <w:t>Gonzaga</w:t>
      </w:r>
      <w:r w:rsidR="00A4037C" w:rsidRPr="005540EB">
        <w:rPr>
          <w:rFonts w:ascii="Times New Roman" w:hAnsi="Times New Roman" w:cs="Times New Roman"/>
        </w:rPr>
        <w:t xml:space="preserve"> </w:t>
      </w:r>
      <w:smartTag w:uri="urn:schemas-microsoft-com:office:smarttags" w:element="PlaceType">
        <w:r w:rsidR="00A4037C" w:rsidRPr="005540EB">
          <w:rPr>
            <w:rFonts w:ascii="Times New Roman" w:hAnsi="Times New Roman" w:cs="Times New Roman"/>
          </w:rPr>
          <w:t>University</w:t>
        </w:r>
      </w:smartTag>
      <w:r w:rsidR="00A4037C" w:rsidRPr="005540EB">
        <w:rPr>
          <w:rFonts w:ascii="Times New Roman" w:hAnsi="Times New Roman" w:cs="Times New Roman"/>
        </w:rPr>
        <w:t xml:space="preserve"> with </w:t>
      </w:r>
      <w:r w:rsidR="00A4037C">
        <w:rPr>
          <w:rFonts w:ascii="Times New Roman" w:hAnsi="Times New Roman" w:cs="Times New Roman"/>
        </w:rPr>
        <w:t>a Bachelors degree</w:t>
      </w:r>
      <w:r w:rsidR="00A4037C" w:rsidRPr="005540EB">
        <w:rPr>
          <w:rFonts w:ascii="Times New Roman" w:hAnsi="Times New Roman" w:cs="Times New Roman"/>
        </w:rPr>
        <w:t xml:space="preserve"> in Business Administration</w:t>
      </w:r>
      <w:r w:rsidR="00A4037C">
        <w:rPr>
          <w:rFonts w:ascii="Times New Roman" w:hAnsi="Times New Roman" w:cs="Times New Roman"/>
        </w:rPr>
        <w:t>.  In 1997 I graduated from Gonzaga University with a Masters degree in Business Administration</w:t>
      </w:r>
      <w:r w:rsidR="00A4037C" w:rsidRPr="005540EB">
        <w:rPr>
          <w:rFonts w:ascii="Times New Roman" w:hAnsi="Times New Roman" w:cs="Times New Roman"/>
        </w:rPr>
        <w:t>.</w:t>
      </w:r>
      <w:r w:rsidR="00A4037C">
        <w:rPr>
          <w:rFonts w:ascii="Times New Roman" w:hAnsi="Times New Roman" w:cs="Times New Roman"/>
        </w:rPr>
        <w:t xml:space="preserve">  I started with Avista in April 1997 as a Resource Management Analyst in the Company’s D</w:t>
      </w:r>
      <w:r w:rsidR="00BE67DE">
        <w:rPr>
          <w:rFonts w:ascii="Times New Roman" w:hAnsi="Times New Roman" w:cs="Times New Roman"/>
        </w:rPr>
        <w:t>emand Side Management (DSM)</w:t>
      </w:r>
      <w:r w:rsidR="00A4037C">
        <w:rPr>
          <w:rFonts w:ascii="Times New Roman" w:hAnsi="Times New Roman" w:cs="Times New Roman"/>
        </w:rPr>
        <w:t xml:space="preserve"> department.  Later, I became a Program Manager, responsible for energy efficiency program offerings for the Company’s educational </w:t>
      </w:r>
      <w:r w:rsidR="00A4037C" w:rsidRPr="00BF6CAC">
        <w:rPr>
          <w:rFonts w:ascii="Times New Roman" w:hAnsi="Times New Roman" w:cs="Times New Roman"/>
        </w:rPr>
        <w:t xml:space="preserve">and governmental customers.  </w:t>
      </w:r>
      <w:r w:rsidR="00A4037C">
        <w:rPr>
          <w:rFonts w:ascii="Times New Roman" w:hAnsi="Times New Roman" w:cs="Times New Roman"/>
        </w:rPr>
        <w:t>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037C" w:rsidRDefault="00A4037C" w:rsidP="00A4037C">
      <w:pPr>
        <w:pStyle w:val="P31"/>
        <w:jc w:val="both"/>
        <w:rPr>
          <w:rFonts w:ascii="Times New Roman" w:hAnsi="Times New Roman" w:cs="Times New Roman"/>
        </w:rPr>
      </w:pPr>
      <w:r>
        <w:rPr>
          <w:rFonts w:ascii="Times New Roman" w:hAnsi="Times New Roman" w:cs="Times New Roman"/>
        </w:rPr>
        <w:t>I joined the State and Federal Regulation Department as a Senior Regulatory Analyst in 2007.  Responsibilities in this role included being the discovery coordinator for the Company’s rate cases</w:t>
      </w:r>
      <w:r w:rsidR="00E54BA8">
        <w:rPr>
          <w:rFonts w:ascii="Times New Roman" w:hAnsi="Times New Roman" w:cs="Times New Roman"/>
        </w:rPr>
        <w:t xml:space="preserve">, line extension policy tariffs, as well as miscellaneous regulatory </w:t>
      </w:r>
      <w:r w:rsidR="00E54BA8">
        <w:rPr>
          <w:rFonts w:ascii="Times New Roman" w:hAnsi="Times New Roman" w:cs="Times New Roman"/>
        </w:rPr>
        <w:lastRenderedPageBreak/>
        <w:t xml:space="preserve">issues.  </w:t>
      </w:r>
      <w:r>
        <w:rPr>
          <w:rFonts w:ascii="Times New Roman" w:hAnsi="Times New Roman" w:cs="Times New Roman"/>
        </w:rPr>
        <w:t>In November 2009, I was promoted to my current role.</w:t>
      </w:r>
    </w:p>
    <w:p w:rsidR="005540EB" w:rsidRPr="00A4037C" w:rsidRDefault="005540EB" w:rsidP="00A4037C">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0B6A29" w:rsidRDefault="005540EB" w:rsidP="000B6A29">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testimony in </w:t>
      </w:r>
      <w:r w:rsidRPr="000A6734">
        <w:rPr>
          <w:rFonts w:ascii="Times New Roman" w:hAnsi="Times New Roman" w:cs="Times New Roman"/>
        </w:rPr>
        <w:t xml:space="preserve">this proceeding will cover the spread of the proposed annual electric </w:t>
      </w:r>
      <w:r w:rsidR="00371D94" w:rsidRPr="00371D94">
        <w:rPr>
          <w:rFonts w:ascii="Times New Roman" w:hAnsi="Times New Roman" w:cs="Times New Roman"/>
          <w:u w:val="single"/>
        </w:rPr>
        <w:t>base</w:t>
      </w:r>
      <w:r w:rsidR="00371D94">
        <w:rPr>
          <w:rFonts w:ascii="Times New Roman" w:hAnsi="Times New Roman" w:cs="Times New Roman"/>
        </w:rPr>
        <w:t xml:space="preserve"> </w:t>
      </w:r>
      <w:r w:rsidRPr="000A6734">
        <w:rPr>
          <w:rFonts w:ascii="Times New Roman" w:hAnsi="Times New Roman" w:cs="Times New Roman"/>
        </w:rPr>
        <w:t xml:space="preserve">revenue increase </w:t>
      </w:r>
      <w:r w:rsidRPr="00A47B5B">
        <w:rPr>
          <w:rFonts w:ascii="Times New Roman" w:hAnsi="Times New Roman" w:cs="Times New Roman"/>
        </w:rPr>
        <w:t>of $</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9.</w:t>
      </w:r>
      <w:r w:rsidR="00A47B5B" w:rsidRPr="00A47B5B">
        <w:rPr>
          <w:rFonts w:ascii="Times New Roman" w:hAnsi="Times New Roman" w:cs="Times New Roman"/>
        </w:rPr>
        <w:t>0</w:t>
      </w:r>
      <w:r w:rsidRPr="00A47B5B">
        <w:rPr>
          <w:rFonts w:ascii="Times New Roman" w:hAnsi="Times New Roman" w:cs="Times New Roman"/>
        </w:rPr>
        <w:t>%,</w:t>
      </w:r>
      <w:r w:rsidRPr="00D91979">
        <w:rPr>
          <w:rFonts w:ascii="Times New Roman" w:hAnsi="Times New Roman" w:cs="Times New Roman"/>
        </w:rPr>
        <w:t xml:space="preserve"> among</w:t>
      </w:r>
      <w:r w:rsidRPr="000A6734">
        <w:rPr>
          <w:rFonts w:ascii="Times New Roman" w:hAnsi="Times New Roman" w:cs="Times New Roman"/>
        </w:rPr>
        <w:t xml:space="preserve"> the Company’s electric general service schedules.  </w:t>
      </w:r>
      <w:r w:rsidR="00371D94">
        <w:rPr>
          <w:rFonts w:ascii="Times New Roman" w:hAnsi="Times New Roman" w:cs="Times New Roman"/>
        </w:rPr>
        <w:t xml:space="preserve">Incorporating the Company’s proposed Energy Recovery Mechanism </w:t>
      </w:r>
      <w:r w:rsidR="00F9270A">
        <w:rPr>
          <w:rFonts w:ascii="Times New Roman" w:hAnsi="Times New Roman" w:cs="Times New Roman"/>
        </w:rPr>
        <w:t>Schedule 93 Rebate</w:t>
      </w:r>
      <w:r w:rsidR="00371D94">
        <w:rPr>
          <w:rFonts w:ascii="Times New Roman" w:hAnsi="Times New Roman" w:cs="Times New Roman"/>
        </w:rPr>
        <w:t xml:space="preserve"> (“ERM Rebate”), </w:t>
      </w:r>
      <w:r w:rsidR="009026B3">
        <w:rPr>
          <w:rFonts w:ascii="Times New Roman" w:hAnsi="Times New Roman" w:cs="Times New Roman"/>
        </w:rPr>
        <w:t>reduces the</w:t>
      </w:r>
      <w:r w:rsidR="00894CE2" w:rsidRPr="000A6734">
        <w:rPr>
          <w:rFonts w:ascii="Times New Roman" w:hAnsi="Times New Roman" w:cs="Times New Roman"/>
        </w:rPr>
        <w:t xml:space="preserve"> overall increase </w:t>
      </w:r>
      <w:r w:rsidR="009026B3">
        <w:rPr>
          <w:rFonts w:ascii="Times New Roman" w:hAnsi="Times New Roman" w:cs="Times New Roman"/>
        </w:rPr>
        <w:t xml:space="preserve">to </w:t>
      </w:r>
      <w:r w:rsidR="00A47B5B">
        <w:rPr>
          <w:rFonts w:ascii="Times New Roman" w:hAnsi="Times New Roman" w:cs="Times New Roman"/>
        </w:rPr>
        <w:t>5.</w:t>
      </w:r>
      <w:r w:rsidR="00AF5996">
        <w:rPr>
          <w:rFonts w:ascii="Times New Roman" w:hAnsi="Times New Roman" w:cs="Times New Roman"/>
        </w:rPr>
        <w:t>9</w:t>
      </w:r>
      <w:r w:rsidR="00944313" w:rsidRPr="00D91979">
        <w:rPr>
          <w:rFonts w:ascii="Times New Roman" w:hAnsi="Times New Roman" w:cs="Times New Roman"/>
        </w:rPr>
        <w:t>%</w:t>
      </w:r>
      <w:r w:rsidR="00894CE2" w:rsidRPr="00D91979">
        <w:rPr>
          <w:rFonts w:ascii="Times New Roman" w:hAnsi="Times New Roman" w:cs="Times New Roman"/>
        </w:rPr>
        <w:t xml:space="preserve"> </w:t>
      </w:r>
      <w:r w:rsidR="00894CE2" w:rsidRPr="000A6734">
        <w:rPr>
          <w:rFonts w:ascii="Times New Roman" w:hAnsi="Times New Roman" w:cs="Times New Roman"/>
        </w:rPr>
        <w:t xml:space="preserve">in </w:t>
      </w:r>
      <w:r w:rsidR="00894CE2" w:rsidRPr="00D91979">
        <w:rPr>
          <w:rFonts w:ascii="Times New Roman" w:hAnsi="Times New Roman" w:cs="Times New Roman"/>
          <w:u w:val="single"/>
        </w:rPr>
        <w:t>billed</w:t>
      </w:r>
      <w:r w:rsidR="00147D24" w:rsidRPr="000A6734">
        <w:rPr>
          <w:rFonts w:ascii="Times New Roman" w:hAnsi="Times New Roman" w:cs="Times New Roman"/>
        </w:rPr>
        <w:t xml:space="preserve"> revenues</w:t>
      </w:r>
      <w:r w:rsidR="00894CE2" w:rsidRPr="000A6734">
        <w:rPr>
          <w:rFonts w:ascii="Times New Roman" w:hAnsi="Times New Roman" w:cs="Times New Roman"/>
        </w:rPr>
        <w:t xml:space="preserve"> as explained below.  </w:t>
      </w:r>
      <w:r w:rsidRPr="000A6734">
        <w:rPr>
          <w:rFonts w:ascii="Times New Roman" w:hAnsi="Times New Roman" w:cs="Times New Roman"/>
        </w:rPr>
        <w:t xml:space="preserve">With </w:t>
      </w:r>
      <w:r w:rsidRPr="00A47B5B">
        <w:rPr>
          <w:rFonts w:ascii="Times New Roman" w:hAnsi="Times New Roman" w:cs="Times New Roman"/>
        </w:rPr>
        <w:t xml:space="preserve">regard to natural gas service, I will describe the spread of the proposed annual </w:t>
      </w:r>
      <w:r w:rsidR="00D91979" w:rsidRPr="00A47B5B">
        <w:rPr>
          <w:rFonts w:ascii="Times New Roman" w:hAnsi="Times New Roman" w:cs="Times New Roman"/>
          <w:u w:val="single"/>
        </w:rPr>
        <w:t>base</w:t>
      </w:r>
      <w:r w:rsidR="00D91979" w:rsidRPr="00A47B5B">
        <w:rPr>
          <w:rFonts w:ascii="Times New Roman" w:hAnsi="Times New Roman" w:cs="Times New Roman"/>
        </w:rPr>
        <w:t xml:space="preserve"> </w:t>
      </w:r>
      <w:r w:rsidRPr="00A47B5B">
        <w:rPr>
          <w:rFonts w:ascii="Times New Roman" w:hAnsi="Times New Roman" w:cs="Times New Roman"/>
        </w:rPr>
        <w:t xml:space="preserve">revenue increase of </w:t>
      </w:r>
      <w:r w:rsidR="00DF1AB0" w:rsidRPr="00A47B5B">
        <w:rPr>
          <w:rFonts w:ascii="Times New Roman" w:hAnsi="Times New Roman" w:cs="Times New Roman"/>
        </w:rPr>
        <w:t>$</w:t>
      </w:r>
      <w:r w:rsidR="00D91979" w:rsidRPr="00A47B5B">
        <w:rPr>
          <w:rFonts w:ascii="Times New Roman" w:hAnsi="Times New Roman" w:cs="Times New Roman"/>
        </w:rPr>
        <w:t>10,</w:t>
      </w:r>
      <w:r w:rsidR="00A47B5B" w:rsidRPr="00A47B5B">
        <w:rPr>
          <w:rFonts w:ascii="Times New Roman" w:hAnsi="Times New Roman" w:cs="Times New Roman"/>
        </w:rPr>
        <w:t>08</w:t>
      </w:r>
      <w:r w:rsidR="00D91979" w:rsidRPr="00A47B5B">
        <w:rPr>
          <w:rFonts w:ascii="Times New Roman" w:hAnsi="Times New Roman" w:cs="Times New Roman"/>
        </w:rPr>
        <w:t>8</w:t>
      </w:r>
      <w:r w:rsidR="004940D3" w:rsidRPr="00A47B5B">
        <w:rPr>
          <w:rFonts w:ascii="Times New Roman" w:hAnsi="Times New Roman" w:cs="Times New Roman"/>
        </w:rPr>
        <w:t>,000</w:t>
      </w:r>
      <w:r w:rsidRPr="00A47B5B">
        <w:rPr>
          <w:rFonts w:ascii="Times New Roman" w:hAnsi="Times New Roman" w:cs="Times New Roman"/>
        </w:rPr>
        <w:t xml:space="preserve">, or </w:t>
      </w:r>
      <w:r w:rsidR="00D91979" w:rsidRPr="00A47B5B">
        <w:rPr>
          <w:rFonts w:ascii="Times New Roman" w:hAnsi="Times New Roman" w:cs="Times New Roman"/>
        </w:rPr>
        <w:t>7.</w:t>
      </w:r>
      <w:r w:rsidR="00A47B5B" w:rsidRPr="00A47B5B">
        <w:rPr>
          <w:rFonts w:ascii="Times New Roman" w:hAnsi="Times New Roman" w:cs="Times New Roman"/>
        </w:rPr>
        <w:t>0</w:t>
      </w:r>
      <w:r w:rsidRPr="00A47B5B">
        <w:rPr>
          <w:rFonts w:ascii="Times New Roman" w:hAnsi="Times New Roman" w:cs="Times New Roman"/>
        </w:rPr>
        <w:t>%,</w:t>
      </w:r>
      <w:r w:rsidRPr="004940D3">
        <w:rPr>
          <w:rFonts w:ascii="Times New Roman" w:hAnsi="Times New Roman" w:cs="Times New Roman"/>
        </w:rPr>
        <w:t xml:space="preserve"> </w:t>
      </w:r>
      <w:r w:rsidRPr="005540EB">
        <w:rPr>
          <w:rFonts w:ascii="Times New Roman" w:hAnsi="Times New Roman" w:cs="Times New Roman"/>
        </w:rPr>
        <w:t>among the Company’s natural gas service schedules.  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Pr="005540EB">
        <w:rPr>
          <w:rFonts w:ascii="Times New Roman" w:hAnsi="Times New Roman" w:cs="Times New Roman"/>
        </w:rPr>
        <w:t xml:space="preserve">.  </w:t>
      </w:r>
      <w:r w:rsidR="000B6A29">
        <w:rPr>
          <w:rFonts w:ascii="Times New Roman" w:hAnsi="Times New Roman" w:cs="Times New Roman"/>
        </w:rPr>
        <w:t xml:space="preserve"> I will</w:t>
      </w:r>
      <w:r w:rsidR="00F10C1F">
        <w:rPr>
          <w:rFonts w:ascii="Times New Roman" w:hAnsi="Times New Roman" w:cs="Times New Roman"/>
        </w:rPr>
        <w:t xml:space="preserve"> also</w:t>
      </w:r>
      <w:r w:rsidR="000B6A29">
        <w:rPr>
          <w:rFonts w:ascii="Times New Roman" w:hAnsi="Times New Roman" w:cs="Times New Roman"/>
        </w:rPr>
        <w:t xml:space="preserve"> describe </w:t>
      </w:r>
      <w:r w:rsidR="000B6A29" w:rsidRPr="00C92A6D">
        <w:rPr>
          <w:rFonts w:ascii="Times New Roman" w:hAnsi="Times New Roman" w:cs="Times New Roman"/>
        </w:rPr>
        <w:t xml:space="preserve">the </w:t>
      </w:r>
      <w:r w:rsidR="008354EE" w:rsidRPr="00C92A6D">
        <w:rPr>
          <w:rFonts w:ascii="Times New Roman" w:hAnsi="Times New Roman" w:cs="Times New Roman"/>
        </w:rPr>
        <w:t xml:space="preserve">DSM </w:t>
      </w:r>
      <w:r w:rsidR="00C92A6D" w:rsidRPr="00C92A6D">
        <w:rPr>
          <w:rFonts w:ascii="Times New Roman" w:hAnsi="Times New Roman" w:cs="Times New Roman"/>
        </w:rPr>
        <w:t xml:space="preserve">Component of the </w:t>
      </w:r>
      <w:r w:rsidR="00BE67DE" w:rsidRPr="00C92A6D">
        <w:rPr>
          <w:rFonts w:ascii="Times New Roman" w:hAnsi="Times New Roman" w:cs="Times New Roman"/>
        </w:rPr>
        <w:t>Attrition Adjustment</w:t>
      </w:r>
      <w:r w:rsidR="00334F95" w:rsidRPr="00C92A6D">
        <w:rPr>
          <w:rFonts w:ascii="Times New Roman" w:hAnsi="Times New Roman" w:cs="Times New Roman"/>
        </w:rPr>
        <w:t xml:space="preserve"> as well as</w:t>
      </w:r>
      <w:r w:rsidR="000B6A29" w:rsidRPr="00C92A6D">
        <w:rPr>
          <w:rFonts w:ascii="Times New Roman" w:hAnsi="Times New Roman" w:cs="Times New Roman"/>
        </w:rPr>
        <w:t xml:space="preserve"> </w:t>
      </w:r>
      <w:r w:rsidR="00BE67DE" w:rsidRPr="00C92A6D">
        <w:rPr>
          <w:rFonts w:ascii="Times New Roman" w:hAnsi="Times New Roman" w:cs="Times New Roman"/>
        </w:rPr>
        <w:t xml:space="preserve">discuss </w:t>
      </w:r>
      <w:r w:rsidR="00D91979" w:rsidRPr="00C92A6D">
        <w:rPr>
          <w:rFonts w:ascii="Times New Roman" w:hAnsi="Times New Roman" w:cs="Times New Roman"/>
        </w:rPr>
        <w:t>an</w:t>
      </w:r>
      <w:r w:rsidR="00BE67DE" w:rsidRPr="00C92A6D">
        <w:rPr>
          <w:rFonts w:ascii="Times New Roman" w:hAnsi="Times New Roman" w:cs="Times New Roman"/>
        </w:rPr>
        <w:t xml:space="preserve"> issue related</w:t>
      </w:r>
      <w:r w:rsidR="00BE67DE">
        <w:rPr>
          <w:rFonts w:ascii="Times New Roman" w:hAnsi="Times New Roman" w:cs="Times New Roman"/>
        </w:rPr>
        <w:t xml:space="preserve"> to Schedule 95</w:t>
      </w:r>
      <w:r w:rsidR="00D91979">
        <w:rPr>
          <w:rFonts w:ascii="Times New Roman" w:hAnsi="Times New Roman" w:cs="Times New Roman"/>
        </w:rPr>
        <w:t xml:space="preserve">, the </w:t>
      </w:r>
      <w:r w:rsidR="00BE67DE">
        <w:rPr>
          <w:rFonts w:ascii="Times New Roman" w:hAnsi="Times New Roman" w:cs="Times New Roman"/>
        </w:rPr>
        <w:t>Optional Renewable Power Rate</w:t>
      </w:r>
      <w:r w:rsidR="00D91979">
        <w:rPr>
          <w:rFonts w:ascii="Times New Roman" w:hAnsi="Times New Roman" w:cs="Times New Roman"/>
        </w:rPr>
        <w:t xml:space="preserve"> program</w:t>
      </w:r>
      <w:r w:rsidR="00334F95">
        <w:rPr>
          <w:rFonts w:ascii="Times New Roman" w:hAnsi="Times New Roman" w:cs="Times New Roman"/>
        </w:rPr>
        <w:t xml:space="preserve">.  </w:t>
      </w:r>
      <w:r w:rsidR="00BE67DE">
        <w:rPr>
          <w:rFonts w:ascii="Times New Roman" w:hAnsi="Times New Roman" w:cs="Times New Roman"/>
        </w:rPr>
        <w:t xml:space="preserve">Later, I will discuss the proposed </w:t>
      </w:r>
      <w:r w:rsidR="00371D94">
        <w:rPr>
          <w:rFonts w:ascii="Times New Roman" w:hAnsi="Times New Roman" w:cs="Times New Roman"/>
        </w:rPr>
        <w:t>ERM</w:t>
      </w:r>
      <w:r w:rsidR="00BE67DE">
        <w:rPr>
          <w:rFonts w:ascii="Times New Roman" w:hAnsi="Times New Roman" w:cs="Times New Roman"/>
        </w:rPr>
        <w:t xml:space="preserve"> </w:t>
      </w:r>
      <w:r w:rsidR="00371D94">
        <w:rPr>
          <w:rFonts w:ascii="Times New Roman" w:hAnsi="Times New Roman" w:cs="Times New Roman"/>
        </w:rPr>
        <w:t>Rebate</w:t>
      </w:r>
      <w:r w:rsidR="00BE67DE">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 xml:space="preserve">provide an overview of the items required of the Company in Order No. </w:t>
      </w:r>
      <w:r w:rsidR="00BE67DE">
        <w:rPr>
          <w:rFonts w:ascii="Times New Roman" w:hAnsi="Times New Roman" w:cs="Times New Roman"/>
        </w:rPr>
        <w:t>06</w:t>
      </w:r>
      <w:r w:rsidR="00F10C1F">
        <w:rPr>
          <w:rFonts w:ascii="Times New Roman" w:hAnsi="Times New Roman" w:cs="Times New Roman"/>
        </w:rPr>
        <w:t xml:space="preserve">, </w:t>
      </w:r>
      <w:r w:rsidR="00E54BA8">
        <w:rPr>
          <w:rFonts w:ascii="Times New Roman" w:hAnsi="Times New Roman" w:cs="Times New Roman"/>
        </w:rPr>
        <w:t xml:space="preserve">and </w:t>
      </w:r>
      <w:r w:rsidR="00F10C1F">
        <w:rPr>
          <w:rFonts w:ascii="Times New Roman" w:hAnsi="Times New Roman" w:cs="Times New Roman"/>
        </w:rPr>
        <w:t>the</w:t>
      </w:r>
      <w:r w:rsidR="00E54BA8">
        <w:rPr>
          <w:rFonts w:ascii="Times New Roman" w:hAnsi="Times New Roman" w:cs="Times New Roman"/>
        </w:rPr>
        <w:t xml:space="preserve"> related</w:t>
      </w:r>
      <w:r w:rsidR="00F10C1F">
        <w:rPr>
          <w:rFonts w:ascii="Times New Roman" w:hAnsi="Times New Roman" w:cs="Times New Roman"/>
        </w:rPr>
        <w:t xml:space="preserve"> Settlement Stipulation, in Dockets UE-1</w:t>
      </w:r>
      <w:r w:rsidR="00BE67DE">
        <w:rPr>
          <w:rFonts w:ascii="Times New Roman" w:hAnsi="Times New Roman" w:cs="Times New Roman"/>
        </w:rPr>
        <w:t>10876 and UG-110877</w:t>
      </w:r>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Are you sponsoring any Exhibits that accompany your testimony?</w:t>
      </w:r>
    </w:p>
    <w:p w:rsidR="00B312FA" w:rsidRPr="00936BE1"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I am sponsoring Exhibit Nos._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-2),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-3), and _</w:t>
      </w:r>
      <w:r w:rsidR="0043473F">
        <w:rPr>
          <w:rFonts w:ascii="Times New Roman" w:hAnsi="Times New Roman" w:cs="Times New Roman"/>
        </w:rPr>
        <w:t>__</w:t>
      </w:r>
      <w:r w:rsidRPr="005540EB">
        <w:rPr>
          <w:rFonts w:ascii="Times New Roman" w:hAnsi="Times New Roman" w:cs="Times New Roman"/>
          <w:iCs/>
        </w:rPr>
        <w:t>(</w:t>
      </w:r>
      <w:r w:rsidR="00F85036">
        <w:rPr>
          <w:rFonts w:ascii="Times New Roman" w:hAnsi="Times New Roman" w:cs="Times New Roman"/>
          <w:iCs/>
        </w:rPr>
        <w:t>PDE</w:t>
      </w:r>
      <w:r w:rsidRPr="005540EB">
        <w:rPr>
          <w:rFonts w:ascii="Times New Roman" w:hAnsi="Times New Roman" w:cs="Times New Roman"/>
          <w:iCs/>
        </w:rPr>
        <w:t>-4) related to the proposed electric increase, and Exhibit Nos.</w:t>
      </w:r>
      <w:r w:rsidRPr="005540EB">
        <w:rPr>
          <w:rFonts w:ascii="Times New Roman" w:hAnsi="Times New Roman" w:cs="Times New Roman"/>
        </w:rPr>
        <w:t>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-5),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-6), and _</w:t>
      </w:r>
      <w:r w:rsidR="0043473F">
        <w:rPr>
          <w:rFonts w:ascii="Times New Roman" w:hAnsi="Times New Roman" w:cs="Times New Roman"/>
        </w:rPr>
        <w:t>__</w:t>
      </w:r>
      <w:r w:rsidRPr="005540EB">
        <w:rPr>
          <w:rFonts w:ascii="Times New Roman" w:hAnsi="Times New Roman" w:cs="Times New Roman"/>
        </w:rPr>
        <w:t>(</w:t>
      </w:r>
      <w:r w:rsidR="00F85036">
        <w:rPr>
          <w:rFonts w:ascii="Times New Roman" w:hAnsi="Times New Roman" w:cs="Times New Roman"/>
        </w:rPr>
        <w:t>PDE</w:t>
      </w:r>
      <w:r w:rsidRPr="005540EB">
        <w:rPr>
          <w:rFonts w:ascii="Times New Roman" w:hAnsi="Times New Roman" w:cs="Times New Roman"/>
        </w:rPr>
        <w:t xml:space="preserve">-7) related to the proposed natural gas increase.  </w:t>
      </w:r>
      <w:r w:rsidR="001E65B2">
        <w:rPr>
          <w:rFonts w:ascii="Times New Roman" w:hAnsi="Times New Roman" w:cs="Times New Roman"/>
        </w:rPr>
        <w:t>I am also sponsoring Exhibit No. __</w:t>
      </w:r>
      <w:r w:rsidR="004C2025">
        <w:rPr>
          <w:rFonts w:ascii="Times New Roman" w:hAnsi="Times New Roman" w:cs="Times New Roman"/>
        </w:rPr>
        <w:t>_(</w:t>
      </w:r>
      <w:r w:rsidR="001E65B2">
        <w:rPr>
          <w:rFonts w:ascii="Times New Roman" w:hAnsi="Times New Roman" w:cs="Times New Roman"/>
        </w:rPr>
        <w:t xml:space="preserve">PDE-8) relating to the </w:t>
      </w:r>
      <w:r w:rsidR="008354EE" w:rsidRPr="00C92A6D">
        <w:rPr>
          <w:rFonts w:ascii="Times New Roman" w:hAnsi="Times New Roman" w:cs="Times New Roman"/>
        </w:rPr>
        <w:t xml:space="preserve">DSM </w:t>
      </w:r>
      <w:r w:rsidR="00C92A6D">
        <w:rPr>
          <w:rFonts w:ascii="Times New Roman" w:hAnsi="Times New Roman" w:cs="Times New Roman"/>
        </w:rPr>
        <w:t xml:space="preserve">Component of the </w:t>
      </w:r>
      <w:r w:rsidR="008354EE" w:rsidRPr="00C92A6D">
        <w:rPr>
          <w:rFonts w:ascii="Times New Roman" w:hAnsi="Times New Roman" w:cs="Times New Roman"/>
        </w:rPr>
        <w:t>Attrition Adjustment</w:t>
      </w:r>
      <w:r w:rsidR="001E65B2" w:rsidRPr="00C92A6D">
        <w:rPr>
          <w:rFonts w:ascii="Times New Roman" w:hAnsi="Times New Roman" w:cs="Times New Roman"/>
        </w:rPr>
        <w:t xml:space="preserve">. </w:t>
      </w:r>
      <w:r w:rsidR="0021578E">
        <w:rPr>
          <w:rFonts w:ascii="Times New Roman" w:hAnsi="Times New Roman" w:cs="Times New Roman"/>
        </w:rPr>
        <w:t xml:space="preserv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B312FA">
        <w:rPr>
          <w:b/>
          <w:u w:val="single"/>
        </w:rPr>
        <w:br w:type="page"/>
      </w:r>
    </w:p>
    <w:p w:rsidR="005540EB" w:rsidRPr="007B58C5" w:rsidRDefault="005540EB" w:rsidP="005A10A8">
      <w:pPr>
        <w:pStyle w:val="Heading1"/>
        <w:tabs>
          <w:tab w:val="left" w:pos="810"/>
          <w:tab w:val="left" w:pos="1440"/>
        </w:tabs>
        <w:ind w:right="-720" w:firstLine="720"/>
        <w:rPr>
          <w:b w:val="0"/>
          <w:u w:val="single"/>
        </w:rPr>
      </w:pPr>
      <w:r w:rsidRPr="007B58C5">
        <w:rPr>
          <w:b w:val="0"/>
          <w:u w:val="single"/>
        </w:rPr>
        <w:lastRenderedPageBreak/>
        <w:t>Table of Contents</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8E580F">
      <w:pPr>
        <w:numPr>
          <w:ilvl w:val="0"/>
          <w:numId w:val="33"/>
        </w:numPr>
        <w:tabs>
          <w:tab w:val="left" w:pos="810"/>
          <w:tab w:val="left" w:pos="1440"/>
          <w:tab w:val="left" w:pos="6120"/>
          <w:tab w:val="left" w:pos="7920"/>
        </w:tabs>
        <w:ind w:right="-720"/>
        <w:rPr>
          <w:bCs/>
          <w:szCs w:val="22"/>
        </w:rPr>
      </w:pPr>
      <w:r w:rsidRPr="00916D0F">
        <w:rPr>
          <w:bCs/>
          <w:szCs w:val="22"/>
        </w:rPr>
        <w:t>Introduction</w:t>
      </w:r>
      <w:r w:rsidRPr="00916D0F">
        <w:rPr>
          <w:bCs/>
          <w:szCs w:val="22"/>
        </w:rPr>
        <w:tab/>
      </w:r>
      <w:r w:rsidRPr="00916D0F">
        <w:rPr>
          <w:bCs/>
          <w:szCs w:val="22"/>
        </w:rPr>
        <w:tab/>
      </w:r>
      <w:r w:rsidRPr="00593603">
        <w:rPr>
          <w:bCs/>
          <w:szCs w:val="22"/>
        </w:rPr>
        <w:t>1</w:t>
      </w:r>
    </w:p>
    <w:p w:rsidR="007645E8" w:rsidRPr="00593603" w:rsidRDefault="007645E8" w:rsidP="005A10A8">
      <w:pPr>
        <w:tabs>
          <w:tab w:val="left" w:pos="810"/>
          <w:tab w:val="left" w:pos="1440"/>
          <w:tab w:val="left" w:pos="6120"/>
          <w:tab w:val="left" w:pos="7920"/>
        </w:tabs>
        <w:ind w:left="720" w:right="-720"/>
        <w:rPr>
          <w:bCs/>
          <w:szCs w:val="22"/>
        </w:rPr>
      </w:pPr>
    </w:p>
    <w:p w:rsidR="005540EB" w:rsidRPr="003E2C1F" w:rsidRDefault="004E4650" w:rsidP="008E580F">
      <w:pPr>
        <w:numPr>
          <w:ilvl w:val="0"/>
          <w:numId w:val="33"/>
        </w:numPr>
        <w:tabs>
          <w:tab w:val="right" w:pos="810"/>
          <w:tab w:val="left" w:pos="1440"/>
          <w:tab w:val="left" w:pos="6120"/>
          <w:tab w:val="left" w:pos="7920"/>
          <w:tab w:val="left" w:pos="8100"/>
        </w:tabs>
        <w:ind w:right="-720"/>
        <w:rPr>
          <w:bCs/>
          <w:szCs w:val="22"/>
        </w:rPr>
      </w:pPr>
      <w:r w:rsidRPr="003E2C1F">
        <w:rPr>
          <w:bCs/>
          <w:szCs w:val="22"/>
        </w:rPr>
        <w:t xml:space="preserve">Rate Spread/Rate Design </w:t>
      </w:r>
      <w:r w:rsidR="005540EB" w:rsidRPr="003E2C1F">
        <w:rPr>
          <w:bCs/>
          <w:szCs w:val="22"/>
        </w:rPr>
        <w:t>Executive Summary</w:t>
      </w:r>
      <w:r w:rsidR="005540EB" w:rsidRPr="003E2C1F">
        <w:rPr>
          <w:bCs/>
          <w:szCs w:val="22"/>
        </w:rPr>
        <w:tab/>
        <w:t xml:space="preserve"> </w:t>
      </w:r>
      <w:r w:rsidR="005540EB" w:rsidRPr="003E2C1F">
        <w:rPr>
          <w:bCs/>
          <w:szCs w:val="22"/>
        </w:rPr>
        <w:tab/>
      </w:r>
      <w:r w:rsidR="00B312FA" w:rsidRPr="003E2C1F">
        <w:rPr>
          <w:bCs/>
          <w:szCs w:val="22"/>
        </w:rPr>
        <w:t>3</w:t>
      </w:r>
    </w:p>
    <w:p w:rsidR="007645E8" w:rsidRPr="003E2C1F" w:rsidRDefault="007645E8" w:rsidP="005A10A8">
      <w:pPr>
        <w:tabs>
          <w:tab w:val="left" w:pos="810"/>
          <w:tab w:val="left" w:pos="1440"/>
        </w:tabs>
        <w:ind w:left="720" w:right="-720"/>
        <w:rPr>
          <w:bCs/>
          <w:szCs w:val="22"/>
        </w:rPr>
      </w:pPr>
    </w:p>
    <w:p w:rsidR="005540EB" w:rsidRPr="003E2C1F" w:rsidRDefault="005540EB" w:rsidP="008E580F">
      <w:pPr>
        <w:numPr>
          <w:ilvl w:val="0"/>
          <w:numId w:val="33"/>
        </w:numPr>
        <w:tabs>
          <w:tab w:val="left" w:pos="810"/>
          <w:tab w:val="left" w:pos="1440"/>
        </w:tabs>
        <w:ind w:right="-720"/>
        <w:rPr>
          <w:bCs/>
          <w:szCs w:val="22"/>
        </w:rPr>
      </w:pPr>
      <w:r w:rsidRPr="003E2C1F">
        <w:rPr>
          <w:bCs/>
          <w:szCs w:val="22"/>
        </w:rPr>
        <w:t>Proposed Electric Revenue Increase</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0926C0">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31526F" w:rsidRPr="003E2C1F">
        <w:rPr>
          <w:bCs/>
          <w:szCs w:val="22"/>
        </w:rPr>
        <w:t>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(Rates within Schedules)</w:t>
      </w:r>
      <w:r w:rsidR="009605C7" w:rsidRPr="003E2C1F">
        <w:rPr>
          <w:bCs/>
          <w:szCs w:val="22"/>
        </w:rPr>
        <w:tab/>
      </w:r>
      <w:r w:rsidR="009605C7" w:rsidRPr="003E2C1F">
        <w:rPr>
          <w:bCs/>
          <w:szCs w:val="22"/>
        </w:rPr>
        <w:tab/>
        <w:t xml:space="preserve">          </w:t>
      </w:r>
      <w:r w:rsidR="00BF6CAC" w:rsidRPr="003E2C1F">
        <w:rPr>
          <w:bCs/>
          <w:szCs w:val="22"/>
        </w:rPr>
        <w:t xml:space="preserve"> </w:t>
      </w:r>
      <w:r w:rsidR="00D64945" w:rsidRPr="003E2C1F">
        <w:rPr>
          <w:bCs/>
          <w:szCs w:val="22"/>
        </w:rPr>
        <w:tab/>
      </w:r>
      <w:r w:rsidR="0031526F" w:rsidRPr="003E2C1F">
        <w:rPr>
          <w:bCs/>
          <w:szCs w:val="22"/>
        </w:rPr>
        <w:t>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Proposed Natural Gas Revenue Increase</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t>Summary of Rate Schedules and Tariffs</w:t>
      </w:r>
      <w:r w:rsidRPr="003E2C1F">
        <w:rPr>
          <w:bCs/>
          <w:szCs w:val="22"/>
        </w:rPr>
        <w:tab/>
      </w:r>
      <w:r w:rsidR="00D64945" w:rsidRPr="003E2C1F">
        <w:rPr>
          <w:bCs/>
          <w:szCs w:val="22"/>
        </w:rPr>
        <w:tab/>
      </w:r>
      <w:r w:rsidR="000926C0">
        <w:rPr>
          <w:bCs/>
          <w:szCs w:val="22"/>
        </w:rPr>
        <w:t>14</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 xml:space="preserve">ad (Increase by Schedule)  </w:t>
      </w:r>
      <w:r w:rsidR="007645E8" w:rsidRPr="003E2C1F">
        <w:rPr>
          <w:bCs/>
          <w:szCs w:val="22"/>
        </w:rPr>
        <w:tab/>
      </w:r>
      <w:r w:rsidR="007645E8" w:rsidRPr="003E2C1F">
        <w:rPr>
          <w:bCs/>
          <w:szCs w:val="22"/>
        </w:rPr>
        <w:tab/>
        <w:t xml:space="preserve">          </w:t>
      </w:r>
      <w:r w:rsidR="00D64945" w:rsidRPr="003E2C1F">
        <w:rPr>
          <w:bCs/>
          <w:szCs w:val="22"/>
        </w:rPr>
        <w:tab/>
      </w:r>
      <w:r w:rsidR="000926C0">
        <w:rPr>
          <w:bCs/>
          <w:szCs w:val="22"/>
        </w:rPr>
        <w:t>16</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0926C0">
        <w:rPr>
          <w:bCs/>
          <w:szCs w:val="22"/>
        </w:rPr>
        <w:t>18</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F10C1F">
      <w:pPr>
        <w:numPr>
          <w:ilvl w:val="0"/>
          <w:numId w:val="33"/>
        </w:numPr>
        <w:tabs>
          <w:tab w:val="left" w:pos="1440"/>
        </w:tabs>
        <w:ind w:right="-720"/>
        <w:rPr>
          <w:bCs/>
          <w:szCs w:val="22"/>
        </w:rPr>
      </w:pPr>
      <w:r w:rsidRPr="003E2C1F">
        <w:rPr>
          <w:bCs/>
          <w:szCs w:val="22"/>
        </w:rPr>
        <w:t>Basic Charge</w:t>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Pr="003E2C1F">
        <w:rPr>
          <w:bCs/>
          <w:szCs w:val="22"/>
        </w:rPr>
        <w:tab/>
      </w:r>
      <w:r w:rsidR="000926C0">
        <w:rPr>
          <w:bCs/>
          <w:szCs w:val="22"/>
        </w:rPr>
        <w:t>23</w:t>
      </w:r>
    </w:p>
    <w:p w:rsidR="00F10C1F" w:rsidRPr="003E2C1F" w:rsidRDefault="00F10C1F" w:rsidP="00F10C1F">
      <w:pPr>
        <w:tabs>
          <w:tab w:val="left" w:pos="1440"/>
        </w:tabs>
        <w:ind w:left="720" w:right="-720"/>
        <w:rPr>
          <w:bCs/>
          <w:szCs w:val="22"/>
        </w:rPr>
      </w:pPr>
    </w:p>
    <w:p w:rsidR="00D64945" w:rsidRDefault="004E793A" w:rsidP="00F10C1F">
      <w:pPr>
        <w:numPr>
          <w:ilvl w:val="0"/>
          <w:numId w:val="33"/>
        </w:numPr>
        <w:tabs>
          <w:tab w:val="left" w:pos="1440"/>
        </w:tabs>
        <w:ind w:right="-720"/>
        <w:rPr>
          <w:bCs/>
          <w:szCs w:val="22"/>
        </w:rPr>
      </w:pPr>
      <w:r w:rsidRPr="000926C0">
        <w:rPr>
          <w:bCs/>
          <w:szCs w:val="22"/>
        </w:rPr>
        <w:t>DSM</w:t>
      </w:r>
      <w:r w:rsidR="00BE67DE" w:rsidRPr="000926C0">
        <w:rPr>
          <w:bCs/>
          <w:szCs w:val="22"/>
        </w:rPr>
        <w:t xml:space="preserve"> </w:t>
      </w:r>
      <w:r w:rsidR="00185D46" w:rsidRPr="000926C0">
        <w:rPr>
          <w:bCs/>
          <w:szCs w:val="22"/>
        </w:rPr>
        <w:t xml:space="preserve">Component of the </w:t>
      </w:r>
      <w:r w:rsidR="00BE67DE" w:rsidRPr="000926C0">
        <w:rPr>
          <w:bCs/>
          <w:szCs w:val="22"/>
        </w:rPr>
        <w:t>Attrition Adjustment</w:t>
      </w:r>
      <w:r w:rsidR="00C01292" w:rsidRPr="000926C0">
        <w:rPr>
          <w:bCs/>
          <w:szCs w:val="22"/>
        </w:rPr>
        <w:tab/>
      </w:r>
      <w:r w:rsidR="00C01292" w:rsidRPr="000926C0">
        <w:rPr>
          <w:bCs/>
          <w:szCs w:val="22"/>
        </w:rPr>
        <w:tab/>
        <w:t xml:space="preserve">           </w:t>
      </w:r>
      <w:r w:rsidR="000926C0">
        <w:rPr>
          <w:bCs/>
          <w:szCs w:val="22"/>
        </w:rPr>
        <w:t xml:space="preserve"> 31</w:t>
      </w:r>
    </w:p>
    <w:p w:rsidR="00BF0B67" w:rsidRPr="000926C0" w:rsidRDefault="00BF0B67" w:rsidP="00BF0B67">
      <w:pPr>
        <w:tabs>
          <w:tab w:val="left" w:pos="1440"/>
        </w:tabs>
        <w:ind w:left="1440" w:right="-720"/>
        <w:rPr>
          <w:bCs/>
          <w:szCs w:val="22"/>
        </w:rPr>
      </w:pPr>
    </w:p>
    <w:p w:rsidR="00D64945" w:rsidRDefault="00BE67DE" w:rsidP="008E580F">
      <w:pPr>
        <w:numPr>
          <w:ilvl w:val="0"/>
          <w:numId w:val="33"/>
        </w:numPr>
        <w:tabs>
          <w:tab w:val="left" w:pos="1440"/>
        </w:tabs>
        <w:ind w:right="-720"/>
        <w:rPr>
          <w:bCs/>
          <w:szCs w:val="22"/>
        </w:rPr>
      </w:pPr>
      <w:r>
        <w:rPr>
          <w:bCs/>
          <w:szCs w:val="22"/>
        </w:rPr>
        <w:t>Schedule 9</w:t>
      </w:r>
      <w:r w:rsidR="00371D94">
        <w:rPr>
          <w:bCs/>
          <w:szCs w:val="22"/>
        </w:rPr>
        <w:t>5</w:t>
      </w:r>
      <w:r>
        <w:rPr>
          <w:bCs/>
          <w:szCs w:val="22"/>
        </w:rPr>
        <w:t xml:space="preserve"> (Buck-a-Block) Issue</w:t>
      </w:r>
      <w:r w:rsidR="00D64945" w:rsidRPr="003E2C1F">
        <w:rPr>
          <w:bCs/>
          <w:szCs w:val="22"/>
        </w:rPr>
        <w:tab/>
      </w:r>
      <w:r w:rsidR="008354EE">
        <w:rPr>
          <w:bCs/>
          <w:szCs w:val="22"/>
        </w:rPr>
        <w:tab/>
      </w:r>
      <w:r w:rsidR="008354EE">
        <w:rPr>
          <w:bCs/>
          <w:szCs w:val="22"/>
        </w:rPr>
        <w:tab/>
      </w:r>
      <w:r w:rsidR="008354EE">
        <w:rPr>
          <w:bCs/>
          <w:szCs w:val="22"/>
        </w:rPr>
        <w:tab/>
      </w:r>
      <w:r w:rsidR="008354EE">
        <w:rPr>
          <w:bCs/>
          <w:szCs w:val="22"/>
        </w:rPr>
        <w:tab/>
      </w:r>
      <w:r w:rsidR="000926C0">
        <w:rPr>
          <w:bCs/>
          <w:szCs w:val="22"/>
        </w:rPr>
        <w:t>41</w:t>
      </w:r>
    </w:p>
    <w:p w:rsidR="008354EE" w:rsidRDefault="008354EE" w:rsidP="008354EE">
      <w:pPr>
        <w:pStyle w:val="ListParagraph"/>
        <w:rPr>
          <w:bCs/>
          <w:szCs w:val="22"/>
        </w:rPr>
      </w:pPr>
    </w:p>
    <w:p w:rsidR="00BE67DE" w:rsidRPr="003E2C1F" w:rsidRDefault="00BE67DE" w:rsidP="008E580F">
      <w:pPr>
        <w:numPr>
          <w:ilvl w:val="0"/>
          <w:numId w:val="33"/>
        </w:numPr>
        <w:tabs>
          <w:tab w:val="left" w:pos="1440"/>
        </w:tabs>
        <w:ind w:right="-720"/>
        <w:rPr>
          <w:bCs/>
          <w:szCs w:val="22"/>
        </w:rPr>
      </w:pPr>
      <w:r>
        <w:rPr>
          <w:bCs/>
          <w:szCs w:val="22"/>
        </w:rPr>
        <w:t xml:space="preserve">Schedule 93 </w:t>
      </w:r>
      <w:r w:rsidR="00371D94">
        <w:t>ERM</w:t>
      </w:r>
      <w:r w:rsidR="00E01006">
        <w:t xml:space="preserve"> </w:t>
      </w:r>
      <w:r w:rsidR="00371D94">
        <w:t>Rebate</w:t>
      </w:r>
      <w:r w:rsidR="00371D94">
        <w:tab/>
      </w:r>
      <w:r w:rsidR="00371D94">
        <w:tab/>
      </w:r>
      <w:r w:rsidR="00371D94">
        <w:tab/>
      </w:r>
      <w:r>
        <w:rPr>
          <w:bCs/>
          <w:szCs w:val="22"/>
        </w:rPr>
        <w:tab/>
      </w:r>
      <w:r w:rsidR="00E01006">
        <w:rPr>
          <w:bCs/>
          <w:szCs w:val="22"/>
        </w:rPr>
        <w:tab/>
      </w:r>
      <w:r w:rsidR="00E01006">
        <w:rPr>
          <w:bCs/>
          <w:szCs w:val="22"/>
        </w:rPr>
        <w:tab/>
      </w:r>
      <w:r w:rsidR="000926C0">
        <w:rPr>
          <w:bCs/>
          <w:szCs w:val="22"/>
        </w:rPr>
        <w:t>43</w:t>
      </w:r>
    </w:p>
    <w:p w:rsidR="002F3BC3" w:rsidRPr="003E2C1F" w:rsidRDefault="002F3BC3" w:rsidP="002F3BC3">
      <w:pPr>
        <w:pStyle w:val="ListParagraph"/>
        <w:rPr>
          <w:bCs/>
          <w:szCs w:val="22"/>
        </w:rPr>
      </w:pPr>
    </w:p>
    <w:p w:rsidR="002F3BC3" w:rsidRPr="00916D0F" w:rsidRDefault="00AD03A5" w:rsidP="008E580F">
      <w:pPr>
        <w:numPr>
          <w:ilvl w:val="0"/>
          <w:numId w:val="33"/>
        </w:numPr>
        <w:tabs>
          <w:tab w:val="left" w:pos="1440"/>
        </w:tabs>
        <w:ind w:right="-720"/>
        <w:rPr>
          <w:bCs/>
          <w:szCs w:val="22"/>
        </w:rPr>
      </w:pPr>
      <w:r w:rsidRPr="003E2C1F">
        <w:rPr>
          <w:bCs/>
          <w:szCs w:val="22"/>
        </w:rPr>
        <w:t>Summary of UE-1</w:t>
      </w:r>
      <w:r w:rsidR="00BE67DE">
        <w:rPr>
          <w:bCs/>
          <w:szCs w:val="22"/>
        </w:rPr>
        <w:t>10876</w:t>
      </w:r>
      <w:r w:rsidRPr="003E2C1F">
        <w:rPr>
          <w:bCs/>
          <w:szCs w:val="22"/>
        </w:rPr>
        <w:t>/UG-1</w:t>
      </w:r>
      <w:r w:rsidR="00BE67DE">
        <w:rPr>
          <w:bCs/>
          <w:szCs w:val="22"/>
        </w:rPr>
        <w:t>10877</w:t>
      </w:r>
      <w:r w:rsidRPr="003E2C1F">
        <w:rPr>
          <w:bCs/>
          <w:szCs w:val="22"/>
        </w:rPr>
        <w:t xml:space="preserve"> Order </w:t>
      </w:r>
      <w:r w:rsidR="000E2E27" w:rsidRPr="003E2C1F">
        <w:rPr>
          <w:bCs/>
          <w:szCs w:val="22"/>
        </w:rPr>
        <w:t>No.</w:t>
      </w:r>
      <w:r w:rsidR="00BE67DE">
        <w:rPr>
          <w:bCs/>
          <w:szCs w:val="22"/>
        </w:rPr>
        <w:t xml:space="preserve"> 06</w:t>
      </w:r>
      <w:r w:rsidRPr="003E2C1F">
        <w:rPr>
          <w:bCs/>
          <w:szCs w:val="22"/>
        </w:rPr>
        <w:t xml:space="preserve"> Requirements</w:t>
      </w:r>
      <w:r w:rsidR="004E4650" w:rsidRPr="003E2C1F">
        <w:rPr>
          <w:bCs/>
          <w:szCs w:val="22"/>
        </w:rPr>
        <w:tab/>
      </w:r>
      <w:r w:rsidR="00C07A93">
        <w:rPr>
          <w:bCs/>
          <w:szCs w:val="22"/>
        </w:rPr>
        <w:t>4</w:t>
      </w:r>
      <w:r w:rsidR="000926C0">
        <w:rPr>
          <w:bCs/>
          <w:szCs w:val="22"/>
        </w:rPr>
        <w:t>5</w:t>
      </w:r>
      <w:r w:rsidR="004E4650">
        <w:rPr>
          <w:bCs/>
          <w:szCs w:val="22"/>
        </w:rPr>
        <w:tab/>
      </w:r>
    </w:p>
    <w:p w:rsidR="00944313" w:rsidRDefault="00944313" w:rsidP="005540EB">
      <w:pPr>
        <w:pStyle w:val="P267"/>
        <w:tabs>
          <w:tab w:val="clear" w:pos="360"/>
          <w:tab w:val="left" w:pos="0"/>
        </w:tabs>
        <w:ind w:left="0"/>
        <w:jc w:val="center"/>
        <w:rPr>
          <w:rFonts w:ascii="Times New Roman" w:hAnsi="Times New Roman" w:cs="Times New Roman"/>
        </w:rPr>
      </w:pPr>
    </w:p>
    <w:p w:rsidR="0027643C" w:rsidRDefault="0027643C" w:rsidP="005540EB">
      <w:pPr>
        <w:pStyle w:val="P267"/>
        <w:tabs>
          <w:tab w:val="clear" w:pos="360"/>
          <w:tab w:val="left" w:pos="0"/>
        </w:tabs>
        <w:ind w:left="0"/>
        <w:jc w:val="center"/>
        <w:rPr>
          <w:rFonts w:ascii="Times New Roman" w:hAnsi="Times New Roman" w:cs="Times New Roman"/>
        </w:rPr>
      </w:pPr>
    </w:p>
    <w:p w:rsidR="005540EB" w:rsidRPr="005540EB" w:rsidRDefault="005540EB" w:rsidP="005540EB">
      <w:pPr>
        <w:pStyle w:val="P267"/>
        <w:tabs>
          <w:tab w:val="clear" w:pos="360"/>
          <w:tab w:val="left" w:pos="0"/>
        </w:tabs>
        <w:ind w:left="0"/>
        <w:jc w:val="center"/>
        <w:rPr>
          <w:rFonts w:ascii="Times New Roman" w:hAnsi="Times New Roman" w:cs="Times New Roman"/>
        </w:rPr>
      </w:pPr>
      <w:r w:rsidRPr="005540EB">
        <w:rPr>
          <w:rFonts w:ascii="Times New Roman" w:hAnsi="Times New Roman" w:cs="Times New Roman"/>
        </w:rPr>
        <w:t>II.  EXECUTIVE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Proposed Electric Increase</w:t>
      </w:r>
    </w:p>
    <w:p w:rsidR="005540EB" w:rsidRPr="00A47B5B" w:rsidRDefault="005540EB" w:rsidP="00711833">
      <w:pPr>
        <w:pStyle w:val="P84"/>
        <w:numPr>
          <w:ilvl w:val="0"/>
          <w:numId w:val="8"/>
        </w:numPr>
        <w:tabs>
          <w:tab w:val="clear" w:pos="2310"/>
          <w:tab w:val="num" w:pos="1440"/>
        </w:tabs>
        <w:ind w:left="0" w:firstLine="720"/>
        <w:jc w:val="both"/>
        <w:rPr>
          <w:rFonts w:ascii="Times New Roman" w:hAnsi="Times New Roman" w:cs="Times New Roman"/>
        </w:rPr>
      </w:pPr>
      <w:r w:rsidRPr="005540EB">
        <w:rPr>
          <w:rFonts w:ascii="Times New Roman" w:hAnsi="Times New Roman" w:cs="Times New Roman"/>
        </w:rPr>
        <w:t xml:space="preserve">What is the proposed electric revenue increase in this case and how is the Company </w:t>
      </w:r>
      <w:r w:rsidRPr="00A47B5B">
        <w:rPr>
          <w:rFonts w:ascii="Times New Roman" w:hAnsi="Times New Roman" w:cs="Times New Roman"/>
        </w:rPr>
        <w:t>proposing to spread the total increase by rate schedule?</w:t>
      </w:r>
    </w:p>
    <w:p w:rsidR="00524793" w:rsidRPr="00A47B5B" w:rsidRDefault="005540EB" w:rsidP="00711833">
      <w:pPr>
        <w:pStyle w:val="P31"/>
        <w:numPr>
          <w:ilvl w:val="0"/>
          <w:numId w:val="32"/>
        </w:numPr>
        <w:tabs>
          <w:tab w:val="clear" w:pos="2160"/>
          <w:tab w:val="num" w:pos="2340"/>
        </w:tabs>
        <w:ind w:left="0" w:firstLine="720"/>
        <w:jc w:val="both"/>
        <w:rPr>
          <w:rFonts w:ascii="Times New Roman" w:hAnsi="Times New Roman" w:cs="Times New Roman"/>
        </w:rPr>
      </w:pPr>
      <w:r w:rsidRPr="00A47B5B">
        <w:rPr>
          <w:rFonts w:ascii="Times New Roman" w:hAnsi="Times New Roman" w:cs="Times New Roman"/>
        </w:rPr>
        <w:t xml:space="preserve">The proposed electric increase is </w:t>
      </w:r>
      <w:r w:rsidR="00CB3A2C"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A47B5B" w:rsidRPr="00A47B5B">
        <w:rPr>
          <w:rFonts w:ascii="Times New Roman" w:hAnsi="Times New Roman" w:cs="Times New Roman"/>
        </w:rPr>
        <w:t>,000</w:t>
      </w:r>
      <w:r w:rsidR="00CB3A2C" w:rsidRPr="00A47B5B">
        <w:rPr>
          <w:rFonts w:ascii="Times New Roman" w:hAnsi="Times New Roman" w:cs="Times New Roman"/>
        </w:rPr>
        <w:t xml:space="preserve">, or </w:t>
      </w:r>
      <w:r w:rsidR="004940D3" w:rsidRPr="00A47B5B">
        <w:rPr>
          <w:rFonts w:ascii="Times New Roman" w:hAnsi="Times New Roman" w:cs="Times New Roman"/>
        </w:rPr>
        <w:t>9.</w:t>
      </w:r>
      <w:r w:rsidR="00A47B5B" w:rsidRPr="00A47B5B">
        <w:rPr>
          <w:rFonts w:ascii="Times New Roman" w:hAnsi="Times New Roman" w:cs="Times New Roman"/>
        </w:rPr>
        <w:t>0</w:t>
      </w:r>
      <w:r w:rsidR="00CB3A2C" w:rsidRPr="00A47B5B">
        <w:rPr>
          <w:rFonts w:ascii="Times New Roman" w:hAnsi="Times New Roman" w:cs="Times New Roman"/>
        </w:rPr>
        <w:t xml:space="preserve">% </w:t>
      </w:r>
      <w:r w:rsidRPr="00A47B5B">
        <w:rPr>
          <w:rFonts w:ascii="Times New Roman" w:hAnsi="Times New Roman" w:cs="Times New Roman"/>
        </w:rPr>
        <w:t xml:space="preserve">over present </w:t>
      </w:r>
      <w:r w:rsidRPr="00A47B5B">
        <w:rPr>
          <w:rFonts w:ascii="Times New Roman" w:hAnsi="Times New Roman" w:cs="Times New Roman"/>
          <w:u w:val="single"/>
        </w:rPr>
        <w:t>base</w:t>
      </w:r>
      <w:r w:rsidRPr="00A47B5B">
        <w:rPr>
          <w:rFonts w:ascii="Times New Roman" w:hAnsi="Times New Roman" w:cs="Times New Roman"/>
        </w:rPr>
        <w:t xml:space="preserve"> tariff rates in effect.  The proposed general increase over present </w:t>
      </w:r>
      <w:r w:rsidRPr="00A47B5B">
        <w:rPr>
          <w:rStyle w:val="T5"/>
          <w:rFonts w:ascii="Times New Roman" w:hAnsi="Times New Roman" w:cs="Times New Roman"/>
        </w:rPr>
        <w:t>billing</w:t>
      </w:r>
      <w:r w:rsidRPr="00A47B5B">
        <w:rPr>
          <w:rFonts w:ascii="Times New Roman" w:hAnsi="Times New Roman" w:cs="Times New Roman"/>
        </w:rPr>
        <w:t xml:space="preserve"> rates, including all other rate adjustments (DSM and Residential Exchange)</w:t>
      </w:r>
      <w:r w:rsidR="00E01006" w:rsidRPr="00A47B5B">
        <w:rPr>
          <w:rFonts w:ascii="Times New Roman" w:hAnsi="Times New Roman" w:cs="Times New Roman"/>
        </w:rPr>
        <w:t xml:space="preserve">, as well as the proposed </w:t>
      </w:r>
      <w:r w:rsidR="00371D94" w:rsidRPr="00A47B5B">
        <w:rPr>
          <w:rFonts w:ascii="Times New Roman" w:hAnsi="Times New Roman" w:cs="Times New Roman"/>
        </w:rPr>
        <w:t xml:space="preserve">ERM </w:t>
      </w:r>
      <w:r w:rsidR="00F9270A" w:rsidRPr="00A47B5B">
        <w:rPr>
          <w:rFonts w:ascii="Times New Roman" w:hAnsi="Times New Roman" w:cs="Times New Roman"/>
        </w:rPr>
        <w:t>Rebate</w:t>
      </w:r>
      <w:r w:rsidRPr="00A47B5B">
        <w:rPr>
          <w:rFonts w:ascii="Times New Roman" w:hAnsi="Times New Roman" w:cs="Times New Roman"/>
        </w:rPr>
        <w:t>, is</w:t>
      </w:r>
      <w:r w:rsidR="00944313" w:rsidRPr="00A47B5B">
        <w:rPr>
          <w:rFonts w:ascii="Times New Roman" w:hAnsi="Times New Roman" w:cs="Times New Roman"/>
        </w:rPr>
        <w:t xml:space="preserve"> </w:t>
      </w:r>
      <w:r w:rsidR="00A47B5B" w:rsidRPr="00A47B5B">
        <w:rPr>
          <w:rFonts w:ascii="Times New Roman" w:hAnsi="Times New Roman" w:cs="Times New Roman"/>
        </w:rPr>
        <w:t>5.</w:t>
      </w:r>
      <w:r w:rsidR="00AF5996">
        <w:rPr>
          <w:rFonts w:ascii="Times New Roman" w:hAnsi="Times New Roman" w:cs="Times New Roman"/>
        </w:rPr>
        <w:t>9</w:t>
      </w:r>
      <w:r w:rsidR="00944313" w:rsidRPr="00A47B5B">
        <w:rPr>
          <w:rFonts w:ascii="Times New Roman" w:hAnsi="Times New Roman" w:cs="Times New Roman"/>
        </w:rPr>
        <w:t>%.</w:t>
      </w:r>
      <w:r w:rsidRPr="00A47B5B">
        <w:rPr>
          <w:rFonts w:ascii="Times New Roman" w:hAnsi="Times New Roman" w:cs="Times New Roman"/>
        </w:rPr>
        <w:t xml:space="preserve">  </w:t>
      </w:r>
      <w:r w:rsidR="00B5246C" w:rsidRPr="00A47B5B">
        <w:rPr>
          <w:rFonts w:ascii="Times New Roman" w:hAnsi="Times New Roman" w:cs="Times New Roman"/>
        </w:rPr>
        <w:t xml:space="preserve"> </w:t>
      </w:r>
      <w:r w:rsidRPr="00A47B5B">
        <w:rPr>
          <w:rFonts w:ascii="Times New Roman" w:hAnsi="Times New Roman" w:cs="Times New Roman"/>
        </w:rPr>
        <w:t xml:space="preserve">The proposed general </w:t>
      </w:r>
      <w:r w:rsidR="00371D94" w:rsidRPr="00A47B5B">
        <w:rPr>
          <w:rFonts w:ascii="Times New Roman" w:hAnsi="Times New Roman" w:cs="Times New Roman"/>
        </w:rPr>
        <w:t xml:space="preserve">base rate </w:t>
      </w:r>
      <w:r w:rsidRPr="00A47B5B">
        <w:rPr>
          <w:rFonts w:ascii="Times New Roman" w:hAnsi="Times New Roman" w:cs="Times New Roman"/>
        </w:rPr>
        <w:t xml:space="preserve">increase of </w:t>
      </w:r>
      <w:r w:rsidR="004940D3" w:rsidRPr="00A47B5B">
        <w:rPr>
          <w:rFonts w:ascii="Times New Roman" w:hAnsi="Times New Roman" w:cs="Times New Roman"/>
        </w:rPr>
        <w:t>$</w:t>
      </w:r>
      <w:r w:rsidR="00A47B5B" w:rsidRPr="00A47B5B">
        <w:rPr>
          <w:rFonts w:ascii="Times New Roman" w:hAnsi="Times New Roman" w:cs="Times New Roman"/>
        </w:rPr>
        <w:t>40,</w:t>
      </w:r>
      <w:r w:rsidR="00AF5996">
        <w:rPr>
          <w:rFonts w:ascii="Times New Roman" w:hAnsi="Times New Roman" w:cs="Times New Roman"/>
        </w:rPr>
        <w:t>983</w:t>
      </w:r>
      <w:r w:rsidR="004940D3" w:rsidRPr="00A47B5B">
        <w:rPr>
          <w:rFonts w:ascii="Times New Roman" w:hAnsi="Times New Roman" w:cs="Times New Roman"/>
        </w:rPr>
        <w:t xml:space="preserve">,000 </w:t>
      </w:r>
      <w:r w:rsidRPr="00A47B5B">
        <w:rPr>
          <w:rFonts w:ascii="Times New Roman" w:hAnsi="Times New Roman" w:cs="Times New Roman"/>
        </w:rPr>
        <w:t xml:space="preserve">has been spread by rate schedule </w:t>
      </w:r>
      <w:r w:rsidR="00371D94" w:rsidRPr="00A47B5B">
        <w:rPr>
          <w:rFonts w:ascii="Times New Roman" w:hAnsi="Times New Roman" w:cs="Times New Roman"/>
        </w:rPr>
        <w:t xml:space="preserve">on a uniform percentage basis, as has the proposed ERM </w:t>
      </w:r>
      <w:r w:rsidR="00F9270A" w:rsidRPr="00A47B5B">
        <w:rPr>
          <w:rFonts w:ascii="Times New Roman" w:hAnsi="Times New Roman" w:cs="Times New Roman"/>
        </w:rPr>
        <w:t>Rebate</w:t>
      </w:r>
      <w:r w:rsidRPr="00A47B5B">
        <w:rPr>
          <w:rFonts w:ascii="Times New Roman" w:hAnsi="Times New Roman" w:cs="Times New Roman"/>
        </w:rPr>
        <w:t xml:space="preserve">.  The </w:t>
      </w:r>
      <w:r w:rsidRPr="00A47B5B">
        <w:rPr>
          <w:rFonts w:ascii="Times New Roman" w:hAnsi="Times New Roman" w:cs="Times New Roman"/>
        </w:rPr>
        <w:lastRenderedPageBreak/>
        <w:t xml:space="preserve">proposed percentage increase by rate schedule is as follows:  </w:t>
      </w:r>
    </w:p>
    <w:p w:rsidR="005540EB" w:rsidRPr="00B5246C" w:rsidRDefault="00AF5996" w:rsidP="00711833">
      <w:pPr>
        <w:pStyle w:val="P31"/>
        <w:jc w:val="both"/>
        <w:rPr>
          <w:rFonts w:ascii="Times New Roman" w:hAnsi="Times New Roman" w:cs="Times New Roman"/>
        </w:rPr>
      </w:pPr>
      <w:r w:rsidRPr="00AF5996">
        <w:rPr>
          <w:noProof/>
        </w:rPr>
        <w:drawing>
          <wp:anchor distT="0" distB="0" distL="114300" distR="114300" simplePos="0" relativeHeight="251830784" behindDoc="1" locked="0" layoutInCell="1" allowOverlap="1">
            <wp:simplePos x="0" y="0"/>
            <wp:positionH relativeFrom="column">
              <wp:posOffset>3522</wp:posOffset>
            </wp:positionH>
            <wp:positionV relativeFrom="paragraph">
              <wp:posOffset>63548</wp:posOffset>
            </wp:positionV>
            <wp:extent cx="6079826" cy="17684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079826" cy="1768415"/>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711833">
      <w:pPr>
        <w:pStyle w:val="P31"/>
        <w:jc w:val="both"/>
        <w:rPr>
          <w:rFonts w:ascii="Times New Roman" w:hAnsi="Times New Roman" w:cs="Times New Roman"/>
        </w:rPr>
      </w:pPr>
      <w:r w:rsidRPr="005540EB">
        <w:rPr>
          <w:rFonts w:ascii="Times New Roman" w:hAnsi="Times New Roman" w:cs="Times New Roman"/>
        </w:rPr>
        <w:t xml:space="preserve">This information is shown </w:t>
      </w:r>
      <w:r w:rsidR="001D224A">
        <w:rPr>
          <w:rFonts w:ascii="Times New Roman" w:hAnsi="Times New Roman" w:cs="Times New Roman"/>
        </w:rPr>
        <w:t>with more</w:t>
      </w:r>
      <w:r w:rsidRPr="005540EB">
        <w:rPr>
          <w:rFonts w:ascii="Times New Roman" w:hAnsi="Times New Roman" w:cs="Times New Roman"/>
        </w:rPr>
        <w:t xml:space="preserve"> detail on page 1,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w:t>
      </w:r>
    </w:p>
    <w:p w:rsidR="005540EB" w:rsidRPr="005540EB" w:rsidRDefault="005540EB" w:rsidP="00711833">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r w:rsidR="00892413">
        <w:rPr>
          <w:rFonts w:ascii="Times New Roman" w:hAnsi="Times New Roman" w:cs="Times New Roman"/>
        </w:rPr>
        <w:t xml:space="preserve">, including the proposed ERM </w:t>
      </w:r>
      <w:r w:rsidR="00F9270A">
        <w:rPr>
          <w:rFonts w:ascii="Times New Roman" w:hAnsi="Times New Roman" w:cs="Times New Roman"/>
        </w:rPr>
        <w:t>Rebate</w:t>
      </w:r>
      <w:r w:rsidRPr="005540EB">
        <w:rPr>
          <w:rFonts w:ascii="Times New Roman" w:hAnsi="Times New Roman" w:cs="Times New Roman"/>
        </w:rPr>
        <w:t>?</w:t>
      </w:r>
    </w:p>
    <w:p w:rsidR="00916D0F" w:rsidRPr="00BC5C99" w:rsidRDefault="005540EB" w:rsidP="00711833">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average of </w:t>
      </w:r>
      <w:r w:rsidR="00892413" w:rsidRPr="00A47B5B">
        <w:rPr>
          <w:rFonts w:ascii="Times New Roman" w:hAnsi="Times New Roman" w:cs="Times New Roman"/>
        </w:rPr>
        <w:t>989</w:t>
      </w:r>
      <w:r w:rsidRPr="00A47B5B">
        <w:rPr>
          <w:rFonts w:ascii="Times New Roman" w:hAnsi="Times New Roman" w:cs="Times New Roman"/>
        </w:rPr>
        <w:t xml:space="preserve"> kWhs per month is </w:t>
      </w:r>
      <w:r w:rsidR="00944313" w:rsidRPr="00A47B5B">
        <w:rPr>
          <w:rFonts w:ascii="Times New Roman" w:hAnsi="Times New Roman" w:cs="Times New Roman"/>
        </w:rPr>
        <w:t>$</w:t>
      </w:r>
      <w:r w:rsidR="00A47B5B" w:rsidRPr="00A47B5B">
        <w:rPr>
          <w:rFonts w:ascii="Times New Roman" w:hAnsi="Times New Roman" w:cs="Times New Roman"/>
        </w:rPr>
        <w:t>4.9</w:t>
      </w:r>
      <w:r w:rsidR="006F6605">
        <w:rPr>
          <w:rFonts w:ascii="Times New Roman" w:hAnsi="Times New Roman" w:cs="Times New Roman"/>
        </w:rPr>
        <w:t>4</w:t>
      </w:r>
      <w:r w:rsidRPr="00A47B5B">
        <w:rPr>
          <w:rFonts w:ascii="Times New Roman" w:hAnsi="Times New Roman" w:cs="Times New Roman"/>
        </w:rPr>
        <w:t xml:space="preserve"> per month, or a </w:t>
      </w:r>
      <w:r w:rsidR="00892413" w:rsidRPr="00A47B5B">
        <w:rPr>
          <w:rFonts w:ascii="Times New Roman" w:hAnsi="Times New Roman" w:cs="Times New Roman"/>
        </w:rPr>
        <w:t>6.</w:t>
      </w:r>
      <w:r w:rsidR="00AF5996">
        <w:rPr>
          <w:rFonts w:ascii="Times New Roman" w:hAnsi="Times New Roman" w:cs="Times New Roman"/>
        </w:rPr>
        <w:t>3</w:t>
      </w:r>
      <w:r w:rsidR="00944313" w:rsidRPr="00A47B5B">
        <w:rPr>
          <w:rFonts w:ascii="Times New Roman" w:hAnsi="Times New Roman" w:cs="Times New Roman"/>
        </w:rPr>
        <w:t>%</w:t>
      </w:r>
      <w:r w:rsidRPr="00A47B5B">
        <w:rPr>
          <w:rFonts w:ascii="Times New Roman" w:hAnsi="Times New Roman" w:cs="Times New Roman"/>
        </w:rPr>
        <w:t xml:space="preserve"> increase in their electric bill</w:t>
      </w:r>
      <w:r w:rsidR="00BC5C99" w:rsidRPr="00A47B5B">
        <w:rPr>
          <w:rFonts w:ascii="Times New Roman" w:hAnsi="Times New Roman" w:cs="Times New Roman"/>
        </w:rPr>
        <w:t xml:space="preserve">.  </w:t>
      </w:r>
      <w:r w:rsidRPr="00A47B5B">
        <w:rPr>
          <w:rFonts w:ascii="Times New Roman" w:hAnsi="Times New Roman" w:cs="Times New Roman"/>
        </w:rPr>
        <w:t xml:space="preserve">The present bill for </w:t>
      </w:r>
      <w:r w:rsidR="00892413" w:rsidRPr="00A47B5B">
        <w:rPr>
          <w:rFonts w:ascii="Times New Roman" w:hAnsi="Times New Roman" w:cs="Times New Roman"/>
        </w:rPr>
        <w:t xml:space="preserve">989 </w:t>
      </w:r>
      <w:r w:rsidRPr="00A47B5B">
        <w:rPr>
          <w:rFonts w:ascii="Times New Roman" w:hAnsi="Times New Roman" w:cs="Times New Roman"/>
        </w:rPr>
        <w:t xml:space="preserve">kWhs is </w:t>
      </w:r>
      <w:r w:rsidR="00892413" w:rsidRPr="00A47B5B">
        <w:rPr>
          <w:rFonts w:ascii="Times New Roman" w:hAnsi="Times New Roman" w:cs="Times New Roman"/>
        </w:rPr>
        <w:t>$78.</w:t>
      </w:r>
      <w:r w:rsidR="006F6605">
        <w:rPr>
          <w:rFonts w:ascii="Times New Roman" w:hAnsi="Times New Roman" w:cs="Times New Roman"/>
        </w:rPr>
        <w:t>97</w:t>
      </w:r>
      <w:r w:rsidRPr="00A47B5B">
        <w:rPr>
          <w:rFonts w:ascii="Times New Roman" w:hAnsi="Times New Roman" w:cs="Times New Roman"/>
        </w:rPr>
        <w:t xml:space="preserve"> compared to the proposed level of $</w:t>
      </w:r>
      <w:r w:rsidR="00A47B5B" w:rsidRPr="00A47B5B">
        <w:rPr>
          <w:rFonts w:ascii="Times New Roman" w:hAnsi="Times New Roman" w:cs="Times New Roman"/>
        </w:rPr>
        <w:t>83.</w:t>
      </w:r>
      <w:r w:rsidR="00AF5996">
        <w:rPr>
          <w:rFonts w:ascii="Times New Roman" w:hAnsi="Times New Roman" w:cs="Times New Roman"/>
        </w:rPr>
        <w:t>91</w:t>
      </w:r>
      <w:r w:rsidRPr="00A47B5B">
        <w:rPr>
          <w:rFonts w:ascii="Times New Roman" w:hAnsi="Times New Roman" w:cs="Times New Roman"/>
        </w:rPr>
        <w:t>, including all rate adjustments.</w:t>
      </w:r>
      <w:r w:rsidR="00593603" w:rsidRPr="00A47B5B">
        <w:rPr>
          <w:rFonts w:ascii="Times New Roman" w:hAnsi="Times New Roman" w:cs="Times New Roman"/>
        </w:rPr>
        <w:t xml:space="preserve">  The Company is also proposing to</w:t>
      </w:r>
      <w:r w:rsidR="00593603">
        <w:rPr>
          <w:rFonts w:ascii="Times New Roman" w:hAnsi="Times New Roman" w:cs="Times New Roman"/>
        </w:rPr>
        <w:t xml:space="preserve"> change the basic charge from $6.00 per month </w:t>
      </w:r>
      <w:r w:rsidR="00593603" w:rsidRPr="00DB7F95">
        <w:rPr>
          <w:rFonts w:ascii="Times New Roman" w:hAnsi="Times New Roman" w:cs="Times New Roman"/>
        </w:rPr>
        <w:t>to $</w:t>
      </w:r>
      <w:r w:rsidR="00371D94">
        <w:rPr>
          <w:rFonts w:ascii="Times New Roman" w:hAnsi="Times New Roman" w:cs="Times New Roman"/>
        </w:rPr>
        <w:t>10</w:t>
      </w:r>
      <w:r w:rsidR="00593603" w:rsidRPr="00DB7F95">
        <w:rPr>
          <w:rFonts w:ascii="Times New Roman" w:hAnsi="Times New Roman" w:cs="Times New Roman"/>
        </w:rPr>
        <w:t>.00</w:t>
      </w:r>
      <w:r w:rsidR="00593603">
        <w:rPr>
          <w:rFonts w:ascii="Times New Roman" w:hAnsi="Times New Roman" w:cs="Times New Roman"/>
        </w:rPr>
        <w:t xml:space="preserve"> per month.</w:t>
      </w:r>
    </w:p>
    <w:p w:rsidR="005540EB" w:rsidRPr="005540EB" w:rsidRDefault="005540EB" w:rsidP="00711833">
      <w:pPr>
        <w:pStyle w:val="P131"/>
        <w:numPr>
          <w:ilvl w:val="0"/>
          <w:numId w:val="1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11833">
      <w:pPr>
        <w:pStyle w:val="P157"/>
        <w:numPr>
          <w:ilvl w:val="0"/>
          <w:numId w:val="6"/>
        </w:numPr>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07197F" w:rsidRPr="0007197F" w:rsidRDefault="005540EB" w:rsidP="0007197F">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0007197F">
        <w:rPr>
          <w:rFonts w:ascii="Times New Roman" w:hAnsi="Times New Roman" w:cs="Times New Roman"/>
        </w:rPr>
        <w:br w:type="page"/>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lastRenderedPageBreak/>
        <w:t>Proposed Natural Gas Increase</w:t>
      </w:r>
    </w:p>
    <w:p w:rsidR="00643147" w:rsidRPr="00443386" w:rsidRDefault="005540EB" w:rsidP="0064314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t xml:space="preserve">How is the Company proposing to spread the overall natural gas </w:t>
      </w:r>
      <w:r w:rsidRPr="00892413">
        <w:rPr>
          <w:rFonts w:ascii="Times New Roman" w:hAnsi="Times New Roman" w:cs="Times New Roman"/>
        </w:rPr>
        <w:t xml:space="preserve">increase of </w:t>
      </w:r>
      <w:r w:rsidR="00987E07" w:rsidRPr="00892413">
        <w:rPr>
          <w:rFonts w:ascii="Times New Roman" w:hAnsi="Times New Roman" w:cs="Times New Roman"/>
        </w:rPr>
        <w:t>$</w:t>
      </w:r>
      <w:r w:rsidR="00892413" w:rsidRPr="00443386">
        <w:rPr>
          <w:rFonts w:ascii="Times New Roman" w:hAnsi="Times New Roman" w:cs="Times New Roman"/>
        </w:rPr>
        <w:t>10,</w:t>
      </w:r>
      <w:r w:rsidR="00A47B5B" w:rsidRPr="00443386">
        <w:rPr>
          <w:rFonts w:ascii="Times New Roman" w:hAnsi="Times New Roman" w:cs="Times New Roman"/>
        </w:rPr>
        <w:t>088</w:t>
      </w:r>
      <w:r w:rsidR="00DB7F95" w:rsidRPr="00443386">
        <w:rPr>
          <w:rFonts w:ascii="Times New Roman" w:hAnsi="Times New Roman" w:cs="Times New Roman"/>
        </w:rPr>
        <w:t>,000</w:t>
      </w:r>
      <w:r w:rsidR="00987E07" w:rsidRPr="00443386">
        <w:rPr>
          <w:rFonts w:ascii="Times New Roman" w:hAnsi="Times New Roman" w:cs="Times New Roman"/>
        </w:rPr>
        <w:t xml:space="preserve">, or </w:t>
      </w:r>
      <w:r w:rsidR="00A47B5B" w:rsidRPr="00443386">
        <w:rPr>
          <w:rFonts w:ascii="Times New Roman" w:hAnsi="Times New Roman" w:cs="Times New Roman"/>
        </w:rPr>
        <w:t>7.0</w:t>
      </w:r>
      <w:r w:rsidR="00987E07" w:rsidRPr="00443386">
        <w:rPr>
          <w:rFonts w:ascii="Times New Roman" w:hAnsi="Times New Roman" w:cs="Times New Roman"/>
        </w:rPr>
        <w:t xml:space="preserve">% </w:t>
      </w:r>
      <w:r w:rsidRPr="00443386">
        <w:rPr>
          <w:rFonts w:ascii="Times New Roman" w:hAnsi="Times New Roman" w:cs="Times New Roman"/>
        </w:rPr>
        <w:t>by service schedule?</w:t>
      </w:r>
    </w:p>
    <w:p w:rsidR="005540EB" w:rsidRPr="00443386" w:rsidRDefault="005540EB" w:rsidP="0071183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 xml:space="preserve">The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r w:rsidR="00916D0F" w:rsidRPr="00443386">
        <w:rPr>
          <w:rStyle w:val="FootnoteReference"/>
          <w:rFonts w:ascii="Times New Roman" w:hAnsi="Times New Roman"/>
        </w:rPr>
        <w:footnoteReference w:id="1"/>
      </w:r>
      <w:r w:rsidRPr="00443386">
        <w:rPr>
          <w:rFonts w:ascii="Times New Roman" w:hAnsi="Times New Roman" w:cs="Times New Roman"/>
        </w:rPr>
        <w:t>:</w:t>
      </w:r>
    </w:p>
    <w:p w:rsidR="00B5246C" w:rsidRPr="00443386" w:rsidRDefault="00A47B5B" w:rsidP="00711833">
      <w:pPr>
        <w:pStyle w:val="P190"/>
        <w:ind w:firstLine="0"/>
        <w:jc w:val="both"/>
        <w:rPr>
          <w:rFonts w:ascii="Times New Roman" w:hAnsi="Times New Roman" w:cs="Times New Roman"/>
        </w:rPr>
      </w:pPr>
      <w:r w:rsidRPr="00443386">
        <w:rPr>
          <w:noProof/>
        </w:rPr>
        <w:drawing>
          <wp:anchor distT="0" distB="0" distL="114300" distR="114300" simplePos="0" relativeHeight="251814400" behindDoc="1" locked="0" layoutInCell="1" allowOverlap="1">
            <wp:simplePos x="0" y="0"/>
            <wp:positionH relativeFrom="column">
              <wp:posOffset>401955</wp:posOffset>
            </wp:positionH>
            <wp:positionV relativeFrom="paragraph">
              <wp:posOffset>0</wp:posOffset>
            </wp:positionV>
            <wp:extent cx="5305425" cy="184785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05425" cy="1847850"/>
                    </a:xfrm>
                    <a:prstGeom prst="rect">
                      <a:avLst/>
                    </a:prstGeom>
                    <a:noFill/>
                    <a:ln w="9525">
                      <a:noFill/>
                      <a:miter lim="800000"/>
                      <a:headEnd/>
                      <a:tailEnd/>
                    </a:ln>
                  </pic:spPr>
                </pic:pic>
              </a:graphicData>
            </a:graphic>
          </wp:anchor>
        </w:drawing>
      </w: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892413" w:rsidRPr="00443386"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ab/>
      </w:r>
      <w:r w:rsidR="00545B95" w:rsidRPr="00443386">
        <w:rPr>
          <w:rFonts w:ascii="Times New Roman" w:hAnsi="Times New Roman" w:cs="Times New Roman"/>
        </w:rPr>
        <w:tab/>
      </w: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 xml:space="preserve">-7).  </w:t>
      </w:r>
      <w:r w:rsidR="00892413" w:rsidRPr="00443386">
        <w:rPr>
          <w:rFonts w:ascii="Times New Roman" w:hAnsi="Times New Roman" w:cs="Times New Roman"/>
        </w:rPr>
        <w:t>The Company has spread the proposed general base rate increase of $10,</w:t>
      </w:r>
      <w:r w:rsidR="00A47B5B" w:rsidRPr="00443386">
        <w:rPr>
          <w:rFonts w:ascii="Times New Roman" w:hAnsi="Times New Roman" w:cs="Times New Roman"/>
        </w:rPr>
        <w:t>08</w:t>
      </w:r>
      <w:r w:rsidR="00892413" w:rsidRPr="00443386">
        <w:rPr>
          <w:rFonts w:ascii="Times New Roman" w:hAnsi="Times New Roman" w:cs="Times New Roman"/>
        </w:rPr>
        <w:t>8,000 on a uniform</w:t>
      </w:r>
      <w:r w:rsidR="00892413" w:rsidRPr="00892413">
        <w:rPr>
          <w:rFonts w:ascii="Times New Roman" w:hAnsi="Times New Roman" w:cs="Times New Roman"/>
        </w:rPr>
        <w:t xml:space="preserve"> percentage basis</w:t>
      </w:r>
      <w:r w:rsidR="00892413">
        <w:rPr>
          <w:rFonts w:ascii="Times New Roman" w:hAnsi="Times New Roman" w:cs="Times New Roman"/>
        </w:rPr>
        <w:t xml:space="preserve"> to</w:t>
      </w:r>
      <w:r w:rsidRPr="005540EB">
        <w:rPr>
          <w:rFonts w:ascii="Times New Roman" w:hAnsi="Times New Roman" w:cs="Times New Roman"/>
        </w:rPr>
        <w:t xml:space="preserve"> its natural gas service schedules.  </w:t>
      </w:r>
    </w:p>
    <w:p w:rsidR="005540EB" w:rsidRPr="005540EB" w:rsidRDefault="005540EB" w:rsidP="00711833">
      <w:pPr>
        <w:pStyle w:val="P258"/>
        <w:numPr>
          <w:ilvl w:val="0"/>
          <w:numId w:val="12"/>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proposed monthly increase for a residential natural gas customer with average usage?</w:t>
      </w:r>
    </w:p>
    <w:p w:rsidR="0007197F" w:rsidRPr="0007197F" w:rsidRDefault="004C2025" w:rsidP="0007197F">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t>The increase for a residential customer using an average of 6</w:t>
      </w:r>
      <w:r w:rsidR="00892413" w:rsidRPr="00443386">
        <w:rPr>
          <w:rFonts w:ascii="Times New Roman" w:hAnsi="Times New Roman" w:cs="Times New Roman"/>
        </w:rPr>
        <w:t>8</w:t>
      </w:r>
      <w:r w:rsidRPr="00443386">
        <w:rPr>
          <w:rFonts w:ascii="Times New Roman" w:hAnsi="Times New Roman" w:cs="Times New Roman"/>
        </w:rPr>
        <w:t xml:space="preserve"> therms of </w:t>
      </w:r>
      <w:r w:rsidR="001D224A" w:rsidRPr="00443386">
        <w:rPr>
          <w:rFonts w:ascii="Times New Roman" w:hAnsi="Times New Roman" w:cs="Times New Roman"/>
        </w:rPr>
        <w:t xml:space="preserve">natural </w:t>
      </w:r>
      <w:r w:rsidRPr="00443386">
        <w:rPr>
          <w:rFonts w:ascii="Times New Roman" w:hAnsi="Times New Roman" w:cs="Times New Roman"/>
        </w:rPr>
        <w:t>gas per month would be $</w:t>
      </w:r>
      <w:r w:rsidR="00443386" w:rsidRPr="00443386">
        <w:rPr>
          <w:rFonts w:ascii="Times New Roman" w:hAnsi="Times New Roman" w:cs="Times New Roman"/>
        </w:rPr>
        <w:t>4.23</w:t>
      </w:r>
      <w:r w:rsidRPr="00443386">
        <w:rPr>
          <w:rFonts w:ascii="Times New Roman" w:hAnsi="Times New Roman" w:cs="Times New Roman"/>
        </w:rPr>
        <w:t xml:space="preserve"> per month, or </w:t>
      </w:r>
      <w:r w:rsidR="00443386" w:rsidRPr="00443386">
        <w:rPr>
          <w:rFonts w:ascii="Times New Roman" w:hAnsi="Times New Roman" w:cs="Times New Roman"/>
        </w:rPr>
        <w:t>6.9</w:t>
      </w:r>
      <w:r w:rsidRPr="00443386">
        <w:rPr>
          <w:rFonts w:ascii="Times New Roman" w:hAnsi="Times New Roman" w:cs="Times New Roman"/>
        </w:rPr>
        <w:t xml:space="preserve">%.  A bill for </w:t>
      </w:r>
      <w:r w:rsidR="00892413" w:rsidRPr="00443386">
        <w:rPr>
          <w:rFonts w:ascii="Times New Roman" w:hAnsi="Times New Roman" w:cs="Times New Roman"/>
        </w:rPr>
        <w:t>68</w:t>
      </w:r>
      <w:r w:rsidRPr="00443386">
        <w:rPr>
          <w:rFonts w:ascii="Times New Roman" w:hAnsi="Times New Roman" w:cs="Times New Roman"/>
        </w:rPr>
        <w:t xml:space="preserve"> therms per month would increase from the present level of $</w:t>
      </w:r>
      <w:r w:rsidR="00892413" w:rsidRPr="00443386">
        <w:rPr>
          <w:rFonts w:ascii="Times New Roman" w:hAnsi="Times New Roman" w:cs="Times New Roman"/>
        </w:rPr>
        <w:t>61.55</w:t>
      </w:r>
      <w:r w:rsidRPr="00443386">
        <w:rPr>
          <w:rFonts w:ascii="Times New Roman" w:hAnsi="Times New Roman" w:cs="Times New Roman"/>
        </w:rPr>
        <w:t xml:space="preserve"> to a proposed level of $</w:t>
      </w:r>
      <w:r w:rsidR="00892413" w:rsidRPr="00443386">
        <w:rPr>
          <w:rFonts w:ascii="Times New Roman" w:hAnsi="Times New Roman" w:cs="Times New Roman"/>
        </w:rPr>
        <w:t>65.</w:t>
      </w:r>
      <w:r w:rsidR="00443386" w:rsidRPr="00443386">
        <w:rPr>
          <w:rFonts w:ascii="Times New Roman" w:hAnsi="Times New Roman" w:cs="Times New Roman"/>
        </w:rPr>
        <w:t>78</w:t>
      </w:r>
      <w:r w:rsidRPr="00443386">
        <w:rPr>
          <w:rFonts w:ascii="Times New Roman" w:hAnsi="Times New Roman" w:cs="Times New Roman"/>
        </w:rPr>
        <w:t xml:space="preserve">.  </w:t>
      </w:r>
      <w:r w:rsidR="00BC5C99" w:rsidRPr="00443386">
        <w:rPr>
          <w:rFonts w:ascii="Times New Roman" w:hAnsi="Times New Roman" w:cs="Times New Roman"/>
        </w:rPr>
        <w:t xml:space="preserve">The Company is </w:t>
      </w:r>
      <w:r w:rsidR="00F40195" w:rsidRPr="00443386">
        <w:rPr>
          <w:rFonts w:ascii="Times New Roman" w:hAnsi="Times New Roman" w:cs="Times New Roman"/>
        </w:rPr>
        <w:t xml:space="preserve">also </w:t>
      </w:r>
      <w:r w:rsidR="00BC5C99" w:rsidRPr="00443386">
        <w:rPr>
          <w:rFonts w:ascii="Times New Roman" w:hAnsi="Times New Roman" w:cs="Times New Roman"/>
        </w:rPr>
        <w:t>proposing to change the basic charge f</w:t>
      </w:r>
      <w:r w:rsidR="00F40195" w:rsidRPr="00443386">
        <w:rPr>
          <w:rFonts w:ascii="Times New Roman" w:hAnsi="Times New Roman" w:cs="Times New Roman"/>
        </w:rPr>
        <w:t>rom</w:t>
      </w:r>
      <w:r w:rsidR="00BC5C99" w:rsidRPr="00443386">
        <w:rPr>
          <w:rFonts w:ascii="Times New Roman" w:hAnsi="Times New Roman" w:cs="Times New Roman"/>
        </w:rPr>
        <w:t xml:space="preserve"> </w:t>
      </w:r>
      <w:r w:rsidR="00F40195" w:rsidRPr="00443386">
        <w:rPr>
          <w:rFonts w:ascii="Times New Roman" w:hAnsi="Times New Roman" w:cs="Times New Roman"/>
        </w:rPr>
        <w:t>$</w:t>
      </w:r>
      <w:r w:rsidR="00F40195">
        <w:rPr>
          <w:rFonts w:ascii="Times New Roman" w:hAnsi="Times New Roman" w:cs="Times New Roman"/>
        </w:rPr>
        <w:t xml:space="preserve">6.00 per month </w:t>
      </w:r>
      <w:r w:rsidR="00F40195" w:rsidRPr="00DB7F95">
        <w:rPr>
          <w:rFonts w:ascii="Times New Roman" w:hAnsi="Times New Roman" w:cs="Times New Roman"/>
        </w:rPr>
        <w:t>to $</w:t>
      </w:r>
      <w:r w:rsidR="00371D94">
        <w:rPr>
          <w:rFonts w:ascii="Times New Roman" w:hAnsi="Times New Roman" w:cs="Times New Roman"/>
        </w:rPr>
        <w:t>10</w:t>
      </w:r>
      <w:r w:rsidR="00F40195" w:rsidRPr="00DB7F95">
        <w:rPr>
          <w:rFonts w:ascii="Times New Roman" w:hAnsi="Times New Roman" w:cs="Times New Roman"/>
        </w:rPr>
        <w:t>.00</w:t>
      </w:r>
      <w:r w:rsidR="00F40195">
        <w:rPr>
          <w:rFonts w:ascii="Times New Roman" w:hAnsi="Times New Roman" w:cs="Times New Roman"/>
        </w:rPr>
        <w:t xml:space="preserve"> per month.</w:t>
      </w:r>
      <w:r w:rsidR="0007197F">
        <w:rPr>
          <w:rFonts w:ascii="Times New Roman" w:hAnsi="Times New Roman" w:cs="Times New Roman"/>
        </w:rPr>
        <w:br w:type="page"/>
      </w: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lastRenderedPageBreak/>
        <w:t>III.  PROPOSED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__</w:t>
      </w:r>
      <w:r w:rsidRPr="005540EB">
        <w:rPr>
          <w:rFonts w:ascii="Times New Roman" w:hAnsi="Times New Roman" w:cs="Times New Roman"/>
          <w:b/>
        </w:rPr>
        <w:t>(</w:t>
      </w:r>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5540EB" w:rsidRPr="005540EB" w:rsidRDefault="005540EB" w:rsidP="00711833">
      <w:pPr>
        <w:pStyle w:val="P31"/>
        <w:jc w:val="both"/>
        <w:outlineLvl w:val="0"/>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contained in </w:t>
      </w:r>
      <w:r w:rsidRPr="005540EB">
        <w:rPr>
          <w:rFonts w:ascii="Times New Roman" w:hAnsi="Times New Roman" w:cs="Times New Roman"/>
          <w:b/>
        </w:rPr>
        <w:t>Exhibit No._(</w:t>
      </w:r>
      <w:r w:rsidR="00D8699E">
        <w:rPr>
          <w:rFonts w:ascii="Times New Roman" w:hAnsi="Times New Roman" w:cs="Times New Roman"/>
          <w:b/>
        </w:rPr>
        <w:t>PDE</w:t>
      </w:r>
      <w:r w:rsidRPr="005540EB">
        <w:rPr>
          <w:rFonts w:ascii="Times New Roman" w:hAnsi="Times New Roman" w:cs="Times New Roman"/>
          <w:b/>
        </w:rPr>
        <w:t>-4)</w:t>
      </w:r>
      <w:r w:rsidRPr="005540EB">
        <w:rPr>
          <w:rStyle w:val="T11"/>
          <w:rFonts w:ascii="Times New Roman" w:hAnsi="Times New Roman" w:cs="Times New Roman"/>
        </w:rPr>
        <w:t>?</w:t>
      </w:r>
    </w:p>
    <w:p w:rsidR="005540EB" w:rsidRPr="005540EB" w:rsidRDefault="005540EB" w:rsidP="00CA7EA4">
      <w:pPr>
        <w:pStyle w:val="P31"/>
        <w:jc w:val="both"/>
        <w:rPr>
          <w:rFonts w:ascii="Times New Roman" w:hAnsi="Times New Roman" w:cs="Times New Roman"/>
          <w:b/>
        </w:rPr>
      </w:pPr>
      <w:r w:rsidRPr="005540EB">
        <w:rPr>
          <w:rStyle w:val="T13"/>
          <w:rFonts w:ascii="Times New Roman" w:hAnsi="Times New Roman" w:cs="Times New Roman"/>
        </w:rPr>
        <w:t>A.</w:t>
      </w:r>
      <w:r w:rsidRPr="005540EB">
        <w:rPr>
          <w:rStyle w:val="T13"/>
          <w:rFonts w:ascii="Times New Roman" w:hAnsi="Times New Roman" w:cs="Times New Roman"/>
        </w:rPr>
        <w:tab/>
      </w:r>
      <w:r w:rsidRPr="005540EB">
        <w:rPr>
          <w:rFonts w:ascii="Times New Roman" w:hAnsi="Times New Roman" w:cs="Times New Roman"/>
        </w:rPr>
        <w:t>Exhibit No._</w:t>
      </w:r>
      <w:r w:rsidR="0043473F">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-4)</w:t>
      </w:r>
      <w:r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Pr="00545B95">
        <w:rPr>
          <w:rStyle w:val="T8"/>
          <w:rFonts w:ascii="Times New Roman" w:hAnsi="Times New Roman" w:cs="Times New Roman"/>
          <w:u w:val="none"/>
        </w:rPr>
        <w:t>base tariff</w:t>
      </w:r>
      <w:r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596611">
        <w:rPr>
          <w:rStyle w:val="T13"/>
          <w:rFonts w:ascii="Times New Roman" w:hAnsi="Times New Roman" w:cs="Times New Roman"/>
        </w:rPr>
        <w:t>,</w:t>
      </w:r>
      <w:r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Yes.  The Company presently provides electric service under Residential 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 xml:space="preserve">25 and Pumping Service Schedules 31 and </w:t>
      </w:r>
      <w:r w:rsidRPr="00894CE2">
        <w:rPr>
          <w:rFonts w:ascii="Times New Roman" w:hAnsi="Times New Roman"/>
        </w:rPr>
        <w:lastRenderedPageBreak/>
        <w:t xml:space="preserve">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27643C" w:rsidP="00711833">
      <w:pPr>
        <w:pStyle w:val="P43"/>
        <w:jc w:val="both"/>
        <w:rPr>
          <w:rFonts w:ascii="Times New Roman" w:hAnsi="Times New Roman"/>
        </w:rPr>
      </w:pPr>
      <w:r>
        <w:rPr>
          <w:rFonts w:ascii="Times New Roman" w:hAnsi="Times New Roman"/>
          <w:noProof/>
        </w:rPr>
        <w:drawing>
          <wp:anchor distT="0" distB="0" distL="114300" distR="114300" simplePos="0" relativeHeight="251783680" behindDoc="1" locked="0" layoutInCell="1" allowOverlap="1">
            <wp:simplePos x="0" y="0"/>
            <wp:positionH relativeFrom="column">
              <wp:posOffset>564515</wp:posOffset>
            </wp:positionH>
            <wp:positionV relativeFrom="paragraph">
              <wp:posOffset>592455</wp:posOffset>
            </wp:positionV>
            <wp:extent cx="4883785" cy="138684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83785" cy="1386840"/>
                    </a:xfrm>
                    <a:prstGeom prst="rect">
                      <a:avLst/>
                    </a:prstGeom>
                    <a:noFill/>
                    <a:ln w="9525">
                      <a:noFill/>
                      <a:miter lim="800000"/>
                      <a:headEnd/>
                      <a:tailEnd/>
                    </a:ln>
                  </pic:spPr>
                </pic:pic>
              </a:graphicData>
            </a:graphic>
          </wp:anchor>
        </w:drawing>
      </w:r>
      <w:r w:rsidR="005540EB" w:rsidRPr="00892413">
        <w:rPr>
          <w:rFonts w:ascii="Times New Roman" w:hAnsi="Times New Roman"/>
        </w:rPr>
        <w:t>The following table shows the type and number of customers served in Washington (as of December 20</w:t>
      </w:r>
      <w:r w:rsidR="00BC5C99" w:rsidRPr="00892413">
        <w:rPr>
          <w:rFonts w:ascii="Times New Roman" w:hAnsi="Times New Roman"/>
        </w:rPr>
        <w:t>1</w:t>
      </w:r>
      <w:r w:rsidR="00371D94" w:rsidRPr="00892413">
        <w:rPr>
          <w:rFonts w:ascii="Times New Roman" w:hAnsi="Times New Roman"/>
        </w:rPr>
        <w:t>1</w:t>
      </w:r>
      <w:r w:rsidR="005540EB" w:rsidRPr="00892413">
        <w:rPr>
          <w:rFonts w:ascii="Times New Roman" w:hAnsi="Times New Roman"/>
        </w:rPr>
        <w:t>) under each of the service schedules:</w:t>
      </w:r>
    </w:p>
    <w:p w:rsidR="005540EB" w:rsidRDefault="00892413" w:rsidP="00711833">
      <w:pPr>
        <w:pStyle w:val="P43"/>
        <w:ind w:firstLine="0"/>
        <w:jc w:val="both"/>
        <w:rPr>
          <w:rFonts w:ascii="Times New Roman" w:hAnsi="Times New Roman"/>
          <w:b/>
          <w:u w:val="single"/>
        </w:rPr>
      </w:pPr>
      <w:bookmarkStart w:id="0" w:name="OLE_LINK1"/>
      <w:r w:rsidRPr="00892413">
        <w:t xml:space="preserve"> </w:t>
      </w:r>
    </w:p>
    <w:bookmarkEnd w:id="0"/>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F17ED7" w:rsidRDefault="00F17ED7" w:rsidP="00711833">
      <w:pPr>
        <w:pStyle w:val="P127"/>
        <w:jc w:val="both"/>
        <w:outlineLvl w:val="0"/>
        <w:rPr>
          <w:rFonts w:ascii="Times New Roman" w:hAnsi="Times New Roman" w:cs="Times New Roman"/>
        </w:rPr>
      </w:pPr>
    </w:p>
    <w:p w:rsidR="005540EB" w:rsidRPr="005540EB" w:rsidRDefault="005540EB" w:rsidP="00711833">
      <w:pPr>
        <w:pStyle w:val="P127"/>
        <w:jc w:val="both"/>
        <w:outlineLvl w:val="0"/>
        <w:rPr>
          <w:rFonts w:ascii="Times New Roman" w:hAnsi="Times New Roman" w:cs="Times New Roman"/>
        </w:rPr>
      </w:pPr>
      <w:r w:rsidRPr="005540EB">
        <w:rPr>
          <w:rFonts w:ascii="Times New Roman" w:hAnsi="Times New Roman" w:cs="Times New Roman"/>
        </w:rPr>
        <w:t>Proposed Electric Rate Spread</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443386" w:rsidRPr="00081958">
        <w:rPr>
          <w:rStyle w:val="T11"/>
          <w:rFonts w:ascii="Times New Roman" w:hAnsi="Times New Roman" w:cs="Times New Roman"/>
        </w:rPr>
        <w:t>40,</w:t>
      </w:r>
      <w:r w:rsidR="00BF0B67">
        <w:rPr>
          <w:rStyle w:val="T11"/>
          <w:rFonts w:ascii="Times New Roman" w:hAnsi="Times New Roman" w:cs="Times New Roman"/>
        </w:rPr>
        <w:t>983</w:t>
      </w:r>
      <w:r w:rsidR="00892413" w:rsidRPr="00081958">
        <w:rPr>
          <w:rStyle w:val="T11"/>
          <w:rFonts w:ascii="Times New Roman" w:hAnsi="Times New Roman" w:cs="Times New Roman"/>
        </w:rPr>
        <w:t>,</w:t>
      </w:r>
      <w:r w:rsidR="009F186A" w:rsidRPr="00081958">
        <w:rPr>
          <w:rStyle w:val="T11"/>
          <w:rFonts w:ascii="Times New Roman" w:hAnsi="Times New Roman" w:cs="Times New Roman"/>
        </w:rPr>
        <w:t>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5540EB" w:rsidRPr="00892413" w:rsidRDefault="005540EB" w:rsidP="00711833">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Company is proposing that the overall requested revenue increase be spread on </w:t>
      </w:r>
      <w:r w:rsidR="00C372CC">
        <w:rPr>
          <w:rFonts w:ascii="Times New Roman" w:hAnsi="Times New Roman" w:cs="Times New Roman"/>
        </w:rPr>
        <w:t xml:space="preserve">a </w:t>
      </w:r>
      <w:r w:rsidR="00C372CC" w:rsidRPr="00892413">
        <w:rPr>
          <w:rFonts w:ascii="Times New Roman" w:hAnsi="Times New Roman" w:cs="Times New Roman"/>
        </w:rPr>
        <w:t>uniform percentage basis:</w:t>
      </w:r>
    </w:p>
    <w:p w:rsidR="005540EB" w:rsidRPr="005540EB" w:rsidRDefault="00AF5996" w:rsidP="00711833">
      <w:pPr>
        <w:pStyle w:val="P85"/>
        <w:jc w:val="both"/>
        <w:rPr>
          <w:rFonts w:ascii="Times New Roman" w:hAnsi="Times New Roman" w:cs="Times New Roman"/>
        </w:rPr>
      </w:pPr>
      <w:r w:rsidRPr="00AF5996">
        <w:rPr>
          <w:noProof/>
        </w:rPr>
        <w:drawing>
          <wp:anchor distT="0" distB="0" distL="114300" distR="114300" simplePos="0" relativeHeight="251831808" behindDoc="1" locked="0" layoutInCell="1" allowOverlap="1">
            <wp:simplePos x="0" y="0"/>
            <wp:positionH relativeFrom="column">
              <wp:posOffset>20775</wp:posOffset>
            </wp:positionH>
            <wp:positionV relativeFrom="paragraph">
              <wp:posOffset>2648</wp:posOffset>
            </wp:positionV>
            <wp:extent cx="6098244" cy="18288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099327" cy="1829125"/>
                    </a:xfrm>
                    <a:prstGeom prst="rect">
                      <a:avLst/>
                    </a:prstGeom>
                    <a:noFill/>
                    <a:ln w="9525">
                      <a:noFill/>
                      <a:miter lim="800000"/>
                      <a:headEnd/>
                      <a:tailEnd/>
                    </a:ln>
                  </pic:spPr>
                </pic:pic>
              </a:graphicData>
            </a:graphic>
          </wp:anchor>
        </w:drawing>
      </w: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0E2E27" w:rsidRDefault="000E2E27" w:rsidP="00711833">
      <w:pPr>
        <w:pStyle w:val="P85"/>
        <w:jc w:val="both"/>
        <w:rPr>
          <w:rFonts w:ascii="Times New Roman" w:hAnsi="Times New Roman" w:cs="Times New Roman"/>
        </w:rPr>
      </w:pPr>
    </w:p>
    <w:p w:rsidR="0027643C" w:rsidRDefault="0027643C"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lastRenderedPageBreak/>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__</w:t>
      </w:r>
      <w:r w:rsidRPr="0021578E">
        <w:rPr>
          <w:rFonts w:ascii="Times New Roman" w:hAnsi="Times New Roman" w:cs="Times New Roman"/>
        </w:rPr>
        <w:t>(</w:t>
      </w:r>
      <w:r w:rsidR="00D8699E" w:rsidRPr="0021578E">
        <w:rPr>
          <w:rFonts w:ascii="Times New Roman" w:hAnsi="Times New Roman" w:cs="Times New Roman"/>
        </w:rPr>
        <w:t>PDE</w:t>
      </w:r>
      <w:r w:rsidRPr="0021578E">
        <w:rPr>
          <w:rFonts w:ascii="Times New Roman" w:hAnsi="Times New Roman" w:cs="Times New Roman"/>
        </w:rPr>
        <w:t xml:space="preserve">-4).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EB1E66" w:rsidRPr="00B361D5" w:rsidRDefault="005540EB" w:rsidP="0012369E">
      <w:pPr>
        <w:pStyle w:val="P179"/>
        <w:tabs>
          <w:tab w:val="clear" w:pos="1260"/>
          <w:tab w:val="left" w:pos="1440"/>
        </w:tabs>
        <w:ind w:left="0" w:firstLine="720"/>
        <w:jc w:val="both"/>
        <w:rPr>
          <w:rStyle w:val="T13"/>
          <w:highlight w:val="lightGray"/>
        </w:rPr>
      </w:pPr>
      <w:r w:rsidRPr="0021578E">
        <w:rPr>
          <w:rFonts w:ascii="Times New Roman" w:hAnsi="Times New Roman" w:cs="Times New Roman"/>
          <w:b w:val="0"/>
        </w:rPr>
        <w:t>A.</w:t>
      </w:r>
      <w:r w:rsidRPr="0021578E">
        <w:rPr>
          <w:rFonts w:ascii="Times New Roman" w:hAnsi="Times New Roman" w:cs="Times New Roman"/>
          <w:b w:val="0"/>
        </w:rPr>
        <w:tab/>
      </w:r>
      <w:r w:rsidR="00C372CC" w:rsidRPr="0021578E">
        <w:rPr>
          <w:rFonts w:ascii="Times New Roman" w:hAnsi="Times New Roman" w:cs="Times New Roman"/>
          <w:b w:val="0"/>
        </w:rPr>
        <w:t xml:space="preserve">While the Company believes that </w:t>
      </w:r>
      <w:r w:rsidRPr="0021578E">
        <w:rPr>
          <w:rStyle w:val="T13"/>
          <w:rFonts w:ascii="Times New Roman" w:hAnsi="Times New Roman" w:cs="Times New Roman"/>
          <w:b w:val="0"/>
        </w:rPr>
        <w:t xml:space="preserve">the results of the cost of service study (sponsored by </w:t>
      </w:r>
      <w:r w:rsidR="0043473F" w:rsidRPr="0021578E">
        <w:rPr>
          <w:rStyle w:val="T13"/>
          <w:rFonts w:ascii="Times New Roman" w:hAnsi="Times New Roman" w:cs="Times New Roman"/>
          <w:b w:val="0"/>
        </w:rPr>
        <w:t>Ms.</w:t>
      </w:r>
      <w:r w:rsidRPr="0021578E">
        <w:rPr>
          <w:rStyle w:val="T13"/>
          <w:rFonts w:ascii="Times New Roman" w:hAnsi="Times New Roman" w:cs="Times New Roman"/>
          <w:b w:val="0"/>
        </w:rPr>
        <w:t xml:space="preserve"> Knox) </w:t>
      </w:r>
      <w:r w:rsidR="00C372CC" w:rsidRPr="0021578E">
        <w:rPr>
          <w:rStyle w:val="T13"/>
          <w:rFonts w:ascii="Times New Roman" w:hAnsi="Times New Roman" w:cs="Times New Roman"/>
          <w:b w:val="0"/>
        </w:rPr>
        <w:t xml:space="preserve">should be used </w:t>
      </w:r>
      <w:r w:rsidRPr="0021578E">
        <w:rPr>
          <w:rStyle w:val="T13"/>
          <w:rFonts w:ascii="Times New Roman" w:hAnsi="Times New Roman" w:cs="Times New Roman"/>
          <w:b w:val="0"/>
        </w:rPr>
        <w:t>as a guide to spread the general increase</w:t>
      </w:r>
      <w:r w:rsidR="00C372CC" w:rsidRPr="0021578E">
        <w:rPr>
          <w:rStyle w:val="T13"/>
          <w:rFonts w:ascii="Times New Roman" w:hAnsi="Times New Roman" w:cs="Times New Roman"/>
          <w:b w:val="0"/>
        </w:rPr>
        <w:t xml:space="preserve">, the Company is also aware that, given the size of the overall increase, certain schedules may have received an even larger rate increase had the Company proposed some movement </w:t>
      </w:r>
      <w:r w:rsidRPr="0021578E">
        <w:rPr>
          <w:rStyle w:val="T13"/>
          <w:rFonts w:ascii="Times New Roman" w:hAnsi="Times New Roman" w:cs="Times New Roman"/>
          <w:b w:val="0"/>
        </w:rPr>
        <w:t xml:space="preserve">closer to the overall rate of return (unity).  </w:t>
      </w:r>
      <w:r w:rsidR="00D44A55" w:rsidRPr="0021578E">
        <w:rPr>
          <w:rStyle w:val="T13"/>
          <w:rFonts w:ascii="Times New Roman" w:hAnsi="Times New Roman" w:cs="Times New Roman"/>
          <w:b w:val="0"/>
        </w:rPr>
        <w:t xml:space="preserve">Therefore, the Company chose to spread the proposed rate increase on a uniform </w:t>
      </w:r>
      <w:r w:rsidR="00D44A55" w:rsidRPr="0027643C">
        <w:rPr>
          <w:rStyle w:val="T13"/>
          <w:rFonts w:ascii="Times New Roman" w:hAnsi="Times New Roman" w:cs="Times New Roman"/>
          <w:b w:val="0"/>
        </w:rPr>
        <w:t xml:space="preserve">percentage basis.  </w:t>
      </w:r>
      <w:r w:rsidRPr="0027643C">
        <w:rPr>
          <w:rStyle w:val="T13"/>
          <w:rFonts w:ascii="Times New Roman" w:hAnsi="Times New Roman" w:cs="Times New Roman"/>
          <w:b w:val="0"/>
        </w:rPr>
        <w:t xml:space="preserve">The table below shows the relative rates of return (schedule rate of return divided by overall rate of return) before and after application of the </w:t>
      </w:r>
      <w:r w:rsidR="001D224A" w:rsidRPr="0027643C">
        <w:rPr>
          <w:rStyle w:val="T13"/>
          <w:rFonts w:ascii="Times New Roman" w:hAnsi="Times New Roman" w:cs="Times New Roman"/>
          <w:b w:val="0"/>
        </w:rPr>
        <w:t>base rate</w:t>
      </w:r>
      <w:r w:rsidRPr="0027643C">
        <w:rPr>
          <w:rStyle w:val="T13"/>
          <w:rFonts w:ascii="Times New Roman" w:hAnsi="Times New Roman" w:cs="Times New Roman"/>
          <w:b w:val="0"/>
        </w:rPr>
        <w:t xml:space="preserve"> increase on a uniform percentage basis (</w:t>
      </w:r>
      <w:r w:rsidR="006A2F58" w:rsidRPr="0027643C">
        <w:rPr>
          <w:rStyle w:val="T13"/>
          <w:rFonts w:ascii="Times New Roman" w:hAnsi="Times New Roman" w:cs="Times New Roman"/>
          <w:b w:val="0"/>
        </w:rPr>
        <w:t>9.</w:t>
      </w:r>
      <w:r w:rsidR="00443386" w:rsidRPr="0027643C">
        <w:rPr>
          <w:rStyle w:val="T13"/>
          <w:rFonts w:ascii="Times New Roman" w:hAnsi="Times New Roman" w:cs="Times New Roman"/>
          <w:b w:val="0"/>
        </w:rPr>
        <w:t>0</w:t>
      </w:r>
      <w:r w:rsidRPr="0027643C">
        <w:rPr>
          <w:rStyle w:val="T13"/>
          <w:rFonts w:ascii="Times New Roman" w:hAnsi="Times New Roman" w:cs="Times New Roman"/>
          <w:b w:val="0"/>
        </w:rPr>
        <w:t>%) to all rate schedules:</w:t>
      </w:r>
    </w:p>
    <w:p w:rsidR="00944313" w:rsidRPr="00B361D5" w:rsidRDefault="00AF5996" w:rsidP="00CA7EA4">
      <w:pPr>
        <w:pStyle w:val="P179"/>
        <w:ind w:left="0" w:firstLine="360"/>
        <w:jc w:val="both"/>
        <w:rPr>
          <w:b w:val="0"/>
          <w:highlight w:val="lightGray"/>
        </w:rPr>
      </w:pPr>
      <w:r w:rsidRPr="00AF5996">
        <w:rPr>
          <w:noProof/>
        </w:rPr>
        <w:drawing>
          <wp:anchor distT="0" distB="0" distL="114300" distR="114300" simplePos="0" relativeHeight="251832832" behindDoc="1" locked="0" layoutInCell="1" allowOverlap="1">
            <wp:simplePos x="0" y="0"/>
            <wp:positionH relativeFrom="column">
              <wp:posOffset>426217</wp:posOffset>
            </wp:positionH>
            <wp:positionV relativeFrom="paragraph">
              <wp:posOffset>4086</wp:posOffset>
            </wp:positionV>
            <wp:extent cx="5039576" cy="2208362"/>
            <wp:effectExtent l="19050" t="0" r="8674"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39576" cy="2208362"/>
                    </a:xfrm>
                    <a:prstGeom prst="rect">
                      <a:avLst/>
                    </a:prstGeom>
                    <a:noFill/>
                    <a:ln w="9525">
                      <a:noFill/>
                      <a:miter lim="800000"/>
                      <a:headEnd/>
                      <a:tailEnd/>
                    </a:ln>
                  </pic:spPr>
                </pic:pic>
              </a:graphicData>
            </a:graphic>
          </wp:anchor>
        </w:drawing>
      </w: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F04E95" w:rsidRPr="0027643C" w:rsidRDefault="00F04E95" w:rsidP="00711833">
      <w:pPr>
        <w:pStyle w:val="P167"/>
        <w:tabs>
          <w:tab w:val="clear" w:pos="720"/>
          <w:tab w:val="left" w:pos="900"/>
        </w:tabs>
        <w:ind w:left="0" w:firstLine="720"/>
        <w:jc w:val="both"/>
        <w:rPr>
          <w:rFonts w:ascii="Times New Roman" w:hAnsi="Times New Roman" w:cs="Times New Roman"/>
        </w:rPr>
      </w:pPr>
    </w:p>
    <w:p w:rsidR="005540EB" w:rsidRPr="004C1B9A" w:rsidRDefault="00894CE2" w:rsidP="00711833">
      <w:pPr>
        <w:pStyle w:val="P167"/>
        <w:tabs>
          <w:tab w:val="clear" w:pos="720"/>
          <w:tab w:val="left" w:pos="900"/>
        </w:tabs>
        <w:ind w:left="0" w:firstLine="720"/>
        <w:jc w:val="both"/>
        <w:rPr>
          <w:rStyle w:val="T11"/>
          <w:rFonts w:ascii="Times New Roman" w:hAnsi="Times New Roman" w:cs="Times New Roman"/>
          <w:b w:val="0"/>
        </w:rPr>
      </w:pPr>
      <w:r w:rsidRPr="0027643C">
        <w:rPr>
          <w:rFonts w:ascii="Times New Roman" w:hAnsi="Times New Roman" w:cs="Times New Roman"/>
        </w:rPr>
        <w:t>As shown, for those s</w:t>
      </w:r>
      <w:r w:rsidR="005540EB" w:rsidRPr="0027643C">
        <w:rPr>
          <w:rFonts w:ascii="Times New Roman" w:hAnsi="Times New Roman" w:cs="Times New Roman"/>
        </w:rPr>
        <w:t xml:space="preserve">chedules where the present rates are substantially above or below the cost of service, the proposed </w:t>
      </w:r>
      <w:r w:rsidR="001D224A" w:rsidRPr="0027643C">
        <w:rPr>
          <w:rFonts w:ascii="Times New Roman" w:hAnsi="Times New Roman" w:cs="Times New Roman"/>
        </w:rPr>
        <w:t>rate spread provides some</w:t>
      </w:r>
      <w:r w:rsidR="005540EB" w:rsidRPr="0027643C">
        <w:rPr>
          <w:rFonts w:ascii="Times New Roman" w:hAnsi="Times New Roman" w:cs="Times New Roman"/>
        </w:rPr>
        <w:t xml:space="preserve"> movement toward</w:t>
      </w:r>
      <w:r w:rsidR="001D224A" w:rsidRPr="0027643C">
        <w:rPr>
          <w:rFonts w:ascii="Times New Roman" w:hAnsi="Times New Roman" w:cs="Times New Roman"/>
        </w:rPr>
        <w:t>s</w:t>
      </w:r>
      <w:r w:rsidR="005540EB" w:rsidRPr="0027643C">
        <w:rPr>
          <w:rFonts w:ascii="Times New Roman" w:hAnsi="Times New Roman" w:cs="Times New Roman"/>
        </w:rPr>
        <w:t xml:space="preserve"> unity (1.00).</w:t>
      </w:r>
      <w:r w:rsidR="005540EB" w:rsidRPr="004C1B9A">
        <w:rPr>
          <w:rFonts w:ascii="Times New Roman" w:hAnsi="Times New Roman" w:cs="Times New Roman"/>
        </w:rPr>
        <w:t xml:space="preserve">  </w:t>
      </w:r>
    </w:p>
    <w:p w:rsidR="000926C0" w:rsidRDefault="000926C0" w:rsidP="00711833">
      <w:pPr>
        <w:pStyle w:val="P252"/>
        <w:jc w:val="both"/>
        <w:outlineLvl w:val="0"/>
        <w:rPr>
          <w:rFonts w:ascii="Times New Roman" w:hAnsi="Times New Roman" w:cs="Times New Roman"/>
        </w:rPr>
      </w:pPr>
    </w:p>
    <w:p w:rsidR="005540EB" w:rsidRPr="005540EB" w:rsidRDefault="005540EB" w:rsidP="00711833">
      <w:pPr>
        <w:pStyle w:val="P252"/>
        <w:jc w:val="both"/>
        <w:outlineLvl w:val="0"/>
        <w:rPr>
          <w:rFonts w:ascii="Times New Roman" w:hAnsi="Times New Roman" w:cs="Times New Roman"/>
        </w:rPr>
      </w:pPr>
      <w:r w:rsidRPr="005540EB">
        <w:rPr>
          <w:rFonts w:ascii="Times New Roman" w:hAnsi="Times New Roman" w:cs="Times New Roman"/>
        </w:rPr>
        <w:lastRenderedPageBreak/>
        <w:t>Proposed Rate Design</w:t>
      </w:r>
    </w:p>
    <w:p w:rsidR="005540EB" w:rsidRPr="005540EB"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Where in your Exhibit do you show a comparison of the present and proposed rates within each of the Company’s electric service schedules?</w:t>
      </w:r>
    </w:p>
    <w:p w:rsidR="005540EB" w:rsidRPr="005540EB"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Page 3 of Exhibit No._</w:t>
      </w:r>
      <w:r w:rsidR="000A6BBC">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-4) shows a comparison of the present and proposed rates within </w:t>
      </w:r>
      <w:r w:rsidRPr="00BA66BC">
        <w:rPr>
          <w:rFonts w:ascii="Times New Roman" w:hAnsi="Times New Roman" w:cs="Times New Roman"/>
        </w:rPr>
        <w:t xml:space="preserve">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BA66BC">
        <w:rPr>
          <w:rFonts w:ascii="Times New Roman" w:hAnsi="Times New Roman" w:cs="Times New Roman"/>
        </w:rPr>
        <w:t>each of the schedules, column (</w:t>
      </w:r>
      <w:r w:rsidR="00916D0F" w:rsidRPr="00BA66BC">
        <w:rPr>
          <w:rFonts w:ascii="Times New Roman" w:hAnsi="Times New Roman" w:cs="Times New Roman"/>
        </w:rPr>
        <w:t>f</w:t>
      </w:r>
      <w:r w:rsidRPr="00BA66BC">
        <w:rPr>
          <w:rFonts w:ascii="Times New Roman" w:hAnsi="Times New Roman" w:cs="Times New Roman"/>
        </w:rPr>
        <w:t xml:space="preserve">) shows the proposed </w:t>
      </w:r>
      <w:r w:rsidRPr="00BA66BC">
        <w:rPr>
          <w:rStyle w:val="T5"/>
          <w:rFonts w:ascii="Times New Roman" w:hAnsi="Times New Roman" w:cs="Times New Roman"/>
        </w:rPr>
        <w:t>billing</w:t>
      </w:r>
      <w:r w:rsidRPr="00BA66BC">
        <w:rPr>
          <w:rFonts w:ascii="Times New Roman" w:hAnsi="Times New Roman" w:cs="Times New Roman"/>
        </w:rPr>
        <w:t xml:space="preserve"> rates and column (</w:t>
      </w:r>
      <w:r w:rsidR="00916D0F" w:rsidRPr="00BA66BC">
        <w:rPr>
          <w:rFonts w:ascii="Times New Roman" w:hAnsi="Times New Roman" w:cs="Times New Roman"/>
        </w:rPr>
        <w:t>g</w:t>
      </w:r>
      <w:r w:rsidRPr="00BA66BC">
        <w:rPr>
          <w:rFonts w:ascii="Times New Roman" w:hAnsi="Times New Roman" w:cs="Times New Roman"/>
        </w:rPr>
        <w:t xml:space="preserve">) shows the proposed </w:t>
      </w:r>
      <w:r w:rsidRPr="00BA66BC">
        <w:rPr>
          <w:rStyle w:val="T5"/>
          <w:rFonts w:ascii="Times New Roman" w:hAnsi="Times New Roman" w:cs="Times New Roman"/>
        </w:rPr>
        <w:t>base tariff</w:t>
      </w:r>
      <w:r w:rsidRPr="00BA66BC">
        <w:rPr>
          <w:rFonts w:ascii="Times New Roman" w:hAnsi="Times New Roman" w:cs="Times New Roman"/>
        </w:rPr>
        <w:t xml:space="preserve"> rates.</w:t>
      </w:r>
      <w:r w:rsidR="00BA66BC" w:rsidRPr="00BA66BC">
        <w:rPr>
          <w:rFonts w:ascii="Times New Roman" w:hAnsi="Times New Roman" w:cs="Times New Roman"/>
        </w:rPr>
        <w:t xml:space="preserve">  Finally, column (h) shows the proposed </w:t>
      </w:r>
      <w:r w:rsidR="00F9270A">
        <w:rPr>
          <w:rFonts w:ascii="Times New Roman" w:hAnsi="Times New Roman" w:cs="Times New Roman"/>
        </w:rPr>
        <w:t>ERM Rebate</w:t>
      </w:r>
      <w:r w:rsidR="00BA66BC" w:rsidRPr="00BA66BC">
        <w:rPr>
          <w:rFonts w:ascii="Times New Roman" w:hAnsi="Times New Roman" w:cs="Times New Roman"/>
        </w:rPr>
        <w:t>, and column (</w:t>
      </w:r>
      <w:proofErr w:type="spellStart"/>
      <w:r w:rsidR="00BA66BC" w:rsidRPr="00BA66BC">
        <w:rPr>
          <w:rFonts w:ascii="Times New Roman" w:hAnsi="Times New Roman" w:cs="Times New Roman"/>
        </w:rPr>
        <w:t>i</w:t>
      </w:r>
      <w:proofErr w:type="spellEnd"/>
      <w:r w:rsidR="00BA66BC" w:rsidRPr="00BA66BC">
        <w:rPr>
          <w:rFonts w:ascii="Times New Roman" w:hAnsi="Times New Roman" w:cs="Times New Roman"/>
        </w:rPr>
        <w:t xml:space="preserve">) shows the proposed billing rate including the ERM </w:t>
      </w:r>
      <w:r w:rsidR="00F9270A">
        <w:rPr>
          <w:rFonts w:ascii="Times New Roman" w:hAnsi="Times New Roman" w:cs="Times New Roman"/>
        </w:rPr>
        <w:t>Rebate</w:t>
      </w:r>
      <w:r w:rsidR="00BA66BC" w:rsidRPr="00BA66BC">
        <w:rPr>
          <w:rFonts w:ascii="Times New Roman" w:hAnsi="Times New Roman" w:cs="Times New Roman"/>
        </w:rPr>
        <w:t>.</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D23716">
        <w:rPr>
          <w:rFonts w:ascii="Times New Roman" w:hAnsi="Times New Roman" w:cs="Times New Roman"/>
        </w:rPr>
        <w:t>6.00</w:t>
      </w:r>
      <w:r w:rsidR="005540EB" w:rsidRPr="005540EB">
        <w:rPr>
          <w:rFonts w:ascii="Times New Roman" w:hAnsi="Times New Roman" w:cs="Times New Roman"/>
        </w:rPr>
        <w:t xml:space="preserve"> per month and three energy rate blocks:  0-600 kWhs, 601-1,300 kWhs and over 1,300 kWhs.  The present base tariff rate for the first 600 kWhs per month is </w:t>
      </w:r>
      <w:r w:rsidR="00D23716">
        <w:rPr>
          <w:rFonts w:ascii="Times New Roman" w:hAnsi="Times New Roman" w:cs="Times New Roman"/>
        </w:rPr>
        <w:t>6.</w:t>
      </w:r>
      <w:r w:rsidR="00C372CC">
        <w:rPr>
          <w:rFonts w:ascii="Times New Roman" w:hAnsi="Times New Roman" w:cs="Times New Roman"/>
        </w:rPr>
        <w:t>914</w:t>
      </w:r>
      <w:r w:rsidR="005540EB" w:rsidRPr="005540EB">
        <w:rPr>
          <w:rFonts w:ascii="Times New Roman" w:hAnsi="Times New Roman" w:cs="Times New Roman"/>
        </w:rPr>
        <w:t xml:space="preserve"> cents per kWh, </w:t>
      </w:r>
      <w:r w:rsidR="00C372CC">
        <w:rPr>
          <w:rFonts w:ascii="Times New Roman" w:hAnsi="Times New Roman" w:cs="Times New Roman"/>
        </w:rPr>
        <w:t>8.044</w:t>
      </w:r>
      <w:r w:rsidR="005540EB" w:rsidRPr="005540EB">
        <w:rPr>
          <w:rFonts w:ascii="Times New Roman" w:hAnsi="Times New Roman" w:cs="Times New Roman"/>
        </w:rPr>
        <w:t xml:space="preserve"> cents per kWh for the next 700 kWhs and </w:t>
      </w:r>
      <w:r w:rsidR="00830886">
        <w:rPr>
          <w:rFonts w:ascii="Times New Roman" w:hAnsi="Times New Roman" w:cs="Times New Roman"/>
        </w:rPr>
        <w:t>9.</w:t>
      </w:r>
      <w:r w:rsidR="00C372CC">
        <w:rPr>
          <w:rFonts w:ascii="Times New Roman" w:hAnsi="Times New Roman" w:cs="Times New Roman"/>
        </w:rPr>
        <w:t>429</w:t>
      </w:r>
      <w:r w:rsidR="005540EB" w:rsidRPr="005540EB">
        <w:rPr>
          <w:rFonts w:ascii="Times New Roman" w:hAnsi="Times New Roman" w:cs="Times New Roman"/>
        </w:rPr>
        <w:t xml:space="preserve"> cents for all kWhs over 1,300.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propose to spread the proposed revenue increase </w:t>
      </w:r>
      <w:r w:rsidR="005540EB" w:rsidRPr="00443386">
        <w:rPr>
          <w:rFonts w:ascii="Times New Roman" w:hAnsi="Times New Roman" w:cs="Times New Roman"/>
        </w:rPr>
        <w:t>of $</w:t>
      </w:r>
      <w:r w:rsidR="00443386" w:rsidRPr="00443386">
        <w:rPr>
          <w:rFonts w:ascii="Times New Roman" w:hAnsi="Times New Roman" w:cs="Times New Roman"/>
        </w:rPr>
        <w:t>17,8</w:t>
      </w:r>
      <w:r w:rsidR="00AF5996">
        <w:rPr>
          <w:rFonts w:ascii="Times New Roman" w:hAnsi="Times New Roman" w:cs="Times New Roman"/>
        </w:rPr>
        <w:t>67</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lastRenderedPageBreak/>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$6.00 to $10.00 per month, and is proposing to</w:t>
      </w:r>
      <w:r w:rsidR="005540EB" w:rsidRPr="00443386">
        <w:rPr>
          <w:rFonts w:ascii="Times New Roman" w:hAnsi="Times New Roman" w:cs="Times New Roman"/>
        </w:rPr>
        <w:t xml:space="preserve"> increase the energy rate for </w:t>
      </w:r>
      <w:r w:rsidR="00C372CC" w:rsidRPr="00443386">
        <w:rPr>
          <w:rFonts w:ascii="Times New Roman" w:hAnsi="Times New Roman" w:cs="Times New Roman"/>
        </w:rPr>
        <w:t xml:space="preserve">all three </w:t>
      </w:r>
      <w:r w:rsidR="005540EB" w:rsidRPr="00443386">
        <w:rPr>
          <w:rFonts w:ascii="Times New Roman" w:hAnsi="Times New Roman" w:cs="Times New Roman"/>
        </w:rPr>
        <w:t>block</w:t>
      </w:r>
      <w:r w:rsidR="00C372CC" w:rsidRPr="00443386">
        <w:rPr>
          <w:rFonts w:ascii="Times New Roman" w:hAnsi="Times New Roman" w:cs="Times New Roman"/>
        </w:rPr>
        <w:t>s</w:t>
      </w:r>
      <w:r w:rsidR="005540EB" w:rsidRPr="00443386">
        <w:rPr>
          <w:rFonts w:ascii="Times New Roman" w:hAnsi="Times New Roman" w:cs="Times New Roman"/>
        </w:rPr>
        <w:t xml:space="preserve"> </w:t>
      </w:r>
      <w:r w:rsidR="00C372CC" w:rsidRPr="00443386">
        <w:rPr>
          <w:rFonts w:ascii="Times New Roman" w:hAnsi="Times New Roman" w:cs="Times New Roman"/>
        </w:rPr>
        <w:t>by</w:t>
      </w:r>
      <w:r w:rsidR="005540EB" w:rsidRPr="00443386">
        <w:rPr>
          <w:rFonts w:ascii="Times New Roman" w:hAnsi="Times New Roman" w:cs="Times New Roman"/>
        </w:rPr>
        <w:t xml:space="preserve"> </w:t>
      </w:r>
      <w:r w:rsidR="00AC3ADC" w:rsidRPr="00443386">
        <w:rPr>
          <w:rFonts w:ascii="Times New Roman" w:hAnsi="Times New Roman" w:cs="Times New Roman"/>
        </w:rPr>
        <w:t>0.</w:t>
      </w:r>
      <w:r w:rsidR="000A6734" w:rsidRPr="00443386">
        <w:rPr>
          <w:rFonts w:ascii="Times New Roman" w:hAnsi="Times New Roman" w:cs="Times New Roman"/>
        </w:rPr>
        <w:t>3</w:t>
      </w:r>
      <w:r w:rsidR="00443386" w:rsidRPr="00443386">
        <w:rPr>
          <w:rFonts w:ascii="Times New Roman" w:hAnsi="Times New Roman" w:cs="Times New Roman"/>
        </w:rPr>
        <w:t>4</w:t>
      </w:r>
      <w:r w:rsidR="00AF5996">
        <w:rPr>
          <w:rFonts w:ascii="Times New Roman" w:hAnsi="Times New Roman" w:cs="Times New Roman"/>
        </w:rPr>
        <w:t>3</w:t>
      </w:r>
      <w:r w:rsidR="005540EB" w:rsidRPr="00443386">
        <w:rPr>
          <w:rFonts w:ascii="Times New Roman" w:hAnsi="Times New Roman" w:cs="Times New Roman"/>
        </w:rPr>
        <w:t xml:space="preserve"> cents/kWh.</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Why is the Company proposing to increase the monthly customer charge from $6.00 to $</w:t>
      </w:r>
      <w:r w:rsidR="00C372CC">
        <w:rPr>
          <w:rFonts w:ascii="Times New Roman" w:hAnsi="Times New Roman" w:cs="Times New Roman"/>
          <w:b/>
        </w:rPr>
        <w:t>10</w:t>
      </w:r>
      <w:r w:rsidRPr="006A2F58">
        <w:rPr>
          <w:rFonts w:ascii="Times New Roman" w:hAnsi="Times New Roman" w:cs="Times New Roman"/>
          <w:b/>
        </w:rPr>
        <w:t>.00 per month?</w:t>
      </w:r>
    </w:p>
    <w:p w:rsidR="005540EB" w:rsidRPr="006A2F58" w:rsidRDefault="006A2F58" w:rsidP="006A2F58">
      <w:pPr>
        <w:spacing w:line="480" w:lineRule="auto"/>
        <w:ind w:firstLine="720"/>
        <w:jc w:val="both"/>
        <w:rPr>
          <w:kern w:val="24"/>
        </w:rPr>
      </w:pPr>
      <w:r w:rsidRPr="005540EB">
        <w:rPr>
          <w:kern w:val="24"/>
        </w:rPr>
        <w:t xml:space="preserve">A. </w:t>
      </w:r>
      <w:r w:rsidRPr="005540EB">
        <w:rPr>
          <w:kern w:val="24"/>
        </w:rPr>
        <w:tab/>
        <w:t xml:space="preserve">A substantial portion of the Company's costs are fixed and do not vary with the amount of energy used by customers.  As reflected in this filing, the cost of operating and maintaining our electric system is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 in my testimony I will provide greater detail as to why the Company believes the monthly customer charge should increase by $</w:t>
      </w:r>
      <w:r w:rsidR="00221538">
        <w:rPr>
          <w:kern w:val="24"/>
        </w:rPr>
        <w:t>4</w:t>
      </w:r>
      <w:r>
        <w:rPr>
          <w:kern w:val="24"/>
        </w:rPr>
        <w:t>.00 per month.</w:t>
      </w:r>
    </w:p>
    <w:p w:rsidR="005540EB" w:rsidRPr="005540EB" w:rsidRDefault="005540EB" w:rsidP="00711833">
      <w:pPr>
        <w:pStyle w:val="P136"/>
        <w:numPr>
          <w:ilvl w:val="0"/>
          <w:numId w:val="17"/>
        </w:numPr>
        <w:tabs>
          <w:tab w:val="clear" w:pos="1230"/>
          <w:tab w:val="num" w:pos="1440"/>
        </w:tabs>
        <w:ind w:left="0" w:firstLine="720"/>
        <w:jc w:val="both"/>
        <w:rPr>
          <w:rFonts w:ascii="Times New Roman" w:hAnsi="Times New Roman" w:cs="Times New Roman"/>
        </w:rPr>
      </w:pPr>
      <w:r w:rsidRPr="005540EB">
        <w:rPr>
          <w:rFonts w:ascii="Times New Roman" w:hAnsi="Times New Roman" w:cs="Times New Roman"/>
        </w:rPr>
        <w:t>What is the average monthly electric usage for a residential customer, and what is the effect of the proposed increase on a customer’s bill?</w:t>
      </w:r>
    </w:p>
    <w:p w:rsidR="005540EB" w:rsidRPr="00443386" w:rsidRDefault="005540EB" w:rsidP="00711833">
      <w:pPr>
        <w:pStyle w:val="P175"/>
        <w:numPr>
          <w:ilvl w:val="0"/>
          <w:numId w:val="26"/>
        </w:numPr>
        <w:tabs>
          <w:tab w:val="num" w:pos="1440"/>
        </w:tabs>
        <w:ind w:left="0" w:firstLine="720"/>
        <w:jc w:val="both"/>
        <w:rPr>
          <w:rFonts w:ascii="Times New Roman" w:hAnsi="Times New Roman" w:cs="Times New Roman"/>
        </w:rPr>
      </w:pPr>
      <w:r w:rsidRPr="00443386">
        <w:rPr>
          <w:rFonts w:ascii="Times New Roman" w:hAnsi="Times New Roman" w:cs="Times New Roman"/>
        </w:rPr>
        <w:t xml:space="preserve">The average monthly usage for a residential customer is </w:t>
      </w:r>
      <w:r w:rsidR="000D7C83" w:rsidRPr="00443386">
        <w:rPr>
          <w:rFonts w:ascii="Times New Roman" w:hAnsi="Times New Roman" w:cs="Times New Roman"/>
        </w:rPr>
        <w:t xml:space="preserve">approximately </w:t>
      </w:r>
      <w:r w:rsidR="00A44669"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Based on the proposed </w:t>
      </w:r>
      <w:r w:rsidR="00221538" w:rsidRPr="00443386">
        <w:rPr>
          <w:rFonts w:ascii="Times New Roman" w:hAnsi="Times New Roman" w:cs="Times New Roman"/>
        </w:rPr>
        <w:t xml:space="preserve">billing rate </w:t>
      </w:r>
      <w:r w:rsidRPr="00443386">
        <w:rPr>
          <w:rFonts w:ascii="Times New Roman" w:hAnsi="Times New Roman" w:cs="Times New Roman"/>
        </w:rPr>
        <w:t>increase</w:t>
      </w:r>
      <w:r w:rsidR="00D74916" w:rsidRPr="00443386">
        <w:rPr>
          <w:rFonts w:ascii="Times New Roman" w:hAnsi="Times New Roman" w:cs="Times New Roman"/>
        </w:rPr>
        <w:t xml:space="preserve">, including the ERM </w:t>
      </w:r>
      <w:r w:rsidR="00F9270A" w:rsidRPr="00443386">
        <w:rPr>
          <w:rFonts w:ascii="Times New Roman" w:hAnsi="Times New Roman" w:cs="Times New Roman"/>
        </w:rPr>
        <w:t>Rebate</w:t>
      </w:r>
      <w:r w:rsidRPr="00443386">
        <w:rPr>
          <w:rFonts w:ascii="Times New Roman" w:hAnsi="Times New Roman" w:cs="Times New Roman"/>
        </w:rPr>
        <w:t>, the average monthly increase would be $</w:t>
      </w:r>
      <w:r w:rsidR="00443386" w:rsidRPr="00443386">
        <w:rPr>
          <w:rFonts w:ascii="Times New Roman" w:hAnsi="Times New Roman" w:cs="Times New Roman"/>
        </w:rPr>
        <w:t>4.9</w:t>
      </w:r>
      <w:r w:rsidR="006F6605">
        <w:rPr>
          <w:rFonts w:ascii="Times New Roman" w:hAnsi="Times New Roman" w:cs="Times New Roman"/>
        </w:rPr>
        <w:t>4</w:t>
      </w:r>
      <w:r w:rsidRPr="00443386">
        <w:rPr>
          <w:rFonts w:ascii="Times New Roman" w:hAnsi="Times New Roman" w:cs="Times New Roman"/>
        </w:rPr>
        <w:t xml:space="preserve">, or </w:t>
      </w:r>
      <w:r w:rsidR="00443386" w:rsidRPr="00443386">
        <w:rPr>
          <w:rFonts w:ascii="Times New Roman" w:hAnsi="Times New Roman" w:cs="Times New Roman"/>
        </w:rPr>
        <w:t>6.</w:t>
      </w:r>
      <w:r w:rsidR="00AF5996">
        <w:rPr>
          <w:rFonts w:ascii="Times New Roman" w:hAnsi="Times New Roman" w:cs="Times New Roman"/>
        </w:rPr>
        <w:t>3</w:t>
      </w:r>
      <w:r w:rsidRPr="00443386">
        <w:rPr>
          <w:rFonts w:ascii="Times New Roman" w:hAnsi="Times New Roman" w:cs="Times New Roman"/>
        </w:rPr>
        <w:t xml:space="preserve">%.  The present monthly bill for </w:t>
      </w:r>
      <w:r w:rsidR="00C06F9C" w:rsidRPr="00443386">
        <w:rPr>
          <w:rFonts w:ascii="Times New Roman" w:hAnsi="Times New Roman" w:cs="Times New Roman"/>
        </w:rPr>
        <w:t>9</w:t>
      </w:r>
      <w:r w:rsidR="00D74916" w:rsidRPr="00443386">
        <w:rPr>
          <w:rFonts w:ascii="Times New Roman" w:hAnsi="Times New Roman" w:cs="Times New Roman"/>
        </w:rPr>
        <w:t>89</w:t>
      </w:r>
      <w:r w:rsidRPr="00443386">
        <w:rPr>
          <w:rFonts w:ascii="Times New Roman" w:hAnsi="Times New Roman" w:cs="Times New Roman"/>
        </w:rPr>
        <w:t xml:space="preserve"> kWhs of usage is $</w:t>
      </w:r>
      <w:r w:rsidR="00D74916" w:rsidRPr="00443386">
        <w:rPr>
          <w:rFonts w:ascii="Times New Roman" w:hAnsi="Times New Roman" w:cs="Times New Roman"/>
        </w:rPr>
        <w:t>78.9</w:t>
      </w:r>
      <w:r w:rsidR="006F6605">
        <w:rPr>
          <w:rFonts w:ascii="Times New Roman" w:hAnsi="Times New Roman" w:cs="Times New Roman"/>
        </w:rPr>
        <w:t>7</w:t>
      </w:r>
      <w:r w:rsidRPr="00443386">
        <w:rPr>
          <w:rFonts w:ascii="Times New Roman" w:hAnsi="Times New Roman" w:cs="Times New Roman"/>
        </w:rPr>
        <w:t xml:space="preserve"> and the proposed monthly bill would be $</w:t>
      </w:r>
      <w:r w:rsidR="00443386" w:rsidRPr="00443386">
        <w:rPr>
          <w:rFonts w:ascii="Times New Roman" w:hAnsi="Times New Roman" w:cs="Times New Roman"/>
        </w:rPr>
        <w:t>83.</w:t>
      </w:r>
      <w:r w:rsidR="00AF5996">
        <w:rPr>
          <w:rFonts w:ascii="Times New Roman" w:hAnsi="Times New Roman" w:cs="Times New Roman"/>
        </w:rPr>
        <w:t>91</w:t>
      </w:r>
      <w:r w:rsidRPr="00443386">
        <w:rPr>
          <w:rFonts w:ascii="Times New Roman" w:hAnsi="Times New Roman" w:cs="Times New Roman"/>
        </w:rPr>
        <w:t>.</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could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Yes.  The present rate structure under the schedule includes a monthly customer charge of $</w:t>
      </w:r>
      <w:r w:rsidR="00830886">
        <w:rPr>
          <w:rFonts w:ascii="Times New Roman" w:hAnsi="Times New Roman" w:cs="Times New Roman"/>
        </w:rPr>
        <w:t>1</w:t>
      </w:r>
      <w:r w:rsidR="00221538">
        <w:rPr>
          <w:rFonts w:ascii="Times New Roman" w:hAnsi="Times New Roman" w:cs="Times New Roman"/>
        </w:rPr>
        <w:t>2</w:t>
      </w:r>
      <w:r w:rsidR="00830886">
        <w:rPr>
          <w:rFonts w:ascii="Times New Roman" w:hAnsi="Times New Roman" w:cs="Times New Roman"/>
        </w:rPr>
        <w:t>.00</w:t>
      </w:r>
      <w:r w:rsidRPr="005540EB">
        <w:rPr>
          <w:rFonts w:ascii="Times New Roman" w:hAnsi="Times New Roman" w:cs="Times New Roman"/>
        </w:rPr>
        <w:t xml:space="preserve">, an energy rate of </w:t>
      </w:r>
      <w:r w:rsidR="00221538">
        <w:rPr>
          <w:rFonts w:ascii="Times New Roman" w:hAnsi="Times New Roman" w:cs="Times New Roman"/>
        </w:rPr>
        <w:t>10.891</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221538">
        <w:rPr>
          <w:rFonts w:ascii="Times New Roman" w:hAnsi="Times New Roman" w:cs="Times New Roman"/>
        </w:rPr>
        <w:t>8.002</w:t>
      </w:r>
      <w:r w:rsidRPr="005540EB">
        <w:rPr>
          <w:rFonts w:ascii="Times New Roman" w:hAnsi="Times New Roman" w:cs="Times New Roman"/>
        </w:rPr>
        <w:t xml:space="preserve"> cents per kWh for usage over 3,650 kWhs per month.  There is also a demand charge of $</w:t>
      </w:r>
      <w:r w:rsidR="00830886">
        <w:rPr>
          <w:rFonts w:ascii="Times New Roman" w:hAnsi="Times New Roman" w:cs="Times New Roman"/>
        </w:rPr>
        <w:t>5.</w:t>
      </w:r>
      <w:r w:rsidR="00221538">
        <w:rPr>
          <w:rFonts w:ascii="Times New Roman" w:hAnsi="Times New Roman" w:cs="Times New Roman"/>
        </w:rPr>
        <w:t>75</w:t>
      </w:r>
      <w:r w:rsidRPr="005540EB">
        <w:rPr>
          <w:rFonts w:ascii="Times New Roman" w:hAnsi="Times New Roman" w:cs="Times New Roman"/>
        </w:rPr>
        <w:t xml:space="preserve"> per kW for all demand in excess of 20 kW </w:t>
      </w:r>
      <w:r w:rsidRPr="005540EB">
        <w:rPr>
          <w:rFonts w:ascii="Times New Roman" w:hAnsi="Times New Roman" w:cs="Times New Roman"/>
        </w:rPr>
        <w:lastRenderedPageBreak/>
        <w:t xml:space="preserve">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r w:rsidR="005540EB" w:rsidRPr="00D74916">
        <w:rPr>
          <w:rFonts w:ascii="Times New Roman" w:hAnsi="Times New Roman" w:cs="Times New Roman"/>
        </w:rPr>
        <w:t>increase of $</w:t>
      </w:r>
      <w:r w:rsidR="00443386">
        <w:rPr>
          <w:rFonts w:ascii="Times New Roman" w:hAnsi="Times New Roman" w:cs="Times New Roman"/>
        </w:rPr>
        <w:t>4,9</w:t>
      </w:r>
      <w:r w:rsidR="00AF5996">
        <w:rPr>
          <w:rFonts w:ascii="Times New Roman" w:hAnsi="Times New Roman" w:cs="Times New Roman"/>
        </w:rPr>
        <w:t>9</w:t>
      </w:r>
      <w:r w:rsidR="00443386">
        <w:rPr>
          <w:rFonts w:ascii="Times New Roman" w:hAnsi="Times New Roman" w:cs="Times New Roman"/>
        </w:rPr>
        <w:t>9</w:t>
      </w:r>
      <w:r w:rsidR="005540EB" w:rsidRPr="00D74916">
        <w:rPr>
          <w:rFonts w:ascii="Times New Roman" w:hAnsi="Times New Roman" w:cs="Times New Roman"/>
        </w:rPr>
        <w:t>,000 to the</w:t>
      </w:r>
      <w:r w:rsidR="005540EB" w:rsidRPr="005540EB">
        <w:rPr>
          <w:rFonts w:ascii="Times New Roman" w:hAnsi="Times New Roman" w:cs="Times New Roman"/>
        </w:rPr>
        <w:t xml:space="preserve"> rates under Schedule 11? </w:t>
      </w:r>
    </w:p>
    <w:p w:rsidR="005540EB" w:rsidRDefault="00F04603" w:rsidP="00CA7EA4">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221538">
        <w:rPr>
          <w:rFonts w:ascii="Times New Roman" w:hAnsi="Times New Roman" w:cs="Times New Roman"/>
        </w:rPr>
        <w:t>3</w:t>
      </w:r>
      <w:r w:rsidR="006A2F58" w:rsidRPr="00E42AAE">
        <w:rPr>
          <w:rFonts w:ascii="Times New Roman" w:hAnsi="Times New Roman" w:cs="Times New Roman"/>
        </w:rPr>
        <w:t>.00</w:t>
      </w:r>
      <w:r w:rsidR="005540EB" w:rsidRPr="00E42AAE">
        <w:rPr>
          <w:rFonts w:ascii="Times New Roman" w:hAnsi="Times New Roman" w:cs="Times New Roman"/>
        </w:rPr>
        <w:t>, from $</w:t>
      </w:r>
      <w:r w:rsidR="00221538">
        <w:rPr>
          <w:rFonts w:ascii="Times New Roman" w:hAnsi="Times New Roman" w:cs="Times New Roman"/>
        </w:rPr>
        <w:t>12</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AC3ADC" w:rsidRPr="00E42AAE">
        <w:rPr>
          <w:rFonts w:ascii="Times New Roman" w:hAnsi="Times New Roman" w:cs="Times New Roman"/>
        </w:rPr>
        <w:t>1</w:t>
      </w:r>
      <w:r w:rsidR="00221538">
        <w:rPr>
          <w:rFonts w:ascii="Times New Roman" w:hAnsi="Times New Roman" w:cs="Times New Roman"/>
        </w:rPr>
        <w:t>5</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830886" w:rsidRPr="00E42AAE">
        <w:rPr>
          <w:rFonts w:ascii="Times New Roman" w:hAnsi="Times New Roman" w:cs="Times New Roman"/>
        </w:rPr>
        <w:t>5.</w:t>
      </w:r>
      <w:r w:rsidR="00221538">
        <w:rPr>
          <w:rFonts w:ascii="Times New Roman" w:hAnsi="Times New Roman" w:cs="Times New Roman"/>
        </w:rPr>
        <w:t>75</w:t>
      </w:r>
      <w:r w:rsidR="005540EB" w:rsidRPr="00E42AAE">
        <w:rPr>
          <w:rFonts w:ascii="Times New Roman" w:hAnsi="Times New Roman" w:cs="Times New Roman"/>
        </w:rPr>
        <w:t xml:space="preserve"> to $</w:t>
      </w:r>
      <w:r w:rsidR="00221538">
        <w:rPr>
          <w:rFonts w:ascii="Times New Roman" w:hAnsi="Times New Roman" w:cs="Times New Roman"/>
        </w:rPr>
        <w:t>6.</w:t>
      </w:r>
      <w:r w:rsidR="00D74916">
        <w:rPr>
          <w:rFonts w:ascii="Times New Roman" w:hAnsi="Times New Roman" w:cs="Times New Roman"/>
        </w:rPr>
        <w:t>25</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of </w:t>
      </w:r>
      <w:r w:rsidR="00221538">
        <w:rPr>
          <w:rFonts w:ascii="Times New Roman" w:hAnsi="Times New Roman" w:cs="Times New Roman"/>
        </w:rPr>
        <w:t xml:space="preserve">approximately </w:t>
      </w:r>
      <w:r w:rsidR="00443386">
        <w:rPr>
          <w:rFonts w:ascii="Times New Roman" w:hAnsi="Times New Roman" w:cs="Times New Roman"/>
        </w:rPr>
        <w:t>7.7</w:t>
      </w:r>
      <w:r w:rsidR="00221538">
        <w:rPr>
          <w:rFonts w:ascii="Times New Roman" w:hAnsi="Times New Roman" w:cs="Times New Roman"/>
        </w:rPr>
        <w:t xml:space="preserve">% </w:t>
      </w:r>
      <w:r w:rsidR="00221538" w:rsidRPr="005540EB">
        <w:rPr>
          <w:rFonts w:ascii="Times New Roman" w:hAnsi="Times New Roman" w:cs="Times New Roman"/>
        </w:rPr>
        <w:t xml:space="preserve">applied to the two (block) energy rates.  The increase in the first </w:t>
      </w:r>
      <w:r w:rsidR="00221538">
        <w:rPr>
          <w:rFonts w:ascii="Times New Roman" w:hAnsi="Times New Roman" w:cs="Times New Roman"/>
        </w:rPr>
        <w:t xml:space="preserve">block rate </w:t>
      </w:r>
      <w:r w:rsidR="00221538" w:rsidRPr="00D74916">
        <w:rPr>
          <w:rFonts w:ascii="Times New Roman" w:hAnsi="Times New Roman" w:cs="Times New Roman"/>
        </w:rPr>
        <w:t>is 0.</w:t>
      </w:r>
      <w:r w:rsidR="00AF5996">
        <w:rPr>
          <w:rFonts w:ascii="Times New Roman" w:hAnsi="Times New Roman" w:cs="Times New Roman"/>
        </w:rPr>
        <w:t>840</w:t>
      </w:r>
      <w:r w:rsidR="00221538" w:rsidRPr="00D74916">
        <w:rPr>
          <w:rFonts w:ascii="Times New Roman" w:hAnsi="Times New Roman" w:cs="Times New Roman"/>
        </w:rPr>
        <w:t xml:space="preserve"> cents per kWh, and 0.</w:t>
      </w:r>
      <w:r w:rsidR="00443386">
        <w:rPr>
          <w:rFonts w:ascii="Times New Roman" w:hAnsi="Times New Roman" w:cs="Times New Roman"/>
        </w:rPr>
        <w:t>61</w:t>
      </w:r>
      <w:r w:rsidR="00AF5996">
        <w:rPr>
          <w:rFonts w:ascii="Times New Roman" w:hAnsi="Times New Roman" w:cs="Times New Roman"/>
        </w:rPr>
        <w:t>7</w:t>
      </w:r>
      <w:r w:rsidR="00221538" w:rsidRPr="00D74916">
        <w:rPr>
          <w:rFonts w:ascii="Times New Roman" w:hAnsi="Times New Roman" w:cs="Times New Roman"/>
        </w:rPr>
        <w:t xml:space="preserve"> cents per kWh for the second block rate.  </w:t>
      </w:r>
      <w:r w:rsidR="005540EB" w:rsidRPr="00D74916">
        <w:rPr>
          <w:rFonts w:ascii="Times New Roman" w:hAnsi="Times New Roman" w:cs="Times New Roman"/>
        </w:rPr>
        <w:t xml:space="preserve"> </w:t>
      </w:r>
      <w:r w:rsidR="005D0943" w:rsidRPr="00D74916">
        <w:rPr>
          <w:rFonts w:ascii="Times New Roman" w:hAnsi="Times New Roman" w:cs="Times New Roman"/>
        </w:rPr>
        <w:t xml:space="preserve">  Finally, the Company is proposing to</w:t>
      </w:r>
      <w:r w:rsidR="005D0943">
        <w:rPr>
          <w:rFonts w:ascii="Times New Roman" w:hAnsi="Times New Roman" w:cs="Times New Roman"/>
        </w:rPr>
        <w:t xml:space="preserve"> increase the minimum charge for 3-phase service from $</w:t>
      </w:r>
      <w:r w:rsidR="00221538">
        <w:rPr>
          <w:rFonts w:ascii="Times New Roman" w:hAnsi="Times New Roman" w:cs="Times New Roman"/>
        </w:rPr>
        <w:t>19.35</w:t>
      </w:r>
      <w:r w:rsidR="005D0943">
        <w:rPr>
          <w:rFonts w:ascii="Times New Roman" w:hAnsi="Times New Roman" w:cs="Times New Roman"/>
        </w:rPr>
        <w:t xml:space="preserve"> to $</w:t>
      </w:r>
      <w:r w:rsidR="00221538">
        <w:rPr>
          <w:rFonts w:ascii="Times New Roman" w:hAnsi="Times New Roman" w:cs="Times New Roman"/>
        </w:rPr>
        <w:t>22.35</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D74916">
        <w:rPr>
          <w:rFonts w:ascii="Times New Roman" w:hAnsi="Times New Roman" w:cs="Times New Roman"/>
          <w:b/>
        </w:rPr>
        <w:t>9</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from the cost of service study is approximately $</w:t>
      </w:r>
      <w:r w:rsidR="00AF5996" w:rsidRPr="00E65A4C">
        <w:rPr>
          <w:bCs/>
        </w:rPr>
        <w:t>17.46</w:t>
      </w:r>
      <w:r w:rsidRPr="00E65A4C">
        <w:rPr>
          <w:bCs/>
        </w:rPr>
        <w:t xml:space="preserve"> per kilowatt (kW) month</w:t>
      </w:r>
      <w:r w:rsidRPr="00E65A4C">
        <w:rPr>
          <w:rStyle w:val="FootnoteReference"/>
          <w:bCs/>
        </w:rPr>
        <w:footnoteReference w:id="2"/>
      </w:r>
      <w:r w:rsidRPr="00E65A4C">
        <w:rPr>
          <w:bCs/>
        </w:rPr>
        <w:t>.  The Company’s present monthly demand charges range from $</w:t>
      </w:r>
      <w:r w:rsidR="001A786F" w:rsidRPr="00E65A4C">
        <w:rPr>
          <w:bCs/>
        </w:rPr>
        <w:t>4.25</w:t>
      </w:r>
      <w:r w:rsidRPr="00E65A4C">
        <w:rPr>
          <w:bCs/>
        </w:rPr>
        <w:t>–$5.75/kW, depending on service schedule.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 xml:space="preserve">ustomers </w:t>
      </w:r>
      <w:r w:rsidRPr="005141FE">
        <w:rPr>
          <w:bCs/>
        </w:rPr>
        <w:lastRenderedPageBreak/>
        <w:t>need to receive the proper price signal to encourage a reduction in their peak demand, i.e., higher demand charges.</w:t>
      </w:r>
    </w:p>
    <w:p w:rsidR="00AD2C96" w:rsidRDefault="002C0C2F" w:rsidP="00AD2C96">
      <w:pPr>
        <w:pStyle w:val="BodyText2"/>
        <w:ind w:firstLine="720"/>
        <w:rPr>
          <w:bCs/>
        </w:rPr>
      </w:pPr>
      <w:r>
        <w:rPr>
          <w:bCs/>
        </w:rPr>
        <w:t>For these reasons, t</w:t>
      </w:r>
      <w:r w:rsidR="00F04603" w:rsidRPr="005141FE">
        <w:rPr>
          <w:bCs/>
        </w:rPr>
        <w:t xml:space="preserve">he </w:t>
      </w:r>
      <w:r w:rsidR="005141FE">
        <w:rPr>
          <w:bCs/>
        </w:rPr>
        <w:t xml:space="preserve">Company </w:t>
      </w:r>
      <w:r w:rsidR="00F04603" w:rsidRPr="005141FE">
        <w:rPr>
          <w:bCs/>
        </w:rPr>
        <w:t>believes that it is importan</w:t>
      </w:r>
      <w:r w:rsidR="00CF6646">
        <w:rPr>
          <w:bCs/>
        </w:rPr>
        <w:t>t to increase the demand charge</w:t>
      </w:r>
      <w:r w:rsidR="00F04603" w:rsidRPr="005141FE">
        <w:rPr>
          <w:bCs/>
        </w:rPr>
        <w:t xml:space="preserve"> in this </w:t>
      </w:r>
      <w:r w:rsidR="00916D0F">
        <w:rPr>
          <w:bCs/>
        </w:rPr>
        <w:t>c</w:t>
      </w:r>
      <w:r w:rsidR="00F04603" w:rsidRPr="005141FE">
        <w:rPr>
          <w:bCs/>
        </w:rPr>
        <w:t>ase</w:t>
      </w:r>
      <w:r w:rsidR="00C73089">
        <w:rPr>
          <w:bCs/>
        </w:rPr>
        <w:t xml:space="preserve"> for Schedule 11</w:t>
      </w:r>
      <w:r w:rsidR="00614DB9">
        <w:rPr>
          <w:bCs/>
        </w:rPr>
        <w:t xml:space="preserve">, </w:t>
      </w:r>
      <w:r w:rsidR="00614DB9" w:rsidRPr="00416D8E">
        <w:rPr>
          <w:bCs/>
          <w:u w:val="single"/>
        </w:rPr>
        <w:t>as well as</w:t>
      </w:r>
      <w:r w:rsidR="00614DB9">
        <w:rPr>
          <w:bCs/>
        </w:rPr>
        <w:t xml:space="preserve"> for Schedules</w:t>
      </w:r>
      <w:r w:rsidR="00C73089">
        <w:rPr>
          <w:bCs/>
        </w:rPr>
        <w:t xml:space="preserve"> 21 and 25</w:t>
      </w:r>
      <w:r w:rsidR="00C86EA5">
        <w:rPr>
          <w:bCs/>
        </w:rPr>
        <w:t>, by a percentage</w:t>
      </w:r>
      <w:r w:rsidR="00D74916">
        <w:rPr>
          <w:bCs/>
        </w:rPr>
        <w:t xml:space="preserve"> equal to or</w:t>
      </w:r>
      <w:r w:rsidR="00C86EA5">
        <w:rPr>
          <w:bCs/>
        </w:rPr>
        <w:t xml:space="preserve"> greater than that </w:t>
      </w:r>
      <w:r w:rsidR="00CF6646">
        <w:rPr>
          <w:bCs/>
        </w:rPr>
        <w:t xml:space="preserve">applied </w:t>
      </w:r>
      <w:r w:rsidR="00C86EA5">
        <w:rPr>
          <w:bCs/>
        </w:rPr>
        <w:t xml:space="preserve">to the </w:t>
      </w:r>
      <w:r w:rsidR="00CF6646">
        <w:rPr>
          <w:bCs/>
        </w:rPr>
        <w:t>energy</w:t>
      </w:r>
      <w:r w:rsidR="00C86EA5">
        <w:rPr>
          <w:bCs/>
        </w:rPr>
        <w:t xml:space="preserve"> rates</w:t>
      </w:r>
      <w:r w:rsidR="00D74916">
        <w:rPr>
          <w:rStyle w:val="FootnoteReference"/>
          <w:bCs/>
        </w:rPr>
        <w:footnoteReference w:id="3"/>
      </w:r>
      <w:r w:rsidR="00C73089">
        <w:rPr>
          <w:bCs/>
        </w:rPr>
        <w:t xml:space="preserve">.  </w:t>
      </w:r>
      <w:r w:rsidR="00F04603" w:rsidRPr="005141FE">
        <w:rPr>
          <w:bCs/>
        </w:rPr>
        <w:t xml:space="preserve">If demand charges are not increased </w:t>
      </w:r>
      <w:r w:rsidR="00F04603" w:rsidRPr="00C86EA5">
        <w:rPr>
          <w:bCs/>
          <w:u w:val="single"/>
        </w:rPr>
        <w:t>at least</w:t>
      </w:r>
      <w:r w:rsidR="00F04603" w:rsidRPr="005141FE">
        <w:rPr>
          <w:bCs/>
        </w:rPr>
        <w:t xml:space="preserve"> proportionately with energy charges, customers who have a poor load factor (high peak demand compared to average energy use) would see a </w:t>
      </w:r>
      <w:r w:rsidR="00F04603" w:rsidRPr="005141FE">
        <w:rPr>
          <w:bCs/>
          <w:u w:val="single"/>
        </w:rPr>
        <w:t>lower</w:t>
      </w:r>
      <w:r w:rsidR="00F04603" w:rsidRPr="005141FE">
        <w:rPr>
          <w:bCs/>
        </w:rPr>
        <w:t xml:space="preserve"> percentage increase in their bill than a comparable customer with a good load factor (low peak demand compared to average energy use).  </w:t>
      </w:r>
      <w:r w:rsidR="00F04603" w:rsidRPr="00C86EA5">
        <w:rPr>
          <w:bCs/>
        </w:rPr>
        <w:t>This result would not send the appropriate price signal to commercial and industrial customers</w:t>
      </w:r>
      <w:r w:rsidR="00C86EA5">
        <w:rPr>
          <w:bCs/>
        </w:rPr>
        <w:t>, n</w:t>
      </w:r>
      <w:r w:rsidR="00F04603" w:rsidRPr="00C86EA5">
        <w:rPr>
          <w:bCs/>
        </w:rPr>
        <w:t>or would it reflect the fact that the Company’s demand charges are well below the costs associated with meeting customers</w:t>
      </w:r>
      <w:r w:rsidR="00CF6646">
        <w:rPr>
          <w:bCs/>
        </w:rPr>
        <w:t>’</w:t>
      </w:r>
      <w:r w:rsidR="00F04603" w:rsidRPr="00C86EA5">
        <w:rPr>
          <w:bCs/>
        </w:rPr>
        <w:t xml:space="preserve"> peak demand. </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increase </w:t>
      </w:r>
      <w:r w:rsidRPr="00443386">
        <w:rPr>
          <w:rStyle w:val="T11"/>
          <w:rFonts w:ascii="Times New Roman" w:hAnsi="Times New Roman" w:cs="Times New Roman"/>
        </w:rPr>
        <w:t>of $</w:t>
      </w:r>
      <w:r w:rsidR="00645683" w:rsidRPr="00443386">
        <w:rPr>
          <w:rStyle w:val="T11"/>
          <w:rFonts w:ascii="Times New Roman" w:hAnsi="Times New Roman" w:cs="Times New Roman"/>
        </w:rPr>
        <w:t>11</w:t>
      </w:r>
      <w:r w:rsidR="00614DB9" w:rsidRPr="00443386">
        <w:rPr>
          <w:rStyle w:val="T11"/>
          <w:rFonts w:ascii="Times New Roman" w:hAnsi="Times New Roman" w:cs="Times New Roman"/>
        </w:rPr>
        <w:t>,</w:t>
      </w:r>
      <w:r w:rsidR="00443386" w:rsidRPr="00443386">
        <w:rPr>
          <w:rStyle w:val="T11"/>
          <w:rFonts w:ascii="Times New Roman" w:hAnsi="Times New Roman" w:cs="Times New Roman"/>
        </w:rPr>
        <w:t>4</w:t>
      </w:r>
      <w:r w:rsidR="00E65A4C">
        <w:rPr>
          <w:rStyle w:val="T11"/>
          <w:rFonts w:ascii="Times New Roman" w:hAnsi="Times New Roman" w:cs="Times New Roman"/>
        </w:rPr>
        <w:t>32</w:t>
      </w:r>
      <w:r w:rsidR="00614DB9" w:rsidRPr="00443386">
        <w:rPr>
          <w:rStyle w:val="T11"/>
          <w:rFonts w:ascii="Times New Roman" w:hAnsi="Times New Roman" w:cs="Times New Roman"/>
        </w:rPr>
        <w:t>,000</w:t>
      </w:r>
      <w:r w:rsidRPr="00443386">
        <w:rPr>
          <w:rStyle w:val="T11"/>
          <w:rFonts w:ascii="Times New Roman" w:hAnsi="Times New Roman" w:cs="Times New Roman"/>
        </w:rPr>
        <w:t xml:space="preserve"> to</w:t>
      </w:r>
      <w:r w:rsidRPr="005A6FE5">
        <w:rPr>
          <w:rStyle w:val="T11"/>
          <w:rFonts w:ascii="Times New Roman" w:hAnsi="Times New Roman" w:cs="Times New Roman"/>
        </w:rPr>
        <w:t xml:space="preserve"> the</w:t>
      </w:r>
      <w:r w:rsidRPr="00645683">
        <w:rPr>
          <w:rStyle w:val="T11"/>
          <w:rFonts w:ascii="Times New Roman" w:hAnsi="Times New Roman" w:cs="Times New Roman"/>
        </w:rPr>
        <w:t xml:space="preserve"> rates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1A786F">
        <w:rPr>
          <w:rFonts w:ascii="Times New Roman" w:hAnsi="Times New Roman" w:cs="Times New Roman"/>
        </w:rPr>
        <w:t>400.00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1A786F">
        <w:rPr>
          <w:rFonts w:ascii="Times New Roman" w:hAnsi="Times New Roman" w:cs="Times New Roman"/>
        </w:rPr>
        <w:t>5.25</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1A786F">
        <w:rPr>
          <w:rFonts w:ascii="Times New Roman" w:hAnsi="Times New Roman" w:cs="Times New Roman"/>
        </w:rPr>
        <w:t>6.819</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1A786F">
        <w:rPr>
          <w:rFonts w:ascii="Times New Roman" w:hAnsi="Times New Roman" w:cs="Times New Roman"/>
        </w:rPr>
        <w:t>6.097</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The Company is proposing that the present minimum demand charge (for the first 50 kW or less) be increased by $</w:t>
      </w:r>
      <w:r w:rsidR="00614DB9" w:rsidRPr="00645683">
        <w:rPr>
          <w:rFonts w:ascii="Times New Roman" w:hAnsi="Times New Roman" w:cs="Times New Roman"/>
        </w:rPr>
        <w:t>50</w:t>
      </w:r>
      <w:r w:rsidRPr="00645683">
        <w:rPr>
          <w:rFonts w:ascii="Times New Roman" w:hAnsi="Times New Roman" w:cs="Times New Roman"/>
        </w:rPr>
        <w:t xml:space="preserve"> per month, from $</w:t>
      </w:r>
      <w:r w:rsidR="001A786F">
        <w:rPr>
          <w:rFonts w:ascii="Times New Roman" w:hAnsi="Times New Roman" w:cs="Times New Roman"/>
        </w:rPr>
        <w:t>400</w:t>
      </w:r>
      <w:r w:rsidRPr="00645683">
        <w:rPr>
          <w:rFonts w:ascii="Times New Roman" w:hAnsi="Times New Roman" w:cs="Times New Roman"/>
        </w:rPr>
        <w:t>.00 to $</w:t>
      </w:r>
      <w:r w:rsidR="006E11B2" w:rsidRPr="00645683">
        <w:rPr>
          <w:rFonts w:ascii="Times New Roman" w:hAnsi="Times New Roman" w:cs="Times New Roman"/>
        </w:rPr>
        <w:t>4</w:t>
      </w:r>
      <w:r w:rsidR="001A786F">
        <w:rPr>
          <w:rFonts w:ascii="Times New Roman" w:hAnsi="Times New Roman" w:cs="Times New Roman"/>
        </w:rPr>
        <w:t>5</w:t>
      </w:r>
      <w:r w:rsidR="006E11B2" w:rsidRPr="00645683">
        <w:rPr>
          <w:rFonts w:ascii="Times New Roman" w:hAnsi="Times New Roman" w:cs="Times New Roman"/>
        </w:rPr>
        <w:t>0.00</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1A786F">
        <w:rPr>
          <w:rFonts w:ascii="Times New Roman" w:hAnsi="Times New Roman" w:cs="Times New Roman"/>
        </w:rPr>
        <w:t>5.25</w:t>
      </w:r>
      <w:r w:rsidRPr="00645683">
        <w:rPr>
          <w:rFonts w:ascii="Times New Roman" w:hAnsi="Times New Roman" w:cs="Times New Roman"/>
        </w:rPr>
        <w:t xml:space="preserve"> to $</w:t>
      </w:r>
      <w:r w:rsidR="006E11B2" w:rsidRPr="00645683">
        <w:rPr>
          <w:rFonts w:ascii="Times New Roman" w:hAnsi="Times New Roman" w:cs="Times New Roman"/>
        </w:rPr>
        <w:t>5.</w:t>
      </w:r>
      <w:r w:rsidR="001A786F">
        <w:rPr>
          <w:rFonts w:ascii="Times New Roman" w:hAnsi="Times New Roman" w:cs="Times New Roman"/>
        </w:rPr>
        <w:t>7</w:t>
      </w:r>
      <w:r w:rsidR="006E11B2" w:rsidRPr="00645683">
        <w:rPr>
          <w:rFonts w:ascii="Times New Roman" w:hAnsi="Times New Roman" w:cs="Times New Roman"/>
        </w:rPr>
        <w:t>5</w:t>
      </w:r>
      <w:r w:rsidR="00614DB9" w:rsidRPr="00645683">
        <w:rPr>
          <w:rFonts w:ascii="Times New Roman" w:hAnsi="Times New Roman" w:cs="Times New Roman"/>
        </w:rPr>
        <w:t>, for reasons provided 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lastRenderedPageBreak/>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2E3123" w:rsidRPr="00443386">
        <w:rPr>
          <w:rFonts w:ascii="Times New Roman" w:hAnsi="Times New Roman" w:cs="Times New Roman"/>
        </w:rPr>
        <w:t>8.</w:t>
      </w:r>
      <w:r w:rsidR="00443386" w:rsidRPr="00443386">
        <w:rPr>
          <w:rFonts w:ascii="Times New Roman" w:hAnsi="Times New Roman" w:cs="Times New Roman"/>
        </w:rPr>
        <w:t>5</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increase for the first 250,000 kWhs used per month under the schedule is </w:t>
      </w:r>
      <w:r w:rsidR="00614DB9" w:rsidRPr="00443386">
        <w:rPr>
          <w:rFonts w:ascii="Times New Roman" w:hAnsi="Times New Roman" w:cs="Times New Roman"/>
        </w:rPr>
        <w:t>0.</w:t>
      </w:r>
      <w:r w:rsidR="00443386" w:rsidRPr="00443386">
        <w:rPr>
          <w:rFonts w:ascii="Times New Roman" w:hAnsi="Times New Roman" w:cs="Times New Roman"/>
        </w:rPr>
        <w:t>5</w:t>
      </w:r>
      <w:r w:rsidR="00E65A4C">
        <w:rPr>
          <w:rFonts w:ascii="Times New Roman" w:hAnsi="Times New Roman" w:cs="Times New Roman"/>
        </w:rPr>
        <w:t>79</w:t>
      </w:r>
      <w:r w:rsidRPr="00443386">
        <w:rPr>
          <w:rFonts w:ascii="Times New Roman" w:hAnsi="Times New Roman" w:cs="Times New Roman"/>
        </w:rPr>
        <w:t xml:space="preserve"> cents per kWh, and an increase of </w:t>
      </w:r>
      <w:r w:rsidR="00614DB9" w:rsidRPr="00443386">
        <w:rPr>
          <w:rFonts w:ascii="Times New Roman" w:hAnsi="Times New Roman" w:cs="Times New Roman"/>
        </w:rPr>
        <w:t>0.</w:t>
      </w:r>
      <w:r w:rsidR="005A6FE5" w:rsidRPr="00443386">
        <w:rPr>
          <w:rFonts w:ascii="Times New Roman" w:hAnsi="Times New Roman" w:cs="Times New Roman"/>
        </w:rPr>
        <w:t>5</w:t>
      </w:r>
      <w:r w:rsidR="00443386" w:rsidRPr="00443386">
        <w:rPr>
          <w:rFonts w:ascii="Times New Roman" w:hAnsi="Times New Roman" w:cs="Times New Roman"/>
        </w:rPr>
        <w:t>17</w:t>
      </w:r>
      <w:r w:rsidR="005A6FE5" w:rsidRPr="00443386">
        <w:rPr>
          <w:rFonts w:ascii="Times New Roman" w:hAnsi="Times New Roman" w:cs="Times New Roman"/>
        </w:rPr>
        <w:t xml:space="preserve"> </w:t>
      </w:r>
      <w:r w:rsidRPr="00443386">
        <w:rPr>
          <w:rFonts w:ascii="Times New Roman" w:hAnsi="Times New Roman" w:cs="Times New Roman"/>
        </w:rPr>
        <w:t>cents per kWh</w:t>
      </w:r>
      <w:r w:rsidRPr="005A6FE5">
        <w:rPr>
          <w:rFonts w:ascii="Times New Roman" w:hAnsi="Times New Roman" w:cs="Times New Roman"/>
        </w:rPr>
        <w:t xml:space="preserve"> for usage</w:t>
      </w:r>
      <w:r w:rsidRPr="00F820B5">
        <w:rPr>
          <w:rFonts w:ascii="Times New Roman" w:hAnsi="Times New Roman" w:cs="Times New Roman"/>
        </w:rPr>
        <w:t xml:space="preserve"> over 250,000 kWhs per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increase of $</w:t>
      </w:r>
      <w:r w:rsidR="005A6FE5" w:rsidRPr="00443386">
        <w:rPr>
          <w:rStyle w:val="T11"/>
          <w:rFonts w:ascii="Times New Roman" w:hAnsi="Times New Roman" w:cs="Times New Roman"/>
        </w:rPr>
        <w:t>5,</w:t>
      </w:r>
      <w:r w:rsidR="00443386" w:rsidRPr="00443386">
        <w:rPr>
          <w:rStyle w:val="T11"/>
          <w:rFonts w:ascii="Times New Roman" w:hAnsi="Times New Roman" w:cs="Times New Roman"/>
        </w:rPr>
        <w:t>2</w:t>
      </w:r>
      <w:r w:rsidR="00E65A4C">
        <w:rPr>
          <w:rStyle w:val="T11"/>
          <w:rFonts w:ascii="Times New Roman" w:hAnsi="Times New Roman" w:cs="Times New Roman"/>
        </w:rPr>
        <w:t>41</w:t>
      </w:r>
      <w:r w:rsidR="00100091" w:rsidRPr="00443386">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1A786F">
        <w:rPr>
          <w:rFonts w:ascii="Times New Roman" w:hAnsi="Times New Roman" w:cs="Times New Roman"/>
        </w:rPr>
        <w:t>14,000</w:t>
      </w:r>
      <w:r w:rsidRPr="005540EB">
        <w:rPr>
          <w:rFonts w:ascii="Times New Roman" w:hAnsi="Times New Roman" w:cs="Times New Roman"/>
        </w:rPr>
        <w:t>.00 for the first 3,000 kVa or less, a demand charge of $</w:t>
      </w:r>
      <w:r w:rsidR="00830886">
        <w:rPr>
          <w:rFonts w:ascii="Times New Roman" w:hAnsi="Times New Roman" w:cs="Times New Roman"/>
        </w:rPr>
        <w:t>4.</w:t>
      </w:r>
      <w:r w:rsidR="001A786F">
        <w:rPr>
          <w:rFonts w:ascii="Times New Roman" w:hAnsi="Times New Roman" w:cs="Times New Roman"/>
        </w:rPr>
        <w:t>25</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1A786F">
        <w:rPr>
          <w:rFonts w:ascii="Times New Roman" w:hAnsi="Times New Roman" w:cs="Times New Roman"/>
        </w:rPr>
        <w:t>5.373</w:t>
      </w:r>
      <w:r w:rsidRPr="005540EB">
        <w:rPr>
          <w:rFonts w:ascii="Times New Roman" w:hAnsi="Times New Roman" w:cs="Times New Roman"/>
        </w:rPr>
        <w:t xml:space="preserve"> cents per kWh for the first 500,000 kWhs per month, </w:t>
      </w:r>
      <w:r w:rsidR="001A786F">
        <w:rPr>
          <w:rFonts w:ascii="Times New Roman" w:hAnsi="Times New Roman" w:cs="Times New Roman"/>
        </w:rPr>
        <w:t>4.834</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4.3</w:t>
      </w:r>
      <w:r w:rsidR="001A786F">
        <w:rPr>
          <w:rFonts w:ascii="Times New Roman" w:hAnsi="Times New Roman" w:cs="Times New Roman"/>
        </w:rPr>
        <w:t>91</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be </w:t>
      </w:r>
      <w:r w:rsidRPr="00C62791">
        <w:rPr>
          <w:rFonts w:ascii="Times New Roman" w:hAnsi="Times New Roman" w:cs="Times New Roman"/>
        </w:rPr>
        <w:t>increased by $</w:t>
      </w:r>
      <w:r w:rsidR="00520565">
        <w:rPr>
          <w:rFonts w:ascii="Times New Roman" w:hAnsi="Times New Roman" w:cs="Times New Roman"/>
        </w:rPr>
        <w:t>2,500</w:t>
      </w:r>
      <w:r w:rsidRPr="00C62791">
        <w:rPr>
          <w:rFonts w:ascii="Times New Roman" w:hAnsi="Times New Roman" w:cs="Times New Roman"/>
        </w:rPr>
        <w:t xml:space="preserve"> per month, from $</w:t>
      </w:r>
      <w:r w:rsidR="001A786F">
        <w:rPr>
          <w:rFonts w:ascii="Times New Roman" w:hAnsi="Times New Roman" w:cs="Times New Roman"/>
        </w:rPr>
        <w:t>14,000</w:t>
      </w:r>
      <w:r w:rsidRPr="00C62791">
        <w:rPr>
          <w:rFonts w:ascii="Times New Roman" w:hAnsi="Times New Roman" w:cs="Times New Roman"/>
        </w:rPr>
        <w:t xml:space="preserve"> to $</w:t>
      </w:r>
      <w:r w:rsidR="00520565">
        <w:rPr>
          <w:rFonts w:ascii="Times New Roman" w:hAnsi="Times New Roman" w:cs="Times New Roman"/>
        </w:rPr>
        <w:t>16,50</w:t>
      </w:r>
      <w:r w:rsidR="00C62791" w:rsidRPr="00C62791">
        <w:rPr>
          <w:rFonts w:ascii="Times New Roman" w:hAnsi="Times New Roman" w:cs="Times New Roman"/>
        </w:rPr>
        <w:t>0</w:t>
      </w:r>
      <w:r w:rsidRPr="00C62791">
        <w:rPr>
          <w:rFonts w:ascii="Times New Roman" w:hAnsi="Times New Roman" w:cs="Times New Roman"/>
        </w:rPr>
        <w:t>, and</w:t>
      </w:r>
      <w:r w:rsidRPr="005540EB">
        <w:rPr>
          <w:rFonts w:ascii="Times New Roman" w:hAnsi="Times New Roman" w:cs="Times New Roman"/>
        </w:rPr>
        <w:t xml:space="preserve"> the demand charge for kVa over 3,000 per month 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830886" w:rsidRPr="00C62791">
        <w:rPr>
          <w:rFonts w:ascii="Times New Roman" w:hAnsi="Times New Roman" w:cs="Times New Roman"/>
        </w:rPr>
        <w:t>4.</w:t>
      </w:r>
      <w:r w:rsidR="001A786F">
        <w:rPr>
          <w:rFonts w:ascii="Times New Roman" w:hAnsi="Times New Roman" w:cs="Times New Roman"/>
        </w:rPr>
        <w:t>25</w:t>
      </w:r>
      <w:r w:rsidRPr="00C62791">
        <w:rPr>
          <w:rFonts w:ascii="Times New Roman" w:hAnsi="Times New Roman" w:cs="Times New Roman"/>
        </w:rPr>
        <w:t xml:space="preserve"> to $</w:t>
      </w:r>
      <w:r w:rsidR="00100091" w:rsidRPr="00C62791">
        <w:rPr>
          <w:rFonts w:ascii="Times New Roman" w:hAnsi="Times New Roman" w:cs="Times New Roman"/>
        </w:rPr>
        <w:t>4.</w:t>
      </w:r>
      <w:r w:rsidR="00C62791" w:rsidRPr="00C62791">
        <w:rPr>
          <w:rFonts w:ascii="Times New Roman" w:hAnsi="Times New Roman" w:cs="Times New Roman"/>
        </w:rPr>
        <w:t>75</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520565">
        <w:rPr>
          <w:rFonts w:ascii="Times New Roman" w:hAnsi="Times New Roman" w:cs="Times New Roman"/>
        </w:rPr>
        <w:t>7.8</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rates.  The proposed energy rate increase for the first 500,000 kWhs used per month is 0.</w:t>
      </w:r>
      <w:r w:rsidR="00520565">
        <w:rPr>
          <w:rFonts w:ascii="Times New Roman" w:hAnsi="Times New Roman" w:cs="Times New Roman"/>
        </w:rPr>
        <w:t>422</w:t>
      </w:r>
      <w:r w:rsidRPr="00443386">
        <w:rPr>
          <w:rFonts w:ascii="Times New Roman" w:hAnsi="Times New Roman" w:cs="Times New Roman"/>
        </w:rPr>
        <w:t xml:space="preserve"> cents per kWh, 0.</w:t>
      </w:r>
      <w:r w:rsidR="00443386" w:rsidRPr="00443386">
        <w:rPr>
          <w:rFonts w:ascii="Times New Roman" w:hAnsi="Times New Roman" w:cs="Times New Roman"/>
        </w:rPr>
        <w:t>3</w:t>
      </w:r>
      <w:r w:rsidR="00520565">
        <w:rPr>
          <w:rFonts w:ascii="Times New Roman" w:hAnsi="Times New Roman" w:cs="Times New Roman"/>
        </w:rPr>
        <w:t>7</w:t>
      </w:r>
      <w:r w:rsidR="00E65A4C">
        <w:rPr>
          <w:rFonts w:ascii="Times New Roman" w:hAnsi="Times New Roman" w:cs="Times New Roman"/>
        </w:rPr>
        <w:t>9</w:t>
      </w:r>
      <w:r w:rsidRPr="00443386">
        <w:rPr>
          <w:rFonts w:ascii="Times New Roman" w:hAnsi="Times New Roman" w:cs="Times New Roman"/>
        </w:rPr>
        <w:t xml:space="preserve"> cents per kWh for the next 5.5 million, and 0.</w:t>
      </w:r>
      <w:r w:rsidR="00443386" w:rsidRPr="00443386">
        <w:rPr>
          <w:rFonts w:ascii="Times New Roman" w:hAnsi="Times New Roman" w:cs="Times New Roman"/>
        </w:rPr>
        <w:t>3</w:t>
      </w:r>
      <w:r w:rsidR="00520565">
        <w:rPr>
          <w:rFonts w:ascii="Times New Roman" w:hAnsi="Times New Roman" w:cs="Times New Roman"/>
        </w:rPr>
        <w:t>4</w:t>
      </w:r>
      <w:r w:rsidR="00E65A4C">
        <w:rPr>
          <w:rFonts w:ascii="Times New Roman" w:hAnsi="Times New Roman" w:cs="Times New Roman"/>
        </w:rPr>
        <w:t>5</w:t>
      </w:r>
      <w:r w:rsidRPr="00443386">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5540EB" w:rsidRPr="005A6FE5" w:rsidRDefault="005540EB" w:rsidP="00711833">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is the Company proposing to the rates under Pumping Schedule 31 to recover the proposed general revenue </w:t>
      </w:r>
      <w:r w:rsidRPr="00443386">
        <w:rPr>
          <w:rStyle w:val="T11"/>
          <w:rFonts w:ascii="Times New Roman" w:hAnsi="Times New Roman" w:cs="Times New Roman"/>
        </w:rPr>
        <w:t>increase of $</w:t>
      </w:r>
      <w:r w:rsidR="00443386" w:rsidRPr="00443386">
        <w:rPr>
          <w:rStyle w:val="T11"/>
          <w:rFonts w:ascii="Times New Roman" w:hAnsi="Times New Roman" w:cs="Times New Roman"/>
        </w:rPr>
        <w:t>8</w:t>
      </w:r>
      <w:r w:rsidR="00E65A4C">
        <w:rPr>
          <w:rStyle w:val="T11"/>
          <w:rFonts w:ascii="Times New Roman" w:hAnsi="Times New Roman" w:cs="Times New Roman"/>
        </w:rPr>
        <w:t>50</w:t>
      </w:r>
      <w:r w:rsidRPr="00443386">
        <w:rPr>
          <w:rStyle w:val="T11"/>
          <w:rFonts w:ascii="Times New Roman" w:hAnsi="Times New Roman" w:cs="Times New Roman"/>
        </w:rPr>
        <w:t>,000?</w:t>
      </w:r>
    </w:p>
    <w:p w:rsidR="005540EB" w:rsidRPr="005A6FE5" w:rsidRDefault="005540EB" w:rsidP="00711833">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t>The Company is proposing that the customer charge be increased by $</w:t>
      </w:r>
      <w:r w:rsidR="001A786F" w:rsidRPr="005A6FE5">
        <w:rPr>
          <w:rFonts w:ascii="Times New Roman" w:hAnsi="Times New Roman" w:cs="Times New Roman"/>
        </w:rPr>
        <w:t>5.00</w:t>
      </w:r>
      <w:r w:rsidR="00711833" w:rsidRPr="005A6FE5">
        <w:rPr>
          <w:rFonts w:ascii="Times New Roman" w:hAnsi="Times New Roman" w:cs="Times New Roman"/>
        </w:rPr>
        <w:t xml:space="preserve">, </w:t>
      </w:r>
      <w:r w:rsidR="00711833" w:rsidRPr="005A6FE5">
        <w:rPr>
          <w:rFonts w:ascii="Times New Roman" w:hAnsi="Times New Roman" w:cs="Times New Roman"/>
        </w:rPr>
        <w:lastRenderedPageBreak/>
        <w:t>from $</w:t>
      </w:r>
      <w:r w:rsidR="001A786F" w:rsidRPr="005A6FE5">
        <w:rPr>
          <w:rFonts w:ascii="Times New Roman" w:hAnsi="Times New Roman" w:cs="Times New Roman"/>
        </w:rPr>
        <w:t>10.</w:t>
      </w:r>
      <w:r w:rsidR="001A786F" w:rsidRPr="00443386">
        <w:rPr>
          <w:rFonts w:ascii="Times New Roman" w:hAnsi="Times New Roman" w:cs="Times New Roman"/>
        </w:rPr>
        <w:t>00</w:t>
      </w:r>
      <w:r w:rsidRPr="00443386">
        <w:rPr>
          <w:rFonts w:ascii="Times New Roman" w:hAnsi="Times New Roman" w:cs="Times New Roman"/>
        </w:rPr>
        <w:t xml:space="preserve"> to $</w:t>
      </w:r>
      <w:r w:rsidR="001A786F" w:rsidRPr="00443386">
        <w:rPr>
          <w:rFonts w:ascii="Times New Roman" w:hAnsi="Times New Roman" w:cs="Times New Roman"/>
        </w:rPr>
        <w:t>15</w:t>
      </w:r>
      <w:r w:rsidR="00BC395A" w:rsidRPr="00443386">
        <w:rPr>
          <w:rFonts w:ascii="Times New Roman" w:hAnsi="Times New Roman" w:cs="Times New Roman"/>
        </w:rPr>
        <w:t>.00</w:t>
      </w:r>
      <w:r w:rsidRPr="00443386">
        <w:rPr>
          <w:rFonts w:ascii="Times New Roman" w:hAnsi="Times New Roman" w:cs="Times New Roman"/>
        </w:rPr>
        <w:t xml:space="preserve"> per month, with the remaining revenue increase spread on a uniform percentage increase of </w:t>
      </w:r>
      <w:r w:rsidR="00443386" w:rsidRPr="00443386">
        <w:rPr>
          <w:rFonts w:ascii="Times New Roman" w:hAnsi="Times New Roman" w:cs="Times New Roman"/>
        </w:rPr>
        <w:t>7.7</w:t>
      </w:r>
      <w:r w:rsidRPr="00443386">
        <w:rPr>
          <w:rFonts w:ascii="Times New Roman" w:hAnsi="Times New Roman" w:cs="Times New Roman"/>
        </w:rPr>
        <w:t xml:space="preserve">% to the two energy rate blocks under the </w:t>
      </w:r>
      <w:r w:rsidR="001020C1" w:rsidRPr="00443386">
        <w:rPr>
          <w:rFonts w:ascii="Times New Roman" w:hAnsi="Times New Roman" w:cs="Times New Roman"/>
        </w:rPr>
        <w:t>s</w:t>
      </w:r>
      <w:r w:rsidRPr="00443386">
        <w:rPr>
          <w:rFonts w:ascii="Times New Roman" w:hAnsi="Times New Roman" w:cs="Times New Roman"/>
        </w:rPr>
        <w:t xml:space="preserve">chedule.  The proposed increase in the first block rate is </w:t>
      </w:r>
      <w:r w:rsidR="00BC395A" w:rsidRPr="00443386">
        <w:rPr>
          <w:rFonts w:ascii="Times New Roman" w:hAnsi="Times New Roman" w:cs="Times New Roman"/>
        </w:rPr>
        <w:t>0.</w:t>
      </w:r>
      <w:r w:rsidR="005A6FE5" w:rsidRPr="00443386">
        <w:rPr>
          <w:rFonts w:ascii="Times New Roman" w:hAnsi="Times New Roman" w:cs="Times New Roman"/>
        </w:rPr>
        <w:t>7</w:t>
      </w:r>
      <w:r w:rsidR="00443386" w:rsidRPr="00443386">
        <w:rPr>
          <w:rFonts w:ascii="Times New Roman" w:hAnsi="Times New Roman" w:cs="Times New Roman"/>
        </w:rPr>
        <w:t>03</w:t>
      </w:r>
      <w:r w:rsidRPr="00443386">
        <w:rPr>
          <w:rFonts w:ascii="Times New Roman" w:hAnsi="Times New Roman" w:cs="Times New Roman"/>
        </w:rPr>
        <w:t xml:space="preserve"> cents per kWh and the increase in the second </w:t>
      </w:r>
      <w:r w:rsidR="002369E0" w:rsidRPr="00443386">
        <w:rPr>
          <w:rFonts w:ascii="Times New Roman" w:hAnsi="Times New Roman" w:cs="Times New Roman"/>
        </w:rPr>
        <w:t xml:space="preserve">block rate is </w:t>
      </w:r>
      <w:r w:rsidR="00100091" w:rsidRPr="00443386">
        <w:rPr>
          <w:rFonts w:ascii="Times New Roman" w:hAnsi="Times New Roman" w:cs="Times New Roman"/>
        </w:rPr>
        <w:t>0.</w:t>
      </w:r>
      <w:r w:rsidR="00585860" w:rsidRPr="00443386">
        <w:rPr>
          <w:rFonts w:ascii="Times New Roman" w:hAnsi="Times New Roman" w:cs="Times New Roman"/>
        </w:rPr>
        <w:t>5</w:t>
      </w:r>
      <w:r w:rsidR="00443386" w:rsidRPr="00443386">
        <w:rPr>
          <w:rFonts w:ascii="Times New Roman" w:hAnsi="Times New Roman" w:cs="Times New Roman"/>
        </w:rPr>
        <w:t>0</w:t>
      </w:r>
      <w:r w:rsidR="00E65A4C">
        <w:rPr>
          <w:rFonts w:ascii="Times New Roman" w:hAnsi="Times New Roman" w:cs="Times New Roman"/>
        </w:rPr>
        <w:t>3</w:t>
      </w:r>
      <w:r w:rsidR="002369E0" w:rsidRPr="00443386">
        <w:rPr>
          <w:rFonts w:ascii="Times New Roman" w:hAnsi="Times New Roman" w:cs="Times New Roman"/>
        </w:rPr>
        <w:t xml:space="preserve"> cents per kW</w:t>
      </w:r>
      <w:r w:rsidRPr="00443386">
        <w:rPr>
          <w:rFonts w:ascii="Times New Roman" w:hAnsi="Times New Roman" w:cs="Times New Roman"/>
        </w:rPr>
        <w:t>h.</w:t>
      </w:r>
      <w:r w:rsidRPr="005A6FE5">
        <w:rPr>
          <w:rFonts w:ascii="Times New Roman" w:hAnsi="Times New Roman" w:cs="Times New Roman"/>
        </w:rPr>
        <w:t xml:space="preserve">  </w:t>
      </w:r>
    </w:p>
    <w:p w:rsidR="005540EB" w:rsidRPr="00443386" w:rsidRDefault="005540EB" w:rsidP="00711833">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443386" w:rsidRPr="00443386">
        <w:rPr>
          <w:rFonts w:ascii="Times New Roman" w:hAnsi="Times New Roman" w:cs="Times New Roman"/>
        </w:rPr>
        <w:t>5</w:t>
      </w:r>
      <w:r w:rsidR="00E65A4C">
        <w:rPr>
          <w:rFonts w:ascii="Times New Roman" w:hAnsi="Times New Roman" w:cs="Times New Roman"/>
        </w:rPr>
        <w:t>94</w:t>
      </w:r>
      <w:r w:rsidR="00443386" w:rsidRPr="00443386">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515008" w:rsidRPr="00443386" w:rsidRDefault="005540EB" w:rsidP="00377BBA">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w:t>
      </w:r>
      <w:r w:rsidR="00704982" w:rsidRPr="00443386">
        <w:rPr>
          <w:rFonts w:ascii="Times New Roman" w:hAnsi="Times New Roman" w:cs="Times New Roman"/>
        </w:rPr>
        <w:t>T</w:t>
      </w:r>
      <w:r w:rsidRPr="00443386">
        <w:rPr>
          <w:rFonts w:ascii="Times New Roman" w:hAnsi="Times New Roman" w:cs="Times New Roman"/>
        </w:rPr>
        <w:t xml:space="preserve">he proposed increase for all lighting rates is </w:t>
      </w:r>
      <w:r w:rsidR="00BC395A" w:rsidRPr="00443386">
        <w:rPr>
          <w:rFonts w:ascii="Times New Roman" w:hAnsi="Times New Roman" w:cs="Times New Roman"/>
        </w:rPr>
        <w:t>9.</w:t>
      </w:r>
      <w:r w:rsidR="00443386" w:rsidRPr="00443386">
        <w:rPr>
          <w:rFonts w:ascii="Times New Roman" w:hAnsi="Times New Roman" w:cs="Times New Roman"/>
        </w:rPr>
        <w:t>0</w:t>
      </w:r>
      <w:r w:rsidRPr="00443386">
        <w:rPr>
          <w:rFonts w:ascii="Times New Roman" w:hAnsi="Times New Roman" w:cs="Times New Roman"/>
        </w:rPr>
        <w:t>%.  The (base tariff) rates are shown in the tariffs for those schedules, contained in Exhibit No._</w:t>
      </w:r>
      <w:r w:rsidR="00667220" w:rsidRPr="00443386">
        <w:rPr>
          <w:rFonts w:ascii="Times New Roman" w:hAnsi="Times New Roman" w:cs="Times New Roman"/>
        </w:rPr>
        <w:t>__</w:t>
      </w:r>
      <w:r w:rsidRPr="00443386">
        <w:rPr>
          <w:rFonts w:ascii="Times New Roman" w:hAnsi="Times New Roman" w:cs="Times New Roman"/>
        </w:rPr>
        <w:t>(</w:t>
      </w:r>
      <w:r w:rsidR="00D8699E" w:rsidRPr="00443386">
        <w:rPr>
          <w:rFonts w:ascii="Times New Roman" w:hAnsi="Times New Roman" w:cs="Times New Roman"/>
        </w:rPr>
        <w:t>PDE</w:t>
      </w:r>
      <w:r w:rsidRPr="00443386">
        <w:rPr>
          <w:rFonts w:ascii="Times New Roman" w:hAnsi="Times New Roman" w:cs="Times New Roman"/>
        </w:rPr>
        <w:t>-</w:t>
      </w:r>
      <w:r w:rsidR="00916D0F" w:rsidRPr="00443386">
        <w:rPr>
          <w:rFonts w:ascii="Times New Roman" w:hAnsi="Times New Roman" w:cs="Times New Roman"/>
        </w:rPr>
        <w:t>3</w:t>
      </w:r>
      <w:r w:rsidRPr="00443386">
        <w:rPr>
          <w:rFonts w:ascii="Times New Roman" w:hAnsi="Times New Roman" w:cs="Times New Roman"/>
        </w:rPr>
        <w:t>).</w:t>
      </w:r>
      <w:r w:rsidR="005E25D7" w:rsidRPr="00443386">
        <w:rPr>
          <w:rFonts w:ascii="Times New Roman" w:hAnsi="Times New Roman" w:cs="Times New Roman"/>
          <w:szCs w:val="24"/>
        </w:rPr>
        <w:tab/>
      </w:r>
    </w:p>
    <w:p w:rsidR="00F04E95" w:rsidRDefault="00F04E95" w:rsidP="005540EB">
      <w:pPr>
        <w:pStyle w:val="P246"/>
        <w:ind w:firstLine="0"/>
        <w:jc w:val="center"/>
        <w:rPr>
          <w:rFonts w:ascii="Times New Roman" w:hAnsi="Times New Roman" w:cs="Times New Roman"/>
        </w:rPr>
      </w:pPr>
    </w:p>
    <w:p w:rsidR="005540EB" w:rsidRPr="005540EB" w:rsidRDefault="005540EB" w:rsidP="005540EB">
      <w:pPr>
        <w:pStyle w:val="P246"/>
        <w:ind w:firstLine="0"/>
        <w:jc w:val="center"/>
        <w:rPr>
          <w:rFonts w:ascii="Times New Roman" w:hAnsi="Times New Roman" w:cs="Times New Roman"/>
        </w:rPr>
      </w:pPr>
      <w:r w:rsidRPr="005540EB">
        <w:rPr>
          <w:rFonts w:ascii="Times New Roman" w:hAnsi="Times New Roman" w:cs="Times New Roman"/>
        </w:rPr>
        <w:t>IV.  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147D24">
        <w:rPr>
          <w:rFonts w:ascii="Times New Roman" w:hAnsi="Times New Roman" w:cs="Times New Roman"/>
        </w:rPr>
        <w:t>Can you p</w:t>
      </w:r>
      <w:r w:rsidRPr="005540EB">
        <w:rPr>
          <w:rFonts w:ascii="Times New Roman" w:hAnsi="Times New Roman" w:cs="Times New Roman"/>
        </w:rPr>
        <w:t>lease explain what is contained in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__</w:t>
      </w:r>
      <w:r w:rsidRPr="005540EB">
        <w:rPr>
          <w:rStyle w:val="T11"/>
          <w:rFonts w:ascii="Times New Roman" w:hAnsi="Times New Roman" w:cs="Times New Roman"/>
        </w:rPr>
        <w:t>(</w:t>
      </w:r>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 xml:space="preserve">-7) contains information regarding the proposed spread of the natural gas revenue increase among the service schedules and the proposed changes to </w:t>
      </w:r>
      <w:r w:rsidRPr="005540EB">
        <w:rPr>
          <w:rFonts w:ascii="Times New Roman" w:hAnsi="Times New Roman" w:cs="Times New Roman"/>
        </w:rPr>
        <w:lastRenderedPageBreak/>
        <w:t>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less than 200 therms/month.  Schedule 111 is generally for customers who consistently use over 200 therms/month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The Company also has rate Schedules 112, 122 and 132 on file with the Commission.  Could you please explain which customers are eligible for service under these schedules?</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Schedules 112, 122 and 132 are in place to provide service to customers who </w:t>
      </w:r>
      <w:r w:rsidRPr="005540EB">
        <w:rPr>
          <w:rFonts w:ascii="Times New Roman" w:hAnsi="Times New Roman" w:cs="Times New Roman"/>
        </w:rPr>
        <w:lastRenderedPageBreak/>
        <w:t xml:space="preserve">at one time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If those customers switch back to sales service, the Company continues to analyze those customers individually; otherwise, those customers would receive </w:t>
      </w:r>
      <w:r w:rsidR="0021578E">
        <w:rPr>
          <w:rFonts w:ascii="Times New Roman" w:hAnsi="Times New Roman" w:cs="Times New Roman"/>
        </w:rPr>
        <w:t xml:space="preserve">natural </w:t>
      </w:r>
      <w:r w:rsidRPr="005540EB">
        <w:rPr>
          <w:rFonts w:ascii="Times New Roman" w:hAnsi="Times New Roman" w:cs="Times New Roman"/>
        </w:rPr>
        <w:t xml:space="preserve">gas costs deferrals which are not due them, thus the need for Schedules 112, 122 and 132.  There are presently </w:t>
      </w:r>
      <w:r w:rsidRPr="00BC395A">
        <w:rPr>
          <w:rFonts w:ascii="Times New Roman" w:hAnsi="Times New Roman" w:cs="Times New Roman"/>
        </w:rPr>
        <w:t xml:space="preserve">only </w:t>
      </w:r>
      <w:r w:rsidR="00536E7C">
        <w:rPr>
          <w:rStyle w:val="T12"/>
          <w:rFonts w:ascii="Times New Roman" w:hAnsi="Times New Roman" w:cs="Times New Roman"/>
        </w:rPr>
        <w:t>six</w:t>
      </w:r>
      <w:r w:rsidRPr="00BC395A">
        <w:rPr>
          <w:rFonts w:ascii="Times New Roman" w:hAnsi="Times New Roman" w:cs="Times New Roman"/>
        </w:rPr>
        <w:t xml:space="preserve"> customers served</w:t>
      </w:r>
      <w:r w:rsidRPr="005540EB">
        <w:rPr>
          <w:rFonts w:ascii="Times New Roman" w:hAnsi="Times New Roman" w:cs="Times New Roman"/>
        </w:rPr>
        <w:t xml:space="preserve"> under these schedules.</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customers does the Company serve under each of its natural gas rate schedules?</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As </w:t>
      </w:r>
      <w:r w:rsidRPr="005A6FE5">
        <w:rPr>
          <w:rFonts w:ascii="Times New Roman" w:hAnsi="Times New Roman" w:cs="Times New Roman"/>
        </w:rPr>
        <w:t>of December 20</w:t>
      </w:r>
      <w:r w:rsidR="00F40195" w:rsidRPr="005A6FE5">
        <w:rPr>
          <w:rFonts w:ascii="Times New Roman" w:hAnsi="Times New Roman" w:cs="Times New Roman"/>
        </w:rPr>
        <w:t>1</w:t>
      </w:r>
      <w:r w:rsidR="00571787" w:rsidRPr="005A6FE5">
        <w:rPr>
          <w:rFonts w:ascii="Times New Roman" w:hAnsi="Times New Roman" w:cs="Times New Roman"/>
        </w:rPr>
        <w:t>1</w:t>
      </w:r>
      <w:r w:rsidRPr="005A6FE5">
        <w:rPr>
          <w:rFonts w:ascii="Times New Roman" w:hAnsi="Times New Roman" w:cs="Times New Roman"/>
        </w:rPr>
        <w:t xml:space="preserve">, the Company provided service to the following number of </w:t>
      </w:r>
      <w:r w:rsidR="009026B3">
        <w:rPr>
          <w:rFonts w:ascii="Times New Roman" w:hAnsi="Times New Roman" w:cs="Times New Roman"/>
        </w:rPr>
        <w:t xml:space="preserve">Washington </w:t>
      </w:r>
      <w:r w:rsidRPr="005A6FE5">
        <w:rPr>
          <w:rFonts w:ascii="Times New Roman" w:hAnsi="Times New Roman" w:cs="Times New Roman"/>
        </w:rPr>
        <w:t>customers under each of its schedules:</w:t>
      </w:r>
    </w:p>
    <w:p w:rsidR="00F17ED7" w:rsidRDefault="005540EB" w:rsidP="00AD2C96">
      <w:pPr>
        <w:pStyle w:val="P246"/>
        <w:outlineLvl w:val="0"/>
        <w:rPr>
          <w:rFonts w:ascii="Times New Roman" w:hAnsi="Times New Roman" w:cs="Times New Roman"/>
        </w:rPr>
      </w:pPr>
      <w:r w:rsidRPr="00AE4671">
        <w:rPr>
          <w:rFonts w:ascii="Times New Roman" w:hAnsi="Times New Roman" w:cs="Times New Roman"/>
          <w:b w:val="0"/>
          <w:u w:val="none"/>
          <w:lang w:val="fr-FR"/>
        </w:rPr>
        <w:tab/>
      </w:r>
      <w:r w:rsidR="005A6FE5" w:rsidRPr="005A6FE5">
        <w:rPr>
          <w:noProof/>
        </w:rPr>
        <w:drawing>
          <wp:anchor distT="0" distB="0" distL="114300" distR="114300" simplePos="0" relativeHeight="251786752" behindDoc="1" locked="0" layoutInCell="1" allowOverlap="1">
            <wp:simplePos x="0" y="0"/>
            <wp:positionH relativeFrom="column">
              <wp:posOffset>529734</wp:posOffset>
            </wp:positionH>
            <wp:positionV relativeFrom="paragraph">
              <wp:posOffset>-3738</wp:posOffset>
            </wp:positionV>
            <wp:extent cx="4880754" cy="1431985"/>
            <wp:effectExtent l="1905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880754" cy="1431985"/>
                    </a:xfrm>
                    <a:prstGeom prst="rect">
                      <a:avLst/>
                    </a:prstGeom>
                    <a:noFill/>
                    <a:ln w="9525">
                      <a:noFill/>
                      <a:miter lim="800000"/>
                      <a:headEnd/>
                      <a:tailEnd/>
                    </a:ln>
                  </pic:spPr>
                </pic:pic>
              </a:graphicData>
            </a:graphic>
          </wp:anchor>
        </w:drawing>
      </w: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AD2C96" w:rsidRDefault="00AD2C96" w:rsidP="00CF6646">
      <w:pPr>
        <w:pStyle w:val="P246"/>
        <w:ind w:firstLine="0"/>
        <w:jc w:val="both"/>
        <w:outlineLvl w:val="0"/>
        <w:rPr>
          <w:rFonts w:ascii="Times New Roman" w:hAnsi="Times New Roman" w:cs="Times New Roman"/>
        </w:rPr>
      </w:pPr>
    </w:p>
    <w:p w:rsidR="00571787" w:rsidRDefault="00571787"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How does the Company propose to spread the overall revenue increase of $</w:t>
      </w:r>
      <w:r w:rsidR="005A6FE5" w:rsidRPr="00081958">
        <w:rPr>
          <w:rFonts w:ascii="Times New Roman" w:hAnsi="Times New Roman" w:cs="Times New Roman"/>
        </w:rPr>
        <w:t>10,</w:t>
      </w:r>
      <w:r w:rsidR="00443386" w:rsidRPr="00081958">
        <w:rPr>
          <w:rFonts w:ascii="Times New Roman" w:hAnsi="Times New Roman" w:cs="Times New Roman"/>
        </w:rPr>
        <w:t>08</w:t>
      </w:r>
      <w:r w:rsidR="005A6FE5" w:rsidRPr="00081958">
        <w:rPr>
          <w:rFonts w:ascii="Times New Roman" w:hAnsi="Times New Roman" w:cs="Times New Roman"/>
        </w:rPr>
        <w:t>8</w:t>
      </w:r>
      <w:r w:rsidR="00987E07" w:rsidRPr="00081958">
        <w:rPr>
          <w:rFonts w:ascii="Times New Roman" w:hAnsi="Times New Roman" w:cs="Times New Roman"/>
        </w:rPr>
        <w:t>,000</w:t>
      </w:r>
      <w:r w:rsidRPr="00081958">
        <w:rPr>
          <w:rFonts w:ascii="Times New Roman" w:hAnsi="Times New Roman" w:cs="Times New Roman"/>
        </w:rPr>
        <w:t xml:space="preserve">, or </w:t>
      </w:r>
      <w:r w:rsidR="005A6FE5" w:rsidRPr="00081958">
        <w:rPr>
          <w:rFonts w:ascii="Times New Roman" w:hAnsi="Times New Roman" w:cs="Times New Roman"/>
        </w:rPr>
        <w:t>7.</w:t>
      </w:r>
      <w:r w:rsidR="00443386" w:rsidRPr="00081958">
        <w:rPr>
          <w:rFonts w:ascii="Times New Roman" w:hAnsi="Times New Roman" w:cs="Times New Roman"/>
        </w:rPr>
        <w:t>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515008" w:rsidRPr="00515008" w:rsidRDefault="005540EB" w:rsidP="00515008">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 xml:space="preserve">The Company is proposing the following revenue/rate changes by rate </w:t>
      </w:r>
      <w:r w:rsidRPr="005A6FE5">
        <w:rPr>
          <w:rFonts w:ascii="Times New Roman" w:hAnsi="Times New Roman" w:cs="Times New Roman"/>
        </w:rPr>
        <w:lastRenderedPageBreak/>
        <w:t>schedule:</w:t>
      </w:r>
    </w:p>
    <w:p w:rsidR="005A6FE5" w:rsidRDefault="00443386" w:rsidP="00FD0FCC">
      <w:pPr>
        <w:pStyle w:val="TestBody"/>
        <w:widowControl w:val="0"/>
        <w:tabs>
          <w:tab w:val="left" w:pos="1440"/>
        </w:tabs>
        <w:spacing w:line="480" w:lineRule="auto"/>
        <w:ind w:left="0" w:right="-100" w:firstLine="0"/>
        <w:jc w:val="center"/>
        <w:rPr>
          <w:rFonts w:ascii="Times New Roman" w:hAnsi="Times New Roman" w:cs="Times New Roman"/>
          <w:b/>
          <w:bCs/>
        </w:rPr>
      </w:pPr>
      <w:r w:rsidRPr="00443386">
        <w:rPr>
          <w:noProof/>
        </w:rPr>
        <w:drawing>
          <wp:anchor distT="0" distB="0" distL="114300" distR="114300" simplePos="0" relativeHeight="251816448" behindDoc="1" locked="0" layoutInCell="1" allowOverlap="1">
            <wp:simplePos x="0" y="0"/>
            <wp:positionH relativeFrom="column">
              <wp:posOffset>220980</wp:posOffset>
            </wp:positionH>
            <wp:positionV relativeFrom="paragraph">
              <wp:posOffset>1905</wp:posOffset>
            </wp:positionV>
            <wp:extent cx="5305425" cy="1866900"/>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305425" cy="1866900"/>
                    </a:xfrm>
                    <a:prstGeom prst="rect">
                      <a:avLst/>
                    </a:prstGeom>
                    <a:noFill/>
                    <a:ln w="9525">
                      <a:noFill/>
                      <a:miter lim="800000"/>
                      <a:headEnd/>
                      <a:tailEnd/>
                    </a:ln>
                  </pic:spPr>
                </pic:pic>
              </a:graphicData>
            </a:graphic>
          </wp:anchor>
        </w:drawing>
      </w: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F02AD8" w:rsidRDefault="00F02AD8"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667220" w:rsidRDefault="00667220" w:rsidP="00FD0FCC">
      <w:pPr>
        <w:pStyle w:val="TestBody"/>
        <w:widowControl w:val="0"/>
        <w:tabs>
          <w:tab w:val="left" w:pos="1440"/>
        </w:tabs>
        <w:spacing w:line="480" w:lineRule="auto"/>
        <w:ind w:left="0" w:right="-100" w:firstLine="0"/>
        <w:jc w:val="center"/>
        <w:rPr>
          <w:rFonts w:ascii="Times New Roman" w:hAnsi="Times New Roman" w:cs="Times New Roman"/>
          <w:b/>
          <w:bCs/>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987E07">
        <w:rPr>
          <w:rFonts w:ascii="Times New Roman" w:hAnsi="Times New Roman" w:cs="Times New Roman"/>
        </w:rPr>
        <w:t>4</w:t>
      </w:r>
      <w:r w:rsidRPr="005540EB">
        <w:rPr>
          <w:rFonts w:ascii="Times New Roman" w:hAnsi="Times New Roman" w:cs="Times New Roman"/>
        </w:rPr>
        <w:t xml:space="preserve">0.0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5A6FE5" w:rsidRPr="00443386">
        <w:rPr>
          <w:rFonts w:ascii="Times New Roman" w:hAnsi="Times New Roman" w:cs="Times New Roman"/>
        </w:rPr>
        <w:t>1.</w:t>
      </w:r>
      <w:r w:rsidR="00443386" w:rsidRPr="00443386">
        <w:rPr>
          <w:rFonts w:ascii="Times New Roman" w:hAnsi="Times New Roman" w:cs="Times New Roman"/>
        </w:rPr>
        <w:t>1</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D44A55" w:rsidRDefault="005540EB" w:rsidP="00515008">
      <w:pPr>
        <w:pStyle w:val="P190"/>
        <w:jc w:val="both"/>
        <w:rPr>
          <w:rFonts w:ascii="Times New Roman" w:hAnsi="Times New Roman" w:cs="Times New Roman"/>
        </w:rPr>
      </w:pPr>
      <w:r w:rsidRPr="00D44A55">
        <w:rPr>
          <w:rFonts w:ascii="Times New Roman" w:hAnsi="Times New Roman" w:cs="Times New Roman"/>
        </w:rPr>
        <w:t>A.</w:t>
      </w:r>
      <w:r w:rsidRPr="00D44A55">
        <w:rPr>
          <w:rFonts w:ascii="Times New Roman" w:hAnsi="Times New Roman" w:cs="Times New Roman"/>
        </w:rPr>
        <w:tab/>
      </w:r>
      <w:r w:rsidR="00D44A55" w:rsidRPr="00D44A55">
        <w:rPr>
          <w:rFonts w:ascii="Times New Roman" w:hAnsi="Times New Roman" w:cs="Times New Roman"/>
        </w:rPr>
        <w:t xml:space="preserve">While the Company believes that </w:t>
      </w:r>
      <w:r w:rsidR="00D44A55" w:rsidRPr="00D44A55">
        <w:rPr>
          <w:rStyle w:val="T13"/>
          <w:rFonts w:ascii="Times New Roman" w:hAnsi="Times New Roman" w:cs="Times New Roman"/>
        </w:rPr>
        <w:t xml:space="preserve">the results of the </w:t>
      </w:r>
      <w:r w:rsidR="0021578E">
        <w:rPr>
          <w:rStyle w:val="T13"/>
          <w:rFonts w:ascii="Times New Roman" w:hAnsi="Times New Roman" w:cs="Times New Roman"/>
        </w:rPr>
        <w:t xml:space="preserve">natural gas </w:t>
      </w:r>
      <w:r w:rsidR="00D44A55" w:rsidRPr="00D44A55">
        <w:rPr>
          <w:rStyle w:val="T13"/>
          <w:rFonts w:ascii="Times New Roman" w:hAnsi="Times New Roman" w:cs="Times New Roman"/>
        </w:rPr>
        <w:t xml:space="preserve">cost of service study (sponsored by Ms. Knox) should be used as a guide to spread the general increase, the Company is also aware that, given the size of the overall increase, certain schedules may have received an even larger rate increase had the Company proposed some movement closer to the overall rate of return (unity). </w:t>
      </w:r>
      <w:r w:rsidRPr="00D44A55">
        <w:rPr>
          <w:rFonts w:ascii="Times New Roman" w:hAnsi="Times New Roman" w:cs="Times New Roman"/>
        </w:rPr>
        <w:t xml:space="preserve">  </w:t>
      </w:r>
      <w:r w:rsidR="00D44A55" w:rsidRPr="00D44A55">
        <w:rPr>
          <w:rStyle w:val="T13"/>
          <w:rFonts w:ascii="Times New Roman" w:hAnsi="Times New Roman" w:cs="Times New Roman"/>
        </w:rPr>
        <w:t xml:space="preserve">Therefore, the Company chose to spread the </w:t>
      </w:r>
      <w:r w:rsidR="00D44A55" w:rsidRPr="00D44A55">
        <w:rPr>
          <w:rStyle w:val="T13"/>
          <w:rFonts w:ascii="Times New Roman" w:hAnsi="Times New Roman" w:cs="Times New Roman"/>
        </w:rPr>
        <w:lastRenderedPageBreak/>
        <w:t>proposed rate increase on a uniform percentage basis.</w:t>
      </w:r>
      <w:r w:rsidR="00D44A55" w:rsidRPr="00D44A55">
        <w:rPr>
          <w:rStyle w:val="T13"/>
          <w:rFonts w:ascii="Times New Roman" w:hAnsi="Times New Roman" w:cs="Times New Roman"/>
          <w:b/>
        </w:rPr>
        <w:t xml:space="preserve">  </w:t>
      </w: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less than 200 therms/month.  The </w:t>
      </w:r>
      <w:r w:rsidR="00B312FA">
        <w:rPr>
          <w:rFonts w:ascii="Times New Roman" w:hAnsi="Times New Roman" w:cs="Times New Roman"/>
        </w:rPr>
        <w:t>s</w:t>
      </w:r>
      <w:r w:rsidRPr="005540EB">
        <w:rPr>
          <w:rFonts w:ascii="Times New Roman" w:hAnsi="Times New Roman" w:cs="Times New Roman"/>
        </w:rPr>
        <w:t xml:space="preserve">chedule contains a single rate per therm for all </w:t>
      </w:r>
      <w:r w:rsidR="0021578E">
        <w:rPr>
          <w:rFonts w:ascii="Times New Roman" w:hAnsi="Times New Roman" w:cs="Times New Roman"/>
        </w:rPr>
        <w:t xml:space="preserve">natural </w:t>
      </w:r>
      <w:r w:rsidRPr="005540EB">
        <w:rPr>
          <w:rFonts w:ascii="Times New Roman" w:hAnsi="Times New Roman" w:cs="Times New Roman"/>
        </w:rPr>
        <w:t>gas usage 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 xml:space="preserve">Large General Service Schedule 111 has a three-tier declining-block rate structure and is generally for customers who consistently use over 200 therms/month. The </w:t>
      </w:r>
      <w:r w:rsidR="00B312FA">
        <w:rPr>
          <w:rFonts w:ascii="Times New Roman" w:hAnsi="Times New Roman" w:cs="Times New Roman"/>
        </w:rPr>
        <w:t>s</w:t>
      </w:r>
      <w:r w:rsidRPr="005540EB">
        <w:rPr>
          <w:rFonts w:ascii="Times New Roman" w:hAnsi="Times New Roman" w:cs="Times New Roman"/>
        </w:rPr>
        <w:t>chedule consists of a monthly minimum charge plus a usage charge for the first 200 therms or less, and block rates for 201-1,000 therms/month, and over 1,000 therms/month.</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Extra Large General Service Schedule 121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 131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Transportation Service Schedule 146 contains a $</w:t>
      </w:r>
      <w:r w:rsidR="00F40195">
        <w:rPr>
          <w:rFonts w:ascii="Times New Roman" w:hAnsi="Times New Roman" w:cs="Times New Roman"/>
        </w:rPr>
        <w:t>2</w:t>
      </w:r>
      <w:r w:rsidR="00D90ACA">
        <w:rPr>
          <w:rFonts w:ascii="Times New Roman" w:hAnsi="Times New Roman" w:cs="Times New Roman"/>
        </w:rPr>
        <w:t>50</w:t>
      </w:r>
      <w:r w:rsidRPr="005540EB">
        <w:rPr>
          <w:rFonts w:ascii="Times New Roman" w:hAnsi="Times New Roman" w:cs="Times New Roman"/>
        </w:rPr>
        <w:t xml:space="preserve"> per month customer charge and a five-tier declining-block rate structure for the first 20,000 therms, the next 30,000 therms, the next 250,000 therms, the next 200,000 therms, and usage over 500,000 therms per month.  </w:t>
      </w:r>
      <w:r w:rsidRPr="005540EB">
        <w:rPr>
          <w:rFonts w:ascii="Times New Roman" w:hAnsi="Times New Roman" w:cs="Times New Roman"/>
        </w:rPr>
        <w:lastRenderedPageBreak/>
        <w:t xml:space="preserve">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__</w:t>
      </w:r>
      <w:r w:rsidRPr="005540EB">
        <w:rPr>
          <w:rFonts w:ascii="Times New Roman" w:hAnsi="Times New Roman" w:cs="Times New Roman"/>
        </w:rPr>
        <w:t>(</w:t>
      </w:r>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(e)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You stated earlier in your testimony that the Company is proposing an overall </w:t>
      </w:r>
      <w:r w:rsidRPr="00045C70">
        <w:rPr>
          <w:rStyle w:val="T11"/>
          <w:rFonts w:ascii="Times New Roman" w:hAnsi="Times New Roman" w:cs="Times New Roman"/>
        </w:rPr>
        <w:t xml:space="preserve">increase of </w:t>
      </w:r>
      <w:r w:rsidR="00D44A55" w:rsidRPr="00045C70">
        <w:rPr>
          <w:rStyle w:val="T11"/>
          <w:rFonts w:ascii="Times New Roman" w:hAnsi="Times New Roman" w:cs="Times New Roman"/>
        </w:rPr>
        <w:t>7</w:t>
      </w:r>
      <w:r w:rsidR="00045C70" w:rsidRPr="00045C70">
        <w:rPr>
          <w:rStyle w:val="T11"/>
          <w:rFonts w:ascii="Times New Roman" w:hAnsi="Times New Roman" w:cs="Times New Roman"/>
        </w:rPr>
        <w:t>.0</w:t>
      </w:r>
      <w:r w:rsidRPr="00045C70">
        <w:rPr>
          <w:rStyle w:val="T11"/>
          <w:rFonts w:ascii="Times New Roman" w:hAnsi="Times New Roman" w:cs="Times New Roman"/>
        </w:rPr>
        <w:t>%</w:t>
      </w:r>
      <w:r w:rsidRPr="005540EB">
        <w:rPr>
          <w:rStyle w:val="T11"/>
          <w:rFonts w:ascii="Times New Roman" w:hAnsi="Times New Roman" w:cs="Times New Roman"/>
        </w:rPr>
        <w:t xml:space="preserve"> to the </w:t>
      </w:r>
      <w:r w:rsidR="00D44A55">
        <w:rPr>
          <w:rStyle w:val="T11"/>
          <w:rFonts w:ascii="Times New Roman" w:hAnsi="Times New Roman" w:cs="Times New Roman"/>
        </w:rPr>
        <w:t xml:space="preserve">base </w:t>
      </w:r>
      <w:r w:rsidRPr="005540EB">
        <w:rPr>
          <w:rStyle w:val="T11"/>
          <w:rFonts w:ascii="Times New Roman" w:hAnsi="Times New Roman" w:cs="Times New Roman"/>
        </w:rPr>
        <w:t>rates of General Service Schedule 101.  Is the Company proposing an increase to the present basic/customer charge of $</w:t>
      </w:r>
      <w:r w:rsidR="001A4278">
        <w:rPr>
          <w:rStyle w:val="T11"/>
          <w:rFonts w:ascii="Times New Roman" w:hAnsi="Times New Roman" w:cs="Times New Roman"/>
        </w:rPr>
        <w:t>6.00</w:t>
      </w:r>
      <w:r w:rsidRPr="005540EB">
        <w:rPr>
          <w:rStyle w:val="T11"/>
          <w:rFonts w:ascii="Times New Roman" w:hAnsi="Times New Roman" w:cs="Times New Roman"/>
        </w:rPr>
        <w:t>/month under the schedule?</w:t>
      </w:r>
    </w:p>
    <w:p w:rsidR="00CE5121" w:rsidRDefault="005540EB" w:rsidP="00580834">
      <w:pPr>
        <w:spacing w:line="480" w:lineRule="auto"/>
        <w:ind w:firstLine="720"/>
        <w:jc w:val="both"/>
      </w:pPr>
      <w:r w:rsidRPr="005540EB">
        <w:t>A.</w:t>
      </w:r>
      <w:r w:rsidRPr="005540EB">
        <w:tab/>
        <w:t>Yes.  The Company is proposing to increase the basic/customer charge from $</w:t>
      </w:r>
      <w:r w:rsidR="001A4278">
        <w:t>6.00</w:t>
      </w:r>
      <w:r w:rsidRPr="005540EB">
        <w:t xml:space="preserve"> to </w:t>
      </w:r>
      <w:r w:rsidR="00257659">
        <w:t>$</w:t>
      </w:r>
      <w:r w:rsidR="00D90ACA">
        <w:t>10</w:t>
      </w:r>
      <w:r w:rsidR="00257659">
        <w:t>.00</w:t>
      </w:r>
      <w:r w:rsidR="00CE5121">
        <w:t xml:space="preserve"> per month, as </w:t>
      </w:r>
      <w:r w:rsidR="00CE5121" w:rsidRPr="00CE5121">
        <w:rPr>
          <w:rStyle w:val="T11"/>
          <w:b w:val="0"/>
        </w:rPr>
        <w:t>t</w:t>
      </w:r>
      <w:r w:rsidRPr="005540EB">
        <w:t xml:space="preserve">he Company believes that the customer/basic charge should recover a reasonable portion of the fixed costs of providing service.  </w:t>
      </w:r>
      <w:r w:rsidR="00580834">
        <w:rPr>
          <w:kern w:val="24"/>
        </w:rPr>
        <w:t>Later in my testimony I will provide greater detail as to why the Company believes the monthly customer charge should increase by $</w:t>
      </w:r>
      <w:r w:rsidR="00D90ACA">
        <w:rPr>
          <w:kern w:val="24"/>
        </w:rPr>
        <w:t>4</w:t>
      </w:r>
      <w:r w:rsidR="00580834">
        <w:rPr>
          <w:kern w:val="24"/>
        </w:rPr>
        <w:t>.00 per month.</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is the proposed </w:t>
      </w:r>
      <w:r w:rsidR="00FF02B4">
        <w:rPr>
          <w:rStyle w:val="T11"/>
          <w:rFonts w:ascii="Times New Roman" w:hAnsi="Times New Roman" w:cs="Times New Roman"/>
        </w:rPr>
        <w:t>change</w:t>
      </w:r>
      <w:r w:rsidRPr="005540EB">
        <w:rPr>
          <w:rStyle w:val="T11"/>
          <w:rFonts w:ascii="Times New Roman" w:hAnsi="Times New Roman" w:cs="Times New Roman"/>
        </w:rPr>
        <w:t xml:space="preserve"> to the rate per therm under Schedule 101 in order to achieve the total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5540EB">
      <w:pPr>
        <w:pStyle w:val="P214"/>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(e), page 3 of Exhibit No._</w:t>
      </w:r>
      <w:r w:rsidR="00667220" w:rsidRPr="00045C70">
        <w:rPr>
          <w:rFonts w:ascii="Times New Roman" w:hAnsi="Times New Roman" w:cs="Times New Roman"/>
        </w:rPr>
        <w:t>__</w:t>
      </w:r>
      <w:r w:rsidRPr="00045C70">
        <w:rPr>
          <w:rFonts w:ascii="Times New Roman" w:hAnsi="Times New Roman" w:cs="Times New Roman"/>
        </w:rPr>
        <w:t>(</w:t>
      </w:r>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434EE0" w:rsidRPr="00045C70">
        <w:rPr>
          <w:rFonts w:ascii="Times New Roman" w:hAnsi="Times New Roman" w:cs="Times New Roman"/>
        </w:rPr>
        <w:t>change the per therm rate for Schedule 101 customers</w:t>
      </w:r>
      <w:r w:rsidR="00257659" w:rsidRPr="00045C70">
        <w:rPr>
          <w:rFonts w:ascii="Times New Roman" w:hAnsi="Times New Roman" w:cs="Times New Roman"/>
        </w:rPr>
        <w:t xml:space="preserve"> by $0.00</w:t>
      </w:r>
      <w:r w:rsidR="00045C70" w:rsidRPr="00045C70">
        <w:rPr>
          <w:rFonts w:ascii="Times New Roman" w:hAnsi="Times New Roman" w:cs="Times New Roman"/>
        </w:rPr>
        <w:t>337</w:t>
      </w:r>
      <w:r w:rsidR="00257659" w:rsidRPr="00045C70">
        <w:rPr>
          <w:rFonts w:ascii="Times New Roman" w:hAnsi="Times New Roman" w:cs="Times New Roman"/>
        </w:rPr>
        <w:t xml:space="preserve"> per </w:t>
      </w:r>
      <w:r w:rsidR="00257659" w:rsidRPr="00045C70">
        <w:rPr>
          <w:rFonts w:ascii="Times New Roman" w:hAnsi="Times New Roman" w:cs="Times New Roman"/>
        </w:rPr>
        <w:lastRenderedPageBreak/>
        <w:t>therm, from the current rate</w:t>
      </w:r>
      <w:r w:rsidR="00D44A55" w:rsidRPr="00045C70">
        <w:rPr>
          <w:rFonts w:ascii="Times New Roman" w:hAnsi="Times New Roman" w:cs="Times New Roman"/>
        </w:rPr>
        <w:t xml:space="preserve"> (including Schedule 150 natural gas costs)</w:t>
      </w:r>
      <w:r w:rsidR="00257659" w:rsidRPr="00045C70">
        <w:rPr>
          <w:rFonts w:ascii="Times New Roman" w:hAnsi="Times New Roman" w:cs="Times New Roman"/>
        </w:rPr>
        <w:t xml:space="preserve"> of $0.</w:t>
      </w:r>
      <w:r w:rsidR="00D44A55" w:rsidRPr="00045C70">
        <w:rPr>
          <w:rFonts w:ascii="Times New Roman" w:hAnsi="Times New Roman" w:cs="Times New Roman"/>
        </w:rPr>
        <w:t>79915</w:t>
      </w:r>
      <w:r w:rsidR="00257659" w:rsidRPr="00045C70">
        <w:rPr>
          <w:rFonts w:ascii="Times New Roman" w:hAnsi="Times New Roman" w:cs="Times New Roman"/>
        </w:rPr>
        <w:t xml:space="preserve"> per therm to $0.</w:t>
      </w:r>
      <w:r w:rsidR="00D44A55" w:rsidRPr="00045C70">
        <w:rPr>
          <w:rFonts w:ascii="Times New Roman" w:hAnsi="Times New Roman" w:cs="Times New Roman"/>
        </w:rPr>
        <w:t>80</w:t>
      </w:r>
      <w:r w:rsidR="00045C70" w:rsidRPr="00045C70">
        <w:rPr>
          <w:rFonts w:ascii="Times New Roman" w:hAnsi="Times New Roman" w:cs="Times New Roman"/>
        </w:rPr>
        <w:t>252</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Pr="00D44A55">
        <w:rPr>
          <w:rFonts w:ascii="Times New Roman" w:hAnsi="Times New Roman" w:cs="Times New Roman"/>
        </w:rPr>
        <w:t xml:space="preserve">The increase for a residential customer using an average of </w:t>
      </w:r>
      <w:r w:rsidR="00434EE0" w:rsidRPr="00D44A55">
        <w:rPr>
          <w:rFonts w:ascii="Times New Roman" w:hAnsi="Times New Roman" w:cs="Times New Roman"/>
        </w:rPr>
        <w:t>6</w:t>
      </w:r>
      <w:r w:rsidR="00D44A55" w:rsidRPr="00D44A55">
        <w:rPr>
          <w:rFonts w:ascii="Times New Roman" w:hAnsi="Times New Roman" w:cs="Times New Roman"/>
        </w:rPr>
        <w:t>8</w:t>
      </w:r>
      <w:r w:rsidRPr="00D44A55">
        <w:rPr>
          <w:rFonts w:ascii="Times New Roman" w:hAnsi="Times New Roman" w:cs="Times New Roman"/>
        </w:rPr>
        <w:t xml:space="preserve"> therms of</w:t>
      </w:r>
      <w:r w:rsidR="00580834" w:rsidRPr="00D44A55">
        <w:rPr>
          <w:rFonts w:ascii="Times New Roman" w:hAnsi="Times New Roman" w:cs="Times New Roman"/>
        </w:rPr>
        <w:t xml:space="preserve"> natural </w:t>
      </w:r>
      <w:r w:rsidRPr="00D44A55">
        <w:rPr>
          <w:rFonts w:ascii="Times New Roman" w:hAnsi="Times New Roman" w:cs="Times New Roman"/>
        </w:rPr>
        <w:t xml:space="preserve">gas per month </w:t>
      </w:r>
      <w:r w:rsidRPr="00045C70">
        <w:rPr>
          <w:rFonts w:ascii="Times New Roman" w:hAnsi="Times New Roman" w:cs="Times New Roman"/>
        </w:rPr>
        <w:t>would be $</w:t>
      </w:r>
      <w:r w:rsidR="00045C70" w:rsidRPr="00045C70">
        <w:rPr>
          <w:rFonts w:ascii="Times New Roman" w:hAnsi="Times New Roman" w:cs="Times New Roman"/>
        </w:rPr>
        <w:t>4.23</w:t>
      </w:r>
      <w:r w:rsidRPr="00045C70">
        <w:rPr>
          <w:rFonts w:ascii="Times New Roman" w:hAnsi="Times New Roman" w:cs="Times New Roman"/>
        </w:rPr>
        <w:t xml:space="preserve"> per month, or </w:t>
      </w:r>
      <w:r w:rsidR="00045C70" w:rsidRPr="00045C70">
        <w:rPr>
          <w:rFonts w:ascii="Times New Roman" w:hAnsi="Times New Roman" w:cs="Times New Roman"/>
        </w:rPr>
        <w:t>6.9</w:t>
      </w:r>
      <w:r w:rsidRPr="00045C70">
        <w:rPr>
          <w:rFonts w:ascii="Times New Roman" w:hAnsi="Times New Roman" w:cs="Times New Roman"/>
        </w:rPr>
        <w:t xml:space="preserve">%.  A bill for </w:t>
      </w:r>
      <w:r w:rsidR="00434EE0" w:rsidRPr="00045C70">
        <w:rPr>
          <w:rFonts w:ascii="Times New Roman" w:hAnsi="Times New Roman" w:cs="Times New Roman"/>
        </w:rPr>
        <w:t>6</w:t>
      </w:r>
      <w:r w:rsidR="00D44A55" w:rsidRPr="00045C70">
        <w:rPr>
          <w:rFonts w:ascii="Times New Roman" w:hAnsi="Times New Roman" w:cs="Times New Roman"/>
        </w:rPr>
        <w:t>8</w:t>
      </w:r>
      <w:r w:rsidRPr="00045C70">
        <w:rPr>
          <w:rFonts w:ascii="Times New Roman" w:hAnsi="Times New Roman" w:cs="Times New Roman"/>
        </w:rPr>
        <w:t xml:space="preserve"> therms per month would increase from the present level of $</w:t>
      </w:r>
      <w:r w:rsidR="00045C70" w:rsidRPr="00045C70">
        <w:rPr>
          <w:rFonts w:ascii="Times New Roman" w:hAnsi="Times New Roman" w:cs="Times New Roman"/>
        </w:rPr>
        <w:t>61.55</w:t>
      </w:r>
      <w:r w:rsidRPr="00045C70">
        <w:rPr>
          <w:rFonts w:ascii="Times New Roman" w:hAnsi="Times New Roman" w:cs="Times New Roman"/>
        </w:rPr>
        <w:t xml:space="preserve"> to a proposed level of $</w:t>
      </w:r>
      <w:r w:rsidR="00045C70" w:rsidRPr="00045C70">
        <w:rPr>
          <w:rFonts w:ascii="Times New Roman" w:hAnsi="Times New Roman" w:cs="Times New Roman"/>
        </w:rPr>
        <w:t>65.78</w:t>
      </w:r>
      <w:r w:rsidRPr="00045C70">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t>Could you please explain the proposed changes in the rates for Large and Extra Large General Service Schedules 111 and 121?</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1279B7">
        <w:rPr>
          <w:rFonts w:ascii="Times New Roman" w:hAnsi="Times New Roman" w:cs="Times New Roman"/>
        </w:rPr>
        <w:t xml:space="preserve">Yes.  </w:t>
      </w:r>
      <w:r w:rsidRPr="005540EB">
        <w:rPr>
          <w:rFonts w:ascii="Times New Roman" w:hAnsi="Times New Roman" w:cs="Times New Roman"/>
        </w:rPr>
        <w:t>The present rates for Schedules 101, 111, and 121 provide a clear distinction for customer placement:  customers who use less than 200 therms/month should be placed on Schedule 101, customers who use between 200 and 10,000 therms per month should be placed on Schedule 111, and only those customers who generally use over 10,000 therms per month should be placed on Schedule 121.  Not only do the rates provide guidance for customer schedule placement, they provide a reasonable classification of customers for analyzing the 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Company’s proposed rates for Schedules 111 and 121 will maintain the rate </w:t>
      </w:r>
      <w:r w:rsidRPr="00797C30">
        <w:rPr>
          <w:rFonts w:ascii="Times New Roman" w:hAnsi="Times New Roman" w:cs="Times New Roman"/>
        </w:rPr>
        <w:t xml:space="preserve">structure within the schedules and continue to provide guidance for appropriate schedule placement for customers and a reasonable classification for cost analysis.  </w:t>
      </w:r>
      <w:r w:rsidRPr="00257659">
        <w:rPr>
          <w:rFonts w:ascii="Times New Roman" w:hAnsi="Times New Roman" w:cs="Times New Roman"/>
        </w:rPr>
        <w:t xml:space="preserve">The proposed increase to the minimum charge for Schedule 111 (for 200 therms or less) of </w:t>
      </w:r>
      <w:r w:rsidR="00257659" w:rsidRPr="00257659">
        <w:rPr>
          <w:rFonts w:ascii="Times New Roman" w:hAnsi="Times New Roman" w:cs="Times New Roman"/>
        </w:rPr>
        <w:t>$</w:t>
      </w:r>
      <w:r w:rsidR="00045C70">
        <w:rPr>
          <w:rFonts w:ascii="Times New Roman" w:hAnsi="Times New Roman" w:cs="Times New Roman"/>
        </w:rPr>
        <w:t>4.79</w:t>
      </w:r>
      <w:r w:rsidRPr="00257659">
        <w:rPr>
          <w:rFonts w:ascii="Times New Roman" w:hAnsi="Times New Roman" w:cs="Times New Roman"/>
        </w:rPr>
        <w:t xml:space="preserve"> per month is </w:t>
      </w:r>
      <w:r w:rsidR="00257659" w:rsidRPr="00257659">
        <w:rPr>
          <w:rFonts w:ascii="Times New Roman" w:hAnsi="Times New Roman" w:cs="Times New Roman"/>
        </w:rPr>
        <w:t xml:space="preserve">a function of the </w:t>
      </w:r>
      <w:r w:rsidR="00FF02B4" w:rsidRPr="00257659">
        <w:rPr>
          <w:rFonts w:ascii="Times New Roman" w:hAnsi="Times New Roman" w:cs="Times New Roman"/>
        </w:rPr>
        <w:t>basic</w:t>
      </w:r>
      <w:r w:rsidRPr="00257659">
        <w:rPr>
          <w:rFonts w:ascii="Times New Roman" w:hAnsi="Times New Roman" w:cs="Times New Roman"/>
        </w:rPr>
        <w:t xml:space="preserve"> charge increase of </w:t>
      </w:r>
      <w:r w:rsidR="00797C30" w:rsidRPr="00257659">
        <w:rPr>
          <w:rFonts w:ascii="Times New Roman" w:hAnsi="Times New Roman" w:cs="Times New Roman"/>
        </w:rPr>
        <w:t>$</w:t>
      </w:r>
      <w:r w:rsidR="00956860">
        <w:rPr>
          <w:rFonts w:ascii="Times New Roman" w:hAnsi="Times New Roman" w:cs="Times New Roman"/>
        </w:rPr>
        <w:t>4</w:t>
      </w:r>
      <w:r w:rsidR="00797C30" w:rsidRPr="00257659">
        <w:rPr>
          <w:rFonts w:ascii="Times New Roman" w:hAnsi="Times New Roman" w:cs="Times New Roman"/>
        </w:rPr>
        <w:t>.00</w:t>
      </w:r>
      <w:r w:rsidR="008B5C02" w:rsidRPr="00257659">
        <w:rPr>
          <w:rFonts w:ascii="Times New Roman" w:hAnsi="Times New Roman" w:cs="Times New Roman"/>
        </w:rPr>
        <w:t xml:space="preserve"> under Schedule 101</w:t>
      </w:r>
      <w:r w:rsidR="00257659" w:rsidRPr="00257659">
        <w:rPr>
          <w:rFonts w:ascii="Times New Roman" w:hAnsi="Times New Roman" w:cs="Times New Roman"/>
        </w:rPr>
        <w:t xml:space="preserve"> as well as the </w:t>
      </w:r>
      <w:r w:rsidR="0027643C">
        <w:rPr>
          <w:rFonts w:ascii="Times New Roman" w:hAnsi="Times New Roman" w:cs="Times New Roman"/>
        </w:rPr>
        <w:lastRenderedPageBreak/>
        <w:t>i</w:t>
      </w:r>
      <w:r w:rsidR="00257659" w:rsidRPr="00257659">
        <w:rPr>
          <w:rFonts w:ascii="Times New Roman" w:hAnsi="Times New Roman" w:cs="Times New Roman"/>
        </w:rPr>
        <w:t>ncreased Schedule 101 variable rate</w:t>
      </w:r>
      <w:r w:rsidR="00257659" w:rsidRPr="00257659">
        <w:rPr>
          <w:rStyle w:val="FootnoteReference"/>
          <w:rFonts w:ascii="Times New Roman" w:hAnsi="Times New Roman"/>
        </w:rPr>
        <w:footnoteReference w:id="4"/>
      </w:r>
      <w:r w:rsidR="00797C30" w:rsidRPr="00257659">
        <w:rPr>
          <w:rFonts w:ascii="Times New Roman" w:hAnsi="Times New Roman" w:cs="Times New Roman"/>
        </w:rPr>
        <w:t xml:space="preserve">.  </w:t>
      </w:r>
      <w:r w:rsidRPr="00257659">
        <w:rPr>
          <w:rFonts w:ascii="Times New Roman" w:hAnsi="Times New Roman" w:cs="Times New Roman"/>
        </w:rPr>
        <w:t>This methodology maintains the present relationship between the schedules, and will minimize customer shifting</w:t>
      </w:r>
      <w:r w:rsidRPr="008F5275">
        <w:rPr>
          <w:rFonts w:ascii="Times New Roman" w:hAnsi="Times New Roman" w:cs="Times New Roman"/>
        </w:rPr>
        <w:t xml:space="preserve">.  The remaining proposed revenue increase for Schedule 111 was then spread on a uniform percentage increase of </w:t>
      </w:r>
      <w:r w:rsidR="00045C70">
        <w:rPr>
          <w:rFonts w:ascii="Times New Roman" w:hAnsi="Times New Roman" w:cs="Times New Roman"/>
        </w:rPr>
        <w:t>7.7</w:t>
      </w:r>
      <w:r w:rsidRPr="008F5275">
        <w:rPr>
          <w:rFonts w:ascii="Times New Roman" w:hAnsi="Times New Roman" w:cs="Times New Roman"/>
        </w:rPr>
        <w:t>% to the remai</w:t>
      </w:r>
      <w:r w:rsidR="00B312FA" w:rsidRPr="008F5275">
        <w:rPr>
          <w:rFonts w:ascii="Times New Roman" w:hAnsi="Times New Roman" w:cs="Times New Roman"/>
        </w:rPr>
        <w:t>ning two rate blocks under the s</w:t>
      </w:r>
      <w:r w:rsidRPr="008F5275">
        <w:rPr>
          <w:rFonts w:ascii="Times New Roman" w:hAnsi="Times New Roman" w:cs="Times New Roman"/>
        </w:rPr>
        <w:t>chedule, resulting in an</w:t>
      </w:r>
      <w:r w:rsidRPr="00257659">
        <w:rPr>
          <w:rFonts w:ascii="Times New Roman" w:hAnsi="Times New Roman" w:cs="Times New Roman"/>
        </w:rPr>
        <w:t xml:space="preserve"> overall revenue increase </w:t>
      </w:r>
      <w:r w:rsidRPr="00045C70">
        <w:rPr>
          <w:rFonts w:ascii="Times New Roman" w:hAnsi="Times New Roman" w:cs="Times New Roman"/>
        </w:rPr>
        <w:t xml:space="preserve">of </w:t>
      </w:r>
      <w:r w:rsidR="001E6D70" w:rsidRPr="00045C70">
        <w:rPr>
          <w:rFonts w:ascii="Times New Roman" w:hAnsi="Times New Roman" w:cs="Times New Roman"/>
        </w:rPr>
        <w:t>7.</w:t>
      </w:r>
      <w:r w:rsidR="00045C70" w:rsidRPr="00045C70">
        <w:rPr>
          <w:rFonts w:ascii="Times New Roman" w:hAnsi="Times New Roman" w:cs="Times New Roman"/>
        </w:rPr>
        <w:t>0</w:t>
      </w:r>
      <w:r w:rsidR="00B312FA" w:rsidRPr="00257659">
        <w:rPr>
          <w:rFonts w:ascii="Times New Roman" w:hAnsi="Times New Roman" w:cs="Times New Roman"/>
        </w:rPr>
        <w:t>% for the</w:t>
      </w:r>
      <w:r w:rsidR="00B312FA">
        <w:rPr>
          <w:rFonts w:ascii="Times New Roman" w:hAnsi="Times New Roman" w:cs="Times New Roman"/>
        </w:rPr>
        <w:t xml:space="preserve"> s</w:t>
      </w:r>
      <w:r w:rsidRPr="00D07D43">
        <w:rPr>
          <w:rFonts w:ascii="Times New Roman" w:hAnsi="Times New Roman" w:cs="Times New Roman"/>
        </w:rPr>
        <w:t>chedule.</w:t>
      </w:r>
    </w:p>
    <w:p w:rsidR="005A10A8" w:rsidRDefault="005540EB" w:rsidP="00F04E95">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 xml:space="preserve">For Schedule 121, the increase in the minimum charge (for 500 therms or less) </w:t>
      </w:r>
      <w:r w:rsidR="00CF6646" w:rsidRPr="00045C70">
        <w:rPr>
          <w:rFonts w:ascii="Times New Roman" w:hAnsi="Times New Roman" w:cs="Times New Roman"/>
        </w:rPr>
        <w:t>is</w:t>
      </w:r>
      <w:r w:rsidRPr="00045C70">
        <w:rPr>
          <w:rFonts w:ascii="Times New Roman" w:hAnsi="Times New Roman" w:cs="Times New Roman"/>
        </w:rPr>
        <w:t xml:space="preserve"> $</w:t>
      </w:r>
      <w:r w:rsidR="00045C70" w:rsidRPr="00045C70">
        <w:rPr>
          <w:rFonts w:ascii="Times New Roman" w:hAnsi="Times New Roman" w:cs="Times New Roman"/>
        </w:rPr>
        <w:t>6.33</w:t>
      </w:r>
      <w:r w:rsidRPr="00045C70">
        <w:rPr>
          <w:rFonts w:ascii="Times New Roman" w:hAnsi="Times New Roman" w:cs="Times New Roman"/>
        </w:rPr>
        <w:t xml:space="preserve"> </w:t>
      </w:r>
      <w:r w:rsidR="008B5C02" w:rsidRPr="00045C70">
        <w:rPr>
          <w:rFonts w:ascii="Times New Roman" w:hAnsi="Times New Roman" w:cs="Times New Roman"/>
        </w:rPr>
        <w:t>for a total charge of $</w:t>
      </w:r>
      <w:r w:rsidR="00045C70" w:rsidRPr="00045C70">
        <w:rPr>
          <w:rFonts w:ascii="Times New Roman" w:hAnsi="Times New Roman" w:cs="Times New Roman"/>
        </w:rPr>
        <w:t>384.96</w:t>
      </w:r>
      <w:r w:rsidRPr="00045C70">
        <w:rPr>
          <w:rFonts w:ascii="Times New Roman" w:hAnsi="Times New Roman" w:cs="Times New Roman"/>
        </w:rPr>
        <w:t xml:space="preserve">. </w:t>
      </w:r>
      <w:r w:rsidR="00D503E1" w:rsidRPr="00045C70">
        <w:rPr>
          <w:rFonts w:ascii="Times New Roman" w:hAnsi="Times New Roman" w:cs="Times New Roman"/>
        </w:rPr>
        <w:t xml:space="preserve">  </w:t>
      </w:r>
      <w:r w:rsidR="00265299" w:rsidRPr="00045C70">
        <w:rPr>
          <w:rFonts w:ascii="Times New Roman" w:hAnsi="Times New Roman" w:cs="Times New Roman"/>
        </w:rPr>
        <w:t>The minimum</w:t>
      </w:r>
      <w:r w:rsidR="00265299" w:rsidRPr="00257659">
        <w:rPr>
          <w:rFonts w:ascii="Times New Roman" w:hAnsi="Times New Roman" w:cs="Times New Roman"/>
        </w:rPr>
        <w:t xml:space="preserve"> charge </w:t>
      </w:r>
      <w:r w:rsidR="00CF6646" w:rsidRPr="00257659">
        <w:rPr>
          <w:rFonts w:ascii="Times New Roman" w:hAnsi="Times New Roman" w:cs="Times New Roman"/>
        </w:rPr>
        <w:t>is</w:t>
      </w:r>
      <w:r w:rsidR="00265299" w:rsidRPr="00257659">
        <w:rPr>
          <w:rFonts w:ascii="Times New Roman" w:hAnsi="Times New Roman" w:cs="Times New Roman"/>
        </w:rPr>
        <w:t xml:space="preserve"> derived by adding the </w:t>
      </w:r>
      <w:r w:rsidR="008B5C02" w:rsidRPr="00257659">
        <w:rPr>
          <w:rFonts w:ascii="Times New Roman" w:hAnsi="Times New Roman" w:cs="Times New Roman"/>
        </w:rPr>
        <w:t>proposed S</w:t>
      </w:r>
      <w:r w:rsidR="00931621" w:rsidRPr="00257659">
        <w:rPr>
          <w:rFonts w:ascii="Times New Roman" w:hAnsi="Times New Roman" w:cs="Times New Roman"/>
        </w:rPr>
        <w:t>chedule</w:t>
      </w:r>
      <w:r w:rsidR="00265299" w:rsidRPr="00257659">
        <w:rPr>
          <w:rFonts w:ascii="Times New Roman" w:hAnsi="Times New Roman" w:cs="Times New Roman"/>
        </w:rPr>
        <w:t xml:space="preserve"> 101 </w:t>
      </w:r>
      <w:r w:rsidR="0040013A" w:rsidRPr="00257659">
        <w:rPr>
          <w:rFonts w:ascii="Times New Roman" w:hAnsi="Times New Roman" w:cs="Times New Roman"/>
        </w:rPr>
        <w:t>basic</w:t>
      </w:r>
      <w:r w:rsidR="00265299" w:rsidRPr="00257659">
        <w:rPr>
          <w:rFonts w:ascii="Times New Roman" w:hAnsi="Times New Roman" w:cs="Times New Roman"/>
        </w:rPr>
        <w:t xml:space="preserve"> charge of $</w:t>
      </w:r>
      <w:r w:rsidR="00956860">
        <w:rPr>
          <w:rFonts w:ascii="Times New Roman" w:hAnsi="Times New Roman" w:cs="Times New Roman"/>
        </w:rPr>
        <w:t>10</w:t>
      </w:r>
      <w:r w:rsidR="00265299" w:rsidRPr="00257659">
        <w:rPr>
          <w:rFonts w:ascii="Times New Roman" w:hAnsi="Times New Roman" w:cs="Times New Roman"/>
        </w:rPr>
        <w:t xml:space="preserve"> to the</w:t>
      </w:r>
      <w:r w:rsidR="00265299">
        <w:rPr>
          <w:rFonts w:ascii="Times New Roman" w:hAnsi="Times New Roman" w:cs="Times New Roman"/>
        </w:rPr>
        <w:t xml:space="preserve"> product of 500 therms multiplied by the difference between the rate in Schedule 101 and the minimum rate under Schedule 121.  </w:t>
      </w:r>
      <w:r w:rsidR="00265299" w:rsidRPr="00BA66BC">
        <w:rPr>
          <w:rFonts w:ascii="Times New Roman" w:hAnsi="Times New Roman" w:cs="Times New Roman"/>
        </w:rPr>
        <w:t>Below is the calculation:</w:t>
      </w:r>
    </w:p>
    <w:p w:rsidR="00BA66BC" w:rsidRPr="00737CA1" w:rsidRDefault="00BA66BC" w:rsidP="00BA66BC">
      <w:pPr>
        <w:pStyle w:val="BodyText2"/>
        <w:tabs>
          <w:tab w:val="left" w:pos="810"/>
          <w:tab w:val="left" w:pos="1440"/>
        </w:tabs>
        <w:outlineLvl w:val="0"/>
        <w:rPr>
          <w:b/>
          <w:bCs/>
          <w:u w:val="single"/>
        </w:rPr>
      </w:pPr>
      <w:r w:rsidRPr="00737CA1">
        <w:rPr>
          <w:b/>
          <w:bCs/>
          <w:u w:val="single"/>
        </w:rPr>
        <w:t xml:space="preserve">Table </w:t>
      </w:r>
      <w:r>
        <w:rPr>
          <w:b/>
          <w:bCs/>
          <w:u w:val="single"/>
        </w:rPr>
        <w:t>8 – Schedule 121 Breakeven Calculation</w:t>
      </w:r>
    </w:p>
    <w:p w:rsidR="0040013A" w:rsidRDefault="00045C70"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noProof/>
        </w:rPr>
        <w:drawing>
          <wp:anchor distT="0" distB="0" distL="114300" distR="114300" simplePos="0" relativeHeight="251817472" behindDoc="1" locked="0" layoutInCell="1" allowOverlap="1">
            <wp:simplePos x="0" y="0"/>
            <wp:positionH relativeFrom="column">
              <wp:posOffset>1402080</wp:posOffset>
            </wp:positionH>
            <wp:positionV relativeFrom="paragraph">
              <wp:posOffset>2540</wp:posOffset>
            </wp:positionV>
            <wp:extent cx="3019425" cy="1609725"/>
            <wp:effectExtent l="1905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019425" cy="1609725"/>
                    </a:xfrm>
                    <a:prstGeom prst="rect">
                      <a:avLst/>
                    </a:prstGeom>
                    <a:noFill/>
                    <a:ln w="9525">
                      <a:noFill/>
                      <a:miter lim="800000"/>
                      <a:headEnd/>
                      <a:tailEnd/>
                    </a:ln>
                  </pic:spPr>
                </pic:pic>
              </a:graphicData>
            </a:graphic>
          </wp:anchor>
        </w:drawing>
      </w: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40013A" w:rsidRDefault="0040013A" w:rsidP="00265299">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27643C" w:rsidRPr="0027643C" w:rsidRDefault="005540EB" w:rsidP="0027643C">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The second</w:t>
      </w:r>
      <w:r w:rsidR="00265299">
        <w:rPr>
          <w:rFonts w:ascii="Times New Roman" w:hAnsi="Times New Roman" w:cs="Times New Roman"/>
        </w:rPr>
        <w:t>,</w:t>
      </w:r>
      <w:r w:rsidRPr="005540EB">
        <w:rPr>
          <w:rFonts w:ascii="Times New Roman" w:hAnsi="Times New Roman" w:cs="Times New Roman"/>
        </w:rPr>
        <w:t xml:space="preserve"> third</w:t>
      </w:r>
      <w:r w:rsidR="00265299">
        <w:rPr>
          <w:rFonts w:ascii="Times New Roman" w:hAnsi="Times New Roman" w:cs="Times New Roman"/>
        </w:rPr>
        <w:t>, and fourth</w:t>
      </w:r>
      <w:r w:rsidRPr="005540EB">
        <w:rPr>
          <w:rFonts w:ascii="Times New Roman" w:hAnsi="Times New Roman" w:cs="Times New Roman"/>
        </w:rPr>
        <w:t xml:space="preserve"> block rates were increased by a uniform percentage of </w:t>
      </w:r>
      <w:r w:rsidR="0040013A" w:rsidRPr="0087366D">
        <w:rPr>
          <w:rFonts w:ascii="Times New Roman" w:hAnsi="Times New Roman" w:cs="Times New Roman"/>
        </w:rPr>
        <w:t xml:space="preserve">approximately </w:t>
      </w:r>
      <w:r w:rsidR="00045C70">
        <w:rPr>
          <w:rFonts w:ascii="Times New Roman" w:hAnsi="Times New Roman" w:cs="Times New Roman"/>
        </w:rPr>
        <w:t>9.0</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 and 121.  </w:t>
      </w:r>
      <w:r w:rsidRPr="0087366D">
        <w:rPr>
          <w:rFonts w:ascii="Times New Roman" w:hAnsi="Times New Roman" w:cs="Times New Roman"/>
        </w:rPr>
        <w:t xml:space="preserve">The </w:t>
      </w:r>
      <w:r w:rsidR="00265299" w:rsidRPr="0087366D">
        <w:rPr>
          <w:rFonts w:ascii="Times New Roman" w:hAnsi="Times New Roman" w:cs="Times New Roman"/>
        </w:rPr>
        <w:t>fifth block was not adjusted</w:t>
      </w:r>
      <w:r w:rsidR="00CF6646" w:rsidRPr="0087366D">
        <w:rPr>
          <w:rFonts w:ascii="Times New Roman" w:hAnsi="Times New Roman" w:cs="Times New Roman"/>
        </w:rPr>
        <w:t xml:space="preserve"> in order to provide a more meaningful spread between the rate blocks</w:t>
      </w:r>
      <w:r w:rsidRPr="0087366D">
        <w:rPr>
          <w:rFonts w:ascii="Times New Roman" w:hAnsi="Times New Roman" w:cs="Times New Roman"/>
        </w:rPr>
        <w:t>, resulting</w:t>
      </w:r>
      <w:r w:rsidR="0087366D">
        <w:rPr>
          <w:rFonts w:ascii="Times New Roman" w:hAnsi="Times New Roman" w:cs="Times New Roman"/>
        </w:rPr>
        <w:t xml:space="preserve"> in an overall revenue increase of </w:t>
      </w:r>
      <w:r w:rsidR="00BA66BC">
        <w:rPr>
          <w:rFonts w:ascii="Times New Roman" w:hAnsi="Times New Roman" w:cs="Times New Roman"/>
        </w:rPr>
        <w:t>7.</w:t>
      </w:r>
      <w:r w:rsidR="00045C70">
        <w:rPr>
          <w:rFonts w:ascii="Times New Roman" w:hAnsi="Times New Roman" w:cs="Times New Roman"/>
        </w:rPr>
        <w:t>0</w:t>
      </w:r>
      <w:r w:rsidR="0087366D">
        <w:rPr>
          <w:rFonts w:ascii="Times New Roman" w:hAnsi="Times New Roman" w:cs="Times New Roman"/>
        </w:rPr>
        <w:t xml:space="preserve">% </w:t>
      </w:r>
      <w:r w:rsidR="00B312FA">
        <w:rPr>
          <w:rFonts w:ascii="Times New Roman" w:hAnsi="Times New Roman" w:cs="Times New Roman"/>
        </w:rPr>
        <w:t>for the s</w:t>
      </w:r>
      <w:r w:rsidRPr="005540EB">
        <w:rPr>
          <w:rFonts w:ascii="Times New Roman" w:hAnsi="Times New Roman" w:cs="Times New Roman"/>
        </w:rPr>
        <w:t>chedule.</w:t>
      </w:r>
      <w:r w:rsidR="0027643C">
        <w:rPr>
          <w:rFonts w:ascii="Times New Roman" w:hAnsi="Times New Roman" w:cs="Times New Roman"/>
        </w:rPr>
        <w:br w:type="page"/>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lastRenderedPageBreak/>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26</w:t>
      </w:r>
      <w:r w:rsidR="0082656C" w:rsidRPr="00BA66BC">
        <w:rPr>
          <w:rFonts w:ascii="Times New Roman" w:hAnsi="Times New Roman" w:cs="Times New Roman"/>
          <w:b/>
          <w:bCs/>
        </w:rPr>
        <w:t>,000</w:t>
      </w:r>
      <w:r w:rsidRPr="00BA66BC">
        <w:rPr>
          <w:rFonts w:ascii="Times New Roman" w:hAnsi="Times New Roman" w:cs="Times New Roman"/>
          <w:b/>
          <w:bCs/>
        </w:rPr>
        <w:t xml:space="preserve"> 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present four block rates under the schedule by a uniform percentage increase of </w:t>
      </w:r>
      <w:r w:rsidR="00337649" w:rsidRPr="0030773D">
        <w:rPr>
          <w:rFonts w:ascii="Times New Roman" w:hAnsi="Times New Roman" w:cs="Times New Roman"/>
        </w:rPr>
        <w:t xml:space="preserve">approximately </w:t>
      </w:r>
      <w:r w:rsidR="00BA66BC" w:rsidRPr="0030773D">
        <w:rPr>
          <w:rFonts w:ascii="Times New Roman" w:hAnsi="Times New Roman" w:cs="Times New Roman"/>
        </w:rPr>
        <w:t>7.</w:t>
      </w:r>
      <w:r w:rsidR="0030773D" w:rsidRPr="0030773D">
        <w:rPr>
          <w:rFonts w:ascii="Times New Roman" w:hAnsi="Times New Roman" w:cs="Times New Roman"/>
        </w:rPr>
        <w:t>0</w:t>
      </w:r>
      <w:r w:rsidRPr="0030773D">
        <w:rPr>
          <w:rFonts w:ascii="Times New Roman" w:hAnsi="Times New Roman" w:cs="Times New Roman"/>
        </w:rPr>
        <w:t>%.</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Could you please explain the proposed changes in the rates for </w:t>
      </w:r>
      <w:r w:rsidR="005540EB" w:rsidRPr="005540EB">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A11C96">
        <w:rPr>
          <w:rFonts w:ascii="Times New Roman" w:hAnsi="Times New Roman" w:cs="Times New Roman"/>
        </w:rPr>
        <w:t xml:space="preserve">Yes.  </w:t>
      </w:r>
      <w:r w:rsidR="00CF1C5E">
        <w:rPr>
          <w:rFonts w:ascii="Times New Roman" w:hAnsi="Times New Roman" w:cs="Times New Roman"/>
        </w:rPr>
        <w:t xml:space="preserve">The Company is proposing to adjust the basic charge </w:t>
      </w:r>
      <w:r w:rsidR="0087366D">
        <w:rPr>
          <w:rFonts w:ascii="Times New Roman" w:hAnsi="Times New Roman" w:cs="Times New Roman"/>
        </w:rPr>
        <w:t>by $</w:t>
      </w:r>
      <w:r w:rsidR="00956860">
        <w:rPr>
          <w:rFonts w:ascii="Times New Roman" w:hAnsi="Times New Roman" w:cs="Times New Roman"/>
        </w:rPr>
        <w:t>2</w:t>
      </w:r>
      <w:r w:rsidR="0087366D">
        <w:rPr>
          <w:rFonts w:ascii="Times New Roman" w:hAnsi="Times New Roman" w:cs="Times New Roman"/>
        </w:rPr>
        <w:t>5 per month</w:t>
      </w:r>
      <w:r w:rsidR="00CF1C5E">
        <w:rPr>
          <w:rFonts w:ascii="Times New Roman" w:hAnsi="Times New Roman" w:cs="Times New Roman"/>
        </w:rPr>
        <w:t xml:space="preserve">, </w:t>
      </w:r>
      <w:r w:rsidR="0087366D">
        <w:rPr>
          <w:rFonts w:ascii="Times New Roman" w:hAnsi="Times New Roman" w:cs="Times New Roman"/>
        </w:rPr>
        <w:t>which is</w:t>
      </w:r>
      <w:r w:rsidR="00CF1C5E">
        <w:rPr>
          <w:rFonts w:ascii="Times New Roman" w:hAnsi="Times New Roman" w:cs="Times New Roman"/>
        </w:rPr>
        <w:t xml:space="preserve"> an </w:t>
      </w:r>
      <w:r w:rsidR="007E74EA">
        <w:rPr>
          <w:rFonts w:ascii="Times New Roman" w:hAnsi="Times New Roman" w:cs="Times New Roman"/>
        </w:rPr>
        <w:t>increase from $</w:t>
      </w:r>
      <w:r w:rsidR="00956860">
        <w:rPr>
          <w:rFonts w:ascii="Times New Roman" w:hAnsi="Times New Roman" w:cs="Times New Roman"/>
        </w:rPr>
        <w:t>250</w:t>
      </w:r>
      <w:r w:rsidR="00A11C96">
        <w:rPr>
          <w:rFonts w:ascii="Times New Roman" w:hAnsi="Times New Roman" w:cs="Times New Roman"/>
        </w:rPr>
        <w:t xml:space="preserve"> to </w:t>
      </w:r>
      <w:r w:rsidR="0087366D">
        <w:rPr>
          <w:rFonts w:ascii="Times New Roman" w:hAnsi="Times New Roman" w:cs="Times New Roman"/>
        </w:rPr>
        <w:t>$2</w:t>
      </w:r>
      <w:r w:rsidR="00956860">
        <w:rPr>
          <w:rFonts w:ascii="Times New Roman" w:hAnsi="Times New Roman" w:cs="Times New Roman"/>
        </w:rPr>
        <w:t>75</w:t>
      </w:r>
      <w:r w:rsidR="00A11C96">
        <w:rPr>
          <w:rFonts w:ascii="Times New Roman" w:hAnsi="Times New Roman" w:cs="Times New Roman"/>
        </w:rPr>
        <w:t xml:space="preserve"> per month.  For the remaining revenue requirement,  t</w:t>
      </w:r>
      <w:r w:rsidRPr="005540EB">
        <w:rPr>
          <w:rFonts w:ascii="Times New Roman" w:hAnsi="Times New Roman" w:cs="Times New Roman"/>
        </w:rPr>
        <w:t xml:space="preserve">he Company is proposing to </w:t>
      </w:r>
      <w:r w:rsidRPr="0087366D">
        <w:rPr>
          <w:rFonts w:ascii="Times New Roman" w:hAnsi="Times New Roman" w:cs="Times New Roman"/>
        </w:rPr>
        <w:t xml:space="preserve">spread the increase on a uniform percentage basis </w:t>
      </w:r>
      <w:r w:rsidR="0087366D">
        <w:rPr>
          <w:rFonts w:ascii="Times New Roman" w:hAnsi="Times New Roman" w:cs="Times New Roman"/>
        </w:rPr>
        <w:t xml:space="preserve">of </w:t>
      </w:r>
      <w:r w:rsidR="00337649">
        <w:rPr>
          <w:rFonts w:ascii="Times New Roman" w:hAnsi="Times New Roman" w:cs="Times New Roman"/>
        </w:rPr>
        <w:t xml:space="preserve">approximately </w:t>
      </w:r>
      <w:r w:rsidR="0030773D">
        <w:rPr>
          <w:rFonts w:ascii="Times New Roman" w:hAnsi="Times New Roman" w:cs="Times New Roman"/>
        </w:rPr>
        <w:t>6.8</w:t>
      </w:r>
      <w:r w:rsidR="0087366D">
        <w:rPr>
          <w:rFonts w:ascii="Times New Roman" w:hAnsi="Times New Roman" w:cs="Times New Roman"/>
        </w:rPr>
        <w:t xml:space="preserve">% </w:t>
      </w:r>
      <w:r w:rsidRPr="0087366D">
        <w:rPr>
          <w:rFonts w:ascii="Times New Roman" w:hAnsi="Times New Roman" w:cs="Times New Roman"/>
        </w:rPr>
        <w:t>to each of the</w:t>
      </w:r>
      <w:r w:rsidRPr="005540EB">
        <w:rPr>
          <w:rFonts w:ascii="Times New Roman" w:hAnsi="Times New Roman" w:cs="Times New Roman"/>
        </w:rPr>
        <w:t xml:space="preserve"> present five block rates under the schedule.  The proposed increase to each of the block rates, as well as the present and proposed rates, are </w:t>
      </w:r>
      <w:r w:rsidRPr="00311F09">
        <w:rPr>
          <w:rFonts w:ascii="Times New Roman" w:hAnsi="Times New Roman" w:cs="Times New Roman"/>
        </w:rPr>
        <w:t>shown at the bottom of page 3 of Exhibit No.__</w:t>
      </w:r>
      <w:r w:rsidR="00667220" w:rsidRPr="00311F09">
        <w:rPr>
          <w:rFonts w:ascii="Times New Roman" w:hAnsi="Times New Roman" w:cs="Times New Roman"/>
        </w:rPr>
        <w:t>__</w:t>
      </w:r>
      <w:r w:rsidRPr="00311F09">
        <w:rPr>
          <w:rFonts w:ascii="Times New Roman" w:hAnsi="Times New Roman" w:cs="Times New Roman"/>
        </w:rPr>
        <w:t>(</w:t>
      </w:r>
      <w:r w:rsidR="00D8699E" w:rsidRPr="00311F09">
        <w:rPr>
          <w:rFonts w:ascii="Times New Roman" w:hAnsi="Times New Roman" w:cs="Times New Roman"/>
        </w:rPr>
        <w:t>PDE</w:t>
      </w:r>
      <w:r w:rsidRPr="00311F09">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7643C" w:rsidRPr="0027643C"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147D24" w:rsidRPr="00311F09">
        <w:rPr>
          <w:rFonts w:ascii="Times New Roman" w:hAnsi="Times New Roman" w:cs="Times New Roman"/>
        </w:rPr>
        <w:t>Yes.  The rates contained in Purchase Gas Cost Adjustment Schedule 15</w:t>
      </w:r>
      <w:r w:rsidR="00CB6730" w:rsidRPr="00311F09">
        <w:rPr>
          <w:rFonts w:ascii="Times New Roman" w:hAnsi="Times New Roman" w:cs="Times New Roman"/>
        </w:rPr>
        <w:t>0</w:t>
      </w:r>
      <w:r w:rsidR="00147D24" w:rsidRPr="00311F09">
        <w:rPr>
          <w:rFonts w:ascii="Times New Roman" w:hAnsi="Times New Roman" w:cs="Times New Roman"/>
        </w:rPr>
        <w:t xml:space="preserve"> have been incorporated into the present and proposed rates shown on Page </w:t>
      </w:r>
      <w:r w:rsidR="002041A4" w:rsidRPr="00311F09">
        <w:rPr>
          <w:rFonts w:ascii="Times New Roman" w:hAnsi="Times New Roman" w:cs="Times New Roman"/>
        </w:rPr>
        <w:t>3 of Exhibit No.___(PDE-</w:t>
      </w:r>
      <w:r w:rsidR="001279B7" w:rsidRPr="00311F09">
        <w:rPr>
          <w:rFonts w:ascii="Times New Roman" w:hAnsi="Times New Roman" w:cs="Times New Roman"/>
        </w:rPr>
        <w:t>7</w:t>
      </w:r>
      <w:r w:rsidR="002041A4" w:rsidRPr="00311F09">
        <w:rPr>
          <w:rFonts w:ascii="Times New Roman" w:hAnsi="Times New Roman" w:cs="Times New Roman"/>
        </w:rPr>
        <w:t>)</w:t>
      </w:r>
      <w:r w:rsidR="00147D24" w:rsidRPr="00311F09">
        <w:rPr>
          <w:rFonts w:ascii="Times New Roman" w:hAnsi="Times New Roman" w:cs="Times New Roman"/>
        </w:rPr>
        <w:t>.  Further, a revised Schedule 15</w:t>
      </w:r>
      <w:r w:rsidR="00CB6730" w:rsidRPr="00311F09">
        <w:rPr>
          <w:rFonts w:ascii="Times New Roman" w:hAnsi="Times New Roman" w:cs="Times New Roman"/>
        </w:rPr>
        <w:t>0</w:t>
      </w:r>
      <w:r w:rsidR="00147D24" w:rsidRPr="00311F09">
        <w:rPr>
          <w:rFonts w:ascii="Times New Roman" w:hAnsi="Times New Roman" w:cs="Times New Roman"/>
        </w:rPr>
        <w:t xml:space="preserve"> is filed as part of Exhibit No.___(PDE-6), where</w:t>
      </w:r>
      <w:r w:rsidR="00B312FA" w:rsidRPr="00311F09">
        <w:rPr>
          <w:rFonts w:ascii="Times New Roman" w:hAnsi="Times New Roman" w:cs="Times New Roman"/>
        </w:rPr>
        <w:t>by the present rates under the s</w:t>
      </w:r>
      <w:r w:rsidR="00147D24" w:rsidRPr="00311F09">
        <w:rPr>
          <w:rFonts w:ascii="Times New Roman" w:hAnsi="Times New Roman" w:cs="Times New Roman"/>
        </w:rPr>
        <w:t>chedule have been zeroed-out and included in the Company’s proposed general service tariffs.</w:t>
      </w:r>
      <w:r w:rsidR="0027643C">
        <w:rPr>
          <w:rFonts w:ascii="Times New Roman" w:hAnsi="Times New Roman" w:cs="Times New Roman"/>
        </w:rPr>
        <w:br w:type="page"/>
      </w:r>
    </w:p>
    <w:p w:rsidR="00F10C1F" w:rsidRPr="008B41AB" w:rsidRDefault="00F10C1F" w:rsidP="00F10C1F">
      <w:pPr>
        <w:pStyle w:val="P267"/>
        <w:tabs>
          <w:tab w:val="clear" w:pos="360"/>
          <w:tab w:val="left" w:pos="0"/>
        </w:tabs>
        <w:ind w:left="0"/>
        <w:jc w:val="center"/>
        <w:rPr>
          <w:rFonts w:ascii="Times New Roman" w:hAnsi="Times New Roman" w:cs="Times New Roman"/>
        </w:rPr>
      </w:pPr>
      <w:r w:rsidRPr="008B41AB">
        <w:rPr>
          <w:rFonts w:ascii="Times New Roman" w:hAnsi="Times New Roman" w:cs="Times New Roman"/>
        </w:rPr>
        <w:lastRenderedPageBreak/>
        <w:t>V.  BASIC CHARGE</w:t>
      </w:r>
    </w:p>
    <w:p w:rsidR="00F10C1F" w:rsidRPr="008B41AB" w:rsidRDefault="00F10C1F" w:rsidP="00F10C1F">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charge </w:t>
      </w:r>
      <w:r w:rsidR="006A4BDB">
        <w:rPr>
          <w:b/>
          <w:bCs/>
        </w:rPr>
        <w:t xml:space="preserve">for Schedule 1 </w:t>
      </w:r>
      <w:r w:rsidRPr="008B41AB">
        <w:rPr>
          <w:b/>
          <w:bCs/>
        </w:rPr>
        <w:t>from $6.00 to $</w:t>
      </w:r>
      <w:r w:rsidR="00377BBA">
        <w:rPr>
          <w:b/>
          <w:bCs/>
        </w:rPr>
        <w:t>10</w:t>
      </w:r>
      <w:r w:rsidRPr="008B41AB">
        <w:rPr>
          <w:b/>
          <w:bCs/>
        </w:rPr>
        <w:t>.00 per month?</w:t>
      </w:r>
    </w:p>
    <w:p w:rsidR="00F10C1F" w:rsidRPr="00D6449A" w:rsidRDefault="00F10C1F" w:rsidP="00F10C1F">
      <w:pPr>
        <w:pStyle w:val="BodyText2"/>
        <w:tabs>
          <w:tab w:val="left" w:pos="810"/>
          <w:tab w:val="left" w:pos="1440"/>
        </w:tabs>
        <w:ind w:firstLine="720"/>
        <w:rPr>
          <w:highlight w:val="yellow"/>
        </w:rPr>
      </w:pPr>
      <w:r w:rsidRPr="008B41AB">
        <w:t>A.</w:t>
      </w:r>
      <w:r w:rsidRPr="008B41AB">
        <w:tab/>
        <w:t>A significant portion of the Company’s costs are fixed and do not vary with customer usage</w:t>
      </w:r>
      <w:r w:rsidRPr="0027643C">
        <w:t xml:space="preserve">.  These costs include distribution plant and operating costs to provide reliable service to customers.  Upon evaluation of the </w:t>
      </w:r>
      <w:r w:rsidRPr="0027643C">
        <w:rPr>
          <w:u w:val="single"/>
        </w:rPr>
        <w:t>total customer allocated costs</w:t>
      </w:r>
      <w:r w:rsidR="006A4BDB" w:rsidRPr="006A4BDB">
        <w:t xml:space="preserve"> for</w:t>
      </w:r>
      <w:r w:rsidR="006A4BDB">
        <w:t xml:space="preserve"> Schedule 1</w:t>
      </w:r>
      <w:r w:rsidRPr="0027643C">
        <w:t xml:space="preserve">, as shown in </w:t>
      </w:r>
      <w:r w:rsidR="00D94D79" w:rsidRPr="0027643C">
        <w:t xml:space="preserve">Knox </w:t>
      </w:r>
      <w:r w:rsidRPr="0027643C">
        <w:t xml:space="preserve">Exhibit No. __(TLK-4), page </w:t>
      </w:r>
      <w:r w:rsidR="00D23105" w:rsidRPr="0027643C">
        <w:t>4</w:t>
      </w:r>
      <w:r w:rsidRPr="0027643C">
        <w:t xml:space="preserve">, line </w:t>
      </w:r>
      <w:r w:rsidR="00D23105" w:rsidRPr="0027643C">
        <w:t>25</w:t>
      </w:r>
      <w:r w:rsidRPr="0027643C">
        <w:t xml:space="preserve">, those costs are </w:t>
      </w:r>
      <w:r w:rsidRPr="0027643C">
        <w:rPr>
          <w:u w:val="single"/>
        </w:rPr>
        <w:t>$</w:t>
      </w:r>
      <w:r w:rsidR="006A4BDB">
        <w:rPr>
          <w:u w:val="single"/>
        </w:rPr>
        <w:t>12.7</w:t>
      </w:r>
      <w:r w:rsidR="00AF5996">
        <w:rPr>
          <w:u w:val="single"/>
        </w:rPr>
        <w:t>8</w:t>
      </w:r>
      <w:r w:rsidRPr="0027643C">
        <w:t xml:space="preserve"> per customer per month.  Factoring in </w:t>
      </w:r>
      <w:r w:rsidRPr="0027643C">
        <w:rPr>
          <w:u w:val="single"/>
        </w:rPr>
        <w:t>distribution demand cost</w:t>
      </w:r>
      <w:r w:rsidRPr="0027643C">
        <w:t xml:space="preserve"> per customer per month of </w:t>
      </w:r>
      <w:r w:rsidRPr="0027643C">
        <w:rPr>
          <w:u w:val="single"/>
        </w:rPr>
        <w:t>$</w:t>
      </w:r>
      <w:r w:rsidR="006A4BDB">
        <w:rPr>
          <w:u w:val="single"/>
        </w:rPr>
        <w:t>22.31</w:t>
      </w:r>
      <w:r w:rsidRPr="0027643C">
        <w:t xml:space="preserve">, as shown in </w:t>
      </w:r>
      <w:r w:rsidR="00D94D79" w:rsidRPr="0027643C">
        <w:t xml:space="preserve">Knox </w:t>
      </w:r>
      <w:r w:rsidRPr="0027643C">
        <w:t>Exhibit No. __(TLK-4), page 4,</w:t>
      </w:r>
      <w:r w:rsidR="00D23105" w:rsidRPr="0027643C">
        <w:t xml:space="preserve"> line 27,</w:t>
      </w:r>
      <w:r w:rsidRPr="0027643C">
        <w:t xml:space="preserve"> the total customer and distribut</w:t>
      </w:r>
      <w:r w:rsidR="00580834" w:rsidRPr="0027643C">
        <w:t>ion</w:t>
      </w:r>
      <w:r w:rsidRPr="0027643C">
        <w:t xml:space="preserve"> demand monthly cost is </w:t>
      </w:r>
      <w:r w:rsidRPr="0027643C">
        <w:rPr>
          <w:u w:val="single"/>
        </w:rPr>
        <w:t>$</w:t>
      </w:r>
      <w:r w:rsidR="006A4BDB">
        <w:rPr>
          <w:u w:val="single"/>
        </w:rPr>
        <w:t>35.0</w:t>
      </w:r>
      <w:r w:rsidR="00AF5996">
        <w:rPr>
          <w:u w:val="single"/>
        </w:rPr>
        <w:t>9</w:t>
      </w:r>
      <w:r w:rsidRPr="0027643C">
        <w:t>.  These are essentially</w:t>
      </w:r>
      <w:r w:rsidRPr="008B41AB">
        <w:t xml:space="preserve"> fixed costs that are allocated based on the number of customers served.  Given the large disparity between the level of customer and demand costs and the present level of the basic charge, the Company believes that it is appropriate to recover a more reasonable level of these fixed customer costs through the basic charge.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Why is the Company now proposing an increase of $</w:t>
      </w:r>
      <w:r w:rsidR="00377BBA">
        <w:rPr>
          <w:b/>
          <w:bCs/>
        </w:rPr>
        <w:t>4</w:t>
      </w:r>
      <w:r w:rsidRPr="008B41AB">
        <w:rPr>
          <w:b/>
          <w:bCs/>
        </w:rPr>
        <w:t>.00 per month in this filing?</w:t>
      </w:r>
    </w:p>
    <w:p w:rsidR="00F10C1F" w:rsidRPr="008B41AB" w:rsidRDefault="00F10C1F" w:rsidP="00CA7EA4">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sidR="00D602F1">
        <w:rPr>
          <w:bCs/>
        </w:rPr>
        <w:t>W</w:t>
      </w:r>
      <w:r w:rsidRPr="008B41AB">
        <w:rPr>
          <w:bCs/>
        </w:rPr>
        <w:t xml:space="preserve">e believe it is increasingly important that our charges to customers more accurately reflect the actual costs to serve customers. With regard to fixed charges, many other utility assessments (phone, television, internet)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w:t>
      </w:r>
      <w:r w:rsidRPr="008B41AB">
        <w:rPr>
          <w:bCs/>
        </w:rPr>
        <w:lastRenderedPageBreak/>
        <w:t xml:space="preserve">have become accustomed to paying a relatively constant monthly fee for service or system access.  </w:t>
      </w:r>
    </w:p>
    <w:p w:rsidR="00F10C1F" w:rsidRPr="00294B78" w:rsidRDefault="00F10C1F" w:rsidP="00CA7EA4">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8B41AB">
        <w:rPr>
          <w:rStyle w:val="apple-style-span"/>
          <w:rFonts w:ascii="ITC Zapf Dingbats" w:hAnsi="ITC Zapf Dingbats"/>
          <w:color w:val="000000"/>
        </w:rPr>
        <w:t>Avista’s</w:t>
      </w:r>
      <w:r w:rsidRPr="008B41AB">
        <w:rPr>
          <w:rStyle w:val="apple-style-span"/>
          <w:rFonts w:ascii="ITC Zapf Dingbats" w:hAnsi="ITC Zapf Dingbats" w:hint="eastAsia"/>
          <w:color w:val="000000"/>
        </w:rPr>
        <w:t xml:space="preserve"> </w:t>
      </w:r>
      <w:r w:rsidRPr="008B41AB">
        <w:rPr>
          <w:rStyle w:val="apple-style-span"/>
          <w:rFonts w:ascii="ITC Zapf Dingbats" w:hAnsi="ITC Zapf Dingbats"/>
          <w:color w:val="000000"/>
        </w:rPr>
        <w:t xml:space="preserve">nearest neighbors in Eastern Washington and North Idaho, Inland Power and Light </w:t>
      </w:r>
      <w:r w:rsidRPr="00294B78">
        <w:rPr>
          <w:rStyle w:val="apple-style-span"/>
          <w:rFonts w:ascii="ITC Zapf Dingbats" w:hAnsi="ITC Zapf Dingbats"/>
          <w:color w:val="000000"/>
        </w:rPr>
        <w:t xml:space="preserve">and Kootenai Electric Cooperative, have a </w:t>
      </w:r>
      <w:r w:rsidR="00D602F1">
        <w:rPr>
          <w:rStyle w:val="apple-style-span"/>
          <w:rFonts w:ascii="ITC Zapf Dingbats" w:hAnsi="ITC Zapf Dingbats"/>
          <w:color w:val="000000"/>
        </w:rPr>
        <w:t xml:space="preserve">monthly </w:t>
      </w:r>
      <w:r w:rsidRPr="00294B78">
        <w:rPr>
          <w:rStyle w:val="apple-style-span"/>
          <w:rFonts w:ascii="ITC Zapf Dingbats" w:hAnsi="ITC Zapf Dingbats"/>
          <w:color w:val="000000"/>
        </w:rPr>
        <w:t>basic charge of $</w:t>
      </w:r>
      <w:r w:rsidR="00377BBA">
        <w:rPr>
          <w:rStyle w:val="apple-style-span"/>
          <w:rFonts w:ascii="ITC Zapf Dingbats" w:hAnsi="ITC Zapf Dingbats"/>
          <w:color w:val="000000"/>
        </w:rPr>
        <w:t>17.81</w:t>
      </w:r>
      <w:r w:rsidRPr="00294B78">
        <w:rPr>
          <w:rStyle w:val="apple-style-span"/>
          <w:rFonts w:ascii="ITC Zapf Dingbats" w:hAnsi="ITC Zapf Dingbats"/>
          <w:color w:val="000000"/>
        </w:rPr>
        <w:t xml:space="preserve"> and $16.50 respectively.   </w:t>
      </w:r>
    </w:p>
    <w:p w:rsidR="00F10C1F" w:rsidRPr="00D52594" w:rsidRDefault="00F10C1F" w:rsidP="00CA7EA4">
      <w:pPr>
        <w:pStyle w:val="BodyText2"/>
        <w:tabs>
          <w:tab w:val="left" w:pos="720"/>
          <w:tab w:val="left" w:pos="1440"/>
        </w:tabs>
        <w:ind w:firstLine="720"/>
        <w:rPr>
          <w:b/>
          <w:bCs/>
        </w:rPr>
      </w:pPr>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sidR="006A4BDB">
        <w:rPr>
          <w:b/>
          <w:bCs/>
        </w:rPr>
        <w:t xml:space="preserve">the Schedule 101 </w:t>
      </w:r>
      <w:r w:rsidRPr="00D52594">
        <w:rPr>
          <w:b/>
          <w:bCs/>
        </w:rPr>
        <w:t>monthly customer charge from $6.00 to $</w:t>
      </w:r>
      <w:r w:rsidR="00377BBA" w:rsidRPr="00D52594">
        <w:rPr>
          <w:b/>
          <w:bCs/>
        </w:rPr>
        <w:t>10</w:t>
      </w:r>
      <w:r w:rsidRPr="00D52594">
        <w:rPr>
          <w:b/>
          <w:bCs/>
        </w:rPr>
        <w:t>.00 per month?</w:t>
      </w:r>
    </w:p>
    <w:p w:rsidR="00F10C1F" w:rsidRPr="00D52594" w:rsidRDefault="00F10C1F" w:rsidP="00F10C1F">
      <w:pPr>
        <w:pStyle w:val="BodyText2"/>
        <w:tabs>
          <w:tab w:val="left" w:pos="810"/>
          <w:tab w:val="left" w:pos="1440"/>
        </w:tabs>
        <w:ind w:firstLine="720"/>
      </w:pPr>
      <w:r w:rsidRPr="00D52594">
        <w:t>A.</w:t>
      </w:r>
      <w:r w:rsidRPr="00D52594">
        <w:tab/>
        <w:t>Upon evaluation of the</w:t>
      </w:r>
      <w:r w:rsidR="006A4BDB">
        <w:t xml:space="preserve"> Schedule 101</w:t>
      </w:r>
      <w:r w:rsidRPr="00D52594">
        <w:t xml:space="preserve"> </w:t>
      </w:r>
      <w:r w:rsidRPr="00D52594">
        <w:rPr>
          <w:u w:val="single"/>
        </w:rPr>
        <w:t>total customer allocated costs</w:t>
      </w:r>
      <w:r w:rsidRPr="00D52594">
        <w:t xml:space="preserve">, as shown in </w:t>
      </w:r>
      <w:r w:rsidR="00D94D79" w:rsidRPr="00D52594">
        <w:t xml:space="preserve">Knox </w:t>
      </w:r>
      <w:r w:rsidRPr="00D52594">
        <w:t>Exhibit No. __(TLK-</w:t>
      </w:r>
      <w:r w:rsidR="004B4017" w:rsidRPr="00D52594">
        <w:t>6</w:t>
      </w:r>
      <w:r w:rsidRPr="00D52594">
        <w:t xml:space="preserve">), page </w:t>
      </w:r>
      <w:r w:rsidR="001210ED" w:rsidRPr="00D52594">
        <w:t>4</w:t>
      </w:r>
      <w:r w:rsidRPr="00D52594">
        <w:t xml:space="preserve">, line 24, those costs are </w:t>
      </w:r>
      <w:r w:rsidRPr="00D52594">
        <w:rPr>
          <w:u w:val="single"/>
        </w:rPr>
        <w:t>$</w:t>
      </w:r>
      <w:r w:rsidR="006A4BDB">
        <w:rPr>
          <w:u w:val="single"/>
        </w:rPr>
        <w:t>16.21</w:t>
      </w:r>
      <w:r w:rsidRPr="00D52594">
        <w:t xml:space="preserve"> per customer per month. </w:t>
      </w:r>
      <w:r w:rsidR="005678FA" w:rsidRPr="00D52594">
        <w:t xml:space="preserve"> Included in t</w:t>
      </w:r>
      <w:r w:rsidRPr="00D52594">
        <w:t>he fixed costs</w:t>
      </w:r>
      <w:r w:rsidR="00D602F1" w:rsidRPr="00D52594">
        <w:t xml:space="preserve"> in the $</w:t>
      </w:r>
      <w:r w:rsidR="006A4BDB">
        <w:t>16.21</w:t>
      </w:r>
      <w:r w:rsidR="005678FA" w:rsidRPr="00D52594">
        <w:t xml:space="preserve"> noted above are the </w:t>
      </w:r>
      <w:r w:rsidRPr="00D52594">
        <w:t>cost of the meter and service, and the costs associated with billing and providing customer service</w:t>
      </w:r>
      <w:r w:rsidR="005678FA" w:rsidRPr="00D52594">
        <w:t>, which amounts to</w:t>
      </w:r>
      <w:r w:rsidRPr="00D52594">
        <w:rPr>
          <w:b/>
        </w:rPr>
        <w:t xml:space="preserve"> </w:t>
      </w:r>
      <w:r w:rsidRPr="00D52594">
        <w:rPr>
          <w:u w:val="single"/>
        </w:rPr>
        <w:t>$</w:t>
      </w:r>
      <w:r w:rsidR="006A4BDB">
        <w:rPr>
          <w:u w:val="single"/>
        </w:rPr>
        <w:t>12.08</w:t>
      </w:r>
      <w:r w:rsidRPr="00D52594">
        <w:t xml:space="preserve"> per customer per month, as shown in </w:t>
      </w:r>
      <w:r w:rsidR="00D94D79" w:rsidRPr="00D52594">
        <w:t xml:space="preserve">Knox </w:t>
      </w:r>
      <w:r w:rsidRPr="00D52594">
        <w:t>Exhibit No. __(TLK-</w:t>
      </w:r>
      <w:r w:rsidR="004B4017" w:rsidRPr="00D52594">
        <w:t>6</w:t>
      </w:r>
      <w:r w:rsidRPr="00D52594">
        <w:t xml:space="preserve">), page 4 line 22.  </w:t>
      </w:r>
    </w:p>
    <w:p w:rsidR="00F10C1F" w:rsidRPr="008B41AB" w:rsidRDefault="00F10C1F" w:rsidP="00CA7EA4">
      <w:pPr>
        <w:pStyle w:val="BodyText2"/>
        <w:tabs>
          <w:tab w:val="left" w:pos="720"/>
          <w:tab w:val="left" w:pos="1440"/>
        </w:tabs>
        <w:ind w:firstLine="720"/>
        <w:rPr>
          <w:b/>
        </w:rPr>
      </w:pPr>
      <w:r w:rsidRPr="008B41AB">
        <w:rPr>
          <w:b/>
        </w:rPr>
        <w:t>Q.</w:t>
      </w:r>
      <w:r w:rsidRPr="008B41AB">
        <w:rPr>
          <w:b/>
        </w:rPr>
        <w:tab/>
        <w:t>What is the consequence to a customer of a Basic Charge that is priced below the cost of providing customer services to that customer?</w:t>
      </w:r>
    </w:p>
    <w:p w:rsidR="00F10C1F" w:rsidRPr="008B41AB" w:rsidRDefault="00F10C1F" w:rsidP="00CA7EA4">
      <w:pPr>
        <w:pStyle w:val="BodyText2"/>
        <w:tabs>
          <w:tab w:val="left" w:pos="720"/>
          <w:tab w:val="left" w:pos="810"/>
          <w:tab w:val="left" w:pos="1440"/>
        </w:tabs>
        <w:ind w:firstLine="720"/>
      </w:pPr>
      <w:r w:rsidRPr="008B41AB">
        <w:t>A.</w:t>
      </w:r>
      <w:r w:rsidRPr="008B41AB">
        <w:tab/>
        <w:t xml:space="preserve">Because rate design is a “zero sum game”, if customer charges are set below the cost of providing </w:t>
      </w:r>
      <w:r w:rsidR="00D602F1">
        <w:t>those</w:t>
      </w:r>
      <w:r w:rsidRPr="008B41AB">
        <w:t xml:space="preserve"> service</w:t>
      </w:r>
      <w:r w:rsidR="00D602F1">
        <w:t>s</w:t>
      </w:r>
      <w:r w:rsidRPr="008B41AB">
        <w: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F10C1F" w:rsidRPr="008B41AB" w:rsidRDefault="00F10C1F" w:rsidP="00F10C1F">
      <w:pPr>
        <w:pStyle w:val="BodyText2"/>
        <w:numPr>
          <w:ilvl w:val="0"/>
          <w:numId w:val="45"/>
        </w:numPr>
        <w:tabs>
          <w:tab w:val="left" w:pos="810"/>
          <w:tab w:val="left" w:pos="1440"/>
        </w:tabs>
      </w:pPr>
      <w:r w:rsidRPr="008B41AB">
        <w:lastRenderedPageBreak/>
        <w:t>It results in almost all customers paying more per-customer related costs in the winter, even though their customer costs are not higher in the winter, and vice versa in the summer;</w:t>
      </w:r>
    </w:p>
    <w:p w:rsidR="00F10C1F" w:rsidRPr="008B41AB" w:rsidRDefault="00F10C1F" w:rsidP="00F10C1F">
      <w:pPr>
        <w:pStyle w:val="BodyText2"/>
        <w:numPr>
          <w:ilvl w:val="0"/>
          <w:numId w:val="45"/>
        </w:numPr>
        <w:tabs>
          <w:tab w:val="left" w:pos="810"/>
          <w:tab w:val="left" w:pos="1440"/>
        </w:tabs>
      </w:pPr>
      <w:r w:rsidRPr="008B41AB">
        <w:t>It results in the amount of customer costs a customer pays being unpredictable, even though customer costs are actually very predictable.</w:t>
      </w:r>
    </w:p>
    <w:p w:rsidR="00F10C1F" w:rsidRPr="008B41AB" w:rsidRDefault="00F10C1F" w:rsidP="00F10C1F">
      <w:pPr>
        <w:pStyle w:val="BodyText2"/>
        <w:numPr>
          <w:ilvl w:val="0"/>
          <w:numId w:val="45"/>
        </w:numPr>
        <w:tabs>
          <w:tab w:val="left" w:pos="810"/>
          <w:tab w:val="left" w:pos="1440"/>
        </w:tabs>
      </w:pPr>
      <w:r w:rsidRPr="008B41AB">
        <w:t>A portion of fixed costs of providing service to low usage customers is actually recovered from other higher usage customers served under the same schedule.</w:t>
      </w:r>
    </w:p>
    <w:p w:rsidR="00F10C1F" w:rsidRPr="008B41AB" w:rsidRDefault="00F10C1F" w:rsidP="00A47B5B">
      <w:pPr>
        <w:pStyle w:val="answer"/>
        <w:widowControl w:val="0"/>
        <w:spacing w:before="0" w:after="0"/>
        <w:ind w:left="0" w:firstLine="0"/>
        <w:jc w:val="both"/>
      </w:pPr>
      <w:r w:rsidRPr="008B41AB">
        <w:t xml:space="preserve">In summary, setting the basic charge at a rate substantially less than an amount that covers annual customer costs </w:t>
      </w:r>
      <w:r w:rsidR="009026B3">
        <w:t xml:space="preserve">can </w:t>
      </w:r>
      <w:r w:rsidRPr="008B41AB">
        <w:t>result in rates that are not equitable and are unnecessarily variable.</w:t>
      </w:r>
    </w:p>
    <w:p w:rsidR="00F10C1F" w:rsidRPr="008B41AB" w:rsidRDefault="00F10C1F" w:rsidP="00A47B5B">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F10C1F" w:rsidRPr="008B41AB" w:rsidRDefault="00F10C1F" w:rsidP="00CA7EA4">
      <w:pPr>
        <w:pStyle w:val="BodyText2"/>
        <w:tabs>
          <w:tab w:val="left" w:pos="720"/>
          <w:tab w:val="left" w:pos="810"/>
          <w:tab w:val="left" w:pos="1440"/>
        </w:tabs>
        <w:ind w:firstLine="720"/>
      </w:pPr>
      <w:r w:rsidRPr="008B41AB">
        <w:rPr>
          <w:bCs/>
        </w:rPr>
        <w:t xml:space="preserve">A.  </w:t>
      </w:r>
      <w:r w:rsidRPr="008B41AB">
        <w:rPr>
          <w:bCs/>
        </w:rPr>
        <w:tab/>
      </w:r>
      <w:r w:rsidR="00D602F1">
        <w:rPr>
          <w:bCs/>
        </w:rPr>
        <w:t xml:space="preserve">No.  </w:t>
      </w:r>
      <w:r w:rsidRPr="008B41AB">
        <w:rPr>
          <w:bCs/>
        </w:rPr>
        <w:t xml:space="preserve">Conservation of electricity and natural gas is important for customers and for the Company, and one might argue that a lower basic charge results in higher commodity prices and a stronger price signal related to volume usage.  However, sending a price signal to customers through a residential rate design that contains a three tier increasing block rate for electric (natural gas has just one volumetric rate) was developed for just such a reason.  The more electricity that is used, the higher the rate, and therefore the higher the overall customer bill.  </w:t>
      </w:r>
      <w:r w:rsidRPr="008B41AB">
        <w:t xml:space="preserve">The important distinction in this filing is that the Company is </w:t>
      </w:r>
      <w:r w:rsidRPr="008B41AB">
        <w:rPr>
          <w:u w:val="single"/>
        </w:rPr>
        <w:t>not</w:t>
      </w:r>
      <w:r w:rsidRPr="008B41AB">
        <w:t xml:space="preserve"> requesting to </w:t>
      </w:r>
      <w:r w:rsidRPr="008B41AB">
        <w:rPr>
          <w:u w:val="single"/>
        </w:rPr>
        <w:t>decrease the energy rates</w:t>
      </w:r>
      <w:r w:rsidRPr="008B41AB">
        <w:t xml:space="preserve">.  As such, the volumetric pricing components will still send a very clear price signal to conserve.  </w:t>
      </w:r>
    </w:p>
    <w:p w:rsidR="00F10C1F" w:rsidRPr="008B41AB" w:rsidRDefault="00F10C1F" w:rsidP="00CA7EA4">
      <w:pPr>
        <w:pStyle w:val="BodyText2"/>
        <w:tabs>
          <w:tab w:val="left" w:pos="720"/>
          <w:tab w:val="left" w:pos="1440"/>
        </w:tabs>
        <w:ind w:firstLine="720"/>
        <w:rPr>
          <w:b/>
          <w:bCs/>
        </w:rPr>
      </w:pPr>
      <w:r w:rsidRPr="008B41AB">
        <w:rPr>
          <w:b/>
          <w:bCs/>
        </w:rPr>
        <w:t>Q.</w:t>
      </w:r>
      <w:r w:rsidRPr="008B41AB">
        <w:rPr>
          <w:b/>
          <w:bCs/>
        </w:rPr>
        <w:tab/>
        <w:t>Do you have any additional comments related to “price signals”?</w:t>
      </w:r>
    </w:p>
    <w:p w:rsidR="00F10C1F" w:rsidRPr="008B41AB" w:rsidRDefault="00F10C1F" w:rsidP="00F10C1F">
      <w:pPr>
        <w:tabs>
          <w:tab w:val="left" w:pos="720"/>
        </w:tabs>
        <w:spacing w:line="480" w:lineRule="auto"/>
        <w:ind w:firstLine="720"/>
        <w:jc w:val="both"/>
      </w:pPr>
      <w:r w:rsidRPr="008B41AB">
        <w:rPr>
          <w:bCs/>
        </w:rPr>
        <w:lastRenderedPageBreak/>
        <w:t xml:space="preserve">A.  </w:t>
      </w:r>
      <w:r w:rsidRPr="008B41AB">
        <w:rPr>
          <w:bCs/>
        </w:rPr>
        <w:tab/>
        <w:t xml:space="preserve">Yes.  Sending a proper price signal is important as I noted above, and I believe that the proper price signal is being maintained.  One measure of this it to look to the Company’s IRP’s to see what the incremental cost of electricity and natural gas is on a forward looking basis, as compared to retail rates.  For electricity, the proposed tail-block </w:t>
      </w:r>
      <w:r w:rsidR="009D7F10">
        <w:rPr>
          <w:bCs/>
        </w:rPr>
        <w:t xml:space="preserve">base </w:t>
      </w:r>
      <w:r w:rsidRPr="00737CA1">
        <w:rPr>
          <w:bCs/>
        </w:rPr>
        <w:t xml:space="preserve">rate </w:t>
      </w:r>
      <w:r w:rsidRPr="00CB77AB">
        <w:rPr>
          <w:bCs/>
        </w:rPr>
        <w:t>of $0.0</w:t>
      </w:r>
      <w:r w:rsidR="00437F07">
        <w:rPr>
          <w:bCs/>
        </w:rPr>
        <w:t>977</w:t>
      </w:r>
      <w:r w:rsidR="00E65A4C">
        <w:rPr>
          <w:bCs/>
        </w:rPr>
        <w:t>2</w:t>
      </w:r>
      <w:r w:rsidRPr="00CB77AB">
        <w:rPr>
          <w:bCs/>
        </w:rPr>
        <w:t xml:space="preserve"> (</w:t>
      </w:r>
      <w:r w:rsidRPr="00737CA1">
        <w:rPr>
          <w:bCs/>
        </w:rPr>
        <w:t>usage</w:t>
      </w:r>
      <w:r w:rsidRPr="008B41AB">
        <w:rPr>
          <w:bCs/>
        </w:rPr>
        <w:t xml:space="preserve"> over 1,300 kWh’s) is well above the Company’s levelized 20 year </w:t>
      </w:r>
      <w:r w:rsidR="003F5EB7">
        <w:rPr>
          <w:bCs/>
        </w:rPr>
        <w:t>new resource cost f</w:t>
      </w:r>
      <w:r w:rsidR="003F5EB7" w:rsidRPr="008C49C5">
        <w:rPr>
          <w:bCs/>
        </w:rPr>
        <w:t>orecast</w:t>
      </w:r>
      <w:r w:rsidR="003F5EB7">
        <w:rPr>
          <w:bCs/>
        </w:rPr>
        <w:t xml:space="preserve"> of</w:t>
      </w:r>
      <w:r w:rsidR="003F5EB7" w:rsidRPr="008C49C5">
        <w:rPr>
          <w:bCs/>
        </w:rPr>
        <w:t xml:space="preserve"> </w:t>
      </w:r>
      <w:r w:rsidRPr="008B41AB">
        <w:rPr>
          <w:bCs/>
        </w:rPr>
        <w:t>$</w:t>
      </w:r>
      <w:r w:rsidRPr="00F4098D">
        <w:rPr>
          <w:bCs/>
        </w:rPr>
        <w:t>0.</w:t>
      </w:r>
      <w:r w:rsidR="00956624" w:rsidRPr="00F4098D">
        <w:rPr>
          <w:bCs/>
        </w:rPr>
        <w:t>07050</w:t>
      </w:r>
      <w:r w:rsidRPr="00F4098D">
        <w:rPr>
          <w:bCs/>
        </w:rPr>
        <w:t xml:space="preserve"> </w:t>
      </w:r>
      <w:r w:rsidRPr="008B41AB">
        <w:rPr>
          <w:bCs/>
        </w:rPr>
        <w:t>per kWh.</w:t>
      </w:r>
      <w:r w:rsidRPr="008B41AB">
        <w:rPr>
          <w:rStyle w:val="FootnoteReference"/>
          <w:bCs/>
        </w:rPr>
        <w:footnoteReference w:id="5"/>
      </w:r>
      <w:r w:rsidRPr="008B41AB">
        <w:rPr>
          <w:bCs/>
        </w:rPr>
        <w:t xml:space="preserve">  For natural gas, the Company included several forecasts in </w:t>
      </w:r>
      <w:r w:rsidR="003F5EB7">
        <w:rPr>
          <w:bCs/>
        </w:rPr>
        <w:t>i</w:t>
      </w:r>
      <w:r w:rsidRPr="008B41AB">
        <w:rPr>
          <w:bCs/>
        </w:rPr>
        <w:t>ts 2009 Integrated Resource Plan which, for the most part, all show forecasted natural gas prices at Henry Hub over the next ten years being lower than Avista’s retail rate</w:t>
      </w:r>
      <w:r w:rsidRPr="008B41AB">
        <w:rPr>
          <w:rStyle w:val="FootnoteReference"/>
          <w:bCs/>
        </w:rPr>
        <w:footnoteReference w:id="6"/>
      </w:r>
      <w:r w:rsidRPr="008B41AB">
        <w:rPr>
          <w:bCs/>
        </w:rPr>
        <w:t xml:space="preserve">.   </w:t>
      </w:r>
    </w:p>
    <w:p w:rsidR="00F10C1F" w:rsidRPr="008B41AB" w:rsidRDefault="00F10C1F" w:rsidP="00CA7EA4">
      <w:pPr>
        <w:pStyle w:val="BodyText2"/>
        <w:tabs>
          <w:tab w:val="left" w:pos="720"/>
          <w:tab w:val="left" w:pos="810"/>
          <w:tab w:val="left" w:pos="1440"/>
        </w:tabs>
        <w:ind w:firstLine="720"/>
        <w:rPr>
          <w:b/>
          <w:bCs/>
        </w:rPr>
      </w:pPr>
      <w:r w:rsidRPr="008B41AB">
        <w:rPr>
          <w:b/>
          <w:bCs/>
        </w:rPr>
        <w:t>Q.</w:t>
      </w:r>
      <w:r w:rsidRPr="008B41AB">
        <w:rPr>
          <w:b/>
          <w:bCs/>
        </w:rPr>
        <w:tab/>
        <w:t>Have you prepared an analysis to show what impact the proposed rate design changes would have on customers?</w:t>
      </w:r>
    </w:p>
    <w:p w:rsidR="00F10C1F" w:rsidRPr="00D6449A" w:rsidRDefault="00F10C1F" w:rsidP="00CA7EA4">
      <w:pPr>
        <w:pStyle w:val="BodyText2"/>
        <w:tabs>
          <w:tab w:val="left" w:pos="720"/>
          <w:tab w:val="left" w:pos="810"/>
          <w:tab w:val="left" w:pos="1440"/>
        </w:tabs>
        <w:ind w:firstLine="720"/>
        <w:rPr>
          <w:bCs/>
          <w:highlight w:val="yellow"/>
        </w:rPr>
      </w:pPr>
      <w:r w:rsidRPr="008B41AB">
        <w:rPr>
          <w:bCs/>
        </w:rPr>
        <w:t xml:space="preserve">A.  </w:t>
      </w:r>
      <w:r w:rsidRPr="008B41AB">
        <w:rPr>
          <w:bCs/>
        </w:rPr>
        <w:tab/>
        <w:t xml:space="preserve">Yes.  The Company completed an analysis showing the impact on low, average, and high use electric and natural gas customers.  The comparison shows the difference in a customer’s bill </w:t>
      </w:r>
      <w:r w:rsidR="00BA66BC">
        <w:rPr>
          <w:bCs/>
        </w:rPr>
        <w:t xml:space="preserve">(only including base rates) </w:t>
      </w:r>
      <w:r w:rsidRPr="008B41AB">
        <w:rPr>
          <w:bCs/>
        </w:rPr>
        <w:t xml:space="preserve">based on the Basic Charge </w:t>
      </w:r>
      <w:r w:rsidRPr="00737CA1">
        <w:rPr>
          <w:bCs/>
        </w:rPr>
        <w:t xml:space="preserve">and volumetric rates being increased on a uniform percentage basis, versus the Company’s proposed changes.  Table </w:t>
      </w:r>
      <w:r w:rsidR="00BA66BC">
        <w:rPr>
          <w:bCs/>
        </w:rPr>
        <w:t>9</w:t>
      </w:r>
      <w:r w:rsidRPr="00737CA1">
        <w:rPr>
          <w:bCs/>
        </w:rPr>
        <w:t xml:space="preserve"> below details </w:t>
      </w:r>
      <w:r w:rsidRPr="00BA66BC">
        <w:rPr>
          <w:bCs/>
        </w:rPr>
        <w:t xml:space="preserve">results of that analysis for </w:t>
      </w:r>
      <w:r w:rsidRPr="00BA66BC">
        <w:rPr>
          <w:bCs/>
          <w:u w:val="single"/>
        </w:rPr>
        <w:t>electric</w:t>
      </w:r>
      <w:r w:rsidRPr="00BA66BC">
        <w:rPr>
          <w:bCs/>
        </w:rPr>
        <w:t xml:space="preserve"> customers:</w:t>
      </w:r>
    </w:p>
    <w:p w:rsidR="00F10C1F" w:rsidRPr="00737CA1" w:rsidRDefault="00F10C1F" w:rsidP="00F10C1F">
      <w:pPr>
        <w:pStyle w:val="BodyText2"/>
        <w:tabs>
          <w:tab w:val="left" w:pos="810"/>
          <w:tab w:val="left" w:pos="1440"/>
        </w:tabs>
        <w:outlineLvl w:val="0"/>
        <w:rPr>
          <w:b/>
          <w:bCs/>
          <w:u w:val="single"/>
        </w:rPr>
      </w:pPr>
      <w:r w:rsidRPr="00737CA1">
        <w:rPr>
          <w:b/>
          <w:bCs/>
          <w:u w:val="single"/>
        </w:rPr>
        <w:t xml:space="preserve">Table </w:t>
      </w:r>
      <w:r w:rsidR="00BA66BC">
        <w:rPr>
          <w:b/>
          <w:bCs/>
          <w:u w:val="single"/>
        </w:rPr>
        <w:t>9</w:t>
      </w:r>
    </w:p>
    <w:p w:rsidR="00D23105" w:rsidRDefault="00E65A4C" w:rsidP="00BA66BC">
      <w:pPr>
        <w:pStyle w:val="BodyText2"/>
        <w:tabs>
          <w:tab w:val="left" w:pos="810"/>
          <w:tab w:val="left" w:pos="1440"/>
        </w:tabs>
        <w:outlineLvl w:val="0"/>
        <w:rPr>
          <w:bCs/>
        </w:rPr>
      </w:pPr>
      <w:r w:rsidRPr="00E65A4C">
        <w:rPr>
          <w:noProof/>
        </w:rPr>
        <w:drawing>
          <wp:anchor distT="0" distB="0" distL="114300" distR="114300" simplePos="0" relativeHeight="251833856" behindDoc="1" locked="0" layoutInCell="1" allowOverlap="1">
            <wp:simplePos x="0" y="0"/>
            <wp:positionH relativeFrom="column">
              <wp:posOffset>20775</wp:posOffset>
            </wp:positionH>
            <wp:positionV relativeFrom="paragraph">
              <wp:posOffset>2648</wp:posOffset>
            </wp:positionV>
            <wp:extent cx="5666764" cy="1362973"/>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666764" cy="1362973"/>
                    </a:xfrm>
                    <a:prstGeom prst="rect">
                      <a:avLst/>
                    </a:prstGeom>
                    <a:noFill/>
                    <a:ln w="9525">
                      <a:noFill/>
                      <a:miter lim="800000"/>
                      <a:headEnd/>
                      <a:tailEnd/>
                    </a:ln>
                  </pic:spPr>
                </pic:pic>
              </a:graphicData>
            </a:graphic>
          </wp:anchor>
        </w:drawing>
      </w:r>
    </w:p>
    <w:p w:rsidR="002E3123" w:rsidRDefault="002E3123" w:rsidP="000E2E27">
      <w:pPr>
        <w:spacing w:line="480" w:lineRule="auto"/>
        <w:jc w:val="both"/>
        <w:rPr>
          <w:bCs/>
        </w:rPr>
      </w:pPr>
    </w:p>
    <w:p w:rsidR="002E3123" w:rsidRDefault="002E3123" w:rsidP="000E2E27">
      <w:pPr>
        <w:spacing w:line="480" w:lineRule="auto"/>
        <w:jc w:val="both"/>
        <w:rPr>
          <w:bCs/>
        </w:rPr>
      </w:pPr>
    </w:p>
    <w:p w:rsidR="0027643C" w:rsidRDefault="0027643C" w:rsidP="000E2E27">
      <w:pPr>
        <w:spacing w:line="480" w:lineRule="auto"/>
        <w:jc w:val="both"/>
        <w:rPr>
          <w:bCs/>
        </w:rPr>
      </w:pPr>
    </w:p>
    <w:p w:rsidR="0027643C" w:rsidRDefault="0027643C" w:rsidP="000E2E27">
      <w:pPr>
        <w:spacing w:line="480" w:lineRule="auto"/>
        <w:jc w:val="both"/>
        <w:rPr>
          <w:bCs/>
        </w:rPr>
      </w:pPr>
    </w:p>
    <w:p w:rsidR="003C1E67" w:rsidRDefault="00F10C1F" w:rsidP="003C1E67">
      <w:pPr>
        <w:spacing w:line="480" w:lineRule="auto"/>
        <w:jc w:val="both"/>
        <w:rPr>
          <w:b/>
          <w:bCs/>
          <w:u w:val="single"/>
        </w:rPr>
      </w:pPr>
      <w:r w:rsidRPr="00737CA1">
        <w:rPr>
          <w:bCs/>
        </w:rPr>
        <w:lastRenderedPageBreak/>
        <w:t>Table 1</w:t>
      </w:r>
      <w:r w:rsidR="00BA66BC">
        <w:rPr>
          <w:bCs/>
        </w:rPr>
        <w:t>0</w:t>
      </w:r>
      <w:r w:rsidRPr="00737CA1">
        <w:rPr>
          <w:bCs/>
        </w:rPr>
        <w:t xml:space="preserve"> below details the </w:t>
      </w:r>
      <w:r w:rsidRPr="006848C3">
        <w:rPr>
          <w:bCs/>
        </w:rPr>
        <w:t xml:space="preserve">analysis for </w:t>
      </w:r>
      <w:r w:rsidRPr="006848C3">
        <w:rPr>
          <w:bCs/>
          <w:u w:val="single"/>
        </w:rPr>
        <w:t>natural gas</w:t>
      </w:r>
      <w:r w:rsidRPr="006848C3">
        <w:rPr>
          <w:bCs/>
        </w:rPr>
        <w:t xml:space="preserve"> customers:</w:t>
      </w:r>
    </w:p>
    <w:p w:rsidR="00F10C1F" w:rsidRPr="00737CA1" w:rsidRDefault="00F10C1F" w:rsidP="00F10C1F">
      <w:pPr>
        <w:spacing w:line="480" w:lineRule="auto"/>
        <w:jc w:val="both"/>
        <w:rPr>
          <w:b/>
          <w:bCs/>
          <w:u w:val="single"/>
        </w:rPr>
      </w:pPr>
      <w:r w:rsidRPr="00737CA1">
        <w:rPr>
          <w:b/>
          <w:bCs/>
          <w:u w:val="single"/>
        </w:rPr>
        <w:t>Table 1</w:t>
      </w:r>
      <w:r w:rsidR="00BA66BC">
        <w:rPr>
          <w:b/>
          <w:bCs/>
          <w:u w:val="single"/>
        </w:rPr>
        <w:t>0</w:t>
      </w:r>
    </w:p>
    <w:p w:rsidR="00F10C1F" w:rsidRPr="00D6449A" w:rsidRDefault="00F63B78" w:rsidP="00F10C1F">
      <w:pPr>
        <w:spacing w:line="480" w:lineRule="auto"/>
        <w:jc w:val="both"/>
        <w:rPr>
          <w:b/>
          <w:bCs/>
          <w:highlight w:val="yellow"/>
          <w:u w:val="single"/>
        </w:rPr>
      </w:pPr>
      <w:r w:rsidRPr="00F63B78">
        <w:rPr>
          <w:noProof/>
        </w:rPr>
        <w:drawing>
          <wp:anchor distT="0" distB="0" distL="114300" distR="114300" simplePos="0" relativeHeight="251824640" behindDoc="1" locked="0" layoutInCell="1" allowOverlap="1">
            <wp:simplePos x="0" y="0"/>
            <wp:positionH relativeFrom="column">
              <wp:posOffset>17862</wp:posOffset>
            </wp:positionH>
            <wp:positionV relativeFrom="paragraph">
              <wp:posOffset>-396</wp:posOffset>
            </wp:positionV>
            <wp:extent cx="5514852" cy="1591294"/>
            <wp:effectExtent l="1905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514852" cy="1591294"/>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8B41AB" w:rsidRDefault="00F10C1F" w:rsidP="00F10C1F">
      <w:pPr>
        <w:pStyle w:val="BodyText2"/>
        <w:tabs>
          <w:tab w:val="left" w:pos="810"/>
          <w:tab w:val="left" w:pos="1440"/>
        </w:tabs>
        <w:rPr>
          <w:b/>
          <w:bCs/>
        </w:rPr>
      </w:pPr>
    </w:p>
    <w:p w:rsidR="00F10C1F" w:rsidRPr="008B41AB" w:rsidRDefault="00F10C1F" w:rsidP="00F10C1F">
      <w:pPr>
        <w:pStyle w:val="BodyText2"/>
        <w:tabs>
          <w:tab w:val="left" w:pos="810"/>
          <w:tab w:val="left" w:pos="1440"/>
        </w:tabs>
        <w:rPr>
          <w:b/>
          <w:bCs/>
        </w:rPr>
      </w:pPr>
      <w:r w:rsidRPr="008B41AB">
        <w:rPr>
          <w:b/>
          <w:bCs/>
        </w:rPr>
        <w:tab/>
      </w:r>
    </w:p>
    <w:p w:rsidR="00D23105" w:rsidRDefault="00D23105" w:rsidP="00F10C1F">
      <w:pPr>
        <w:pStyle w:val="BodyText2"/>
        <w:tabs>
          <w:tab w:val="left" w:pos="810"/>
          <w:tab w:val="left" w:pos="1440"/>
        </w:tabs>
        <w:rPr>
          <w:bCs/>
        </w:rPr>
      </w:pPr>
    </w:p>
    <w:p w:rsidR="00F10C1F" w:rsidRPr="00294B78" w:rsidRDefault="00F10C1F" w:rsidP="00F10C1F">
      <w:pPr>
        <w:pStyle w:val="BodyText2"/>
        <w:tabs>
          <w:tab w:val="left" w:pos="810"/>
          <w:tab w:val="left" w:pos="1440"/>
        </w:tabs>
        <w:rPr>
          <w:bCs/>
        </w:rPr>
      </w:pPr>
      <w:r w:rsidRPr="00294B78">
        <w:rPr>
          <w:bCs/>
        </w:rPr>
        <w:t xml:space="preserve">As you can see, the impact of the Company’s proposed change to the basic charge varies based on monthly consumption.  For an electric customer who uses </w:t>
      </w:r>
      <w:r w:rsidRPr="00294B78">
        <w:rPr>
          <w:bCs/>
          <w:u w:val="single"/>
        </w:rPr>
        <w:t>less</w:t>
      </w:r>
      <w:r w:rsidRPr="00294B78">
        <w:rPr>
          <w:bCs/>
        </w:rPr>
        <w:t xml:space="preserve"> than the average </w:t>
      </w:r>
      <w:r w:rsidR="00BA66BC">
        <w:rPr>
          <w:bCs/>
        </w:rPr>
        <w:t xml:space="preserve">989 </w:t>
      </w:r>
      <w:r w:rsidRPr="00294B78">
        <w:rPr>
          <w:bCs/>
        </w:rPr>
        <w:t>kWh’s and</w:t>
      </w:r>
      <w:r w:rsidRPr="00BA66BC">
        <w:rPr>
          <w:bCs/>
        </w:rPr>
        <w:t>/or 6</w:t>
      </w:r>
      <w:r w:rsidR="00BA66BC" w:rsidRPr="00BA66BC">
        <w:rPr>
          <w:bCs/>
        </w:rPr>
        <w:t>8</w:t>
      </w:r>
      <w:r w:rsidRPr="00BA66BC">
        <w:rPr>
          <w:bCs/>
        </w:rPr>
        <w:t xml:space="preserve"> therms</w:t>
      </w:r>
      <w:r w:rsidRPr="00294B78">
        <w:rPr>
          <w:bCs/>
        </w:rPr>
        <w:t xml:space="preserve"> per month, the percentage impact will be slightly higher than for those customers who use </w:t>
      </w:r>
      <w:r w:rsidRPr="00294B78">
        <w:rPr>
          <w:bCs/>
          <w:u w:val="single"/>
        </w:rPr>
        <w:t>more</w:t>
      </w:r>
      <w:r w:rsidRPr="00294B78">
        <w:rPr>
          <w:bCs/>
        </w:rPr>
        <w:t xml:space="preserve"> than the average.  We believe the improvement in matching customer payment of fixed costs with the fixed costs to serve customers, together with removing part of the inequity among customers on the amount of fixed costs paid, warrants this relatively small bill impact.</w:t>
      </w:r>
    </w:p>
    <w:p w:rsidR="0013455F" w:rsidRPr="003C1E67" w:rsidRDefault="00B62488" w:rsidP="003C1E67">
      <w:pPr>
        <w:pStyle w:val="BodyText2"/>
        <w:tabs>
          <w:tab w:val="left" w:pos="810"/>
          <w:tab w:val="left" w:pos="1440"/>
        </w:tabs>
        <w:ind w:firstLine="720"/>
        <w:outlineLvl w:val="0"/>
        <w:rPr>
          <w:bCs/>
        </w:rPr>
      </w:pPr>
      <w:r>
        <w:rPr>
          <w:bCs/>
        </w:rPr>
        <w:t>Table 1</w:t>
      </w:r>
      <w:r w:rsidR="00BA66BC">
        <w:rPr>
          <w:bCs/>
        </w:rPr>
        <w:t>1</w:t>
      </w:r>
      <w:r w:rsidR="00F10C1F" w:rsidRPr="00294B78">
        <w:rPr>
          <w:bCs/>
        </w:rPr>
        <w:t xml:space="preserve"> below shows a comparison of monthly bills for an electric customer with average usage for a 12-month period.  It shows the difference in the monthly bills with a uniform percentage increase to the basic charge and </w:t>
      </w:r>
      <w:r w:rsidR="000B5DDE">
        <w:rPr>
          <w:bCs/>
        </w:rPr>
        <w:t xml:space="preserve">a uniform cent increase to the </w:t>
      </w:r>
      <w:r w:rsidR="00F10C1F"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costs to serve customers, with no </w:t>
      </w:r>
      <w:r w:rsidR="00B10A70">
        <w:rPr>
          <w:bCs/>
        </w:rPr>
        <w:t>significant</w:t>
      </w:r>
      <w:r w:rsidR="00F10C1F" w:rsidRPr="00294B78">
        <w:rPr>
          <w:bCs/>
        </w:rPr>
        <w:t xml:space="preserve"> </w:t>
      </w:r>
      <w:r w:rsidR="00F10C1F" w:rsidRPr="00BA66BC">
        <w:rPr>
          <w:bCs/>
        </w:rPr>
        <w:t>annual difference in overall payment.</w:t>
      </w:r>
      <w:r w:rsidR="0013455F">
        <w:rPr>
          <w:b/>
          <w:bCs/>
          <w:u w:val="single"/>
        </w:rPr>
        <w:br w:type="page"/>
      </w:r>
    </w:p>
    <w:p w:rsidR="00F10C1F" w:rsidRDefault="00F10C1F" w:rsidP="00F10C1F">
      <w:pPr>
        <w:pStyle w:val="BodyText2"/>
        <w:tabs>
          <w:tab w:val="left" w:pos="810"/>
          <w:tab w:val="left" w:pos="1440"/>
        </w:tabs>
        <w:outlineLvl w:val="0"/>
        <w:rPr>
          <w:b/>
          <w:bCs/>
          <w:u w:val="single"/>
        </w:rPr>
      </w:pPr>
      <w:r w:rsidRPr="00737CA1">
        <w:rPr>
          <w:b/>
          <w:bCs/>
          <w:u w:val="single"/>
        </w:rPr>
        <w:lastRenderedPageBreak/>
        <w:t>Table 1</w:t>
      </w:r>
      <w:r w:rsidR="00BA66BC">
        <w:rPr>
          <w:b/>
          <w:bCs/>
          <w:u w:val="single"/>
        </w:rPr>
        <w:t>1</w:t>
      </w:r>
    </w:p>
    <w:p w:rsidR="00BA66BC" w:rsidRPr="00737CA1" w:rsidRDefault="002D398E" w:rsidP="00F10C1F">
      <w:pPr>
        <w:pStyle w:val="BodyText2"/>
        <w:tabs>
          <w:tab w:val="left" w:pos="810"/>
          <w:tab w:val="left" w:pos="1440"/>
        </w:tabs>
        <w:outlineLvl w:val="0"/>
        <w:rPr>
          <w:b/>
          <w:bCs/>
          <w:u w:val="single"/>
        </w:rPr>
      </w:pPr>
      <w:r w:rsidRPr="002D398E">
        <w:rPr>
          <w:noProof/>
        </w:rPr>
        <w:drawing>
          <wp:anchor distT="0" distB="0" distL="114300" distR="114300" simplePos="0" relativeHeight="251834880" behindDoc="1" locked="0" layoutInCell="1" allowOverlap="1">
            <wp:simplePos x="0" y="0"/>
            <wp:positionH relativeFrom="column">
              <wp:posOffset>408963</wp:posOffset>
            </wp:positionH>
            <wp:positionV relativeFrom="paragraph">
              <wp:posOffset>3163</wp:posOffset>
            </wp:positionV>
            <wp:extent cx="5026133" cy="3217653"/>
            <wp:effectExtent l="19050" t="0" r="3067"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026133" cy="3217653"/>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BA66BC" w:rsidRDefault="00BA66BC" w:rsidP="00D602F1">
      <w:pPr>
        <w:spacing w:line="480" w:lineRule="auto"/>
        <w:jc w:val="both"/>
        <w:rPr>
          <w:bCs/>
        </w:rPr>
      </w:pPr>
    </w:p>
    <w:p w:rsidR="00D602F1" w:rsidRPr="00311F09" w:rsidRDefault="00B62488" w:rsidP="00D602F1">
      <w:pPr>
        <w:spacing w:line="480" w:lineRule="auto"/>
        <w:jc w:val="both"/>
        <w:rPr>
          <w:bCs/>
          <w:highlight w:val="yellow"/>
        </w:rPr>
      </w:pPr>
      <w:r>
        <w:rPr>
          <w:bCs/>
        </w:rPr>
        <w:t>Table 1</w:t>
      </w:r>
      <w:r w:rsidR="00BA66BC">
        <w:rPr>
          <w:bCs/>
        </w:rPr>
        <w:t>2</w:t>
      </w:r>
      <w:r w:rsidR="00F10C1F" w:rsidRPr="00294B78">
        <w:rPr>
          <w:bCs/>
        </w:rPr>
        <w:t xml:space="preserve"> below provides a similar comparison for a 12-month period for a natural gas customer with </w:t>
      </w:r>
      <w:r w:rsidR="00F10C1F" w:rsidRPr="00BA66BC">
        <w:rPr>
          <w:bCs/>
        </w:rPr>
        <w:t>average usage.  The net result is similar to the electric results above, namely a better alignment of payment of fixed costs by customers with the fixed costs to serve customers.</w:t>
      </w:r>
      <w:r w:rsidR="00D602F1" w:rsidRPr="00BA66BC">
        <w:rPr>
          <w:b/>
          <w:bCs/>
          <w:u w:val="single"/>
        </w:rPr>
        <w:br w:type="page"/>
      </w:r>
    </w:p>
    <w:p w:rsidR="00F10C1F" w:rsidRPr="00737CA1" w:rsidRDefault="00F10C1F" w:rsidP="00F10C1F">
      <w:pPr>
        <w:spacing w:line="480" w:lineRule="auto"/>
        <w:jc w:val="both"/>
        <w:outlineLvl w:val="0"/>
        <w:rPr>
          <w:b/>
          <w:bCs/>
          <w:u w:val="single"/>
        </w:rPr>
      </w:pPr>
      <w:r w:rsidRPr="00737CA1">
        <w:rPr>
          <w:b/>
          <w:bCs/>
          <w:u w:val="single"/>
        </w:rPr>
        <w:lastRenderedPageBreak/>
        <w:t>Table 1</w:t>
      </w:r>
      <w:r w:rsidR="00BA66BC">
        <w:rPr>
          <w:b/>
          <w:bCs/>
          <w:u w:val="single"/>
        </w:rPr>
        <w:t>2</w:t>
      </w:r>
    </w:p>
    <w:p w:rsidR="00F10C1F" w:rsidRPr="00D6449A" w:rsidRDefault="0013455F" w:rsidP="00F10C1F">
      <w:pPr>
        <w:spacing w:line="480" w:lineRule="auto"/>
        <w:jc w:val="both"/>
        <w:outlineLvl w:val="0"/>
        <w:rPr>
          <w:b/>
          <w:bCs/>
          <w:highlight w:val="yellow"/>
          <w:u w:val="single"/>
        </w:rPr>
      </w:pPr>
      <w:r w:rsidRPr="0013455F">
        <w:rPr>
          <w:noProof/>
        </w:rPr>
        <w:drawing>
          <wp:anchor distT="0" distB="0" distL="114300" distR="114300" simplePos="0" relativeHeight="251820544" behindDoc="1" locked="0" layoutInCell="1" allowOverlap="1">
            <wp:simplePos x="0" y="0"/>
            <wp:positionH relativeFrom="column">
              <wp:posOffset>718506</wp:posOffset>
            </wp:positionH>
            <wp:positionV relativeFrom="paragraph">
              <wp:posOffset>5740</wp:posOffset>
            </wp:positionV>
            <wp:extent cx="4759086" cy="3206337"/>
            <wp:effectExtent l="19050" t="0" r="3414"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4759086" cy="3206337"/>
                    </a:xfrm>
                    <a:prstGeom prst="rect">
                      <a:avLst/>
                    </a:prstGeom>
                    <a:noFill/>
                    <a:ln w="9525">
                      <a:noFill/>
                      <a:miter lim="800000"/>
                      <a:headEnd/>
                      <a:tailEnd/>
                    </a:ln>
                  </pic:spPr>
                </pic:pic>
              </a:graphicData>
            </a:graphic>
          </wp:anchor>
        </w:drawing>
      </w:r>
    </w:p>
    <w:p w:rsidR="00F10C1F" w:rsidRPr="00D6449A" w:rsidRDefault="00F10C1F" w:rsidP="00F10C1F">
      <w:pPr>
        <w:spacing w:line="480" w:lineRule="auto"/>
        <w:jc w:val="both"/>
        <w:outlineLvl w:val="0"/>
        <w:rPr>
          <w:b/>
          <w:bCs/>
          <w:highlight w:val="yellow"/>
          <w:u w:val="single"/>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D6449A" w:rsidRDefault="00F10C1F" w:rsidP="00F10C1F">
      <w:pPr>
        <w:pStyle w:val="BodyText2"/>
        <w:tabs>
          <w:tab w:val="left" w:pos="810"/>
          <w:tab w:val="left" w:pos="1440"/>
        </w:tabs>
        <w:rPr>
          <w:b/>
          <w:bCs/>
          <w:highlight w:val="yellow"/>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810"/>
          <w:tab w:val="left" w:pos="1440"/>
        </w:tabs>
        <w:rPr>
          <w:b/>
          <w:bCs/>
        </w:rPr>
      </w:pPr>
    </w:p>
    <w:p w:rsidR="00F10C1F" w:rsidRPr="00294B78" w:rsidRDefault="00F10C1F" w:rsidP="00F10C1F">
      <w:pPr>
        <w:pStyle w:val="BodyText2"/>
        <w:tabs>
          <w:tab w:val="left" w:pos="720"/>
          <w:tab w:val="left" w:pos="1440"/>
        </w:tabs>
        <w:rPr>
          <w:b/>
          <w:bCs/>
        </w:rPr>
      </w:pPr>
    </w:p>
    <w:p w:rsidR="00F10C1F" w:rsidRPr="00F557D5" w:rsidRDefault="00F10C1F" w:rsidP="00CA7EA4">
      <w:pPr>
        <w:pStyle w:val="BodyText2"/>
        <w:tabs>
          <w:tab w:val="left" w:pos="720"/>
          <w:tab w:val="left" w:pos="1440"/>
        </w:tabs>
        <w:ind w:firstLine="720"/>
        <w:rPr>
          <w:b/>
          <w:bCs/>
        </w:rPr>
      </w:pPr>
      <w:r w:rsidRPr="00F557D5">
        <w:rPr>
          <w:b/>
          <w:bCs/>
        </w:rPr>
        <w:t>Q.</w:t>
      </w:r>
      <w:r w:rsidRPr="00F557D5">
        <w:rPr>
          <w:b/>
          <w:bCs/>
        </w:rPr>
        <w:tab/>
        <w:t>Has the Commission recently commented on what they believe an appropriate basic charge should be?</w:t>
      </w:r>
    </w:p>
    <w:p w:rsidR="00F10C1F" w:rsidRPr="00F557D5" w:rsidRDefault="00F10C1F" w:rsidP="00CA7EA4">
      <w:pPr>
        <w:pStyle w:val="BodyText2"/>
        <w:tabs>
          <w:tab w:val="left" w:pos="720"/>
          <w:tab w:val="left" w:pos="1440"/>
        </w:tabs>
        <w:ind w:firstLine="720"/>
        <w:rPr>
          <w:bCs/>
        </w:rPr>
      </w:pPr>
      <w:r w:rsidRPr="00F557D5">
        <w:rPr>
          <w:bCs/>
        </w:rPr>
        <w:t xml:space="preserve">A.  </w:t>
      </w:r>
      <w:r w:rsidRPr="00F557D5">
        <w:rPr>
          <w:bCs/>
        </w:rPr>
        <w:tab/>
        <w:t>Yes.  In 2007, in Puget Sound Energy Dockets UE-060266 and UG-060267 (consolidated), the Commission approved a $8.25 natural gas basic charge (subsequently increased to $10) and stated:</w:t>
      </w:r>
    </w:p>
    <w:p w:rsidR="00F10C1F" w:rsidRPr="006848C3" w:rsidRDefault="00F10C1F" w:rsidP="00F10C1F">
      <w:pPr>
        <w:pStyle w:val="BodyText2"/>
        <w:tabs>
          <w:tab w:val="left" w:pos="810"/>
          <w:tab w:val="left" w:pos="1440"/>
        </w:tabs>
        <w:spacing w:line="240" w:lineRule="auto"/>
        <w:ind w:left="810"/>
        <w:rPr>
          <w:bCs/>
        </w:rPr>
      </w:pPr>
      <w:r w:rsidRPr="00F557D5">
        <w:rPr>
          <w:bCs/>
        </w:rPr>
        <w:t xml:space="preserve">This will result in the Company recovering about one-fourth of its fixed costs allocated to residential customers via a fixed charge on each customer’s bill.  This is about eight to ten percent of an average customer’s total bill, considering both fixed and variable costs.  This seems to us the right balance point for the recovery of fixed costs via the </w:t>
      </w:r>
      <w:r w:rsidRPr="006848C3">
        <w:rPr>
          <w:bCs/>
        </w:rPr>
        <w:t>customer charge.</w:t>
      </w:r>
      <w:r w:rsidRPr="006848C3">
        <w:rPr>
          <w:rStyle w:val="FootnoteReference"/>
          <w:bCs/>
        </w:rPr>
        <w:footnoteReference w:id="7"/>
      </w:r>
      <w:r w:rsidRPr="006848C3">
        <w:rPr>
          <w:bCs/>
        </w:rPr>
        <w:t xml:space="preserve">  </w:t>
      </w:r>
    </w:p>
    <w:p w:rsidR="00F10C1F" w:rsidRPr="006848C3" w:rsidRDefault="00F10C1F" w:rsidP="00F10C1F">
      <w:pPr>
        <w:pStyle w:val="BodyText2"/>
        <w:tabs>
          <w:tab w:val="left" w:pos="810"/>
          <w:tab w:val="left" w:pos="1440"/>
        </w:tabs>
        <w:spacing w:line="240" w:lineRule="auto"/>
        <w:rPr>
          <w:bCs/>
        </w:rPr>
      </w:pPr>
    </w:p>
    <w:p w:rsidR="00F10C1F" w:rsidRPr="00F557D5" w:rsidRDefault="00F10C1F" w:rsidP="00F10C1F">
      <w:pPr>
        <w:pStyle w:val="BodyText2"/>
        <w:tabs>
          <w:tab w:val="left" w:pos="810"/>
          <w:tab w:val="left" w:pos="1440"/>
        </w:tabs>
        <w:rPr>
          <w:bCs/>
        </w:rPr>
      </w:pPr>
      <w:r w:rsidRPr="006848C3">
        <w:rPr>
          <w:bCs/>
        </w:rPr>
        <w:t>Avista’s proposed $</w:t>
      </w:r>
      <w:r w:rsidR="004E793A" w:rsidRPr="006848C3">
        <w:rPr>
          <w:bCs/>
        </w:rPr>
        <w:t>10</w:t>
      </w:r>
      <w:r w:rsidRPr="006848C3">
        <w:rPr>
          <w:bCs/>
        </w:rPr>
        <w:t xml:space="preserve"> basic charge is approximately </w:t>
      </w:r>
      <w:r w:rsidR="006848C3" w:rsidRPr="006848C3">
        <w:rPr>
          <w:bCs/>
        </w:rPr>
        <w:t>15</w:t>
      </w:r>
      <w:r w:rsidRPr="006848C3">
        <w:rPr>
          <w:bCs/>
        </w:rPr>
        <w:t xml:space="preserve">% of the proposed average </w:t>
      </w:r>
      <w:r w:rsidR="00737CA1" w:rsidRPr="006848C3">
        <w:rPr>
          <w:bCs/>
        </w:rPr>
        <w:t xml:space="preserve">bill for natural gas customers </w:t>
      </w:r>
      <w:r w:rsidRPr="006848C3">
        <w:rPr>
          <w:bCs/>
        </w:rPr>
        <w:t xml:space="preserve">and </w:t>
      </w:r>
      <w:r w:rsidR="006848C3" w:rsidRPr="006848C3">
        <w:rPr>
          <w:bCs/>
        </w:rPr>
        <w:t>12</w:t>
      </w:r>
      <w:r w:rsidRPr="006848C3">
        <w:rPr>
          <w:bCs/>
        </w:rPr>
        <w:t>% for electric customers</w:t>
      </w:r>
      <w:r w:rsidRPr="00F557D5">
        <w:rPr>
          <w:bCs/>
        </w:rPr>
        <w:t xml:space="preserve">.  </w:t>
      </w:r>
      <w:r w:rsidR="00B62488">
        <w:rPr>
          <w:bCs/>
        </w:rPr>
        <w:t>I believe t</w:t>
      </w:r>
      <w:r w:rsidRPr="00F557D5">
        <w:rPr>
          <w:bCs/>
        </w:rPr>
        <w:t xml:space="preserve">his is well within the range of reasonableness, especially when viewed as a percentage of base rates.  </w:t>
      </w:r>
    </w:p>
    <w:p w:rsidR="00F10C1F" w:rsidRPr="00F557D5" w:rsidRDefault="00F10C1F" w:rsidP="00CA7EA4">
      <w:pPr>
        <w:pStyle w:val="BodyText2"/>
        <w:tabs>
          <w:tab w:val="left" w:pos="720"/>
          <w:tab w:val="left" w:pos="1440"/>
        </w:tabs>
        <w:ind w:firstLine="720"/>
        <w:rPr>
          <w:b/>
          <w:bCs/>
        </w:rPr>
      </w:pPr>
      <w:r w:rsidRPr="00F557D5">
        <w:rPr>
          <w:b/>
          <w:bCs/>
        </w:rPr>
        <w:lastRenderedPageBreak/>
        <w:t>Q.</w:t>
      </w:r>
      <w:r w:rsidRPr="00F557D5">
        <w:rPr>
          <w:b/>
          <w:bCs/>
        </w:rPr>
        <w:tab/>
        <w:t>Please discuss your view of the impacts of this request on your limited income customers.</w:t>
      </w:r>
    </w:p>
    <w:p w:rsidR="00F10C1F" w:rsidRPr="00F557D5" w:rsidRDefault="00F10C1F" w:rsidP="00CA7EA4">
      <w:pPr>
        <w:pStyle w:val="BodyText2"/>
        <w:tabs>
          <w:tab w:val="left" w:pos="720"/>
          <w:tab w:val="left" w:pos="1440"/>
        </w:tabs>
        <w:ind w:firstLine="720"/>
        <w:rPr>
          <w:bCs/>
        </w:rPr>
      </w:pPr>
      <w:r w:rsidRPr="00F557D5">
        <w:rPr>
          <w:bCs/>
        </w:rPr>
        <w:t xml:space="preserve">A.  </w:t>
      </w:r>
      <w:r w:rsidR="00D602F1">
        <w:rPr>
          <w:bCs/>
        </w:rPr>
        <w:tab/>
      </w:r>
      <w:r w:rsidRPr="00F557D5">
        <w:rPr>
          <w:bCs/>
        </w:rPr>
        <w:t xml:space="preserve">There are two different implications of the Company’s proposal.  The first implication is for </w:t>
      </w:r>
      <w:r w:rsidRPr="00F557D5">
        <w:rPr>
          <w:bCs/>
          <w:u w:val="single"/>
        </w:rPr>
        <w:t>limited income electric customers</w:t>
      </w:r>
      <w:r w:rsidRPr="00F557D5">
        <w:rPr>
          <w:bCs/>
        </w:rPr>
        <w:t xml:space="preserve">, many whom would </w:t>
      </w:r>
      <w:r w:rsidRPr="00F557D5">
        <w:rPr>
          <w:bCs/>
          <w:u w:val="single"/>
        </w:rPr>
        <w:t>benefit</w:t>
      </w:r>
      <w:r w:rsidRPr="00F557D5">
        <w:rPr>
          <w:bCs/>
        </w:rPr>
        <w:t xml:space="preserve"> from the Company’s proposal.  Traditional thinking might lead one to believe that a l</w:t>
      </w:r>
      <w:r w:rsidR="00F04E95">
        <w:rPr>
          <w:bCs/>
        </w:rPr>
        <w:t>imited</w:t>
      </w:r>
      <w:r w:rsidRPr="00F557D5">
        <w:rPr>
          <w:bCs/>
        </w:rPr>
        <w:t xml:space="preserve"> income electric customer would tend to be a low user of electricity.  Although the Company has not conducted a demographic survey of its customers in recent years, the limited data that we do have would suggest that just the opposite is true.  </w:t>
      </w:r>
    </w:p>
    <w:p w:rsidR="00F10C1F" w:rsidRPr="00F557D5" w:rsidRDefault="00F10C1F" w:rsidP="00CA7EA4">
      <w:pPr>
        <w:pStyle w:val="BodyText2"/>
        <w:tabs>
          <w:tab w:val="left" w:pos="720"/>
          <w:tab w:val="left" w:pos="1440"/>
        </w:tabs>
        <w:ind w:firstLine="720"/>
        <w:rPr>
          <w:bCs/>
        </w:rPr>
      </w:pPr>
      <w:r w:rsidRPr="00F557D5">
        <w:rPr>
          <w:bCs/>
        </w:rPr>
        <w:t xml:space="preserve">A majority of our customers have natural gas for space and water heating, and therefore may have low average electric usage during the winter.  However, many </w:t>
      </w:r>
      <w:r w:rsidR="00F04E95">
        <w:rPr>
          <w:bCs/>
          <w:u w:val="single"/>
        </w:rPr>
        <w:t>limited</w:t>
      </w:r>
      <w:r w:rsidRPr="00F557D5">
        <w:rPr>
          <w:bCs/>
          <w:u w:val="single"/>
        </w:rPr>
        <w:t xml:space="preserve"> income</w:t>
      </w:r>
      <w:r w:rsidRPr="00F557D5">
        <w:rPr>
          <w:bCs/>
        </w:rPr>
        <w:t xml:space="preserve"> customers, I believe, tend to still </w:t>
      </w:r>
      <w:r w:rsidRPr="00F557D5">
        <w:rPr>
          <w:bCs/>
          <w:u w:val="single"/>
        </w:rPr>
        <w:t>use electricity for space and water heating</w:t>
      </w:r>
      <w:r w:rsidRPr="00F557D5">
        <w:rPr>
          <w:bCs/>
        </w:rPr>
        <w:t>.  These customers, in my view, tend to live in apartments (which in Avista’s service territory predominantly have electric space and water heat), live in areas where natural gas is not available, or live in areas with natural gas, but cannot afford to convert.  These l</w:t>
      </w:r>
      <w:r w:rsidR="00F04E95">
        <w:rPr>
          <w:bCs/>
        </w:rPr>
        <w:t>imited</w:t>
      </w:r>
      <w:r w:rsidRPr="00F557D5">
        <w:rPr>
          <w:bCs/>
        </w:rPr>
        <w:t xml:space="preserve"> income customers, with electric space and water heat, can have electric usage in the tail-block (above 1,300 kWh’s) during the winter months.  Having a lower basic charge and higher tail-block rate penalizes these customers, as these customers are more susceptible to use in the tail-block.  A higher basic charge, on the other hand, would result in lower volumetric rates (than </w:t>
      </w:r>
      <w:r w:rsidR="00D602F1">
        <w:rPr>
          <w:bCs/>
        </w:rPr>
        <w:t xml:space="preserve">would </w:t>
      </w:r>
      <w:r w:rsidRPr="00F557D5">
        <w:rPr>
          <w:bCs/>
        </w:rPr>
        <w:t>otherwise be the case), providing some relief to these high use customers during the winter months.</w:t>
      </w:r>
    </w:p>
    <w:p w:rsidR="00F10C1F" w:rsidRPr="00F557D5" w:rsidRDefault="00F10C1F" w:rsidP="00F10C1F">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F10C1F" w:rsidRPr="0050216C" w:rsidRDefault="00F10C1F" w:rsidP="00F10C1F">
      <w:pPr>
        <w:pStyle w:val="BodyText2"/>
        <w:tabs>
          <w:tab w:val="left" w:pos="720"/>
          <w:tab w:val="left" w:pos="1440"/>
        </w:tabs>
        <w:rPr>
          <w:bCs/>
        </w:rPr>
      </w:pPr>
      <w:r w:rsidRPr="00F557D5">
        <w:rPr>
          <w:bCs/>
        </w:rPr>
        <w:tab/>
        <w:t xml:space="preserve">A.  </w:t>
      </w:r>
      <w:r w:rsidRPr="00F557D5">
        <w:rPr>
          <w:bCs/>
        </w:rPr>
        <w:tab/>
        <w:t>Average</w:t>
      </w:r>
      <w:r w:rsidR="00D602F1">
        <w:rPr>
          <w:bCs/>
        </w:rPr>
        <w:t>-</w:t>
      </w:r>
      <w:r w:rsidRPr="00F557D5">
        <w:rPr>
          <w:bCs/>
        </w:rPr>
        <w:t xml:space="preserve">use limited income natural gas customers would tend to pay slightly higher natural gas bills </w:t>
      </w:r>
      <w:r w:rsidR="009026B3">
        <w:rPr>
          <w:bCs/>
        </w:rPr>
        <w:t xml:space="preserve">under the Company’s proposed rate design (i.e., $10 basic charge) </w:t>
      </w:r>
      <w:r w:rsidR="009026B3">
        <w:rPr>
          <w:bCs/>
        </w:rPr>
        <w:lastRenderedPageBreak/>
        <w:t xml:space="preserve">than if the basic charge and volumetric rate were increased by a uniform or equal percentage.  </w:t>
      </w:r>
      <w:r w:rsidRPr="00F557D5">
        <w:rPr>
          <w:bCs/>
        </w:rPr>
        <w:t xml:space="preserve">Data gathered as part of the review of the Company’s </w:t>
      </w:r>
      <w:r w:rsidR="00B62488">
        <w:rPr>
          <w:bCs/>
        </w:rPr>
        <w:t>N</w:t>
      </w:r>
      <w:r w:rsidRPr="00F557D5">
        <w:rPr>
          <w:bCs/>
        </w:rPr>
        <w:t xml:space="preserve">atural </w:t>
      </w:r>
      <w:r w:rsidR="00B62488">
        <w:rPr>
          <w:bCs/>
        </w:rPr>
        <w:t>G</w:t>
      </w:r>
      <w:r w:rsidRPr="00F557D5">
        <w:rPr>
          <w:bCs/>
        </w:rPr>
        <w:t>as Decoupling Mechanism showed that limited income natural gas customers tend to use slightly less natural gas (58 therms per month</w:t>
      </w:r>
      <w:r w:rsidRPr="00F557D5">
        <w:rPr>
          <w:rStyle w:val="FootnoteReference"/>
          <w:bCs/>
        </w:rPr>
        <w:footnoteReference w:id="8"/>
      </w:r>
      <w:r w:rsidRPr="00F557D5">
        <w:rPr>
          <w:bCs/>
        </w:rPr>
        <w:t xml:space="preserve">) than the traditional </w:t>
      </w:r>
      <w:r w:rsidRPr="00EE3D44">
        <w:rPr>
          <w:bCs/>
        </w:rPr>
        <w:t>residential customer (6</w:t>
      </w:r>
      <w:r w:rsidR="006848C3" w:rsidRPr="00EE3D44">
        <w:rPr>
          <w:bCs/>
        </w:rPr>
        <w:t>8</w:t>
      </w:r>
      <w:r w:rsidRPr="00EE3D44">
        <w:rPr>
          <w:bCs/>
        </w:rPr>
        <w:t xml:space="preserve"> therms per month).  As shown in </w:t>
      </w:r>
      <w:r w:rsidR="006848C3" w:rsidRPr="00EE3D44">
        <w:rPr>
          <w:bCs/>
        </w:rPr>
        <w:t>T</w:t>
      </w:r>
      <w:r w:rsidRPr="00EE3D44">
        <w:rPr>
          <w:bCs/>
        </w:rPr>
        <w:t>able</w:t>
      </w:r>
      <w:r w:rsidR="006848C3" w:rsidRPr="00EE3D44">
        <w:rPr>
          <w:bCs/>
        </w:rPr>
        <w:t xml:space="preserve"> 13</w:t>
      </w:r>
      <w:r w:rsidRPr="00EE3D44">
        <w:rPr>
          <w:bCs/>
        </w:rPr>
        <w:t xml:space="preserve"> below, while there is an impact, it is relatively </w:t>
      </w:r>
      <w:r w:rsidRPr="00EE3D44">
        <w:rPr>
          <w:bCs/>
          <w:u w:val="single"/>
        </w:rPr>
        <w:t>small</w:t>
      </w:r>
      <w:r w:rsidRPr="00EE3D44">
        <w:rPr>
          <w:bCs/>
        </w:rPr>
        <w:t xml:space="preserve"> both on a dollar and percentage basis (between 0</w:t>
      </w:r>
      <w:r w:rsidR="006848C3" w:rsidRPr="00EE3D44">
        <w:rPr>
          <w:bCs/>
        </w:rPr>
        <w:t>.1</w:t>
      </w:r>
      <w:r w:rsidRPr="00EE3D44">
        <w:rPr>
          <w:bCs/>
        </w:rPr>
        <w:t xml:space="preserve">% and </w:t>
      </w:r>
      <w:r w:rsidR="0050216C" w:rsidRPr="00EE3D44">
        <w:rPr>
          <w:bCs/>
        </w:rPr>
        <w:t>0.</w:t>
      </w:r>
      <w:r w:rsidR="006848C3" w:rsidRPr="00EE3D44">
        <w:rPr>
          <w:bCs/>
        </w:rPr>
        <w:t>9</w:t>
      </w:r>
      <w:r w:rsidRPr="00EE3D44">
        <w:rPr>
          <w:bCs/>
        </w:rPr>
        <w:t>%).</w:t>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t>Table 1</w:t>
      </w:r>
      <w:r w:rsidR="0013455F">
        <w:rPr>
          <w:b/>
          <w:bCs/>
          <w:u w:val="single"/>
        </w:rPr>
        <w:t>3</w:t>
      </w:r>
    </w:p>
    <w:p w:rsidR="00F10C1F" w:rsidRPr="00D6449A" w:rsidRDefault="0013455F" w:rsidP="00F10C1F">
      <w:pPr>
        <w:pStyle w:val="BodyText2"/>
        <w:tabs>
          <w:tab w:val="left" w:pos="810"/>
          <w:tab w:val="left" w:pos="1440"/>
        </w:tabs>
        <w:rPr>
          <w:bCs/>
          <w:highlight w:val="yellow"/>
        </w:rPr>
      </w:pPr>
      <w:r w:rsidRPr="0013455F">
        <w:rPr>
          <w:noProof/>
        </w:rPr>
        <w:drawing>
          <wp:anchor distT="0" distB="0" distL="114300" distR="114300" simplePos="0" relativeHeight="251822592" behindDoc="1" locked="0" layoutInCell="1" allowOverlap="1">
            <wp:simplePos x="0" y="0"/>
            <wp:positionH relativeFrom="column">
              <wp:posOffset>17862</wp:posOffset>
            </wp:positionH>
            <wp:positionV relativeFrom="paragraph">
              <wp:posOffset>4552</wp:posOffset>
            </wp:positionV>
            <wp:extent cx="5514852" cy="2006930"/>
            <wp:effectExtent l="19050" t="0" r="0" b="0"/>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514852" cy="200693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F10C1F" w:rsidRPr="00F557D5" w:rsidRDefault="00F10C1F" w:rsidP="00F10C1F">
      <w:pPr>
        <w:pStyle w:val="BodyText2"/>
        <w:tabs>
          <w:tab w:val="left" w:pos="720"/>
          <w:tab w:val="left" w:pos="1440"/>
        </w:tabs>
        <w:rPr>
          <w:b/>
          <w:bCs/>
        </w:rPr>
      </w:pPr>
      <w:r w:rsidRPr="00F557D5">
        <w:rPr>
          <w:b/>
          <w:bCs/>
        </w:rPr>
        <w:tab/>
      </w:r>
    </w:p>
    <w:p w:rsidR="00F10C1F" w:rsidRPr="00F557D5" w:rsidRDefault="00F10C1F" w:rsidP="00F10C1F">
      <w:pPr>
        <w:pStyle w:val="BodyText2"/>
        <w:tabs>
          <w:tab w:val="left" w:pos="720"/>
          <w:tab w:val="left" w:pos="1440"/>
        </w:tabs>
        <w:rPr>
          <w:b/>
          <w:bCs/>
        </w:rPr>
      </w:pPr>
    </w:p>
    <w:p w:rsidR="00F10C1F" w:rsidRPr="00F557D5" w:rsidRDefault="00F10C1F" w:rsidP="00F10C1F">
      <w:pPr>
        <w:pStyle w:val="BodyText2"/>
        <w:tabs>
          <w:tab w:val="left" w:pos="720"/>
          <w:tab w:val="left" w:pos="1440"/>
        </w:tabs>
        <w:rPr>
          <w:b/>
          <w:bCs/>
        </w:rPr>
      </w:pPr>
    </w:p>
    <w:p w:rsidR="00F04E95" w:rsidRDefault="00F04E95" w:rsidP="00882549">
      <w:pPr>
        <w:pStyle w:val="P267"/>
        <w:tabs>
          <w:tab w:val="clear" w:pos="360"/>
          <w:tab w:val="left" w:pos="0"/>
        </w:tabs>
        <w:ind w:left="0"/>
        <w:jc w:val="center"/>
        <w:rPr>
          <w:rFonts w:ascii="Times New Roman" w:hAnsi="Times New Roman" w:cs="Times New Roman"/>
        </w:rPr>
      </w:pPr>
    </w:p>
    <w:p w:rsidR="00882549" w:rsidRPr="00B361D5" w:rsidRDefault="00882549" w:rsidP="00882549">
      <w:pPr>
        <w:pStyle w:val="P267"/>
        <w:tabs>
          <w:tab w:val="clear" w:pos="360"/>
          <w:tab w:val="left" w:pos="0"/>
        </w:tabs>
        <w:ind w:left="0"/>
        <w:jc w:val="center"/>
        <w:rPr>
          <w:rFonts w:ascii="Times New Roman" w:hAnsi="Times New Roman" w:cs="Times New Roman"/>
        </w:rPr>
      </w:pPr>
      <w:r w:rsidRPr="00B361D5">
        <w:rPr>
          <w:rFonts w:ascii="Times New Roman" w:hAnsi="Times New Roman" w:cs="Times New Roman"/>
        </w:rPr>
        <w:t xml:space="preserve">VI.  </w:t>
      </w:r>
      <w:r w:rsidR="00802819" w:rsidRPr="00B361D5">
        <w:rPr>
          <w:rFonts w:ascii="Times New Roman" w:hAnsi="Times New Roman" w:cs="Times New Roman"/>
        </w:rPr>
        <w:t xml:space="preserve">DSM </w:t>
      </w:r>
      <w:r w:rsidR="00185D46" w:rsidRPr="00B361D5">
        <w:rPr>
          <w:rFonts w:ascii="Times New Roman" w:hAnsi="Times New Roman" w:cs="Times New Roman"/>
        </w:rPr>
        <w:t xml:space="preserve">COMPONENT OF THE </w:t>
      </w:r>
      <w:r w:rsidR="00802819" w:rsidRPr="00B361D5">
        <w:rPr>
          <w:rFonts w:ascii="Times New Roman" w:hAnsi="Times New Roman" w:cs="Times New Roman"/>
        </w:rPr>
        <w:t>ATTRITION ADJUSTMENT</w:t>
      </w:r>
    </w:p>
    <w:p w:rsidR="00872D83" w:rsidRPr="00AD7E0C" w:rsidRDefault="00872D83" w:rsidP="00872D83">
      <w:pPr>
        <w:spacing w:line="480" w:lineRule="auto"/>
        <w:ind w:firstLine="720"/>
        <w:jc w:val="both"/>
        <w:rPr>
          <w:b/>
        </w:rPr>
      </w:pPr>
      <w:r w:rsidRPr="00B361D5">
        <w:rPr>
          <w:b/>
        </w:rPr>
        <w:t>Q.</w:t>
      </w:r>
      <w:r w:rsidRPr="00B361D5">
        <w:rPr>
          <w:b/>
        </w:rPr>
        <w:tab/>
        <w:t xml:space="preserve">Would you briefly describe the Company's DSM </w:t>
      </w:r>
      <w:r w:rsidR="00772721" w:rsidRPr="00B361D5">
        <w:rPr>
          <w:b/>
        </w:rPr>
        <w:t>Component</w:t>
      </w:r>
      <w:r w:rsidR="00185D46" w:rsidRPr="00B361D5">
        <w:rPr>
          <w:b/>
        </w:rPr>
        <w:t xml:space="preserve"> of the </w:t>
      </w:r>
      <w:r w:rsidRPr="00B361D5">
        <w:rPr>
          <w:b/>
        </w:rPr>
        <w:t>Attrition Adjustment?</w:t>
      </w:r>
    </w:p>
    <w:p w:rsidR="00872D83" w:rsidRPr="00AD7E0C" w:rsidRDefault="00872D83" w:rsidP="00872D83">
      <w:pPr>
        <w:spacing w:line="480" w:lineRule="auto"/>
        <w:ind w:firstLine="720"/>
        <w:jc w:val="both"/>
      </w:pPr>
      <w:r w:rsidRPr="00AD7E0C">
        <w:t>A.</w:t>
      </w:r>
      <w:r w:rsidRPr="00AD7E0C">
        <w:tab/>
        <w:t xml:space="preserve">Yes.  </w:t>
      </w:r>
      <w:r w:rsidR="00B361D5">
        <w:t xml:space="preserve">As </w:t>
      </w:r>
      <w:r w:rsidR="00B03DF0">
        <w:t xml:space="preserve">Company witness </w:t>
      </w:r>
      <w:r w:rsidR="00904ACA">
        <w:t xml:space="preserve">Mr. Norwood explains in </w:t>
      </w:r>
      <w:r w:rsidR="00B361D5">
        <w:t>his testimony, one of the reasons Avista is experiencing attrition is due to our success in assisting our customers with electric energy efficiency through our Demand Side Management (DSM) programs.  This portion of my testimony will quantify how much of Avista’s attrition problem is being cause</w:t>
      </w:r>
      <w:r w:rsidR="00F04E95">
        <w:t>d</w:t>
      </w:r>
      <w:r w:rsidR="00B361D5">
        <w:t xml:space="preserve"> by electric energy savings through DSM.</w:t>
      </w:r>
    </w:p>
    <w:p w:rsidR="00B361D5" w:rsidRPr="00AD7E0C" w:rsidRDefault="00B361D5" w:rsidP="00B361D5">
      <w:pPr>
        <w:spacing w:line="480" w:lineRule="auto"/>
        <w:ind w:firstLine="720"/>
        <w:jc w:val="both"/>
        <w:rPr>
          <w:b/>
        </w:rPr>
      </w:pPr>
      <w:r w:rsidRPr="00AD7E0C">
        <w:rPr>
          <w:b/>
        </w:rPr>
        <w:lastRenderedPageBreak/>
        <w:t>Q.</w:t>
      </w:r>
      <w:r w:rsidRPr="00AD7E0C">
        <w:rPr>
          <w:b/>
        </w:rPr>
        <w:tab/>
      </w:r>
      <w:r>
        <w:rPr>
          <w:b/>
        </w:rPr>
        <w:t>How did you go about quantifying this component of attrition</w:t>
      </w:r>
      <w:r w:rsidRPr="00AD7E0C">
        <w:rPr>
          <w:b/>
        </w:rPr>
        <w:t>?</w:t>
      </w:r>
    </w:p>
    <w:p w:rsidR="000844DB" w:rsidRDefault="00B361D5" w:rsidP="00B03DF0">
      <w:pPr>
        <w:spacing w:line="480" w:lineRule="auto"/>
        <w:ind w:firstLine="720"/>
        <w:jc w:val="both"/>
      </w:pPr>
      <w:r w:rsidRPr="00AD7E0C">
        <w:t>A.</w:t>
      </w:r>
      <w:r w:rsidRPr="00AD7E0C">
        <w:tab/>
      </w:r>
      <w:r w:rsidR="000844DB">
        <w:t xml:space="preserve">As I will describe in further detail later in my testimony, the Company calculated the DSM </w:t>
      </w:r>
      <w:r w:rsidR="00A64306">
        <w:t>C</w:t>
      </w:r>
      <w:r w:rsidR="000844DB">
        <w:t xml:space="preserve">omponent of the </w:t>
      </w:r>
      <w:r w:rsidR="00A64306">
        <w:t>A</w:t>
      </w:r>
      <w:r w:rsidR="000844DB">
        <w:t xml:space="preserve">ttrition </w:t>
      </w:r>
      <w:r w:rsidR="00A64306">
        <w:t>A</w:t>
      </w:r>
      <w:r w:rsidR="000844DB">
        <w:t xml:space="preserve">djustment using the electric DSM savings for 2011 through 2013.  This is consistent with Company witness Mr. Lowry’s attrition analysis which covered the 2011 historical test year </w:t>
      </w:r>
      <w:r w:rsidR="00F04E95">
        <w:t>through</w:t>
      </w:r>
      <w:r w:rsidR="000844DB">
        <w:t xml:space="preserve"> the 2013 proforma period.  </w:t>
      </w:r>
    </w:p>
    <w:p w:rsidR="00B03DF0" w:rsidRDefault="00B03DF0" w:rsidP="00B03DF0">
      <w:pPr>
        <w:spacing w:line="480" w:lineRule="auto"/>
        <w:ind w:firstLine="720"/>
        <w:jc w:val="both"/>
      </w:pPr>
      <w:r>
        <w:t xml:space="preserve">As Mr. Norwood explains in his testimony, </w:t>
      </w:r>
      <w:r>
        <w:rPr>
          <w:rStyle w:val="LineNumber"/>
        </w:rPr>
        <w:t>i</w:t>
      </w:r>
      <w:r w:rsidRPr="00B952E0">
        <w:rPr>
          <w:rStyle w:val="LineNumber"/>
        </w:rPr>
        <w:t xml:space="preserve">n a general rate case we begin with historical test period </w:t>
      </w:r>
      <w:r>
        <w:rPr>
          <w:rStyle w:val="LineNumber"/>
        </w:rPr>
        <w:t>kWh</w:t>
      </w:r>
      <w:r w:rsidRPr="00B952E0">
        <w:rPr>
          <w:rStyle w:val="LineNumber"/>
        </w:rPr>
        <w:t xml:space="preserve"> sales</w:t>
      </w:r>
      <w:r w:rsidR="000844DB">
        <w:rPr>
          <w:rStyle w:val="LineNumber"/>
        </w:rPr>
        <w:t xml:space="preserve"> (2011)</w:t>
      </w:r>
      <w:r w:rsidRPr="00B952E0">
        <w:rPr>
          <w:rStyle w:val="LineNumber"/>
        </w:rPr>
        <w:t xml:space="preserve">, and then </w:t>
      </w:r>
      <w:r w:rsidR="00A64306">
        <w:rPr>
          <w:rStyle w:val="LineNumber"/>
        </w:rPr>
        <w:t>a</w:t>
      </w:r>
      <w:r w:rsidRPr="00B952E0">
        <w:rPr>
          <w:rStyle w:val="LineNumber"/>
        </w:rPr>
        <w:t>ssume that all of those historical retail sales, and revenues, continue into</w:t>
      </w:r>
      <w:r>
        <w:rPr>
          <w:rStyle w:val="LineNumber"/>
        </w:rPr>
        <w:t xml:space="preserve"> the future rate year.  </w:t>
      </w:r>
      <w:r w:rsidR="009F5837">
        <w:rPr>
          <w:rStyle w:val="LineNumber"/>
        </w:rPr>
        <w:t>W</w:t>
      </w:r>
      <w:r w:rsidR="000844DB">
        <w:rPr>
          <w:rStyle w:val="LineNumber"/>
        </w:rPr>
        <w:t>e</w:t>
      </w:r>
      <w:r w:rsidRPr="00B952E0">
        <w:rPr>
          <w:rStyle w:val="LineNumber"/>
        </w:rPr>
        <w:t xml:space="preserve"> know with certainty</w:t>
      </w:r>
      <w:r w:rsidR="009F5837">
        <w:rPr>
          <w:rStyle w:val="LineNumber"/>
        </w:rPr>
        <w:t>, however,</w:t>
      </w:r>
      <w:r w:rsidRPr="00B952E0">
        <w:rPr>
          <w:rStyle w:val="LineNumber"/>
        </w:rPr>
        <w:t xml:space="preserve"> that part of </w:t>
      </w:r>
      <w:r w:rsidR="009F5837">
        <w:rPr>
          <w:rStyle w:val="LineNumber"/>
        </w:rPr>
        <w:t xml:space="preserve">the </w:t>
      </w:r>
      <w:r w:rsidRPr="00B952E0">
        <w:rPr>
          <w:rStyle w:val="LineNumber"/>
        </w:rPr>
        <w:t>revenue will not occur, because customers have taken steps to use less energy</w:t>
      </w:r>
      <w:r w:rsidR="000844DB">
        <w:rPr>
          <w:rStyle w:val="LineNumber"/>
        </w:rPr>
        <w:t xml:space="preserve"> as t</w:t>
      </w:r>
      <w:r>
        <w:t>he Company is required by law to achieve a certain level of electric energy efficiency savings.  This is a known change in revenues following the test year</w:t>
      </w:r>
      <w:r w:rsidR="000844DB">
        <w:t xml:space="preserve"> (2011)</w:t>
      </w:r>
      <w:r>
        <w:t>, and if that reduction is not reflected in the ratemaking process, then the Company will face earnings attrition.  In essence, without an adjustment to reflect these required savings, you start from “day one,” after new rates are set, knowing that you will not receive the amount of revenue the rates were designed to recover because the kWh sales to existing customers following the test year will be less</w:t>
      </w:r>
      <w:r w:rsidR="009F5837">
        <w:t xml:space="preserve"> than they otherwise would have been</w:t>
      </w:r>
      <w:r>
        <w:t xml:space="preserve">. </w:t>
      </w:r>
    </w:p>
    <w:p w:rsidR="000844DB" w:rsidRPr="00AD7E0C" w:rsidRDefault="000844DB" w:rsidP="000844DB">
      <w:pPr>
        <w:spacing w:line="480" w:lineRule="auto"/>
        <w:ind w:firstLine="720"/>
        <w:jc w:val="both"/>
        <w:rPr>
          <w:b/>
        </w:rPr>
      </w:pPr>
      <w:r w:rsidRPr="00AD7E0C">
        <w:rPr>
          <w:b/>
        </w:rPr>
        <w:t>Q.</w:t>
      </w:r>
      <w:r w:rsidRPr="00AD7E0C">
        <w:rPr>
          <w:b/>
        </w:rPr>
        <w:tab/>
      </w:r>
      <w:r>
        <w:rPr>
          <w:b/>
        </w:rPr>
        <w:t>How did you quantify these DSM energy efficiency savings</w:t>
      </w:r>
      <w:r w:rsidRPr="00AD7E0C">
        <w:rPr>
          <w:b/>
        </w:rPr>
        <w:t>?</w:t>
      </w:r>
    </w:p>
    <w:p w:rsidR="000C21C5" w:rsidRDefault="000844DB" w:rsidP="00872D83">
      <w:pPr>
        <w:spacing w:line="480" w:lineRule="auto"/>
        <w:ind w:firstLine="720"/>
        <w:jc w:val="both"/>
      </w:pPr>
      <w:r w:rsidRPr="00AD7E0C">
        <w:t>A.</w:t>
      </w:r>
      <w:r w:rsidRPr="00AD7E0C">
        <w:tab/>
      </w:r>
      <w:r w:rsidR="00872D83">
        <w:t xml:space="preserve">Effective January 1, 2010, the Company </w:t>
      </w:r>
      <w:r w:rsidR="00B03DF0">
        <w:t>wa</w:t>
      </w:r>
      <w:r w:rsidR="00872D83">
        <w:t>s mandated to obtain a certain level of electric energy efficiency savings pursuant to RCW Chapter 19.285, the Energy Independence Act.   Under this act, Avista is required to “</w:t>
      </w:r>
      <w:r w:rsidR="00872D83" w:rsidRPr="00FD7B8D">
        <w:t>identify its achievable cost-effective conservation potential through 2019</w:t>
      </w:r>
      <w:r w:rsidR="00872D83">
        <w:t>”, and beginning in January 2010, “</w:t>
      </w:r>
      <w:r w:rsidR="00872D83" w:rsidRPr="00FD7B8D">
        <w:t xml:space="preserve">establish and make publicly available a biennial acquisition target for cost-effective conservation </w:t>
      </w:r>
      <w:r w:rsidR="00872D83" w:rsidRPr="00FD7B8D">
        <w:lastRenderedPageBreak/>
        <w:t xml:space="preserve">consistent with its identification of achievable opportunities </w:t>
      </w:r>
      <w:r w:rsidR="00872D83">
        <w:t>…</w:t>
      </w:r>
      <w:r w:rsidR="00872D83" w:rsidRPr="00FD7B8D">
        <w:t xml:space="preserve"> and meet that target during the subsequent two-year period</w:t>
      </w:r>
      <w:r w:rsidR="00872D83">
        <w:t xml:space="preserve">”.  </w:t>
      </w:r>
      <w:r w:rsidR="00904ACA">
        <w:t>(RCW Chapter 19.285)</w:t>
      </w:r>
    </w:p>
    <w:p w:rsidR="00872D83" w:rsidRPr="00872D83" w:rsidRDefault="00872D83" w:rsidP="00872D83">
      <w:pPr>
        <w:spacing w:line="480" w:lineRule="auto"/>
        <w:ind w:firstLine="720"/>
        <w:jc w:val="both"/>
        <w:rPr>
          <w:b/>
        </w:rPr>
      </w:pPr>
      <w:r w:rsidRPr="00872D83">
        <w:rPr>
          <w:b/>
        </w:rPr>
        <w:t>Q.</w:t>
      </w:r>
      <w:r w:rsidRPr="00872D83">
        <w:rPr>
          <w:b/>
        </w:rPr>
        <w:tab/>
      </w:r>
      <w:r w:rsidR="000844DB">
        <w:rPr>
          <w:b/>
        </w:rPr>
        <w:t>What are the Company’s planned electric energy efficiency savings for the period 2011 through 2013</w:t>
      </w:r>
      <w:r w:rsidRPr="00872D83">
        <w:rPr>
          <w:b/>
        </w:rPr>
        <w:t>?</w:t>
      </w:r>
    </w:p>
    <w:p w:rsidR="000844DB" w:rsidRDefault="00872D83" w:rsidP="00872D83">
      <w:pPr>
        <w:spacing w:line="480" w:lineRule="auto"/>
        <w:ind w:firstLine="720"/>
        <w:jc w:val="both"/>
      </w:pPr>
      <w:r w:rsidRPr="00872D83">
        <w:t>A.</w:t>
      </w:r>
      <w:r w:rsidRPr="00872D83">
        <w:tab/>
      </w:r>
      <w:r w:rsidR="00A64306">
        <w:t>O</w:t>
      </w:r>
      <w:r w:rsidR="000844DB">
        <w:t xml:space="preserve">n January 29, 2010, the Company filed with the UTC its first “Ten-year Achievable Conservation Potential and Biennial Conservation Target Report” </w:t>
      </w:r>
      <w:r w:rsidR="00F04E95">
        <w:t xml:space="preserve">(Docket UE-100167) </w:t>
      </w:r>
      <w:r w:rsidR="000844DB">
        <w:t xml:space="preserve">which included the Company’s first two-year </w:t>
      </w:r>
      <w:r w:rsidR="00135AD1">
        <w:t xml:space="preserve">(2010 – 2011) </w:t>
      </w:r>
      <w:r w:rsidR="000844DB">
        <w:t>biennial electric conservation target.  On April 16, 2010, “</w:t>
      </w:r>
      <w:r w:rsidR="000844DB" w:rsidRPr="001105A3">
        <w:t>Avista identified a ten-year conservation potential of 873,302 megawatt-hours and a biennial 2010-11 conservation target of 128,603 megawatt-hours.</w:t>
      </w:r>
      <w:r w:rsidR="00135AD1">
        <w:t xml:space="preserve">  On May 13, 2010, the UTC approved Avista’s biennial conservation target as filed on April 16, 2010.  </w:t>
      </w:r>
      <w:r w:rsidR="00135AD1" w:rsidRPr="0042773D">
        <w:t xml:space="preserve">Given that the level of savings in 2010 was 52,769 megawatt-hours, the target for 2011 </w:t>
      </w:r>
      <w:r w:rsidR="00135AD1">
        <w:t>wa</w:t>
      </w:r>
      <w:r w:rsidR="00135AD1" w:rsidRPr="0042773D">
        <w:t xml:space="preserve">s 75,834 megawatt hours.  </w:t>
      </w:r>
      <w:r w:rsidR="00A64306">
        <w:t>However, rather than using the estimated 2011 savings f</w:t>
      </w:r>
      <w:r w:rsidR="00135AD1">
        <w:t xml:space="preserve">or purposes of the DSM </w:t>
      </w:r>
      <w:r w:rsidR="00A64306">
        <w:t>C</w:t>
      </w:r>
      <w:r w:rsidR="00135AD1">
        <w:t xml:space="preserve">omponent of the Attrition Adjustment, the Company used the actual, unverified 2011 savings of 79,800 </w:t>
      </w:r>
      <w:r w:rsidR="00135AD1" w:rsidRPr="001105A3">
        <w:t>megawatt-hours</w:t>
      </w:r>
      <w:r w:rsidR="00135AD1">
        <w:t>.</w:t>
      </w:r>
    </w:p>
    <w:p w:rsidR="003C53DB" w:rsidRPr="003C53DB" w:rsidRDefault="000844DB" w:rsidP="00872D83">
      <w:pPr>
        <w:spacing w:line="480" w:lineRule="auto"/>
        <w:ind w:firstLine="720"/>
        <w:jc w:val="both"/>
      </w:pPr>
      <w:r>
        <w:t>O</w:t>
      </w:r>
      <w:r w:rsidR="00872D83" w:rsidRPr="00872D83">
        <w:t xml:space="preserve">n </w:t>
      </w:r>
      <w:r w:rsidR="00872D83">
        <w:t>November 1</w:t>
      </w:r>
      <w:r w:rsidR="00872D83" w:rsidRPr="00872D83">
        <w:t>, 201</w:t>
      </w:r>
      <w:r w:rsidR="00872D83">
        <w:t>1</w:t>
      </w:r>
      <w:r w:rsidR="00872D83" w:rsidRPr="00872D83">
        <w:t>, th</w:t>
      </w:r>
      <w:r w:rsidR="000C21C5">
        <w:t>e Company filed with the UTC the</w:t>
      </w:r>
      <w:r w:rsidR="00872D83" w:rsidRPr="00872D83">
        <w:t xml:space="preserve"> “</w:t>
      </w:r>
      <w:r w:rsidR="00872D83">
        <w:t>2012-2013 Biennial Conservation Plan</w:t>
      </w:r>
      <w:r w:rsidR="00200521">
        <w:t xml:space="preserve"> of Avista Corporation</w:t>
      </w:r>
      <w:r w:rsidR="00872D83" w:rsidRPr="00872D83">
        <w:t xml:space="preserve">” </w:t>
      </w:r>
      <w:r w:rsidR="003C53DB">
        <w:t xml:space="preserve">(Docket UE-111882) </w:t>
      </w:r>
      <w:r w:rsidR="00872D83" w:rsidRPr="00872D83">
        <w:t xml:space="preserve">which included the Company’s </w:t>
      </w:r>
      <w:r w:rsidR="00200521">
        <w:t>second</w:t>
      </w:r>
      <w:r w:rsidR="000C21C5">
        <w:t>,</w:t>
      </w:r>
      <w:r w:rsidR="00872D83" w:rsidRPr="00872D83">
        <w:t xml:space="preserve"> two-year biennial electric conservation target.  </w:t>
      </w:r>
      <w:r w:rsidR="00200521">
        <w:t xml:space="preserve">In that report, </w:t>
      </w:r>
      <w:r w:rsidR="00872D83" w:rsidRPr="00872D83">
        <w:t xml:space="preserve">“Avista identified a ten-year conservation potential </w:t>
      </w:r>
      <w:r w:rsidR="00200521">
        <w:t>in the range of 529,114 to 1,079,345</w:t>
      </w:r>
      <w:r w:rsidR="00872D83" w:rsidRPr="00872D83">
        <w:t xml:space="preserve"> megawatt-hours and a biennial 201</w:t>
      </w:r>
      <w:r w:rsidR="00200521">
        <w:t>2</w:t>
      </w:r>
      <w:r w:rsidR="00872D83" w:rsidRPr="00872D83">
        <w:t>-1</w:t>
      </w:r>
      <w:r w:rsidR="00200521">
        <w:t>3 end-use efficiency target between 76,202 megawatt-hours to 137,410</w:t>
      </w:r>
      <w:r w:rsidR="00872D83" w:rsidRPr="00872D83">
        <w:t xml:space="preserve"> megawatt-hours</w:t>
      </w:r>
      <w:r w:rsidR="00200521">
        <w:rPr>
          <w:rStyle w:val="FootnoteReference"/>
        </w:rPr>
        <w:footnoteReference w:id="9"/>
      </w:r>
      <w:r w:rsidR="00872D83" w:rsidRPr="00872D83">
        <w:t xml:space="preserve">. </w:t>
      </w:r>
      <w:r w:rsidR="000C21C5">
        <w:t>Note that t</w:t>
      </w:r>
      <w:r w:rsidR="00200521">
        <w:t>he</w:t>
      </w:r>
      <w:r w:rsidR="00F04E95">
        <w:t xml:space="preserve"> 2012-13</w:t>
      </w:r>
      <w:r w:rsidR="00200521">
        <w:t xml:space="preserve"> savings targets do not include </w:t>
      </w:r>
      <w:r w:rsidR="00200521" w:rsidRPr="003C53DB">
        <w:t>savings from distribution efficiency</w:t>
      </w:r>
      <w:r w:rsidR="003C53DB" w:rsidRPr="003C53DB">
        <w:t xml:space="preserve"> nor do they include savings from space and water heat fuel conversions</w:t>
      </w:r>
      <w:r w:rsidR="00200521" w:rsidRPr="003C53DB">
        <w:t xml:space="preserve">. </w:t>
      </w:r>
    </w:p>
    <w:p w:rsidR="00872D83" w:rsidRPr="003C53DB" w:rsidRDefault="00872D83" w:rsidP="00872D83">
      <w:pPr>
        <w:spacing w:line="480" w:lineRule="auto"/>
        <w:ind w:firstLine="720"/>
        <w:jc w:val="both"/>
        <w:rPr>
          <w:b/>
        </w:rPr>
      </w:pPr>
      <w:r w:rsidRPr="003C53DB">
        <w:rPr>
          <w:b/>
        </w:rPr>
        <w:lastRenderedPageBreak/>
        <w:t>Q.</w:t>
      </w:r>
      <w:r w:rsidRPr="003C53DB">
        <w:rPr>
          <w:b/>
        </w:rPr>
        <w:tab/>
      </w:r>
      <w:r w:rsidR="003C53DB" w:rsidRPr="003C53DB">
        <w:rPr>
          <w:b/>
        </w:rPr>
        <w:t>Can you please provide further details regarding the range of savings for 2012-2013</w:t>
      </w:r>
      <w:r w:rsidRPr="003C53DB">
        <w:rPr>
          <w:b/>
        </w:rPr>
        <w:t>?</w:t>
      </w:r>
    </w:p>
    <w:p w:rsidR="00872D83" w:rsidRPr="003C53DB" w:rsidRDefault="00872D83" w:rsidP="00872D83">
      <w:pPr>
        <w:spacing w:line="480" w:lineRule="auto"/>
        <w:ind w:firstLine="720"/>
        <w:jc w:val="both"/>
        <w:rPr>
          <w:b/>
        </w:rPr>
      </w:pPr>
      <w:r w:rsidRPr="003C53DB">
        <w:t>A.</w:t>
      </w:r>
      <w:r w:rsidRPr="003C53DB">
        <w:tab/>
        <w:t>Yes</w:t>
      </w:r>
      <w:r w:rsidR="003C53DB" w:rsidRPr="003C53DB">
        <w:t xml:space="preserve">.  As detailed in the Company’s filing in Docket UE-111882, the Company discussed that a Conservation Potential Assessment (CPA) was completed as a part of Avista’s 2011 electric Integrated Resource Plan.  Within the Company’s CPA, two types of achievable </w:t>
      </w:r>
      <w:r w:rsidR="003C53DB">
        <w:t xml:space="preserve">conservation </w:t>
      </w:r>
      <w:r w:rsidR="003C53DB" w:rsidRPr="003C53DB">
        <w:t>potential were established – Realistic Acquirable Potential (</w:t>
      </w:r>
      <w:r w:rsidR="000C21C5">
        <w:t>“</w:t>
      </w:r>
      <w:r w:rsidR="003C53DB" w:rsidRPr="003C53DB">
        <w:t>RAP</w:t>
      </w:r>
      <w:r w:rsidR="000C21C5">
        <w:t>”</w:t>
      </w:r>
      <w:r w:rsidR="003C53DB" w:rsidRPr="003C53DB">
        <w:t>) and Maximum Acquirable Potential (</w:t>
      </w:r>
      <w:r w:rsidR="000C21C5">
        <w:t>“</w:t>
      </w:r>
      <w:r w:rsidR="003C53DB" w:rsidRPr="003C53DB">
        <w:t>MAP</w:t>
      </w:r>
      <w:r w:rsidR="000C21C5">
        <w:t>”</w:t>
      </w:r>
      <w:r w:rsidR="003C53DB" w:rsidRPr="003C53DB">
        <w:t>).  As shown in the Company’s filing in that docket</w:t>
      </w:r>
      <w:r w:rsidR="003C53DB">
        <w:rPr>
          <w:rStyle w:val="FootnoteReference"/>
        </w:rPr>
        <w:footnoteReference w:id="10"/>
      </w:r>
      <w:r w:rsidR="003C53DB" w:rsidRPr="003C53DB">
        <w:t xml:space="preserve">, the RAP for 2012-2013 (excluding distribution efficiency and fuel conversions) is 76,202 megawatt hours.  The MAP for 2012-2013, also excluding distribution efficiency and fuel conversions, is 137,410 megawatt hours. </w:t>
      </w:r>
      <w:r w:rsidR="003C53DB">
        <w:t xml:space="preserve">  For purposes of the DSM </w:t>
      </w:r>
      <w:r w:rsidR="00C92A6D">
        <w:t xml:space="preserve">Component of the </w:t>
      </w:r>
      <w:r w:rsidR="003C53DB">
        <w:t xml:space="preserve">Attrition Adjustment, Avista </w:t>
      </w:r>
      <w:r w:rsidR="006C6690">
        <w:t>chose to use the RAP</w:t>
      </w:r>
      <w:r w:rsidR="000C21C5">
        <w:t xml:space="preserve">, or </w:t>
      </w:r>
      <w:r w:rsidR="000C21C5" w:rsidRPr="009F5837">
        <w:rPr>
          <w:u w:val="single"/>
        </w:rPr>
        <w:t>lower</w:t>
      </w:r>
      <w:r w:rsidR="006C6690">
        <w:t xml:space="preserve"> savings</w:t>
      </w:r>
      <w:r w:rsidR="000C21C5">
        <w:t xml:space="preserve"> target</w:t>
      </w:r>
      <w:r w:rsidR="006C6690">
        <w:t xml:space="preserve"> for 2012-2013.</w:t>
      </w:r>
    </w:p>
    <w:p w:rsidR="00872D83" w:rsidRPr="006C6690" w:rsidRDefault="00872D83" w:rsidP="00872D83">
      <w:pPr>
        <w:spacing w:line="480" w:lineRule="auto"/>
        <w:ind w:firstLine="720"/>
        <w:jc w:val="both"/>
        <w:rPr>
          <w:b/>
        </w:rPr>
      </w:pPr>
      <w:r w:rsidRPr="006C6690">
        <w:rPr>
          <w:b/>
        </w:rPr>
        <w:t>Q.</w:t>
      </w:r>
      <w:r w:rsidRPr="006C6690">
        <w:rPr>
          <w:b/>
        </w:rPr>
        <w:tab/>
      </w:r>
      <w:r w:rsidR="006C6690" w:rsidRPr="006C6690">
        <w:rPr>
          <w:b/>
        </w:rPr>
        <w:t xml:space="preserve">For the DSM </w:t>
      </w:r>
      <w:r w:rsidR="00C92A6D">
        <w:rPr>
          <w:b/>
        </w:rPr>
        <w:t xml:space="preserve">Component of the </w:t>
      </w:r>
      <w:r w:rsidR="006C6690" w:rsidRPr="006C6690">
        <w:rPr>
          <w:b/>
        </w:rPr>
        <w:t xml:space="preserve">Attrition Adjustment, the Company is using the RAP for 2012-2013 conservation savings.  Is the savings target of 76,202 megawatt hours </w:t>
      </w:r>
      <w:r w:rsidR="000C21C5">
        <w:rPr>
          <w:b/>
        </w:rPr>
        <w:t>over</w:t>
      </w:r>
      <w:r w:rsidR="006C6690" w:rsidRPr="006C6690">
        <w:rPr>
          <w:b/>
        </w:rPr>
        <w:t xml:space="preserve"> the tw</w:t>
      </w:r>
      <w:r w:rsidR="000C21C5">
        <w:rPr>
          <w:b/>
        </w:rPr>
        <w:t>o-</w:t>
      </w:r>
      <w:r w:rsidR="006C6690" w:rsidRPr="006C6690">
        <w:rPr>
          <w:b/>
        </w:rPr>
        <w:t xml:space="preserve">year period symmetrical? </w:t>
      </w:r>
    </w:p>
    <w:p w:rsidR="00872D83" w:rsidRPr="00407743" w:rsidRDefault="00872D83" w:rsidP="00872D83">
      <w:pPr>
        <w:spacing w:line="480" w:lineRule="auto"/>
        <w:ind w:firstLine="720"/>
        <w:jc w:val="both"/>
      </w:pPr>
      <w:r w:rsidRPr="006C6690">
        <w:t>A.</w:t>
      </w:r>
      <w:r w:rsidRPr="006C6690">
        <w:tab/>
      </w:r>
      <w:r w:rsidR="006C6690" w:rsidRPr="006C6690">
        <w:t xml:space="preserve">No, the savings for 2012 will be slightly lower than the savings for 2013.  As detailed in the Company’s filing in Docket UE-111882, Avista </w:t>
      </w:r>
      <w:r w:rsidR="009026B3">
        <w:t>plans to</w:t>
      </w:r>
      <w:r w:rsidR="006C6690" w:rsidRPr="006C6690">
        <w:t xml:space="preserve"> obtain 34,041 </w:t>
      </w:r>
      <w:r w:rsidR="006C6690" w:rsidRPr="00407743">
        <w:t xml:space="preserve">megawatt-hours of savings in 2012, and </w:t>
      </w:r>
      <w:r w:rsidR="009026B3">
        <w:t>plans to</w:t>
      </w:r>
      <w:r w:rsidR="006C6690" w:rsidRPr="00407743">
        <w:t xml:space="preserve"> obtain 42,161 megawatt-hours in 2013</w:t>
      </w:r>
      <w:r w:rsidRPr="00407743">
        <w:t>.</w:t>
      </w:r>
      <w:r w:rsidR="000C21C5">
        <w:rPr>
          <w:rStyle w:val="FootnoteReference"/>
        </w:rPr>
        <w:footnoteReference w:id="11"/>
      </w:r>
      <w:r w:rsidRPr="00407743">
        <w:t xml:space="preserve"> </w:t>
      </w:r>
    </w:p>
    <w:p w:rsidR="00135AD1" w:rsidRPr="00CF227B" w:rsidRDefault="00135AD1" w:rsidP="00135AD1">
      <w:pPr>
        <w:spacing w:line="480" w:lineRule="auto"/>
        <w:ind w:firstLine="720"/>
        <w:jc w:val="both"/>
        <w:rPr>
          <w:b/>
        </w:rPr>
      </w:pPr>
      <w:r w:rsidRPr="00CF227B">
        <w:rPr>
          <w:b/>
        </w:rPr>
        <w:t>Q.</w:t>
      </w:r>
      <w:r w:rsidRPr="00CF227B">
        <w:rPr>
          <w:b/>
        </w:rPr>
        <w:tab/>
        <w:t xml:space="preserve">How is the </w:t>
      </w:r>
      <w:r w:rsidR="00C92A6D" w:rsidRPr="006C6690">
        <w:rPr>
          <w:b/>
        </w:rPr>
        <w:t xml:space="preserve">DSM </w:t>
      </w:r>
      <w:r w:rsidR="00C92A6D">
        <w:rPr>
          <w:b/>
        </w:rPr>
        <w:t xml:space="preserve">Component of the </w:t>
      </w:r>
      <w:r w:rsidR="00C92A6D" w:rsidRPr="006C6690">
        <w:rPr>
          <w:b/>
        </w:rPr>
        <w:t>Attrition Adjustment</w:t>
      </w:r>
      <w:r w:rsidR="00C92A6D" w:rsidRPr="00CF227B">
        <w:rPr>
          <w:b/>
        </w:rPr>
        <w:t xml:space="preserve"> </w:t>
      </w:r>
      <w:r w:rsidRPr="00CF227B">
        <w:rPr>
          <w:b/>
        </w:rPr>
        <w:t>calculated?</w:t>
      </w:r>
    </w:p>
    <w:p w:rsidR="00135AD1" w:rsidRPr="00CF227B" w:rsidRDefault="00135AD1" w:rsidP="00135AD1">
      <w:pPr>
        <w:spacing w:line="480" w:lineRule="auto"/>
        <w:ind w:firstLine="720"/>
        <w:jc w:val="both"/>
      </w:pPr>
      <w:r w:rsidRPr="00CF227B">
        <w:t>A.</w:t>
      </w:r>
      <w:r w:rsidRPr="00CF227B">
        <w:tab/>
        <w:t xml:space="preserve">The first step in the calculation of the DSM </w:t>
      </w:r>
      <w:r w:rsidR="00C92A6D">
        <w:t xml:space="preserve">Component of the </w:t>
      </w:r>
      <w:r w:rsidRPr="00CF227B">
        <w:t xml:space="preserve">Attrition Adjustment is to determine the level of electric energy efficiency savings from the </w:t>
      </w:r>
      <w:r w:rsidRPr="00CF227B">
        <w:lastRenderedPageBreak/>
        <w:t>Company’s DSM programs.  In 2011, customers who took part in the Company’s DSM programs saved 79,799,610 kWhs.  Table 1</w:t>
      </w:r>
      <w:r w:rsidR="0013455F">
        <w:t>4</w:t>
      </w:r>
      <w:r w:rsidRPr="00CF227B">
        <w:t xml:space="preserve"> below shows the savings by rate schedule:  </w:t>
      </w:r>
    </w:p>
    <w:p w:rsidR="00135AD1" w:rsidRPr="00CF227B" w:rsidRDefault="00135AD1" w:rsidP="00135AD1">
      <w:pPr>
        <w:spacing w:line="480" w:lineRule="auto"/>
        <w:jc w:val="both"/>
        <w:rPr>
          <w:b/>
          <w:u w:val="single"/>
        </w:rPr>
      </w:pPr>
      <w:r w:rsidRPr="00CF227B">
        <w:rPr>
          <w:b/>
          <w:u w:val="single"/>
        </w:rPr>
        <w:t>Table 1</w:t>
      </w:r>
      <w:r w:rsidR="0013455F">
        <w:rPr>
          <w:b/>
          <w:u w:val="single"/>
        </w:rPr>
        <w:t>4</w:t>
      </w:r>
      <w:r w:rsidRPr="00CF227B">
        <w:rPr>
          <w:b/>
          <w:u w:val="single"/>
        </w:rPr>
        <w:t xml:space="preserve"> – 2011 Electric Energy Savings by Rate Schedule</w:t>
      </w:r>
    </w:p>
    <w:p w:rsidR="00135AD1" w:rsidRPr="00CF227B" w:rsidRDefault="009F5837" w:rsidP="00135AD1">
      <w:pPr>
        <w:spacing w:line="480" w:lineRule="auto"/>
        <w:jc w:val="both"/>
      </w:pPr>
      <w:r w:rsidRPr="009F5837">
        <w:rPr>
          <w:noProof/>
        </w:rPr>
        <w:drawing>
          <wp:anchor distT="0" distB="0" distL="114300" distR="114300" simplePos="0" relativeHeight="251825664" behindDoc="1" locked="0" layoutInCell="1" allowOverlap="1">
            <wp:simplePos x="0" y="0"/>
            <wp:positionH relativeFrom="column">
              <wp:posOffset>1499102</wp:posOffset>
            </wp:positionH>
            <wp:positionV relativeFrom="paragraph">
              <wp:posOffset>2923</wp:posOffset>
            </wp:positionV>
            <wp:extent cx="2596559" cy="1605517"/>
            <wp:effectExtent l="19050" t="0" r="0" b="0"/>
            <wp:wrapNone/>
            <wp:docPr id="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2596559" cy="1605517"/>
                    </a:xfrm>
                    <a:prstGeom prst="rect">
                      <a:avLst/>
                    </a:prstGeom>
                    <a:noFill/>
                    <a:ln w="9525">
                      <a:noFill/>
                      <a:miter lim="800000"/>
                      <a:headEnd/>
                      <a:tailEnd/>
                    </a:ln>
                  </pic:spPr>
                </pic:pic>
              </a:graphicData>
            </a:graphic>
          </wp:anchor>
        </w:drawing>
      </w: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CF227B" w:rsidRDefault="00135AD1" w:rsidP="00135AD1">
      <w:pPr>
        <w:spacing w:line="480" w:lineRule="auto"/>
        <w:jc w:val="both"/>
      </w:pPr>
    </w:p>
    <w:p w:rsidR="00135AD1" w:rsidRPr="00872D83" w:rsidRDefault="00135AD1" w:rsidP="00135AD1">
      <w:pPr>
        <w:spacing w:line="480" w:lineRule="auto"/>
        <w:ind w:firstLine="720"/>
        <w:jc w:val="both"/>
        <w:rPr>
          <w:highlight w:val="lightGray"/>
        </w:rPr>
      </w:pPr>
      <w:r w:rsidRPr="00CF227B">
        <w:t xml:space="preserve">Because customers installed energy efficiency measures throughout 2011, </w:t>
      </w:r>
      <w:r w:rsidRPr="00E8422E">
        <w:t>approximately one-half of the annual savings were already included in the normalized test year usage.  Therefore, for the first year, 39,899,804 kWh’s were not already included in the normalized test year usage.  The lost margin for the approximately</w:t>
      </w:r>
      <w:r w:rsidRPr="00CF227B">
        <w:t xml:space="preserve"> one-half of the annual savings </w:t>
      </w:r>
      <w:r>
        <w:t xml:space="preserve">not included in the normalized test year usage is included in the DSM </w:t>
      </w:r>
      <w:r w:rsidR="00F553EF">
        <w:t xml:space="preserve">Component of the </w:t>
      </w:r>
      <w:r>
        <w:t xml:space="preserve">Attrition Adjustment.  </w:t>
      </w:r>
    </w:p>
    <w:p w:rsidR="00135AD1" w:rsidRPr="00E8422E" w:rsidRDefault="00135AD1" w:rsidP="00135AD1">
      <w:pPr>
        <w:spacing w:line="480" w:lineRule="auto"/>
        <w:ind w:firstLine="720"/>
        <w:jc w:val="both"/>
        <w:rPr>
          <w:b/>
        </w:rPr>
      </w:pPr>
      <w:r w:rsidRPr="00E8422E">
        <w:rPr>
          <w:b/>
        </w:rPr>
        <w:t>Q.</w:t>
      </w:r>
      <w:r w:rsidRPr="00E8422E">
        <w:rPr>
          <w:b/>
        </w:rPr>
        <w:tab/>
        <w:t>How were 201</w:t>
      </w:r>
      <w:r>
        <w:rPr>
          <w:b/>
        </w:rPr>
        <w:t>1</w:t>
      </w:r>
      <w:r w:rsidRPr="00E8422E">
        <w:rPr>
          <w:b/>
        </w:rPr>
        <w:t>, 201</w:t>
      </w:r>
      <w:r>
        <w:rPr>
          <w:b/>
        </w:rPr>
        <w:t>2</w:t>
      </w:r>
      <w:r w:rsidRPr="00E8422E">
        <w:rPr>
          <w:b/>
        </w:rPr>
        <w:t xml:space="preserve"> and 201</w:t>
      </w:r>
      <w:r>
        <w:rPr>
          <w:b/>
        </w:rPr>
        <w:t>3</w:t>
      </w:r>
      <w:r w:rsidRPr="00E8422E">
        <w:rPr>
          <w:b/>
        </w:rPr>
        <w:t xml:space="preserve"> electric energy efficiency targets determined?</w:t>
      </w:r>
    </w:p>
    <w:p w:rsidR="00135AD1" w:rsidRPr="00586BE2" w:rsidRDefault="00135AD1" w:rsidP="00135AD1">
      <w:pPr>
        <w:spacing w:line="480" w:lineRule="auto"/>
        <w:ind w:firstLine="720"/>
        <w:jc w:val="both"/>
      </w:pPr>
      <w:r w:rsidRPr="00E8422E">
        <w:t>A.</w:t>
      </w:r>
      <w:r w:rsidRPr="00E8422E">
        <w:tab/>
        <w:t xml:space="preserve">As discussed earlier, the Company’s electric energy efficiency targets are </w:t>
      </w:r>
      <w:r w:rsidRPr="00586BE2">
        <w:t xml:space="preserve">based on Avista’s Ten-Year Achievable Conservation Potential and Biennial Conservation Targets.  The targets for 2010-2011 were filed with the Commission in Docket UE-100176, and were later approved in Order No. 01 on May 13, 2010.  The targets for 2012-2013 were filed with the Commission in Docket UE-111882, and were later approved in Order No. 01 on February 10, 2012.  </w:t>
      </w:r>
      <w:r>
        <w:t>I</w:t>
      </w:r>
      <w:r w:rsidRPr="00586BE2">
        <w:t xml:space="preserve">llustration 1 below is a chart showing the savings included in the </w:t>
      </w:r>
      <w:r w:rsidR="00F553EF">
        <w:t>DSM Component of the Attrition Adjustment</w:t>
      </w:r>
      <w:r w:rsidR="00F553EF" w:rsidRPr="00586BE2">
        <w:t xml:space="preserve"> </w:t>
      </w:r>
      <w:r w:rsidRPr="00586BE2">
        <w:t>by year:</w:t>
      </w:r>
    </w:p>
    <w:p w:rsidR="00135AD1" w:rsidRPr="00586BE2" w:rsidRDefault="00135AD1" w:rsidP="00A64306">
      <w:pPr>
        <w:spacing w:line="480" w:lineRule="auto"/>
        <w:jc w:val="both"/>
        <w:rPr>
          <w:b/>
          <w:u w:val="single"/>
        </w:rPr>
      </w:pPr>
      <w:r w:rsidRPr="00586BE2">
        <w:rPr>
          <w:b/>
          <w:u w:val="single"/>
        </w:rPr>
        <w:lastRenderedPageBreak/>
        <w:t>Illustration No. 1</w:t>
      </w:r>
    </w:p>
    <w:p w:rsidR="00135AD1" w:rsidRPr="00586BE2" w:rsidRDefault="009F5837" w:rsidP="00135AD1">
      <w:pPr>
        <w:spacing w:line="480" w:lineRule="auto"/>
        <w:ind w:firstLine="720"/>
        <w:jc w:val="both"/>
      </w:pPr>
      <w:r w:rsidRPr="009F5837">
        <w:rPr>
          <w:noProof/>
        </w:rPr>
        <w:drawing>
          <wp:anchor distT="0" distB="0" distL="114300" distR="114300" simplePos="0" relativeHeight="251826688" behindDoc="1" locked="0" layoutInCell="1" allowOverlap="1">
            <wp:simplePos x="0" y="0"/>
            <wp:positionH relativeFrom="column">
              <wp:posOffset>159400</wp:posOffset>
            </wp:positionH>
            <wp:positionV relativeFrom="paragraph">
              <wp:posOffset>96047</wp:posOffset>
            </wp:positionV>
            <wp:extent cx="5680001" cy="3434317"/>
            <wp:effectExtent l="19050" t="0" r="0" b="0"/>
            <wp:wrapNone/>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680001" cy="34343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135AD1" w:rsidRPr="00586BE2" w:rsidRDefault="00135AD1" w:rsidP="00135AD1">
      <w:pPr>
        <w:spacing w:line="480" w:lineRule="auto"/>
        <w:ind w:firstLine="720"/>
        <w:jc w:val="both"/>
      </w:pPr>
    </w:p>
    <w:p w:rsidR="00A64306" w:rsidRDefault="00A64306" w:rsidP="00135AD1">
      <w:pPr>
        <w:spacing w:line="480" w:lineRule="auto"/>
        <w:ind w:firstLine="720"/>
        <w:jc w:val="both"/>
        <w:rPr>
          <w:b/>
        </w:rPr>
      </w:pPr>
    </w:p>
    <w:p w:rsidR="00A64306" w:rsidRDefault="00A64306" w:rsidP="00135AD1">
      <w:pPr>
        <w:spacing w:line="480" w:lineRule="auto"/>
        <w:ind w:firstLine="720"/>
        <w:jc w:val="both"/>
        <w:rPr>
          <w:b/>
        </w:rPr>
      </w:pPr>
    </w:p>
    <w:p w:rsidR="00F553EF" w:rsidRDefault="00F553EF" w:rsidP="00135AD1">
      <w:pPr>
        <w:spacing w:line="480" w:lineRule="auto"/>
        <w:ind w:firstLine="720"/>
        <w:jc w:val="both"/>
        <w:rPr>
          <w:b/>
        </w:rPr>
      </w:pPr>
    </w:p>
    <w:p w:rsidR="00135AD1" w:rsidRPr="00586BE2" w:rsidRDefault="00135AD1" w:rsidP="00135AD1">
      <w:pPr>
        <w:spacing w:line="480" w:lineRule="auto"/>
        <w:ind w:firstLine="720"/>
        <w:jc w:val="both"/>
        <w:rPr>
          <w:b/>
        </w:rPr>
      </w:pPr>
      <w:r w:rsidRPr="00586BE2">
        <w:rPr>
          <w:b/>
        </w:rPr>
        <w:t>Q.</w:t>
      </w:r>
      <w:r w:rsidRPr="00586BE2">
        <w:rPr>
          <w:b/>
        </w:rPr>
        <w:tab/>
        <w:t>How were  2012 and 2013 electric energy efficiency savings spread by rate schedule?</w:t>
      </w:r>
    </w:p>
    <w:p w:rsidR="00135AD1" w:rsidRDefault="00135AD1" w:rsidP="00135AD1">
      <w:pPr>
        <w:spacing w:line="480" w:lineRule="auto"/>
        <w:ind w:firstLine="720"/>
        <w:jc w:val="both"/>
      </w:pPr>
      <w:r w:rsidRPr="00586BE2">
        <w:t>A.</w:t>
      </w:r>
      <w:r w:rsidRPr="00586BE2">
        <w:tab/>
        <w:t>For purposes of spreading the energy savings by rate schedule, the Company used the same percentage spread as was achieved in 2011</w:t>
      </w:r>
      <w:r>
        <w:t>, with one major exception.  During 2011, Avista conducted a Compact Fluorescent Lighting Program whereby eight compact fluorescent light bulbs were distributed to all Avista residential and small commercial electric customers.  Because that was a one-time, non-recurring program, the estimated program savings of 27.3 million kWhs claimed in 2011 were deducted from total year savings in order to normalize annual kWh savings</w:t>
      </w:r>
      <w:r>
        <w:rPr>
          <w:rStyle w:val="FootnoteReference"/>
        </w:rPr>
        <w:footnoteReference w:id="12"/>
      </w:r>
      <w:r>
        <w:t>.  Table 1</w:t>
      </w:r>
      <w:r w:rsidR="0013455F">
        <w:t>5</w:t>
      </w:r>
      <w:r>
        <w:t xml:space="preserve"> below shows the revised </w:t>
      </w:r>
      <w:r>
        <w:lastRenderedPageBreak/>
        <w:t>2011 kWh savings used for purposes of developing a revised savings percentage spread which will be applied to the 2012 and 2013 savings:</w:t>
      </w:r>
    </w:p>
    <w:p w:rsidR="00135AD1" w:rsidRPr="00586BE2" w:rsidRDefault="00135AD1" w:rsidP="00135AD1">
      <w:pPr>
        <w:jc w:val="both"/>
        <w:rPr>
          <w:b/>
          <w:u w:val="single"/>
        </w:rPr>
      </w:pPr>
      <w:r w:rsidRPr="00586BE2">
        <w:rPr>
          <w:b/>
          <w:u w:val="single"/>
        </w:rPr>
        <w:t>Table 1</w:t>
      </w:r>
      <w:r w:rsidR="0013455F">
        <w:rPr>
          <w:b/>
          <w:u w:val="single"/>
        </w:rPr>
        <w:t>5</w:t>
      </w:r>
      <w:r w:rsidRPr="00586BE2">
        <w:rPr>
          <w:b/>
          <w:u w:val="single"/>
        </w:rPr>
        <w:t xml:space="preserve"> – </w:t>
      </w:r>
      <w:r>
        <w:rPr>
          <w:b/>
          <w:u w:val="single"/>
        </w:rPr>
        <w:t>2011 Full Year Savings, Less CFL Program, for Derivation of Normalized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7712" behindDoc="1" locked="0" layoutInCell="1" allowOverlap="1">
            <wp:simplePos x="0" y="0"/>
            <wp:positionH relativeFrom="column">
              <wp:posOffset>722926</wp:posOffset>
            </wp:positionH>
            <wp:positionV relativeFrom="paragraph">
              <wp:posOffset>213714</wp:posOffset>
            </wp:positionV>
            <wp:extent cx="3941179" cy="1605517"/>
            <wp:effectExtent l="19050" t="0" r="2171"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3941179" cy="1605517"/>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rPr>
          <w:b/>
        </w:rPr>
      </w:pPr>
    </w:p>
    <w:p w:rsidR="00135AD1" w:rsidRDefault="00135AD1" w:rsidP="00135AD1">
      <w:pPr>
        <w:autoSpaceDE/>
        <w:autoSpaceDN/>
        <w:spacing w:line="480" w:lineRule="auto"/>
        <w:rPr>
          <w:b/>
        </w:rPr>
      </w:pPr>
    </w:p>
    <w:p w:rsidR="00135AD1" w:rsidRPr="006D0C1F" w:rsidRDefault="00135AD1" w:rsidP="00135AD1">
      <w:pPr>
        <w:autoSpaceDE/>
        <w:autoSpaceDN/>
        <w:spacing w:line="480" w:lineRule="auto"/>
        <w:rPr>
          <w:b/>
        </w:rPr>
      </w:pPr>
      <w:r>
        <w:rPr>
          <w:b/>
        </w:rPr>
        <w:tab/>
      </w:r>
      <w:r w:rsidRPr="006D0C1F">
        <w:rPr>
          <w:b/>
        </w:rPr>
        <w:t>Q.</w:t>
      </w:r>
      <w:r w:rsidRPr="006D0C1F">
        <w:rPr>
          <w:b/>
        </w:rPr>
        <w:tab/>
        <w:t>Is the use of 2011 results by rate schedule appropriate for purposes of allocating 2012 and 2013 estimated savings?</w:t>
      </w:r>
    </w:p>
    <w:p w:rsidR="00135AD1" w:rsidRPr="00586BE2" w:rsidRDefault="00135AD1" w:rsidP="00135AD1">
      <w:pPr>
        <w:spacing w:line="480" w:lineRule="auto"/>
        <w:ind w:firstLine="720"/>
        <w:jc w:val="both"/>
      </w:pPr>
      <w:r w:rsidRPr="006D0C1F">
        <w:t>A.</w:t>
      </w:r>
      <w:r w:rsidRPr="006D0C1F">
        <w:tab/>
        <w:t>Yes, with the exception noted above relating to the 2011 Compact Fluorescent Lighting Program.  The Company continues to have similar energy efficiency programs in place, as it had in 2011, and does not have plans to significantly alter the mix of electric energy efficiency programs as it relates to residential and commercial/industrial customers.  Therefore, the adjusted 2011 actual results provide a reasonable basis upon which to spread the 2012 and 2013 energy savings.</w:t>
      </w:r>
    </w:p>
    <w:p w:rsidR="00135AD1" w:rsidRPr="00586BE2" w:rsidRDefault="00135AD1" w:rsidP="00135AD1">
      <w:pPr>
        <w:spacing w:line="480" w:lineRule="auto"/>
        <w:ind w:firstLine="720"/>
        <w:jc w:val="both"/>
        <w:rPr>
          <w:b/>
        </w:rPr>
      </w:pPr>
      <w:r w:rsidRPr="00586BE2">
        <w:rPr>
          <w:b/>
        </w:rPr>
        <w:t>Q.</w:t>
      </w:r>
      <w:r w:rsidRPr="00586BE2">
        <w:rPr>
          <w:b/>
        </w:rPr>
        <w:tab/>
      </w:r>
      <w:r>
        <w:rPr>
          <w:b/>
        </w:rPr>
        <w:t xml:space="preserve">What are the final DSM kWh savings used in the DSM </w:t>
      </w:r>
      <w:r w:rsidR="00C92A6D">
        <w:rPr>
          <w:b/>
        </w:rPr>
        <w:t xml:space="preserve">Component of the </w:t>
      </w:r>
      <w:r>
        <w:rPr>
          <w:b/>
        </w:rPr>
        <w:t>Attrition Adjustment</w:t>
      </w:r>
      <w:r w:rsidRPr="00586BE2">
        <w:rPr>
          <w:b/>
        </w:rPr>
        <w:t>?</w:t>
      </w:r>
    </w:p>
    <w:p w:rsidR="00135AD1" w:rsidRDefault="00135AD1" w:rsidP="00135AD1">
      <w:pPr>
        <w:spacing w:line="480" w:lineRule="auto"/>
        <w:jc w:val="both"/>
      </w:pPr>
      <w:r>
        <w:tab/>
      </w:r>
      <w:r w:rsidRPr="00586BE2">
        <w:t>A.</w:t>
      </w:r>
      <w:r w:rsidRPr="00586BE2">
        <w:tab/>
      </w:r>
      <w:r>
        <w:t>Table 1</w:t>
      </w:r>
      <w:r w:rsidR="0013455F">
        <w:t>6</w:t>
      </w:r>
      <w:r>
        <w:t xml:space="preserve"> below shows the kWh savings by year and by rate schedule (using the revised 2011 rate schedule spread) which were used in the DSM </w:t>
      </w:r>
      <w:r w:rsidR="00C92A6D">
        <w:t xml:space="preserve">Component of the </w:t>
      </w:r>
      <w:r>
        <w:t>Attrition Adjustment:</w:t>
      </w:r>
    </w:p>
    <w:p w:rsidR="0007197F" w:rsidRDefault="0007197F">
      <w:pPr>
        <w:autoSpaceDE/>
        <w:autoSpaceDN/>
        <w:rPr>
          <w:b/>
          <w:u w:val="single"/>
        </w:rPr>
      </w:pPr>
      <w:r>
        <w:rPr>
          <w:b/>
          <w:u w:val="single"/>
        </w:rPr>
        <w:br w:type="page"/>
      </w:r>
    </w:p>
    <w:p w:rsidR="00135AD1" w:rsidRPr="00586BE2" w:rsidRDefault="00135AD1" w:rsidP="00135AD1">
      <w:pPr>
        <w:spacing w:line="480" w:lineRule="auto"/>
        <w:jc w:val="both"/>
        <w:rPr>
          <w:b/>
          <w:u w:val="single"/>
        </w:rPr>
      </w:pPr>
      <w:r w:rsidRPr="00586BE2">
        <w:rPr>
          <w:b/>
          <w:u w:val="single"/>
        </w:rPr>
        <w:lastRenderedPageBreak/>
        <w:t>Table 1</w:t>
      </w:r>
      <w:r w:rsidR="0013455F">
        <w:rPr>
          <w:b/>
          <w:u w:val="single"/>
        </w:rPr>
        <w:t>6</w:t>
      </w:r>
      <w:r w:rsidRPr="00586BE2">
        <w:rPr>
          <w:b/>
          <w:u w:val="single"/>
        </w:rPr>
        <w:t xml:space="preserve"> – Load Adjustment Electric Energy Savings by Rate Schedule</w:t>
      </w:r>
    </w:p>
    <w:p w:rsidR="00135AD1" w:rsidRPr="00586BE2" w:rsidRDefault="009F5837" w:rsidP="00135AD1">
      <w:pPr>
        <w:spacing w:line="480" w:lineRule="auto"/>
        <w:jc w:val="both"/>
        <w:rPr>
          <w:b/>
          <w:u w:val="single"/>
        </w:rPr>
      </w:pPr>
      <w:r w:rsidRPr="009F5837">
        <w:rPr>
          <w:noProof/>
        </w:rPr>
        <w:drawing>
          <wp:anchor distT="0" distB="0" distL="114300" distR="114300" simplePos="0" relativeHeight="251828736" behindDoc="1" locked="0" layoutInCell="1" allowOverlap="1">
            <wp:simplePos x="0" y="0"/>
            <wp:positionH relativeFrom="column">
              <wp:posOffset>21177</wp:posOffset>
            </wp:positionH>
            <wp:positionV relativeFrom="paragraph">
              <wp:posOffset>354</wp:posOffset>
            </wp:positionV>
            <wp:extent cx="5672381" cy="1743740"/>
            <wp:effectExtent l="19050" t="0" r="4519" b="0"/>
            <wp:wrapNone/>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672381" cy="1743740"/>
                    </a:xfrm>
                    <a:prstGeom prst="rect">
                      <a:avLst/>
                    </a:prstGeom>
                    <a:noFill/>
                    <a:ln w="9525">
                      <a:noFill/>
                      <a:miter lim="800000"/>
                      <a:headEnd/>
                      <a:tailEnd/>
                    </a:ln>
                  </pic:spPr>
                </pic:pic>
              </a:graphicData>
            </a:graphic>
          </wp:anchor>
        </w:drawing>
      </w:r>
    </w:p>
    <w:p w:rsidR="00135AD1" w:rsidRPr="00586BE2" w:rsidRDefault="00135AD1" w:rsidP="00135AD1">
      <w:pPr>
        <w:spacing w:line="480" w:lineRule="auto"/>
        <w:jc w:val="both"/>
      </w:pPr>
    </w:p>
    <w:p w:rsidR="00135AD1" w:rsidRPr="00586BE2" w:rsidRDefault="00135AD1" w:rsidP="00135AD1">
      <w:pPr>
        <w:spacing w:line="480" w:lineRule="auto"/>
        <w:jc w:val="both"/>
      </w:pPr>
    </w:p>
    <w:p w:rsidR="00135AD1" w:rsidRDefault="00135AD1" w:rsidP="00135AD1">
      <w:pPr>
        <w:autoSpaceDE/>
        <w:autoSpaceDN/>
        <w:spacing w:line="480" w:lineRule="auto"/>
        <w:rPr>
          <w:b/>
        </w:rPr>
      </w:pPr>
    </w:p>
    <w:p w:rsidR="00135AD1" w:rsidRDefault="00135AD1" w:rsidP="00135AD1">
      <w:pPr>
        <w:autoSpaceDE/>
        <w:autoSpaceDN/>
        <w:spacing w:line="480" w:lineRule="auto"/>
        <w:rPr>
          <w:b/>
        </w:rPr>
      </w:pPr>
    </w:p>
    <w:p w:rsidR="009F5837" w:rsidRDefault="009F5837" w:rsidP="00135AD1">
      <w:pPr>
        <w:spacing w:line="480" w:lineRule="auto"/>
        <w:ind w:firstLine="720"/>
        <w:jc w:val="both"/>
        <w:rPr>
          <w:b/>
        </w:rPr>
      </w:pPr>
    </w:p>
    <w:p w:rsidR="00135AD1" w:rsidRPr="006D0C1F" w:rsidRDefault="00135AD1" w:rsidP="00135AD1">
      <w:pPr>
        <w:spacing w:line="480" w:lineRule="auto"/>
        <w:ind w:firstLine="720"/>
        <w:jc w:val="both"/>
        <w:rPr>
          <w:b/>
        </w:rPr>
      </w:pPr>
      <w:r w:rsidRPr="006D0C1F">
        <w:rPr>
          <w:b/>
        </w:rPr>
        <w:t>Q.</w:t>
      </w:r>
      <w:r w:rsidRPr="006D0C1F">
        <w:rPr>
          <w:b/>
        </w:rPr>
        <w:tab/>
        <w:t xml:space="preserve">Please continue with your discussion of how the </w:t>
      </w:r>
      <w:r>
        <w:rPr>
          <w:b/>
        </w:rPr>
        <w:t>DSM Component of the Attrition Adjustment</w:t>
      </w:r>
      <w:r w:rsidRPr="006D0C1F">
        <w:rPr>
          <w:b/>
        </w:rPr>
        <w:t xml:space="preserve"> was calculated?</w:t>
      </w:r>
    </w:p>
    <w:p w:rsidR="00135AD1" w:rsidRPr="006D0C1F" w:rsidRDefault="00135AD1" w:rsidP="00135AD1">
      <w:pPr>
        <w:spacing w:line="480" w:lineRule="auto"/>
        <w:ind w:firstLine="720"/>
        <w:jc w:val="both"/>
      </w:pPr>
      <w:r w:rsidRPr="006D0C1F">
        <w:t>A.</w:t>
      </w:r>
      <w:r w:rsidRPr="006D0C1F">
        <w:tab/>
        <w:t xml:space="preserve">Having calculated the reduction in energy (kWh) by rate schedule, the Company then developed the “Revenue Change” as noted on </w:t>
      </w:r>
      <w:r>
        <w:t xml:space="preserve">line 8 on </w:t>
      </w:r>
      <w:r w:rsidRPr="006D0C1F">
        <w:t xml:space="preserve">Page 1 of </w:t>
      </w:r>
      <w:r>
        <w:t>Exhibit No.____(PDE-8)</w:t>
      </w:r>
      <w:r w:rsidRPr="006D0C1F">
        <w:t xml:space="preserve">.  As noted in that exhibit, the Company developed an </w:t>
      </w:r>
      <w:r>
        <w:t>“</w:t>
      </w:r>
      <w:r w:rsidRPr="006D0C1F">
        <w:t>Average Revenue per kWh</w:t>
      </w:r>
      <w:r>
        <w:t>”</w:t>
      </w:r>
      <w:r w:rsidRPr="006D0C1F">
        <w:t>.  In order to calculate Average Revenue per kWh, total present revenues by rate schedule, excluding fixed charge revenues, ar</w:t>
      </w:r>
      <w:r>
        <w:t>e divided by the pro forma kWhs</w:t>
      </w:r>
      <w:r w:rsidRPr="006D0C1F">
        <w:t xml:space="preserve">.  The result of the calculation is the Average Revenue per kWh.  That rate multiplied by the kWh reduction by rate schedule as shown in Table 18 above, </w:t>
      </w:r>
      <w:r>
        <w:t>results in th</w:t>
      </w:r>
      <w:r w:rsidRPr="006D0C1F">
        <w:t>e lost revenue by rate schedule</w:t>
      </w:r>
      <w:r>
        <w:t xml:space="preserve"> (see “Revenue Change” on line 8 on Page 1 of Exhibit No.____(PDE-8)</w:t>
      </w:r>
      <w:r w:rsidR="009F5837">
        <w:t>)</w:t>
      </w:r>
      <w:r>
        <w:t>.</w:t>
      </w:r>
    </w:p>
    <w:p w:rsidR="00135AD1" w:rsidRPr="006D0C1F" w:rsidRDefault="00135AD1" w:rsidP="00135AD1">
      <w:pPr>
        <w:spacing w:line="480" w:lineRule="auto"/>
        <w:ind w:firstLine="720"/>
        <w:jc w:val="both"/>
        <w:rPr>
          <w:b/>
        </w:rPr>
      </w:pPr>
      <w:r w:rsidRPr="006D0C1F">
        <w:rPr>
          <w:b/>
        </w:rPr>
        <w:t>Q.</w:t>
      </w:r>
      <w:r w:rsidRPr="006D0C1F">
        <w:rPr>
          <w:b/>
        </w:rPr>
        <w:tab/>
      </w:r>
      <w:r>
        <w:rPr>
          <w:b/>
        </w:rPr>
        <w:t>Why are revenues from fixed charges excluded from the Average Revenue per kWh equation</w:t>
      </w:r>
      <w:r w:rsidRPr="006D0C1F">
        <w:rPr>
          <w:b/>
        </w:rPr>
        <w:t>?</w:t>
      </w:r>
    </w:p>
    <w:p w:rsidR="00135AD1" w:rsidRPr="000C21C5" w:rsidRDefault="00135AD1" w:rsidP="00135AD1">
      <w:pPr>
        <w:spacing w:line="480" w:lineRule="auto"/>
        <w:ind w:firstLine="720"/>
        <w:jc w:val="both"/>
      </w:pPr>
      <w:r w:rsidRPr="006D0C1F">
        <w:t>A.</w:t>
      </w:r>
      <w:r w:rsidRPr="006D0C1F">
        <w:tab/>
      </w:r>
      <w:r>
        <w:t xml:space="preserve">Fixed charge revenues, such as the Basic Charge for Schedule 1, do not vary based on customer usage.  Had that revenue been included in the calculation, the Average </w:t>
      </w:r>
      <w:r w:rsidRPr="000C21C5">
        <w:t>Revenue per kWh would have been overstated.</w:t>
      </w:r>
    </w:p>
    <w:p w:rsidR="00135AD1" w:rsidRPr="000C21C5" w:rsidRDefault="00135AD1" w:rsidP="00135AD1">
      <w:pPr>
        <w:spacing w:line="480" w:lineRule="auto"/>
        <w:ind w:firstLine="720"/>
        <w:jc w:val="both"/>
        <w:rPr>
          <w:b/>
        </w:rPr>
      </w:pPr>
      <w:r w:rsidRPr="000C21C5">
        <w:rPr>
          <w:b/>
        </w:rPr>
        <w:lastRenderedPageBreak/>
        <w:t>Q.</w:t>
      </w:r>
      <w:r w:rsidRPr="000C21C5">
        <w:rPr>
          <w:b/>
        </w:rPr>
        <w:tab/>
        <w:t xml:space="preserve">Did the Company include a corresponding power </w:t>
      </w:r>
      <w:r>
        <w:rPr>
          <w:b/>
        </w:rPr>
        <w:t xml:space="preserve">supply </w:t>
      </w:r>
      <w:r w:rsidRPr="000C21C5">
        <w:rPr>
          <w:b/>
        </w:rPr>
        <w:t xml:space="preserve">cost savings reduction in its DSM </w:t>
      </w:r>
      <w:r w:rsidR="00C92A6D">
        <w:rPr>
          <w:b/>
        </w:rPr>
        <w:t xml:space="preserve">Component of the </w:t>
      </w:r>
      <w:r w:rsidRPr="000C21C5">
        <w:rPr>
          <w:b/>
        </w:rPr>
        <w:t>Attrition Adjustment?</w:t>
      </w:r>
    </w:p>
    <w:p w:rsidR="00135AD1" w:rsidRPr="000C21C5" w:rsidRDefault="00135AD1" w:rsidP="00135AD1">
      <w:pPr>
        <w:spacing w:line="480" w:lineRule="auto"/>
        <w:ind w:firstLine="720"/>
        <w:jc w:val="both"/>
      </w:pPr>
      <w:r w:rsidRPr="000C21C5">
        <w:t>A.</w:t>
      </w:r>
      <w:r w:rsidRPr="000C21C5">
        <w:tab/>
        <w:t>Yes</w:t>
      </w:r>
      <w:r w:rsidR="009F5837">
        <w:t>,</w:t>
      </w:r>
      <w:r w:rsidRPr="000C21C5">
        <w:t xml:space="preserve"> it did.  The Power Cost Savings is shown on line </w:t>
      </w:r>
      <w:r>
        <w:t>9</w:t>
      </w:r>
      <w:r w:rsidRPr="000C21C5">
        <w:t xml:space="preserve"> on Page 1 of </w:t>
      </w:r>
      <w:r>
        <w:t>Exhibit No.____(PDE-8)</w:t>
      </w:r>
      <w:r w:rsidRPr="000C21C5">
        <w:t xml:space="preserve">.    </w:t>
      </w:r>
    </w:p>
    <w:p w:rsidR="00135AD1" w:rsidRPr="00BE21E7" w:rsidRDefault="00135AD1" w:rsidP="00135AD1">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is the appropriate power price to use for the change in power supply cost due to a decrease in retail load</w:t>
      </w:r>
      <w:r w:rsidRPr="00BE21E7">
        <w:rPr>
          <w:rFonts w:ascii="Times New Roman" w:hAnsi="Times New Roman" w:cs="Times New Roman"/>
          <w:b/>
          <w:bCs/>
        </w:rPr>
        <w:t>?</w:t>
      </w:r>
    </w:p>
    <w:p w:rsidR="00135AD1" w:rsidRDefault="00135AD1" w:rsidP="00135AD1">
      <w:pPr>
        <w:pStyle w:val="TestBody"/>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appropriate power price to use for the change in power supply cost during the pro forma period due to a decrease in retail load is the average cost of spot market sales and purchases included in the pro forma power supply expense.  Any decrease in load will result in decreased spot market purchases and/or increased spot market sales.  This price is represented by the average sale and purchase price of $31.50/MWh</w:t>
      </w:r>
      <w:r w:rsidR="00F553EF">
        <w:rPr>
          <w:rStyle w:val="FootnoteReference"/>
          <w:rFonts w:ascii="Times New Roman" w:hAnsi="Times New Roman"/>
        </w:rPr>
        <w:footnoteReference w:id="13"/>
      </w:r>
      <w:r>
        <w:rPr>
          <w:rFonts w:ascii="Times New Roman" w:hAnsi="Times New Roman" w:cs="Times New Roman"/>
        </w:rPr>
        <w:t xml:space="preserve"> as determined by the AURORA model for the pro forma period.</w:t>
      </w:r>
    </w:p>
    <w:p w:rsidR="00A64306" w:rsidRPr="00BE21E7" w:rsidRDefault="00A64306" w:rsidP="00A64306">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Can you please summarize the calculation of the DSM Component of the Attrition Adjustment</w:t>
      </w:r>
      <w:r w:rsidRPr="00BE21E7">
        <w:rPr>
          <w:rFonts w:ascii="Times New Roman" w:hAnsi="Times New Roman" w:cs="Times New Roman"/>
          <w:b/>
          <w:bCs/>
        </w:rPr>
        <w:t>?</w:t>
      </w:r>
    </w:p>
    <w:p w:rsidR="00A64306" w:rsidRPr="00CF227B" w:rsidRDefault="00A64306" w:rsidP="00A64306">
      <w:pPr>
        <w:spacing w:line="480" w:lineRule="auto"/>
        <w:ind w:firstLine="720"/>
        <w:jc w:val="both"/>
      </w:pPr>
      <w:r>
        <w:t>A.</w:t>
      </w:r>
      <w:r>
        <w:tab/>
        <w:t>Yes</w:t>
      </w:r>
      <w:r w:rsidR="009F5837">
        <w:t>,</w:t>
      </w:r>
      <w:r>
        <w:t xml:space="preserve"> I can.  The DSM Component of the Attrition Adjustment calculation takes the </w:t>
      </w:r>
      <w:r w:rsidR="0007197F">
        <w:t>“Revenue Change” on line 8 on Page 1 of Exhibit No.____(PDE-8)</w:t>
      </w:r>
      <w:r w:rsidR="00F04E95">
        <w:t xml:space="preserve"> </w:t>
      </w:r>
      <w:r w:rsidR="0007197F">
        <w:t>and subtracts from that “</w:t>
      </w:r>
      <w:r>
        <w:t>Power Cost Savings</w:t>
      </w:r>
      <w:r w:rsidR="0007197F">
        <w:t>”</w:t>
      </w:r>
      <w:r w:rsidR="00DB40E5">
        <w:t xml:space="preserve"> </w:t>
      </w:r>
      <w:r w:rsidR="0007197F">
        <w:t xml:space="preserve">(line 9) as well as </w:t>
      </w:r>
      <w:r w:rsidR="00DB40E5">
        <w:t>R</w:t>
      </w:r>
      <w:r>
        <w:t xml:space="preserve">evenue </w:t>
      </w:r>
      <w:r w:rsidR="00DB40E5">
        <w:t>R</w:t>
      </w:r>
      <w:r>
        <w:t xml:space="preserve">elated </w:t>
      </w:r>
      <w:r w:rsidR="00DB40E5">
        <w:t>E</w:t>
      </w:r>
      <w:r>
        <w:t>xpenses</w:t>
      </w:r>
      <w:r w:rsidR="0007197F">
        <w:t xml:space="preserve"> (line 10).</w:t>
      </w:r>
      <w:r w:rsidR="00DB40E5">
        <w:t xml:space="preserve"> </w:t>
      </w:r>
      <w:r w:rsidR="0007197F">
        <w:t xml:space="preserve"> </w:t>
      </w:r>
      <w:r w:rsidR="00DB40E5">
        <w:t>The result is shown on line 11, “</w:t>
      </w:r>
      <w:r>
        <w:t>DSM Component of the Attrition Adjustment</w:t>
      </w:r>
      <w:r w:rsidR="00DB40E5">
        <w:t>”</w:t>
      </w:r>
      <w:r>
        <w:t xml:space="preserve"> by rate schedule.  The final result of this component is a $3,977,271 increase in net expense (line 11 on Page 1 of Exhibit No.____(PDE-8)) and was given to Company witness Ms. Andrews for incorporation into the Company’s revenue requirement model.</w:t>
      </w:r>
    </w:p>
    <w:p w:rsidR="00872D83" w:rsidRPr="00407743" w:rsidRDefault="00872D83" w:rsidP="00872D83">
      <w:pPr>
        <w:spacing w:line="480" w:lineRule="auto"/>
        <w:ind w:firstLine="720"/>
        <w:jc w:val="both"/>
        <w:rPr>
          <w:b/>
        </w:rPr>
      </w:pPr>
      <w:r w:rsidRPr="00407743">
        <w:rPr>
          <w:b/>
        </w:rPr>
        <w:lastRenderedPageBreak/>
        <w:t>Q.</w:t>
      </w:r>
      <w:r w:rsidRPr="00407743">
        <w:rPr>
          <w:b/>
        </w:rPr>
        <w:tab/>
        <w:t>Does the Company have the necessary funding to obtain the mandated conservation targets?</w:t>
      </w:r>
    </w:p>
    <w:p w:rsidR="00872D83" w:rsidRPr="00407743" w:rsidRDefault="00872D83" w:rsidP="00872D83">
      <w:pPr>
        <w:spacing w:line="480" w:lineRule="auto"/>
        <w:ind w:firstLine="720"/>
        <w:jc w:val="both"/>
      </w:pPr>
      <w:r w:rsidRPr="00407743">
        <w:t>A.</w:t>
      </w:r>
      <w:r w:rsidRPr="00407743">
        <w:tab/>
        <w:t>Yes, it does.  On April 29, 2011, pursuant to Order No. 1 in UE-100176, Avista filed its annual report</w:t>
      </w:r>
      <w:r w:rsidR="00022EA9">
        <w:t xml:space="preserve"> (Docket UG-110790) </w:t>
      </w:r>
      <w:r w:rsidRPr="00407743">
        <w:t>related to, among other things, the required funding levels needed for the twelve-month period starting July 1, 2011.  In that filing the Company demonstrated that the current level of dedicated funding for electric energy efficiency measures was sufficient, and that there was no need to adjust up or down the current Schedule 91 tariff rider.  As stated in the Company’s filing</w:t>
      </w:r>
      <w:r w:rsidR="00022EA9">
        <w:t xml:space="preserve"> at page 4</w:t>
      </w:r>
      <w:r w:rsidRPr="00407743">
        <w:t>:</w:t>
      </w:r>
    </w:p>
    <w:p w:rsidR="00872D83" w:rsidRPr="00872D83" w:rsidRDefault="00872D83" w:rsidP="00C92A6D">
      <w:pPr>
        <w:ind w:left="720"/>
        <w:jc w:val="both"/>
        <w:rPr>
          <w:b/>
          <w:highlight w:val="lightGray"/>
        </w:rPr>
      </w:pPr>
      <w:r w:rsidRPr="00407743">
        <w:t>However, no changes are proposed to Schedule 91 at this time due to expected program expenditures over the next twelve months projected to meet goals associated with the conservation portion of “I-937”, also known as WAC 480-109, “Acquisition of minimum quantities of conservation and renewable energy as required by the Energy Independence Act (</w:t>
      </w:r>
      <w:r w:rsidR="00904ACA">
        <w:t>C</w:t>
      </w:r>
      <w:r w:rsidRPr="00407743">
        <w:t xml:space="preserve">hapter 19.285 RCW).” </w:t>
      </w:r>
    </w:p>
    <w:p w:rsidR="00C92A6D" w:rsidRDefault="00C92A6D" w:rsidP="00C92A6D">
      <w:pPr>
        <w:ind w:firstLine="720"/>
        <w:jc w:val="both"/>
        <w:rPr>
          <w:b/>
        </w:rPr>
      </w:pPr>
    </w:p>
    <w:p w:rsidR="00872D83" w:rsidRPr="00407743" w:rsidRDefault="00872D83" w:rsidP="00872D83">
      <w:pPr>
        <w:spacing w:line="480" w:lineRule="auto"/>
        <w:ind w:firstLine="720"/>
        <w:jc w:val="both"/>
        <w:rPr>
          <w:b/>
        </w:rPr>
      </w:pPr>
      <w:r w:rsidRPr="00407743">
        <w:rPr>
          <w:b/>
        </w:rPr>
        <w:t>Q.</w:t>
      </w:r>
      <w:r w:rsidRPr="00407743">
        <w:rPr>
          <w:b/>
        </w:rPr>
        <w:tab/>
        <w:t>Does the Company have the programs in place in order to meet its conservation targets?</w:t>
      </w:r>
    </w:p>
    <w:p w:rsidR="00872D83" w:rsidRPr="00407743" w:rsidRDefault="00872D83" w:rsidP="00872D83">
      <w:pPr>
        <w:spacing w:line="480" w:lineRule="auto"/>
        <w:ind w:firstLine="720"/>
        <w:jc w:val="both"/>
        <w:rPr>
          <w:b/>
        </w:rPr>
      </w:pPr>
      <w:r w:rsidRPr="00407743">
        <w:t>A.</w:t>
      </w:r>
      <w:r w:rsidRPr="00407743">
        <w:tab/>
        <w:t xml:space="preserve">Yes.  </w:t>
      </w:r>
      <w:r w:rsidR="00407743" w:rsidRPr="00407743">
        <w:t xml:space="preserve">Avista offers a wide range of electric and natural gas efficiency programs to our customers as well as supports outreach, infrastructure and educational programs.  These programs are comprehensively reviewed on an annual basis as part of a business planning process, a process which established an operational plan for </w:t>
      </w:r>
      <w:r w:rsidR="000C21C5" w:rsidRPr="00407743">
        <w:t>achieving</w:t>
      </w:r>
      <w:r w:rsidR="00407743" w:rsidRPr="00407743">
        <w:t xml:space="preserve"> all cost-effective conservation through available or contemplated tools.</w:t>
      </w:r>
      <w:r w:rsidRPr="00407743">
        <w:t xml:space="preserve">  </w:t>
      </w:r>
      <w:r w:rsidR="00407743" w:rsidRPr="00407743">
        <w:t>In short, t</w:t>
      </w:r>
      <w:r w:rsidRPr="00407743">
        <w:t>he Company has the necessary funding and program offerings in place in order to meet its electric conservation targets.</w:t>
      </w:r>
    </w:p>
    <w:p w:rsidR="00872D83" w:rsidRPr="00407743" w:rsidRDefault="00872D83" w:rsidP="00872D83">
      <w:pPr>
        <w:spacing w:line="480" w:lineRule="auto"/>
        <w:ind w:firstLine="720"/>
        <w:jc w:val="both"/>
        <w:rPr>
          <w:b/>
        </w:rPr>
      </w:pPr>
      <w:r w:rsidRPr="00407743">
        <w:rPr>
          <w:b/>
        </w:rPr>
        <w:t>Q.</w:t>
      </w:r>
      <w:r w:rsidRPr="00407743">
        <w:rPr>
          <w:b/>
        </w:rPr>
        <w:tab/>
        <w:t>What happens if the Company does not meet its targets under the Energy Independence Act (EIA)?</w:t>
      </w:r>
    </w:p>
    <w:p w:rsidR="00872D83" w:rsidRDefault="00872D83" w:rsidP="00872D83">
      <w:pPr>
        <w:spacing w:line="480" w:lineRule="auto"/>
        <w:ind w:firstLine="720"/>
        <w:jc w:val="both"/>
      </w:pPr>
      <w:r w:rsidRPr="00407743">
        <w:lastRenderedPageBreak/>
        <w:t>A.</w:t>
      </w:r>
      <w:r w:rsidRPr="00407743">
        <w:tab/>
        <w:t xml:space="preserve">Under the EIA, the Company must acquire a certain level of electric energy efficiency savings, and to the extent that the Company fails to meet its electric efficiency targets, would pay a $50 </w:t>
      </w:r>
      <w:r w:rsidRPr="00CF227B">
        <w:t>per megawatt hour penalty</w:t>
      </w:r>
      <w:r w:rsidRPr="00CF227B">
        <w:rPr>
          <w:rStyle w:val="FootnoteReference"/>
        </w:rPr>
        <w:footnoteReference w:id="14"/>
      </w:r>
      <w:r w:rsidRPr="00CF227B">
        <w:t>.  Avista is required by law to obtain a certain level of electric efficiency savings, some of which has already occurred in the test year (201</w:t>
      </w:r>
      <w:r w:rsidR="00407743" w:rsidRPr="00CF227B">
        <w:t>1</w:t>
      </w:r>
      <w:r w:rsidRPr="00CF227B">
        <w:t>), some in 201</w:t>
      </w:r>
      <w:r w:rsidR="00407743" w:rsidRPr="00CF227B">
        <w:t>2</w:t>
      </w:r>
      <w:r w:rsidRPr="00CF227B">
        <w:t>, and more in 201</w:t>
      </w:r>
      <w:r w:rsidR="00407743" w:rsidRPr="00CF227B">
        <w:t>3</w:t>
      </w:r>
      <w:r w:rsidRPr="00CF227B">
        <w:t xml:space="preserve">.  </w:t>
      </w:r>
    </w:p>
    <w:p w:rsidR="000C21C5" w:rsidRPr="00CF227B" w:rsidRDefault="000C21C5" w:rsidP="000C21C5">
      <w:pPr>
        <w:spacing w:line="480" w:lineRule="auto"/>
        <w:ind w:firstLine="720"/>
        <w:jc w:val="both"/>
        <w:rPr>
          <w:b/>
        </w:rPr>
      </w:pPr>
      <w:r w:rsidRPr="00CF227B">
        <w:rPr>
          <w:b/>
        </w:rPr>
        <w:t>Q.</w:t>
      </w:r>
      <w:r w:rsidRPr="00CF227B">
        <w:rPr>
          <w:b/>
        </w:rPr>
        <w:tab/>
      </w:r>
      <w:r>
        <w:rPr>
          <w:b/>
        </w:rPr>
        <w:t>At what level of savings will the Company face potential fines under the EIA</w:t>
      </w:r>
      <w:r w:rsidRPr="00CF227B">
        <w:rPr>
          <w:b/>
        </w:rPr>
        <w:t>?</w:t>
      </w:r>
    </w:p>
    <w:p w:rsidR="000C21C5" w:rsidRDefault="000C21C5" w:rsidP="000C21C5">
      <w:pPr>
        <w:spacing w:line="480" w:lineRule="auto"/>
        <w:ind w:firstLine="720"/>
        <w:jc w:val="both"/>
      </w:pPr>
      <w:r w:rsidRPr="00CF227B">
        <w:t>A.</w:t>
      </w:r>
      <w:r w:rsidRPr="00CF227B">
        <w:tab/>
      </w:r>
      <w:r>
        <w:t xml:space="preserve">The Company must meet or exceed the RAP level of savings, the same level </w:t>
      </w:r>
      <w:r w:rsidR="00D2673C">
        <w:t>of savings that was used for purposes of this adjustment.  While the Company believes that it will exceed the RAP, and therefore could justify a higher level of kWh savings that could be included in this adjustment, Avista chose to just use the level of savings that is subject to the EIA penalty.</w:t>
      </w:r>
    </w:p>
    <w:p w:rsidR="00F04E95" w:rsidRDefault="00F04E95" w:rsidP="004E793A">
      <w:pPr>
        <w:pStyle w:val="P267"/>
        <w:tabs>
          <w:tab w:val="clear" w:pos="360"/>
          <w:tab w:val="left" w:pos="0"/>
        </w:tabs>
        <w:ind w:left="0"/>
        <w:jc w:val="center"/>
        <w:rPr>
          <w:rFonts w:ascii="Times New Roman" w:hAnsi="Times New Roman" w:cs="Times New Roman"/>
        </w:rPr>
      </w:pPr>
    </w:p>
    <w:p w:rsidR="004E793A" w:rsidRPr="00AD7E0C" w:rsidRDefault="004E793A" w:rsidP="004E793A">
      <w:pPr>
        <w:pStyle w:val="P267"/>
        <w:tabs>
          <w:tab w:val="clear" w:pos="360"/>
          <w:tab w:val="left" w:pos="0"/>
        </w:tabs>
        <w:ind w:left="0"/>
        <w:jc w:val="center"/>
        <w:rPr>
          <w:rFonts w:ascii="Times New Roman" w:hAnsi="Times New Roman" w:cs="Times New Roman"/>
        </w:rPr>
      </w:pPr>
      <w:r w:rsidRPr="00AD7E0C">
        <w:rPr>
          <w:rFonts w:ascii="Times New Roman" w:hAnsi="Times New Roman" w:cs="Times New Roman"/>
        </w:rPr>
        <w:t>V</w:t>
      </w:r>
      <w:r>
        <w:rPr>
          <w:rFonts w:ascii="Times New Roman" w:hAnsi="Times New Roman" w:cs="Times New Roman"/>
        </w:rPr>
        <w:t>I</w:t>
      </w:r>
      <w:r w:rsidR="001D2BD3">
        <w:rPr>
          <w:rFonts w:ascii="Times New Roman" w:hAnsi="Times New Roman" w:cs="Times New Roman"/>
        </w:rPr>
        <w:t>I</w:t>
      </w:r>
      <w:r w:rsidRPr="00AD7E0C">
        <w:rPr>
          <w:rFonts w:ascii="Times New Roman" w:hAnsi="Times New Roman" w:cs="Times New Roman"/>
        </w:rPr>
        <w:t xml:space="preserve">.  </w:t>
      </w:r>
      <w:r w:rsidR="00802819" w:rsidRPr="004E793A">
        <w:rPr>
          <w:rFonts w:ascii="Times New Roman" w:hAnsi="Times New Roman" w:cs="Times New Roman"/>
        </w:rPr>
        <w:t>SCHEDULE 9</w:t>
      </w:r>
      <w:r w:rsidR="008503A2">
        <w:rPr>
          <w:rFonts w:ascii="Times New Roman" w:hAnsi="Times New Roman" w:cs="Times New Roman"/>
        </w:rPr>
        <w:t>5</w:t>
      </w:r>
      <w:r w:rsidR="00802819" w:rsidRPr="004E793A">
        <w:rPr>
          <w:rFonts w:ascii="Times New Roman" w:hAnsi="Times New Roman" w:cs="Times New Roman"/>
        </w:rPr>
        <w:t xml:space="preserve"> (BUCK-A-BLOCK) ISSUES</w:t>
      </w:r>
    </w:p>
    <w:p w:rsidR="004E793A" w:rsidRPr="00A91003" w:rsidRDefault="004E793A" w:rsidP="008503A2">
      <w:pPr>
        <w:spacing w:line="480" w:lineRule="auto"/>
        <w:jc w:val="both"/>
        <w:rPr>
          <w:b/>
        </w:rPr>
      </w:pPr>
      <w:r>
        <w:rPr>
          <w:b/>
        </w:rPr>
        <w:tab/>
      </w:r>
      <w:r w:rsidRPr="00A91003">
        <w:rPr>
          <w:b/>
        </w:rPr>
        <w:t>Q.</w:t>
      </w:r>
      <w:r w:rsidRPr="00A91003">
        <w:rPr>
          <w:b/>
        </w:rPr>
        <w:tab/>
      </w:r>
      <w:r w:rsidR="008503A2">
        <w:rPr>
          <w:b/>
        </w:rPr>
        <w:t>Please describe the Company’s Optional Renewable Power Rate administered under Rate Schedule 95</w:t>
      </w:r>
      <w:r w:rsidRPr="00A91003">
        <w:rPr>
          <w:b/>
        </w:rPr>
        <w:t>?</w:t>
      </w:r>
    </w:p>
    <w:p w:rsidR="004E793A" w:rsidRDefault="004E793A" w:rsidP="008503A2">
      <w:pPr>
        <w:spacing w:line="480" w:lineRule="auto"/>
        <w:ind w:firstLine="720"/>
        <w:jc w:val="both"/>
        <w:rPr>
          <w:sz w:val="23"/>
          <w:szCs w:val="23"/>
        </w:rPr>
      </w:pPr>
      <w:r w:rsidRPr="00A91003">
        <w:t>A.</w:t>
      </w:r>
      <w:r w:rsidRPr="00A91003">
        <w:tab/>
      </w:r>
      <w:r w:rsidR="008503A2">
        <w:rPr>
          <w:sz w:val="23"/>
          <w:szCs w:val="23"/>
        </w:rPr>
        <w:t xml:space="preserve">Avista’s Optional Renewable Power Rate Program, also known as the “Buck-a-Block” program, is an optional program available to all customers receiving electric service who </w:t>
      </w:r>
      <w:r w:rsidR="00F04E95">
        <w:rPr>
          <w:sz w:val="23"/>
          <w:szCs w:val="23"/>
        </w:rPr>
        <w:t>opt</w:t>
      </w:r>
      <w:r w:rsidR="008503A2">
        <w:rPr>
          <w:sz w:val="23"/>
          <w:szCs w:val="23"/>
        </w:rPr>
        <w:t xml:space="preserve"> to purchase blocks of renewable power under the Company’s tariff Schedule 95. The program offers blocks of 300 kWh of environmental offsets from renewable energy sources for one dollar per block. The environmental offsets, or renewable energy certificates (</w:t>
      </w:r>
      <w:proofErr w:type="spellStart"/>
      <w:r w:rsidR="008503A2">
        <w:rPr>
          <w:sz w:val="23"/>
          <w:szCs w:val="23"/>
        </w:rPr>
        <w:t>RECs</w:t>
      </w:r>
      <w:proofErr w:type="spellEnd"/>
      <w:r w:rsidR="008503A2">
        <w:rPr>
          <w:sz w:val="23"/>
          <w:szCs w:val="23"/>
        </w:rPr>
        <w:t xml:space="preserve">), are purchased separately from Avista’s regular resource mix through a Power Purchase Agreement </w:t>
      </w:r>
      <w:r w:rsidR="008503A2">
        <w:rPr>
          <w:sz w:val="23"/>
          <w:szCs w:val="23"/>
        </w:rPr>
        <w:lastRenderedPageBreak/>
        <w:t xml:space="preserve">(PPA), or purchased on the open market. The separate PPA used to source the majority of this program includes </w:t>
      </w:r>
      <w:proofErr w:type="spellStart"/>
      <w:r w:rsidR="008503A2">
        <w:rPr>
          <w:sz w:val="23"/>
          <w:szCs w:val="23"/>
        </w:rPr>
        <w:t>RECs</w:t>
      </w:r>
      <w:proofErr w:type="spellEnd"/>
      <w:r w:rsidR="008503A2">
        <w:rPr>
          <w:sz w:val="23"/>
          <w:szCs w:val="23"/>
        </w:rPr>
        <w:t xml:space="preserve"> that accompany generation totals from </w:t>
      </w:r>
      <w:proofErr w:type="spellStart"/>
      <w:r w:rsidR="008503A2">
        <w:rPr>
          <w:sz w:val="23"/>
          <w:szCs w:val="23"/>
        </w:rPr>
        <w:t>35MW</w:t>
      </w:r>
      <w:proofErr w:type="spellEnd"/>
      <w:r w:rsidR="008503A2">
        <w:rPr>
          <w:sz w:val="23"/>
          <w:szCs w:val="23"/>
        </w:rPr>
        <w:t xml:space="preserve"> of wind at the Stateline energy center. The total program </w:t>
      </w:r>
      <w:proofErr w:type="spellStart"/>
      <w:r w:rsidR="008503A2">
        <w:rPr>
          <w:sz w:val="23"/>
          <w:szCs w:val="23"/>
        </w:rPr>
        <w:t>RECs</w:t>
      </w:r>
      <w:proofErr w:type="spellEnd"/>
      <w:r w:rsidR="008503A2">
        <w:rPr>
          <w:sz w:val="23"/>
          <w:szCs w:val="23"/>
        </w:rPr>
        <w:t xml:space="preserve"> are from wind power and other </w:t>
      </w:r>
      <w:r w:rsidR="009F5837">
        <w:rPr>
          <w:sz w:val="23"/>
          <w:szCs w:val="23"/>
        </w:rPr>
        <w:t>“G</w:t>
      </w:r>
      <w:r w:rsidR="008503A2">
        <w:rPr>
          <w:sz w:val="23"/>
          <w:szCs w:val="23"/>
        </w:rPr>
        <w:t xml:space="preserve">reen-e </w:t>
      </w:r>
      <w:r w:rsidR="009F5837">
        <w:rPr>
          <w:sz w:val="23"/>
          <w:szCs w:val="23"/>
        </w:rPr>
        <w:t>C</w:t>
      </w:r>
      <w:r w:rsidR="008503A2">
        <w:rPr>
          <w:sz w:val="23"/>
          <w:szCs w:val="23"/>
        </w:rPr>
        <w:t>ertified</w:t>
      </w:r>
      <w:r w:rsidR="009F5837">
        <w:rPr>
          <w:sz w:val="23"/>
          <w:szCs w:val="23"/>
        </w:rPr>
        <w:t>”</w:t>
      </w:r>
      <w:r w:rsidR="008503A2">
        <w:rPr>
          <w:sz w:val="23"/>
          <w:szCs w:val="23"/>
        </w:rPr>
        <w:t xml:space="preserve"> resources such as biomass, geothermal and non-Avista low-impact certified hydro to source the program.</w:t>
      </w:r>
    </w:p>
    <w:p w:rsidR="008503A2" w:rsidRDefault="008503A2" w:rsidP="008503A2">
      <w:pPr>
        <w:spacing w:line="480" w:lineRule="auto"/>
        <w:jc w:val="both"/>
        <w:rPr>
          <w:b/>
        </w:rPr>
      </w:pPr>
      <w:r>
        <w:rPr>
          <w:b/>
        </w:rPr>
        <w:tab/>
      </w:r>
      <w:r w:rsidRPr="00A91003">
        <w:rPr>
          <w:b/>
        </w:rPr>
        <w:t>Q.</w:t>
      </w:r>
      <w:r w:rsidRPr="00A91003">
        <w:rPr>
          <w:b/>
        </w:rPr>
        <w:tab/>
      </w:r>
      <w:r>
        <w:rPr>
          <w:b/>
        </w:rPr>
        <w:t>Was there an issue related to the accounting for the Buck-a-Block Program that was addressed in the Company’s previous general rate case?</w:t>
      </w:r>
    </w:p>
    <w:p w:rsidR="008503A2" w:rsidRDefault="008503A2" w:rsidP="008503A2">
      <w:pPr>
        <w:spacing w:line="480" w:lineRule="auto"/>
        <w:jc w:val="both"/>
      </w:pPr>
      <w:r w:rsidRPr="008503A2">
        <w:tab/>
        <w:t xml:space="preserve">A. </w:t>
      </w:r>
      <w:r w:rsidRPr="008503A2">
        <w:tab/>
        <w:t xml:space="preserve">Yes.  </w:t>
      </w:r>
      <w:r>
        <w:t xml:space="preserve">Order No. 07 in Docket UE-100468 required the Company to account for all Buck-a-Block program costs separate from utility operations.  </w:t>
      </w:r>
      <w:r w:rsidR="00F04E95">
        <w:t>As demonstrated in Docket UE-110876, t</w:t>
      </w:r>
      <w:r>
        <w:t>he Company has complied with that requirement.</w:t>
      </w:r>
    </w:p>
    <w:p w:rsidR="008503A2" w:rsidRDefault="008503A2" w:rsidP="008503A2">
      <w:pPr>
        <w:spacing w:line="480" w:lineRule="auto"/>
        <w:jc w:val="both"/>
        <w:rPr>
          <w:b/>
        </w:rPr>
      </w:pPr>
      <w:r>
        <w:rPr>
          <w:b/>
        </w:rPr>
        <w:tab/>
      </w:r>
      <w:r w:rsidRPr="00A91003">
        <w:rPr>
          <w:b/>
        </w:rPr>
        <w:t>Q.</w:t>
      </w:r>
      <w:r w:rsidRPr="00A91003">
        <w:rPr>
          <w:b/>
        </w:rPr>
        <w:tab/>
      </w:r>
      <w:r>
        <w:rPr>
          <w:b/>
        </w:rPr>
        <w:t>Please discuss recent changes to the Buck-a-Block program.</w:t>
      </w:r>
    </w:p>
    <w:p w:rsidR="00F04E95" w:rsidRDefault="008503A2" w:rsidP="00F04E95">
      <w:pPr>
        <w:spacing w:line="480" w:lineRule="auto"/>
        <w:jc w:val="both"/>
        <w:rPr>
          <w:b/>
          <w:szCs w:val="20"/>
          <w:u w:val="single"/>
        </w:rPr>
      </w:pPr>
      <w:r>
        <w:rPr>
          <w:b/>
        </w:rPr>
        <w:tab/>
      </w:r>
      <w:r w:rsidRPr="008503A2">
        <w:t xml:space="preserve">A. </w:t>
      </w:r>
      <w:r w:rsidRPr="008503A2">
        <w:tab/>
      </w:r>
      <w:r>
        <w:t>As noted in Schedule 95, renewable power and associated renewable energy certificates shall be primarily from wind power</w:t>
      </w:r>
      <w:r w:rsidR="009F5837">
        <w:t>…</w:t>
      </w:r>
      <w:r>
        <w:t>but may also come from other certified resources.   The Company recently installed at its Rathdrum Clean Energy Test si</w:t>
      </w:r>
      <w:r w:rsidR="001D2BD3">
        <w:t xml:space="preserve">te a 15 kW solar installation, with the cost and benefits of this generating facility being borne by those customers who voluntarily opt to participate in Schedule 95.  While the </w:t>
      </w:r>
      <w:r w:rsidR="00F04E95">
        <w:t>Company</w:t>
      </w:r>
      <w:r w:rsidR="001D2BD3">
        <w:t xml:space="preserve"> will purchase the electrical energy from this facility under PURPA rates, the </w:t>
      </w:r>
      <w:r w:rsidR="001D2BD3" w:rsidRPr="001D2BD3">
        <w:t xml:space="preserve">balance of project annual </w:t>
      </w:r>
      <w:r w:rsidR="001D2BD3">
        <w:t xml:space="preserve">capital recovery and </w:t>
      </w:r>
      <w:r w:rsidR="001D2BD3" w:rsidRPr="001D2BD3">
        <w:t>expenses</w:t>
      </w:r>
      <w:r w:rsidR="001D2BD3">
        <w:t xml:space="preserve">, including </w:t>
      </w:r>
      <w:r w:rsidR="001D2BD3" w:rsidRPr="001D2BD3">
        <w:t xml:space="preserve">the </w:t>
      </w:r>
      <w:r w:rsidR="001D2BD3">
        <w:t xml:space="preserve">environmental attributes or </w:t>
      </w:r>
      <w:proofErr w:type="spellStart"/>
      <w:r w:rsidR="001D2BD3">
        <w:t>REC</w:t>
      </w:r>
      <w:r w:rsidR="001D2BD3" w:rsidRPr="001D2BD3">
        <w:t>s</w:t>
      </w:r>
      <w:proofErr w:type="spellEnd"/>
      <w:r w:rsidR="00F04E95">
        <w:t>,</w:t>
      </w:r>
      <w:r w:rsidR="001D2BD3" w:rsidRPr="001D2BD3">
        <w:t xml:space="preserve"> will </w:t>
      </w:r>
      <w:r w:rsidR="001D2BD3">
        <w:t xml:space="preserve">be </w:t>
      </w:r>
      <w:r w:rsidR="001D2BD3" w:rsidRPr="001D2BD3">
        <w:t>funded through Buck</w:t>
      </w:r>
      <w:r w:rsidR="001D2BD3">
        <w:t>-</w:t>
      </w:r>
      <w:r w:rsidR="001D2BD3" w:rsidRPr="001D2BD3">
        <w:t>a</w:t>
      </w:r>
      <w:r w:rsidR="001D2BD3">
        <w:t>-</w:t>
      </w:r>
      <w:r w:rsidR="001D2BD3" w:rsidRPr="001D2BD3">
        <w:t>Block contributions</w:t>
      </w:r>
      <w:r w:rsidR="001D2BD3">
        <w:t xml:space="preserve">. </w:t>
      </w:r>
      <w:r w:rsidR="001D2BD3" w:rsidRPr="001D2BD3">
        <w:t xml:space="preserve"> This ensure</w:t>
      </w:r>
      <w:r w:rsidR="001D2BD3">
        <w:t>s</w:t>
      </w:r>
      <w:r w:rsidR="001D2BD3" w:rsidRPr="001D2BD3">
        <w:t xml:space="preserve"> that the costs associated with this resource dedicated to the Buck</w:t>
      </w:r>
      <w:r w:rsidR="001D2BD3">
        <w:t>-</w:t>
      </w:r>
      <w:r w:rsidR="001D2BD3" w:rsidRPr="001D2BD3">
        <w:t>a</w:t>
      </w:r>
      <w:r w:rsidR="001D2BD3">
        <w:t>-</w:t>
      </w:r>
      <w:r w:rsidR="001D2BD3" w:rsidRPr="001D2BD3">
        <w:t xml:space="preserve">Block program are not subsidized by </w:t>
      </w:r>
      <w:r w:rsidR="009026B3">
        <w:t>other</w:t>
      </w:r>
      <w:r w:rsidR="00F04E95">
        <w:t xml:space="preserve"> </w:t>
      </w:r>
      <w:r w:rsidR="001D2BD3">
        <w:t>customers.</w:t>
      </w:r>
      <w:r w:rsidR="00F04E95">
        <w:br w:type="page"/>
      </w:r>
    </w:p>
    <w:p w:rsidR="004E793A" w:rsidRPr="00AD7E0C" w:rsidRDefault="00364F2D" w:rsidP="004E793A">
      <w:pPr>
        <w:pStyle w:val="P267"/>
        <w:tabs>
          <w:tab w:val="clear" w:pos="360"/>
          <w:tab w:val="left" w:pos="0"/>
        </w:tabs>
        <w:ind w:left="0"/>
        <w:jc w:val="center"/>
        <w:rPr>
          <w:rFonts w:ascii="Times New Roman" w:hAnsi="Times New Roman" w:cs="Times New Roman"/>
        </w:rPr>
      </w:pPr>
      <w:r>
        <w:rPr>
          <w:rFonts w:ascii="Times New Roman" w:hAnsi="Times New Roman" w:cs="Times New Roman"/>
        </w:rPr>
        <w:lastRenderedPageBreak/>
        <w:t>VIII</w:t>
      </w:r>
      <w:r w:rsidR="004E793A" w:rsidRPr="00AD7E0C">
        <w:rPr>
          <w:rFonts w:ascii="Times New Roman" w:hAnsi="Times New Roman" w:cs="Times New Roman"/>
        </w:rPr>
        <w:t xml:space="preserve">.  </w:t>
      </w:r>
      <w:r w:rsidR="00802819" w:rsidRPr="004E793A">
        <w:rPr>
          <w:rFonts w:ascii="Times New Roman" w:hAnsi="Times New Roman" w:cs="Times New Roman"/>
        </w:rPr>
        <w:t>SCHEDULE 9</w:t>
      </w:r>
      <w:r w:rsidR="00802819">
        <w:rPr>
          <w:rFonts w:ascii="Times New Roman" w:hAnsi="Times New Roman" w:cs="Times New Roman"/>
        </w:rPr>
        <w:t xml:space="preserve">3 </w:t>
      </w:r>
      <w:r w:rsidR="000F5D38">
        <w:rPr>
          <w:rFonts w:ascii="Times New Roman" w:hAnsi="Times New Roman" w:cs="Times New Roman"/>
        </w:rPr>
        <w:t>ERM REBATE</w:t>
      </w:r>
    </w:p>
    <w:p w:rsidR="0007197F" w:rsidRDefault="000F5D38" w:rsidP="0007197F">
      <w:pPr>
        <w:spacing w:line="480" w:lineRule="auto"/>
        <w:ind w:firstLine="720"/>
        <w:jc w:val="both"/>
        <w:rPr>
          <w:b/>
        </w:rPr>
      </w:pPr>
      <w:r w:rsidRPr="00AD03A5">
        <w:rPr>
          <w:b/>
        </w:rPr>
        <w:t>Q.</w:t>
      </w:r>
      <w:r w:rsidRPr="00AD03A5">
        <w:rPr>
          <w:b/>
        </w:rPr>
        <w:tab/>
      </w:r>
      <w:r w:rsidRPr="005540EB">
        <w:rPr>
          <w:b/>
        </w:rPr>
        <w:t xml:space="preserve">Please explain the Company’s </w:t>
      </w:r>
      <w:r>
        <w:rPr>
          <w:b/>
        </w:rPr>
        <w:t xml:space="preserve">Schedule 93 ERM </w:t>
      </w:r>
      <w:r w:rsidR="00E05E04">
        <w:rPr>
          <w:b/>
        </w:rPr>
        <w:t>R</w:t>
      </w:r>
      <w:r>
        <w:rPr>
          <w:b/>
        </w:rPr>
        <w:t>ebate proposal that would go into effect when the general rate increase is implemented.</w:t>
      </w:r>
    </w:p>
    <w:p w:rsidR="000F5D38" w:rsidRPr="0007197F" w:rsidRDefault="000F5D38" w:rsidP="0007197F">
      <w:pPr>
        <w:spacing w:line="480" w:lineRule="auto"/>
        <w:ind w:firstLine="720"/>
        <w:jc w:val="both"/>
        <w:rPr>
          <w:b/>
        </w:rPr>
      </w:pPr>
      <w:r w:rsidRPr="00206BDE">
        <w:rPr>
          <w:rFonts w:eastAsia="Calibri"/>
        </w:rPr>
        <w:t>A.</w:t>
      </w:r>
      <w:r w:rsidRPr="00206BDE">
        <w:rPr>
          <w:rFonts w:eastAsia="Calibri"/>
        </w:rPr>
        <w:tab/>
      </w:r>
      <w:r w:rsidRPr="005540EB">
        <w:t xml:space="preserve">The Company proposes that the </w:t>
      </w:r>
      <w:r>
        <w:t>ERM deferral balance of $13,556,306 as of December 31, 2011</w:t>
      </w:r>
      <w:r w:rsidR="009F5837">
        <w:t>,</w:t>
      </w:r>
      <w:r>
        <w:t xml:space="preserve"> be re</w:t>
      </w:r>
      <w:r w:rsidR="00E05E04">
        <w:t>bat</w:t>
      </w:r>
      <w:r>
        <w:t>ed to customers</w:t>
      </w:r>
      <w:r w:rsidR="009026B3">
        <w:t>, over a 12 month period,</w:t>
      </w:r>
      <w:r>
        <w:t xml:space="preserve"> </w:t>
      </w:r>
      <w:r w:rsidRPr="005540EB">
        <w:t>at the time the general rate increase is implemented</w:t>
      </w:r>
      <w:r>
        <w:rPr>
          <w:rStyle w:val="FootnoteReference"/>
        </w:rPr>
        <w:footnoteReference w:id="15"/>
      </w:r>
      <w:r w:rsidR="00CA7EA4">
        <w:t xml:space="preserve">. </w:t>
      </w:r>
      <w:r w:rsidR="005819D4">
        <w:t xml:space="preserve">  Table 1</w:t>
      </w:r>
      <w:r w:rsidR="0013455F">
        <w:t>7</w:t>
      </w:r>
      <w:r w:rsidR="005819D4">
        <w:t xml:space="preserve"> below shows the proposed ERM </w:t>
      </w:r>
      <w:r w:rsidR="00B63D21">
        <w:t>R</w:t>
      </w:r>
      <w:r w:rsidR="005819D4">
        <w:t>e</w:t>
      </w:r>
      <w:r w:rsidR="00F04E95">
        <w:t>bate</w:t>
      </w:r>
      <w:r w:rsidR="005819D4">
        <w:t xml:space="preserve"> by Schedule.</w:t>
      </w:r>
    </w:p>
    <w:p w:rsidR="005819D4" w:rsidRPr="005819D4" w:rsidRDefault="005819D4" w:rsidP="005819D4">
      <w:pPr>
        <w:spacing w:line="480" w:lineRule="auto"/>
        <w:rPr>
          <w:rFonts w:eastAsia="Calibri"/>
          <w:b/>
          <w:noProof/>
          <w:u w:val="single"/>
        </w:rPr>
      </w:pPr>
      <w:r w:rsidRPr="005819D4">
        <w:rPr>
          <w:rFonts w:eastAsia="Calibri"/>
          <w:b/>
          <w:noProof/>
          <w:u w:val="single"/>
        </w:rPr>
        <w:t>Table 1</w:t>
      </w:r>
      <w:r w:rsidR="0013455F">
        <w:rPr>
          <w:rFonts w:eastAsia="Calibri"/>
          <w:b/>
          <w:noProof/>
          <w:u w:val="single"/>
        </w:rPr>
        <w:t>7</w:t>
      </w:r>
      <w:r w:rsidRPr="005819D4">
        <w:rPr>
          <w:rFonts w:eastAsia="Calibri"/>
          <w:b/>
          <w:noProof/>
          <w:u w:val="single"/>
        </w:rPr>
        <w:t xml:space="preserve"> – ERM Rebate by Schedule</w:t>
      </w:r>
    </w:p>
    <w:p w:rsidR="005819D4" w:rsidRDefault="000B5DDE" w:rsidP="000F5D38">
      <w:pPr>
        <w:spacing w:line="480" w:lineRule="auto"/>
        <w:jc w:val="both"/>
      </w:pPr>
      <w:r w:rsidRPr="000B5DDE">
        <w:rPr>
          <w:noProof/>
        </w:rPr>
        <w:drawing>
          <wp:anchor distT="0" distB="0" distL="114300" distR="114300" simplePos="0" relativeHeight="251811328" behindDoc="1" locked="0" layoutInCell="1" allowOverlap="1">
            <wp:simplePos x="0" y="0"/>
            <wp:positionH relativeFrom="column">
              <wp:posOffset>268605</wp:posOffset>
            </wp:positionH>
            <wp:positionV relativeFrom="paragraph">
              <wp:posOffset>3810</wp:posOffset>
            </wp:positionV>
            <wp:extent cx="5669280" cy="1819275"/>
            <wp:effectExtent l="19050" t="0" r="762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5669280" cy="1819275"/>
                    </a:xfrm>
                    <a:prstGeom prst="rect">
                      <a:avLst/>
                    </a:prstGeom>
                    <a:noFill/>
                    <a:ln w="9525">
                      <a:noFill/>
                      <a:miter lim="800000"/>
                      <a:headEnd/>
                      <a:tailEnd/>
                    </a:ln>
                  </pic:spPr>
                </pic:pic>
              </a:graphicData>
            </a:graphic>
          </wp:anchor>
        </w:drawing>
      </w:r>
    </w:p>
    <w:p w:rsidR="005819D4" w:rsidRDefault="005819D4" w:rsidP="000F5D38">
      <w:pPr>
        <w:spacing w:line="480" w:lineRule="auto"/>
        <w:jc w:val="both"/>
      </w:pPr>
    </w:p>
    <w:p w:rsidR="005819D4" w:rsidRDefault="005819D4" w:rsidP="000F5D38">
      <w:pPr>
        <w:spacing w:line="480" w:lineRule="auto"/>
        <w:jc w:val="both"/>
      </w:pPr>
    </w:p>
    <w:p w:rsidR="005819D4" w:rsidRDefault="005819D4" w:rsidP="000F5D38">
      <w:pPr>
        <w:spacing w:line="480" w:lineRule="auto"/>
        <w:jc w:val="both"/>
      </w:pPr>
    </w:p>
    <w:p w:rsidR="005819D4" w:rsidRPr="00CA7EA4" w:rsidRDefault="005819D4" w:rsidP="000F5D38">
      <w:pPr>
        <w:spacing w:line="480" w:lineRule="auto"/>
        <w:jc w:val="both"/>
      </w:pPr>
    </w:p>
    <w:p w:rsidR="005819D4" w:rsidRDefault="005819D4" w:rsidP="000F5D38">
      <w:pPr>
        <w:spacing w:line="480" w:lineRule="auto"/>
        <w:ind w:firstLine="720"/>
        <w:jc w:val="both"/>
        <w:rPr>
          <w:b/>
        </w:rPr>
      </w:pPr>
    </w:p>
    <w:p w:rsidR="000F5D38" w:rsidRPr="005819D4" w:rsidRDefault="000F5D38" w:rsidP="000F5D38">
      <w:pPr>
        <w:spacing w:line="480" w:lineRule="auto"/>
        <w:ind w:firstLine="720"/>
        <w:jc w:val="both"/>
      </w:pPr>
      <w:r w:rsidRPr="005540EB">
        <w:rPr>
          <w:b/>
        </w:rPr>
        <w:t>Q.</w:t>
      </w:r>
      <w:r w:rsidRPr="005540EB">
        <w:rPr>
          <w:b/>
        </w:rPr>
        <w:tab/>
      </w:r>
      <w:r w:rsidR="005819D4">
        <w:rPr>
          <w:b/>
        </w:rPr>
        <w:t xml:space="preserve">What was the basis for the proposed rate spread of the ERM </w:t>
      </w:r>
      <w:r w:rsidR="00B63D21">
        <w:rPr>
          <w:b/>
        </w:rPr>
        <w:t>R</w:t>
      </w:r>
      <w:r w:rsidR="005819D4">
        <w:rPr>
          <w:b/>
        </w:rPr>
        <w:t>e</w:t>
      </w:r>
      <w:r w:rsidR="00B63D21">
        <w:rPr>
          <w:b/>
        </w:rPr>
        <w:t>bate</w:t>
      </w:r>
      <w:r w:rsidR="005819D4">
        <w:rPr>
          <w:b/>
        </w:rPr>
        <w:t xml:space="preserve"> balance?</w:t>
      </w:r>
    </w:p>
    <w:p w:rsidR="005819D4" w:rsidRDefault="000F5D38" w:rsidP="002467E2">
      <w:pPr>
        <w:spacing w:line="480" w:lineRule="auto"/>
        <w:ind w:firstLine="720"/>
        <w:jc w:val="both"/>
        <w:rPr>
          <w:b/>
        </w:rPr>
      </w:pPr>
      <w:r w:rsidRPr="005819D4">
        <w:t>A.</w:t>
      </w:r>
      <w:r w:rsidRPr="005819D4">
        <w:tab/>
      </w:r>
      <w:r w:rsidR="005819D4" w:rsidRPr="005819D4">
        <w:t>Using the Settlement Stipulation</w:t>
      </w:r>
      <w:r w:rsidR="00BD11DE">
        <w:t xml:space="preserve"> approved in the Fifth Supplemental Order</w:t>
      </w:r>
      <w:r w:rsidR="005819D4" w:rsidRPr="005819D4">
        <w:t xml:space="preserve"> in Docket No. UE-011595 as a guide, t</w:t>
      </w:r>
      <w:r w:rsidRPr="005819D4">
        <w:t xml:space="preserve">he </w:t>
      </w:r>
      <w:r w:rsidR="002467E2" w:rsidRPr="005819D4">
        <w:t xml:space="preserve">Company </w:t>
      </w:r>
      <w:r w:rsidR="005819D4" w:rsidRPr="005819D4">
        <w:t>spread the re</w:t>
      </w:r>
      <w:r w:rsidR="00B63D21">
        <w:t>bate</w:t>
      </w:r>
      <w:r w:rsidR="005819D4" w:rsidRPr="005819D4">
        <w:t xml:space="preserve"> balance</w:t>
      </w:r>
      <w:r w:rsidR="005819D4">
        <w:t xml:space="preserve"> to the various rate schedules on a uniform </w:t>
      </w:r>
      <w:r w:rsidR="002467E2">
        <w:t>percentage basis</w:t>
      </w:r>
      <w:r w:rsidR="00BD11DE">
        <w:rPr>
          <w:rStyle w:val="FootnoteReference"/>
        </w:rPr>
        <w:footnoteReference w:id="16"/>
      </w:r>
      <w:r w:rsidR="005819D4">
        <w:t xml:space="preserve">.  Within each rate schedule, the rate adjustment was applied to the energy charges on a uniform cents per kWh basis using the test year normalized kilowatt-hours. </w:t>
      </w:r>
    </w:p>
    <w:p w:rsidR="00BD11DE" w:rsidRPr="005819D4" w:rsidRDefault="00BD11DE" w:rsidP="00BD11DE">
      <w:pPr>
        <w:spacing w:line="480" w:lineRule="auto"/>
        <w:ind w:firstLine="720"/>
        <w:jc w:val="both"/>
      </w:pPr>
      <w:r w:rsidRPr="005540EB">
        <w:rPr>
          <w:b/>
        </w:rPr>
        <w:lastRenderedPageBreak/>
        <w:t>Q.</w:t>
      </w:r>
      <w:r w:rsidRPr="005540EB">
        <w:rPr>
          <w:b/>
        </w:rPr>
        <w:tab/>
      </w:r>
      <w:r>
        <w:rPr>
          <w:b/>
        </w:rPr>
        <w:t>Did the Company deviate from the Settlement Stipulation approved in Supplemental Order No. 5 in Docket UE-011595 as it relates to the rate spread of the proposed ERM Re</w:t>
      </w:r>
      <w:r w:rsidR="00B63D21">
        <w:rPr>
          <w:b/>
        </w:rPr>
        <w:t>bate</w:t>
      </w:r>
      <w:r>
        <w:rPr>
          <w:b/>
        </w:rPr>
        <w:t>?</w:t>
      </w:r>
    </w:p>
    <w:p w:rsidR="00BD11DE" w:rsidRDefault="00BD11DE" w:rsidP="00BD11DE">
      <w:pPr>
        <w:spacing w:line="480" w:lineRule="auto"/>
        <w:ind w:firstLine="720"/>
        <w:jc w:val="both"/>
      </w:pPr>
      <w:r w:rsidRPr="005819D4">
        <w:t>A.</w:t>
      </w:r>
      <w:r w:rsidRPr="005819D4">
        <w:tab/>
      </w:r>
      <w:r>
        <w:t>Yes, in one instance.  In the Settlement Stipulation referred to above, any ERM re</w:t>
      </w:r>
      <w:r w:rsidR="00B63D21">
        <w:t>bate</w:t>
      </w:r>
      <w:r>
        <w:t xml:space="preserve"> was to be spread to street and area light</w:t>
      </w:r>
      <w:r w:rsidR="00F04E95">
        <w:t xml:space="preserve"> rates</w:t>
      </w:r>
      <w:r>
        <w:t xml:space="preserve"> on a uniform percentage basis.  </w:t>
      </w:r>
      <w:r w:rsidR="009F5837">
        <w:t>T</w:t>
      </w:r>
      <w:r>
        <w:t>he Compa</w:t>
      </w:r>
      <w:r w:rsidR="00F04E95">
        <w:t>ny believes that spreading a rebate</w:t>
      </w:r>
      <w:r>
        <w:t xml:space="preserve"> balance that </w:t>
      </w:r>
      <w:r w:rsidR="0065749C">
        <w:t>was created</w:t>
      </w:r>
      <w:r w:rsidR="009F5837">
        <w:t>,</w:t>
      </w:r>
      <w:r w:rsidR="0065749C">
        <w:t xml:space="preserve"> in part</w:t>
      </w:r>
      <w:r w:rsidR="009F5837">
        <w:t>,</w:t>
      </w:r>
      <w:r w:rsidR="0065749C">
        <w:t xml:space="preserve"> by reductions in the cost to purchase</w:t>
      </w:r>
      <w:r w:rsidR="00135AD1">
        <w:t xml:space="preserve"> and generate</w:t>
      </w:r>
      <w:r w:rsidR="0065749C">
        <w:t xml:space="preserve"> electrical energy should not be used to reduce non-energy costs.  </w:t>
      </w:r>
      <w:r w:rsidR="00B63D21">
        <w:t xml:space="preserve">Take for instance </w:t>
      </w:r>
      <w:r w:rsidR="0065749C">
        <w:t xml:space="preserve">the rates for </w:t>
      </w:r>
      <w:r w:rsidR="00B63D21">
        <w:t>s</w:t>
      </w:r>
      <w:r w:rsidR="0065749C">
        <w:t>treet lights detailed on Schedule 42</w:t>
      </w:r>
      <w:r w:rsidR="00B63D21">
        <w:t>.  Those rates are made up of</w:t>
      </w:r>
      <w:r w:rsidR="0065749C">
        <w:t xml:space="preserve"> three components – capital recovery for the light/pole, maintenance, and energy.  If the Company were to spread the ERM Re</w:t>
      </w:r>
      <w:r w:rsidR="00F04E95">
        <w:t>bate</w:t>
      </w:r>
      <w:r w:rsidR="0065749C">
        <w:t xml:space="preserve"> on a uniform percentage basis, then that re</w:t>
      </w:r>
      <w:r w:rsidR="00F04E95">
        <w:t>bate</w:t>
      </w:r>
      <w:r w:rsidR="0065749C">
        <w:t xml:space="preserve"> would reduce all three components, not just the energy component.</w:t>
      </w:r>
    </w:p>
    <w:p w:rsidR="00B63D21" w:rsidRDefault="009F5837" w:rsidP="00BD11DE">
      <w:pPr>
        <w:spacing w:line="480" w:lineRule="auto"/>
        <w:ind w:firstLine="720"/>
        <w:jc w:val="both"/>
      </w:pPr>
      <w:r>
        <w:t xml:space="preserve">By way of a simplified example, </w:t>
      </w:r>
      <w:r w:rsidR="00B63D21">
        <w:t>there are</w:t>
      </w:r>
      <w:r w:rsidR="0065749C">
        <w:t xml:space="preserve"> two lights on Schedule 42 that both have 100 watt bulbs</w:t>
      </w:r>
      <w:r w:rsidR="00B63D21">
        <w:t xml:space="preserve"> which operate from dusk until dawn</w:t>
      </w:r>
      <w:r w:rsidR="0065749C">
        <w:t xml:space="preserve">.  One light is </w:t>
      </w:r>
      <w:r w:rsidR="00B63D21">
        <w:t>served overhead (code 431)</w:t>
      </w:r>
      <w:r w:rsidR="0065749C">
        <w:t>, and based on current base rates, is charged $13.12 per month.  The other light is se</w:t>
      </w:r>
      <w:r w:rsidR="00B63D21">
        <w:t>rved via underground (code 433) and, based on current base rates, is charged $23.26 per month.  The difference in the monthly cost is due primarily to the difference in capital costs.  While the energy usage for these lights is the same, if the ERM Re</w:t>
      </w:r>
      <w:r w:rsidR="00F04E95">
        <w:t>bate</w:t>
      </w:r>
      <w:r w:rsidR="00B63D21">
        <w:t xml:space="preserve"> is spread on a uniform percentage basis, the light served overhead would receive a </w:t>
      </w:r>
      <w:r w:rsidR="00F04E95">
        <w:t>rebate</w:t>
      </w:r>
      <w:r w:rsidR="00B63D21">
        <w:t xml:space="preserve"> of approximately $0.38 per month while the light served by underground service would receive approximately $0.67 per month.</w:t>
      </w:r>
      <w:r w:rsidR="0065749C">
        <w:t xml:space="preserve"> </w:t>
      </w:r>
      <w:r w:rsidR="00B63D21">
        <w:t xml:space="preserve"> </w:t>
      </w:r>
    </w:p>
    <w:p w:rsidR="0065749C" w:rsidRDefault="0065749C" w:rsidP="00BD11DE">
      <w:pPr>
        <w:spacing w:line="480" w:lineRule="auto"/>
        <w:ind w:firstLine="720"/>
        <w:jc w:val="both"/>
        <w:rPr>
          <w:b/>
        </w:rPr>
      </w:pPr>
      <w:r>
        <w:t xml:space="preserve">Because of this inequity, the Company </w:t>
      </w:r>
      <w:r w:rsidR="00F152A2">
        <w:t xml:space="preserve">proposed to </w:t>
      </w:r>
      <w:r w:rsidR="00B63D21">
        <w:t xml:space="preserve">use the implicit energy usage by light for purposes of </w:t>
      </w:r>
      <w:r>
        <w:t>spread</w:t>
      </w:r>
      <w:r w:rsidR="00B63D21">
        <w:t>ing</w:t>
      </w:r>
      <w:r w:rsidR="00F04E95">
        <w:t xml:space="preserve"> the ERM Rebate</w:t>
      </w:r>
      <w:r w:rsidR="00F152A2">
        <w:t xml:space="preserve"> </w:t>
      </w:r>
      <w:r>
        <w:t xml:space="preserve">on a uniform cents </w:t>
      </w:r>
      <w:r w:rsidR="00B63D21">
        <w:t>basis</w:t>
      </w:r>
      <w:r>
        <w:t xml:space="preserve">.  </w:t>
      </w:r>
    </w:p>
    <w:p w:rsidR="005819D4" w:rsidRPr="00EB7429" w:rsidRDefault="00B558A0" w:rsidP="005819D4">
      <w:pPr>
        <w:spacing w:line="480" w:lineRule="auto"/>
        <w:ind w:firstLine="720"/>
        <w:jc w:val="both"/>
        <w:rPr>
          <w:highlight w:val="lightGray"/>
        </w:rPr>
      </w:pPr>
      <w:r w:rsidRPr="00B558A0">
        <w:rPr>
          <w:b/>
          <w:noProof/>
          <w:highlight w:val="lightGray"/>
        </w:rPr>
        <w:lastRenderedPageBreak/>
        <w:pict>
          <v:shapetype id="_x0000_t202" coordsize="21600,21600" o:spt="202" path="m,l,21600r21600,l21600,xe">
            <v:stroke joinstyle="miter"/>
            <v:path gradientshapeok="t" o:connecttype="rect"/>
          </v:shapetype>
          <v:shape id="_x0000_s1026" type="#_x0000_t202" style="position:absolute;left:0;text-align:left;margin-left:36.8pt;margin-top:-38.05pt;width:132.45pt;height:23.8pt;z-index:251835904">
            <v:textbox style="mso-next-textbox:#_x0000_s1026">
              <w:txbxContent>
                <w:p w:rsidR="006554D4" w:rsidRPr="006554D4" w:rsidRDefault="006554D4">
                  <w:pPr>
                    <w:rPr>
                      <w:b/>
                    </w:rPr>
                  </w:pPr>
                  <w:r w:rsidRPr="00EB7429">
                    <w:rPr>
                      <w:b/>
                      <w:highlight w:val="lightGray"/>
                    </w:rPr>
                    <w:t>Revised April 18, 2012</w:t>
                  </w:r>
                </w:p>
              </w:txbxContent>
            </v:textbox>
          </v:shape>
        </w:pict>
      </w:r>
      <w:r w:rsidR="005819D4" w:rsidRPr="00EB7429">
        <w:rPr>
          <w:b/>
          <w:highlight w:val="lightGray"/>
        </w:rPr>
        <w:t>Q.</w:t>
      </w:r>
      <w:r w:rsidR="005819D4" w:rsidRPr="00EB7429">
        <w:rPr>
          <w:b/>
          <w:highlight w:val="lightGray"/>
        </w:rPr>
        <w:tab/>
        <w:t>When would the proposed rebate go into effect?</w:t>
      </w:r>
    </w:p>
    <w:p w:rsidR="000F5D38" w:rsidRDefault="005819D4" w:rsidP="00BD11DE">
      <w:pPr>
        <w:spacing w:line="480" w:lineRule="auto"/>
        <w:ind w:firstLine="720"/>
        <w:jc w:val="both"/>
        <w:rPr>
          <w:rFonts w:eastAsia="Calibri"/>
        </w:rPr>
      </w:pPr>
      <w:r w:rsidRPr="00EB7429">
        <w:rPr>
          <w:highlight w:val="lightGray"/>
        </w:rPr>
        <w:t>A.</w:t>
      </w:r>
      <w:r w:rsidRPr="00EB7429">
        <w:rPr>
          <w:highlight w:val="lightGray"/>
        </w:rPr>
        <w:tab/>
      </w:r>
      <w:r w:rsidR="00EF0D97" w:rsidRPr="00EB7429">
        <w:rPr>
          <w:highlight w:val="lightGray"/>
        </w:rPr>
        <w:t xml:space="preserve">The Company </w:t>
      </w:r>
      <w:r w:rsidR="00EF0D97" w:rsidRPr="00EB7429">
        <w:rPr>
          <w:strike/>
          <w:highlight w:val="lightGray"/>
        </w:rPr>
        <w:t>would file</w:t>
      </w:r>
      <w:r w:rsidR="00EF0D97" w:rsidRPr="00EB7429">
        <w:rPr>
          <w:highlight w:val="lightGray"/>
        </w:rPr>
        <w:t xml:space="preserve"> </w:t>
      </w:r>
      <w:r w:rsidR="00282E3C">
        <w:rPr>
          <w:highlight w:val="lightGray"/>
          <w:u w:val="single"/>
        </w:rPr>
        <w:t>has provided</w:t>
      </w:r>
      <w:r w:rsidR="00EF0D97" w:rsidRPr="00EB7429">
        <w:rPr>
          <w:highlight w:val="lightGray"/>
        </w:rPr>
        <w:t xml:space="preserve"> Schedule </w:t>
      </w:r>
      <w:proofErr w:type="spellStart"/>
      <w:r w:rsidR="00EF0D97" w:rsidRPr="00EB7429">
        <w:rPr>
          <w:highlight w:val="lightGray"/>
        </w:rPr>
        <w:t>93</w:t>
      </w:r>
      <w:r w:rsidR="00282E3C" w:rsidRPr="00282E3C">
        <w:rPr>
          <w:highlight w:val="lightGray"/>
          <w:u w:val="single"/>
        </w:rPr>
        <w:t>as</w:t>
      </w:r>
      <w:proofErr w:type="spellEnd"/>
      <w:r w:rsidR="00282E3C" w:rsidRPr="00282E3C">
        <w:rPr>
          <w:highlight w:val="lightGray"/>
          <w:u w:val="single"/>
        </w:rPr>
        <w:t xml:space="preserve"> part of its</w:t>
      </w:r>
      <w:r w:rsidR="00EF0D97" w:rsidRPr="00EB7429">
        <w:rPr>
          <w:highlight w:val="lightGray"/>
        </w:rPr>
        <w:t xml:space="preserve"> </w:t>
      </w:r>
      <w:r w:rsidR="00EF0D97" w:rsidRPr="00282E3C">
        <w:rPr>
          <w:strike/>
          <w:highlight w:val="lightGray"/>
        </w:rPr>
        <w:t>with its</w:t>
      </w:r>
      <w:r w:rsidR="00EF0D97" w:rsidRPr="00EB7429">
        <w:rPr>
          <w:highlight w:val="lightGray"/>
        </w:rPr>
        <w:t xml:space="preserve"> </w:t>
      </w:r>
      <w:r w:rsidR="00EF0D97" w:rsidRPr="00EB7429">
        <w:rPr>
          <w:strike/>
          <w:highlight w:val="lightGray"/>
        </w:rPr>
        <w:t>tariff compliance</w:t>
      </w:r>
      <w:r w:rsidR="00EF0D97" w:rsidRPr="00EB7429">
        <w:rPr>
          <w:highlight w:val="lightGray"/>
        </w:rPr>
        <w:t xml:space="preserve"> filing</w:t>
      </w:r>
      <w:r w:rsidR="00EF0D97" w:rsidRPr="00EB7429">
        <w:rPr>
          <w:highlight w:val="lightGray"/>
          <w:u w:val="single"/>
        </w:rPr>
        <w:t>,</w:t>
      </w:r>
      <w:r w:rsidR="00EF0D97" w:rsidRPr="00EB7429">
        <w:rPr>
          <w:highlight w:val="lightGray"/>
        </w:rPr>
        <w:t xml:space="preserve"> </w:t>
      </w:r>
      <w:r w:rsidR="00EF0D97" w:rsidRPr="00EB7429">
        <w:rPr>
          <w:strike/>
          <w:highlight w:val="lightGray"/>
        </w:rPr>
        <w:t>at the conclusion of this case</w:t>
      </w:r>
      <w:r w:rsidR="00EF0D97" w:rsidRPr="00EB7429">
        <w:rPr>
          <w:highlight w:val="lightGray"/>
        </w:rPr>
        <w:t xml:space="preserve"> to pass through this deferral balance to customers over a 12 month period</w:t>
      </w:r>
      <w:r w:rsidR="00EF0D97" w:rsidRPr="00EB7429">
        <w:rPr>
          <w:highlight w:val="lightGray"/>
          <w:u w:val="single"/>
        </w:rPr>
        <w:t>, at the conclusion of this case</w:t>
      </w:r>
      <w:r w:rsidR="00EF0D97" w:rsidRPr="00EB7429">
        <w:rPr>
          <w:highlight w:val="lightGray"/>
        </w:rPr>
        <w:t>.</w:t>
      </w:r>
      <w:r w:rsidR="00EF0D97">
        <w:t xml:space="preserve">  </w:t>
      </w:r>
    </w:p>
    <w:p w:rsidR="005D7A9E" w:rsidRDefault="005D7A9E" w:rsidP="008F70B5">
      <w:pPr>
        <w:pStyle w:val="P267"/>
        <w:tabs>
          <w:tab w:val="clear" w:pos="360"/>
          <w:tab w:val="left" w:pos="0"/>
        </w:tabs>
        <w:ind w:left="0"/>
        <w:jc w:val="center"/>
        <w:rPr>
          <w:rFonts w:ascii="Times New Roman" w:hAnsi="Times New Roman" w:cs="Times New Roman"/>
        </w:rPr>
      </w:pPr>
    </w:p>
    <w:p w:rsidR="008F70B5" w:rsidRPr="00AD03A5" w:rsidRDefault="00364F2D" w:rsidP="008F70B5">
      <w:pPr>
        <w:pStyle w:val="P267"/>
        <w:tabs>
          <w:tab w:val="clear" w:pos="360"/>
          <w:tab w:val="left" w:pos="0"/>
        </w:tabs>
        <w:ind w:left="0"/>
        <w:jc w:val="center"/>
        <w:rPr>
          <w:rFonts w:ascii="Times New Roman" w:hAnsi="Times New Roman" w:cs="Times New Roman"/>
        </w:rPr>
      </w:pPr>
      <w:r>
        <w:rPr>
          <w:rFonts w:ascii="Times New Roman" w:hAnsi="Times New Roman" w:cs="Times New Roman"/>
        </w:rPr>
        <w:t>I</w:t>
      </w:r>
      <w:r w:rsidR="00802819">
        <w:rPr>
          <w:rFonts w:ascii="Times New Roman" w:hAnsi="Times New Roman" w:cs="Times New Roman"/>
        </w:rPr>
        <w:t>X</w:t>
      </w:r>
      <w:r w:rsidR="008F70B5" w:rsidRPr="00AD03A5">
        <w:rPr>
          <w:rFonts w:ascii="Times New Roman" w:hAnsi="Times New Roman" w:cs="Times New Roman"/>
        </w:rPr>
        <w:t xml:space="preserve">.  </w:t>
      </w:r>
      <w:r w:rsidR="00AD03A5" w:rsidRPr="00AD03A5">
        <w:rPr>
          <w:rFonts w:ascii="Times New Roman" w:hAnsi="Times New Roman" w:cs="Times New Roman"/>
        </w:rPr>
        <w:t>SUMMARY OF UE-1</w:t>
      </w:r>
      <w:r w:rsidR="00A91003">
        <w:rPr>
          <w:rFonts w:ascii="Times New Roman" w:hAnsi="Times New Roman" w:cs="Times New Roman"/>
        </w:rPr>
        <w:t>10876</w:t>
      </w:r>
      <w:r w:rsidR="00AD03A5" w:rsidRPr="00AD03A5">
        <w:rPr>
          <w:rFonts w:ascii="Times New Roman" w:hAnsi="Times New Roman" w:cs="Times New Roman"/>
        </w:rPr>
        <w:t>/UG-1</w:t>
      </w:r>
      <w:r w:rsidR="00A91003">
        <w:rPr>
          <w:rFonts w:ascii="Times New Roman" w:hAnsi="Times New Roman" w:cs="Times New Roman"/>
        </w:rPr>
        <w:t>10877</w:t>
      </w:r>
      <w:r w:rsidR="00AD03A5" w:rsidRPr="00AD03A5">
        <w:rPr>
          <w:rFonts w:ascii="Times New Roman" w:hAnsi="Times New Roman" w:cs="Times New Roman"/>
        </w:rPr>
        <w:t xml:space="preserve"> ORDER </w:t>
      </w:r>
      <w:r w:rsidR="00A91003">
        <w:rPr>
          <w:rFonts w:ascii="Times New Roman" w:hAnsi="Times New Roman" w:cs="Times New Roman"/>
        </w:rPr>
        <w:t>No. 06</w:t>
      </w:r>
      <w:r w:rsidR="00AD03A5" w:rsidRPr="00AD03A5">
        <w:rPr>
          <w:rFonts w:ascii="Times New Roman" w:hAnsi="Times New Roman" w:cs="Times New Roman"/>
        </w:rPr>
        <w:t xml:space="preserve"> REQUIREMENTS</w:t>
      </w:r>
    </w:p>
    <w:p w:rsidR="008F70B5" w:rsidRDefault="008F70B5" w:rsidP="00AD03A5">
      <w:pPr>
        <w:spacing w:line="480" w:lineRule="auto"/>
        <w:ind w:firstLine="720"/>
        <w:jc w:val="both"/>
        <w:rPr>
          <w:b/>
        </w:rPr>
      </w:pPr>
      <w:r w:rsidRPr="00AD03A5">
        <w:rPr>
          <w:b/>
        </w:rPr>
        <w:t>Q.</w:t>
      </w:r>
      <w:r w:rsidRPr="00AD03A5">
        <w:rPr>
          <w:b/>
        </w:rPr>
        <w:tab/>
      </w:r>
      <w:r w:rsidR="00AD03A5">
        <w:rPr>
          <w:b/>
        </w:rPr>
        <w:t xml:space="preserve">There were several requirements </w:t>
      </w:r>
      <w:r w:rsidR="00206BDE">
        <w:rPr>
          <w:b/>
        </w:rPr>
        <w:t xml:space="preserve">the Commission required of the </w:t>
      </w:r>
      <w:r w:rsidR="00AD03A5">
        <w:rPr>
          <w:b/>
        </w:rPr>
        <w:t xml:space="preserve">Company </w:t>
      </w:r>
      <w:r w:rsidR="00206BDE">
        <w:rPr>
          <w:b/>
        </w:rPr>
        <w:t xml:space="preserve">to address in this docket based on Order No. 06 (and </w:t>
      </w:r>
      <w:r w:rsidR="00AD03A5">
        <w:rPr>
          <w:b/>
        </w:rPr>
        <w:t>Settlement Stipulation</w:t>
      </w:r>
      <w:r w:rsidR="00206BDE">
        <w:rPr>
          <w:b/>
        </w:rPr>
        <w:t>)</w:t>
      </w:r>
      <w:r w:rsidR="00AD03A5">
        <w:rPr>
          <w:b/>
        </w:rPr>
        <w:t xml:space="preserve"> in Dockets UE-1</w:t>
      </w:r>
      <w:r w:rsidR="00A91003">
        <w:rPr>
          <w:b/>
        </w:rPr>
        <w:t>10876</w:t>
      </w:r>
      <w:r w:rsidR="00AD03A5">
        <w:rPr>
          <w:b/>
        </w:rPr>
        <w:t xml:space="preserve"> and UG-1</w:t>
      </w:r>
      <w:r w:rsidR="00A91003">
        <w:rPr>
          <w:b/>
        </w:rPr>
        <w:t>10877</w:t>
      </w:r>
      <w:r w:rsidR="00AD03A5">
        <w:rPr>
          <w:b/>
        </w:rPr>
        <w:t xml:space="preserve">.  </w:t>
      </w:r>
      <w:r w:rsidR="0012232D">
        <w:rPr>
          <w:b/>
        </w:rPr>
        <w:t>Would</w:t>
      </w:r>
      <w:r w:rsidR="00AD03A5">
        <w:rPr>
          <w:b/>
        </w:rPr>
        <w:t xml:space="preserve"> you please provide a summary of those items and how they have been addressed by the Company in this rate case?</w:t>
      </w:r>
    </w:p>
    <w:p w:rsidR="00113A3C" w:rsidRDefault="00AD03A5" w:rsidP="00F04E95">
      <w:pPr>
        <w:spacing w:line="480" w:lineRule="auto"/>
        <w:ind w:firstLine="720"/>
        <w:jc w:val="both"/>
        <w:rPr>
          <w:rFonts w:eastAsia="Calibri"/>
        </w:rPr>
      </w:pPr>
      <w:r w:rsidRPr="00206BDE">
        <w:rPr>
          <w:rFonts w:eastAsia="Calibri"/>
        </w:rPr>
        <w:t>A.</w:t>
      </w:r>
      <w:r w:rsidRPr="00206BDE">
        <w:rPr>
          <w:rFonts w:eastAsia="Calibri"/>
        </w:rPr>
        <w:tab/>
      </w:r>
      <w:r w:rsidR="00266EF0" w:rsidRPr="00206BDE">
        <w:rPr>
          <w:rFonts w:eastAsia="Calibri"/>
        </w:rPr>
        <w:t xml:space="preserve">Yes.  </w:t>
      </w:r>
      <w:r w:rsidR="00113A3C">
        <w:rPr>
          <w:rFonts w:eastAsia="Calibri"/>
        </w:rPr>
        <w:t xml:space="preserve">Detailed below are four </w:t>
      </w:r>
      <w:r w:rsidR="00266EF0" w:rsidRPr="00266EF0">
        <w:rPr>
          <w:rFonts w:eastAsia="Calibri"/>
        </w:rPr>
        <w:t xml:space="preserve">items that the Company </w:t>
      </w:r>
      <w:r w:rsidR="00206BDE">
        <w:rPr>
          <w:rFonts w:eastAsia="Calibri"/>
        </w:rPr>
        <w:t>was required to address based on</w:t>
      </w:r>
      <w:r w:rsidR="00266EF0" w:rsidRPr="00266EF0">
        <w:rPr>
          <w:rFonts w:eastAsia="Calibri"/>
        </w:rPr>
        <w:t xml:space="preserve"> Order No. </w:t>
      </w:r>
      <w:r w:rsidR="00A91003">
        <w:rPr>
          <w:rFonts w:eastAsia="Calibri"/>
        </w:rPr>
        <w:t>06</w:t>
      </w:r>
      <w:r w:rsidR="00206BDE">
        <w:rPr>
          <w:rFonts w:eastAsia="Calibri"/>
        </w:rPr>
        <w:t xml:space="preserve"> in Dockets UE-110876 and UG-110877</w:t>
      </w:r>
      <w:r w:rsidR="00266EF0">
        <w:rPr>
          <w:rFonts w:eastAsia="Calibri"/>
        </w:rPr>
        <w:t xml:space="preserve">.  </w:t>
      </w:r>
      <w:r w:rsidR="008B7E2A">
        <w:rPr>
          <w:rFonts w:eastAsia="Calibri"/>
        </w:rPr>
        <w:t xml:space="preserve">Shown below are the </w:t>
      </w:r>
      <w:r w:rsidR="00E90E6D">
        <w:rPr>
          <w:rFonts w:eastAsia="Calibri"/>
        </w:rPr>
        <w:t>requirement</w:t>
      </w:r>
      <w:r w:rsidR="008B7E2A">
        <w:rPr>
          <w:rFonts w:eastAsia="Calibri"/>
        </w:rPr>
        <w:t>s</w:t>
      </w:r>
      <w:r w:rsidR="00266EF0">
        <w:rPr>
          <w:rFonts w:eastAsia="Calibri"/>
        </w:rPr>
        <w:t xml:space="preserve">, </w:t>
      </w:r>
      <w:r w:rsidR="00266EF0" w:rsidRPr="00266EF0">
        <w:rPr>
          <w:rFonts w:eastAsia="Calibri"/>
        </w:rPr>
        <w:t xml:space="preserve">the page number </w:t>
      </w:r>
      <w:r w:rsidR="008B7E2A">
        <w:rPr>
          <w:rFonts w:eastAsia="Calibri"/>
        </w:rPr>
        <w:t>and paragraph where the items are</w:t>
      </w:r>
      <w:r w:rsidR="00266EF0">
        <w:rPr>
          <w:rFonts w:eastAsia="Calibri"/>
        </w:rPr>
        <w:t xml:space="preserve"> located </w:t>
      </w:r>
      <w:r w:rsidR="00266EF0" w:rsidRPr="00266EF0">
        <w:rPr>
          <w:rFonts w:eastAsia="Calibri"/>
        </w:rPr>
        <w:t xml:space="preserve">in the </w:t>
      </w:r>
      <w:r w:rsidR="00206BDE">
        <w:rPr>
          <w:rFonts w:eastAsia="Calibri"/>
        </w:rPr>
        <w:t>Order</w:t>
      </w:r>
      <w:r w:rsidR="00266EF0" w:rsidRPr="00266EF0">
        <w:rPr>
          <w:rFonts w:eastAsia="Calibri"/>
        </w:rPr>
        <w:t xml:space="preserve">, and </w:t>
      </w:r>
      <w:r w:rsidR="00266EF0">
        <w:rPr>
          <w:rFonts w:eastAsia="Calibri"/>
        </w:rPr>
        <w:t>the witness</w:t>
      </w:r>
      <w:r w:rsidR="008B7E2A">
        <w:rPr>
          <w:rFonts w:eastAsia="Calibri"/>
        </w:rPr>
        <w:t>es that address</w:t>
      </w:r>
      <w:r w:rsidR="00266EF0">
        <w:rPr>
          <w:rFonts w:eastAsia="Calibri"/>
        </w:rPr>
        <w:t xml:space="preserve"> the issue</w:t>
      </w:r>
      <w:r w:rsidR="008B7E2A">
        <w:rPr>
          <w:rFonts w:eastAsia="Calibri"/>
        </w:rPr>
        <w:t>s</w:t>
      </w:r>
      <w:r w:rsidR="00266EF0">
        <w:rPr>
          <w:rFonts w:eastAsia="Calibri"/>
        </w:rPr>
        <w:t xml:space="preserve"> in this docket.</w:t>
      </w:r>
    </w:p>
    <w:p w:rsidR="00113A3C" w:rsidRDefault="00113A3C" w:rsidP="008B7E2A">
      <w:pPr>
        <w:ind w:firstLine="720"/>
        <w:jc w:val="both"/>
        <w:rPr>
          <w:rFonts w:eastAsia="Calibri"/>
        </w:rPr>
      </w:pPr>
      <w:r w:rsidRPr="008B7E2A">
        <w:rPr>
          <w:rFonts w:eastAsia="Calibri"/>
          <w:b/>
        </w:rPr>
        <w:t>Item 1 – Order Page 19, Paragraphs 42-43, addressed by Witness Feltes</w:t>
      </w:r>
      <w:r>
        <w:rPr>
          <w:rFonts w:eastAsia="Calibri"/>
        </w:rPr>
        <w:t>:</w:t>
      </w:r>
    </w:p>
    <w:p w:rsidR="008B7E2A" w:rsidRDefault="00B558A0" w:rsidP="008B7E2A">
      <w:pPr>
        <w:tabs>
          <w:tab w:val="left" w:pos="1710"/>
        </w:tabs>
        <w:ind w:left="720"/>
        <w:jc w:val="both"/>
        <w:rPr>
          <w:rFonts w:eastAsia="Calibri"/>
        </w:rPr>
      </w:pPr>
      <w:r>
        <w:rPr>
          <w:rFonts w:eastAsia="Calibri"/>
          <w:noProof/>
        </w:rPr>
        <w:pict>
          <v:shape id="_x0000_s1028" type="#_x0000_t202" style="position:absolute;left:0;text-align:left;margin-left:342.15pt;margin-top:267.5pt;width:113.15pt;height:22.4pt;z-index:251836928" stroked="f">
            <v:textbox style="mso-next-textbox:#_x0000_s1028">
              <w:txbxContent>
                <w:p w:rsidR="00EF0D97" w:rsidRPr="00EF0D97" w:rsidRDefault="00EF0D97">
                  <w:r w:rsidRPr="00EB7429">
                    <w:rPr>
                      <w:highlight w:val="lightGray"/>
                    </w:rPr>
                    <w:t>Page 45 (Revised)</w:t>
                  </w:r>
                </w:p>
              </w:txbxContent>
            </v:textbox>
          </v:shape>
        </w:pict>
      </w:r>
      <w:r w:rsidR="00113A3C" w:rsidRPr="00113A3C">
        <w:rPr>
          <w:rFonts w:eastAsia="Calibri"/>
        </w:rPr>
        <w:t xml:space="preserve">"Accordingly, we order the Company to file with the Commission in this proceeding by February 29, 2012, the following information:  A description of current executive compensation, including but not limited to base salary, non-equity incentive pay, and incentive pay.  This description should state what elements and amounts are included in rates for the Company and what elements and amounts are not recovered through rates.  A description of how levels of executive compensation are set.  This description should include discussion of the basis for selecting ostensibly comparable utilities that were surveyed, state what those survey results showed, and explain how the results relate to Avista.  Avista is also required to state whether executive compensation paid by any Pacific Northwest investor-owned (e.g., Puget Sound Energy, PacifiCorp, et cetera) or publicly-owned utilities (e.g., Seattle City Light, Tacoma Power, Public Utility District No. 1 of Snohomish County, and the Bonneville Power Administration) were considered and, if not, explain why not.    A discussion of Avista’s perspective on whether and, if so, why, the existing levels of executive compensation are appropriate for recovery in utility rates.   We also require the Company to update this information at the time it files its next general rate case so that the Company’s testimony can be evaluated for the prudence of </w:t>
      </w:r>
      <w:r w:rsidR="00113A3C" w:rsidRPr="00113A3C">
        <w:rPr>
          <w:rFonts w:eastAsia="Calibri"/>
        </w:rPr>
        <w:lastRenderedPageBreak/>
        <w:t xml:space="preserve">Avista’s executive compensation expense both in terms of the levels of compensation and the allocation of its recovery from utility customers." </w:t>
      </w:r>
    </w:p>
    <w:p w:rsidR="008B7E2A" w:rsidRDefault="008B7E2A" w:rsidP="00113A3C">
      <w:pPr>
        <w:tabs>
          <w:tab w:val="left" w:pos="1710"/>
        </w:tabs>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2</w:t>
      </w:r>
      <w:r w:rsidRPr="008B7E2A">
        <w:rPr>
          <w:rFonts w:eastAsia="Calibri"/>
          <w:b/>
        </w:rPr>
        <w:t xml:space="preserve"> – Order Page </w:t>
      </w:r>
      <w:r>
        <w:rPr>
          <w:rFonts w:eastAsia="Calibri"/>
          <w:b/>
        </w:rPr>
        <w:t>8</w:t>
      </w:r>
      <w:r w:rsidRPr="008B7E2A">
        <w:rPr>
          <w:rFonts w:eastAsia="Calibri"/>
          <w:b/>
        </w:rPr>
        <w:t xml:space="preserve">, Paragraphs </w:t>
      </w:r>
      <w:r>
        <w:rPr>
          <w:rFonts w:eastAsia="Calibri"/>
          <w:b/>
        </w:rPr>
        <w:t>17</w:t>
      </w:r>
      <w:r w:rsidRPr="008B7E2A">
        <w:rPr>
          <w:rFonts w:eastAsia="Calibri"/>
          <w:b/>
        </w:rPr>
        <w:t>, addr</w:t>
      </w:r>
      <w:r>
        <w:rPr>
          <w:rFonts w:eastAsia="Calibri"/>
          <w:b/>
        </w:rPr>
        <w:t>essed by Witness Kinney</w:t>
      </w:r>
      <w:r>
        <w:rPr>
          <w:rFonts w:eastAsia="Calibri"/>
        </w:rPr>
        <w:t>:</w:t>
      </w:r>
    </w:p>
    <w:p w:rsidR="008B7E2A" w:rsidRDefault="008B7E2A" w:rsidP="008B7E2A">
      <w:pPr>
        <w:ind w:left="720"/>
        <w:jc w:val="both"/>
        <w:rPr>
          <w:rFonts w:eastAsia="Calibri"/>
        </w:rPr>
      </w:pPr>
      <w:r w:rsidRPr="008B7E2A">
        <w:rPr>
          <w:rFonts w:eastAsia="Calibri"/>
        </w:rPr>
        <w:t xml:space="preserve">Bonneville Power Administration Parallel Operation Agreement </w:t>
      </w:r>
      <w:r w:rsidR="009D7F10">
        <w:rPr>
          <w:rFonts w:eastAsia="Calibri"/>
        </w:rPr>
        <w:t>–</w:t>
      </w:r>
      <w:r w:rsidRPr="008B7E2A">
        <w:rPr>
          <w:rFonts w:eastAsia="Calibri"/>
        </w:rPr>
        <w:t xml:space="preserve"> </w:t>
      </w:r>
      <w:r w:rsidR="009D7F10">
        <w:rPr>
          <w:rFonts w:eastAsia="Calibri"/>
        </w:rPr>
        <w:t>“</w:t>
      </w:r>
      <w:r w:rsidRPr="008B7E2A">
        <w:rPr>
          <w:rFonts w:eastAsia="Calibri"/>
        </w:rPr>
        <w:t>The Settlement provides that Washington’s share of a certain settlement agreement with the Bonneville Power Administration (BPA), $767,000, will be reflected in the Company’s transmission revenues over a three-year amortization period.  Specifically, the Settlement provides that during the first year, 2012, Avista’s transmission revenues will be increased by $256,000 to reflect one-third of Washington’s share of the BPA settlement proceeds.</w:t>
      </w:r>
      <w:r w:rsidR="009D7F10">
        <w:rPr>
          <w:rFonts w:eastAsia="Calibri"/>
        </w:rPr>
        <w:t>”</w:t>
      </w:r>
    </w:p>
    <w:p w:rsidR="008B7E2A" w:rsidRPr="008B7E2A" w:rsidRDefault="008B7E2A" w:rsidP="008B7E2A">
      <w:pPr>
        <w:ind w:left="720"/>
        <w:jc w:val="both"/>
        <w:rPr>
          <w:rFonts w:eastAsia="Calibri"/>
        </w:rPr>
      </w:pPr>
    </w:p>
    <w:p w:rsidR="008B7E2A" w:rsidRDefault="008B7E2A" w:rsidP="008B7E2A">
      <w:pPr>
        <w:ind w:firstLine="720"/>
        <w:jc w:val="both"/>
        <w:rPr>
          <w:rFonts w:eastAsia="Calibri"/>
        </w:rPr>
      </w:pPr>
      <w:r w:rsidRPr="008B7E2A">
        <w:rPr>
          <w:rFonts w:eastAsia="Calibri"/>
          <w:b/>
        </w:rPr>
        <w:t xml:space="preserve">Item </w:t>
      </w:r>
      <w:r>
        <w:rPr>
          <w:rFonts w:eastAsia="Calibri"/>
          <w:b/>
        </w:rPr>
        <w:t>3</w:t>
      </w:r>
      <w:r w:rsidRPr="008B7E2A">
        <w:rPr>
          <w:rFonts w:eastAsia="Calibri"/>
          <w:b/>
        </w:rPr>
        <w:t xml:space="preserve"> – Order Page </w:t>
      </w:r>
      <w:r>
        <w:rPr>
          <w:rFonts w:eastAsia="Calibri"/>
          <w:b/>
        </w:rPr>
        <w:t>9</w:t>
      </w:r>
      <w:r w:rsidRPr="008B7E2A">
        <w:rPr>
          <w:rFonts w:eastAsia="Calibri"/>
          <w:b/>
        </w:rPr>
        <w:t xml:space="preserve">, Paragraphs </w:t>
      </w:r>
      <w:r>
        <w:rPr>
          <w:rFonts w:eastAsia="Calibri"/>
          <w:b/>
        </w:rPr>
        <w:t>18</w:t>
      </w:r>
      <w:r w:rsidRPr="008B7E2A">
        <w:rPr>
          <w:rFonts w:eastAsia="Calibri"/>
          <w:b/>
        </w:rPr>
        <w:t>, addr</w:t>
      </w:r>
      <w:r>
        <w:rPr>
          <w:rFonts w:eastAsia="Calibri"/>
          <w:b/>
        </w:rPr>
        <w:t>essed by Witness Kinney</w:t>
      </w:r>
      <w:r>
        <w:rPr>
          <w:rFonts w:eastAsia="Calibri"/>
        </w:rPr>
        <w:t>:</w:t>
      </w:r>
    </w:p>
    <w:p w:rsidR="008B7E2A" w:rsidRDefault="008B7E2A" w:rsidP="008B7E2A">
      <w:pPr>
        <w:tabs>
          <w:tab w:val="left" w:pos="1710"/>
        </w:tabs>
        <w:ind w:left="720"/>
        <w:jc w:val="both"/>
        <w:rPr>
          <w:rFonts w:eastAsia="Calibri"/>
        </w:rPr>
      </w:pPr>
      <w:r w:rsidRPr="008B7E2A">
        <w:rPr>
          <w:rFonts w:eastAsia="Calibri"/>
        </w:rPr>
        <w:t>Transmission Line Ratings Plan</w:t>
      </w:r>
      <w:r>
        <w:rPr>
          <w:rFonts w:eastAsia="Calibri"/>
        </w:rPr>
        <w:t xml:space="preserve">  -</w:t>
      </w:r>
      <w:r w:rsidRPr="008B7E2A">
        <w:rPr>
          <w:rFonts w:eastAsia="Calibri"/>
        </w:rPr>
        <w:t xml:space="preserve"> </w:t>
      </w:r>
      <w:r>
        <w:rPr>
          <w:rFonts w:eastAsia="Calibri"/>
        </w:rPr>
        <w:t>“</w:t>
      </w:r>
      <w:r w:rsidRPr="008B7E2A">
        <w:rPr>
          <w:rFonts w:eastAsia="Calibri"/>
        </w:rPr>
        <w:t>The settling parties agree to amortize expenses associated with the Transmission Line Ratings Confirmation Plan (Plan) over a three-year period commencing in 2012.   For each of the three years, Avista will amortize approximately $640,000 and will not apply a carrying charge on the unamortized balance.</w:t>
      </w:r>
      <w:r>
        <w:rPr>
          <w:rFonts w:eastAsia="Calibri"/>
        </w:rPr>
        <w:t>”</w:t>
      </w:r>
    </w:p>
    <w:p w:rsidR="008B7E2A" w:rsidRDefault="008B7E2A" w:rsidP="00113A3C">
      <w:pPr>
        <w:tabs>
          <w:tab w:val="left" w:pos="1710"/>
        </w:tabs>
        <w:ind w:left="720"/>
        <w:jc w:val="both"/>
        <w:rPr>
          <w:rFonts w:eastAsia="Calibri"/>
        </w:rPr>
      </w:pPr>
    </w:p>
    <w:p w:rsidR="008B7E2A" w:rsidRDefault="008B7E2A" w:rsidP="00BF1E04">
      <w:pPr>
        <w:ind w:firstLine="720"/>
        <w:jc w:val="both"/>
        <w:rPr>
          <w:rFonts w:eastAsia="Calibri"/>
        </w:rPr>
      </w:pPr>
      <w:r w:rsidRPr="008B7E2A">
        <w:rPr>
          <w:rFonts w:eastAsia="Calibri"/>
          <w:b/>
        </w:rPr>
        <w:t xml:space="preserve">Item </w:t>
      </w:r>
      <w:r>
        <w:rPr>
          <w:rFonts w:eastAsia="Calibri"/>
          <w:b/>
        </w:rPr>
        <w:t>4</w:t>
      </w:r>
      <w:r w:rsidRPr="008B7E2A">
        <w:rPr>
          <w:rFonts w:eastAsia="Calibri"/>
          <w:b/>
        </w:rPr>
        <w:t xml:space="preserve"> – Order Page 1</w:t>
      </w:r>
      <w:r>
        <w:rPr>
          <w:rFonts w:eastAsia="Calibri"/>
          <w:b/>
        </w:rPr>
        <w:t>6</w:t>
      </w:r>
      <w:r w:rsidRPr="008B7E2A">
        <w:rPr>
          <w:rFonts w:eastAsia="Calibri"/>
          <w:b/>
        </w:rPr>
        <w:t xml:space="preserve">, Paragraphs </w:t>
      </w:r>
      <w:r>
        <w:rPr>
          <w:rFonts w:eastAsia="Calibri"/>
          <w:b/>
        </w:rPr>
        <w:t>37</w:t>
      </w:r>
      <w:r w:rsidRPr="008B7E2A">
        <w:rPr>
          <w:rFonts w:eastAsia="Calibri"/>
          <w:b/>
        </w:rPr>
        <w:t xml:space="preserve">, addressed by Witness </w:t>
      </w:r>
      <w:r>
        <w:rPr>
          <w:rFonts w:eastAsia="Calibri"/>
          <w:b/>
        </w:rPr>
        <w:t>Andrews</w:t>
      </w:r>
      <w:r>
        <w:rPr>
          <w:rFonts w:eastAsia="Calibri"/>
        </w:rPr>
        <w:t>:</w:t>
      </w:r>
    </w:p>
    <w:p w:rsidR="008B7E2A" w:rsidRDefault="008B7E2A" w:rsidP="00BF1E04">
      <w:pPr>
        <w:tabs>
          <w:tab w:val="left" w:pos="1710"/>
        </w:tabs>
        <w:ind w:left="720"/>
        <w:jc w:val="both"/>
        <w:rPr>
          <w:rFonts w:eastAsia="Calibri"/>
        </w:rPr>
      </w:pPr>
      <w:r w:rsidRPr="008B7E2A">
        <w:rPr>
          <w:rFonts w:eastAsia="Calibri"/>
        </w:rPr>
        <w:t xml:space="preserve">Deferred Accounting Mechanism for Coyote Springs 2 and Colstrip 3 and 4 - "By providing this limited approval of the mechanism, we caution the parties and, especially Avista, that we will revisit this issue on an expanded basis and in a future proceeding, possibly on an industry-wide basis so that other public utilities affected by the expenses at these units might also participate.  If this proceeding has not commenced prior to Avista’s next rate filing, we expect the Company to include a proposal for such a tracker in that initial filing so that we can evaluate whether or not to terminate the provisional mechanism."   </w:t>
      </w:r>
    </w:p>
    <w:p w:rsidR="00204C48" w:rsidRDefault="00204C48" w:rsidP="00BF1E04">
      <w:pPr>
        <w:autoSpaceDE/>
        <w:autoSpaceDN/>
        <w:spacing w:line="480" w:lineRule="auto"/>
        <w:jc w:val="both"/>
        <w:rPr>
          <w:rFonts w:eastAsia="Calibri"/>
          <w:highlight w:val="yellow"/>
        </w:rPr>
      </w:pPr>
    </w:p>
    <w:p w:rsidR="00F04E95" w:rsidRPr="00F04E95" w:rsidRDefault="00206BDE" w:rsidP="00BF1E04">
      <w:pPr>
        <w:autoSpaceDE/>
        <w:autoSpaceDN/>
        <w:spacing w:line="480" w:lineRule="auto"/>
        <w:ind w:firstLine="720"/>
        <w:jc w:val="both"/>
        <w:rPr>
          <w:rFonts w:eastAsia="Calibri"/>
        </w:rPr>
      </w:pPr>
      <w:r>
        <w:rPr>
          <w:rFonts w:eastAsia="Calibri"/>
        </w:rPr>
        <w:t xml:space="preserve">In addition, </w:t>
      </w:r>
      <w:r w:rsidR="008B7E2A">
        <w:rPr>
          <w:rFonts w:eastAsia="Calibri"/>
        </w:rPr>
        <w:t xml:space="preserve">there are two additional </w:t>
      </w:r>
      <w:r w:rsidRPr="00266EF0">
        <w:rPr>
          <w:rFonts w:eastAsia="Calibri"/>
        </w:rPr>
        <w:t xml:space="preserve">items that the Company committed to as a part of the </w:t>
      </w:r>
      <w:r w:rsidRPr="00DA4A2B">
        <w:rPr>
          <w:rFonts w:eastAsia="Calibri"/>
        </w:rPr>
        <w:t>Settlement Stipulation</w:t>
      </w:r>
      <w:r w:rsidRPr="00266EF0">
        <w:rPr>
          <w:rFonts w:eastAsia="Calibri"/>
        </w:rPr>
        <w:t xml:space="preserve"> approved in Order No. </w:t>
      </w:r>
      <w:r>
        <w:rPr>
          <w:rFonts w:eastAsia="Calibri"/>
        </w:rPr>
        <w:t xml:space="preserve">06.  </w:t>
      </w:r>
      <w:r w:rsidR="008B7E2A">
        <w:rPr>
          <w:rFonts w:eastAsia="Calibri"/>
        </w:rPr>
        <w:t xml:space="preserve">Shown below are the requirements, </w:t>
      </w:r>
      <w:r w:rsidR="008B7E2A" w:rsidRPr="00266EF0">
        <w:rPr>
          <w:rFonts w:eastAsia="Calibri"/>
        </w:rPr>
        <w:t xml:space="preserve">the page number </w:t>
      </w:r>
      <w:r w:rsidR="008B7E2A">
        <w:rPr>
          <w:rFonts w:eastAsia="Calibri"/>
        </w:rPr>
        <w:t xml:space="preserve">and paragraph where the items are located </w:t>
      </w:r>
      <w:r w:rsidR="008B7E2A" w:rsidRPr="00266EF0">
        <w:rPr>
          <w:rFonts w:eastAsia="Calibri"/>
        </w:rPr>
        <w:t xml:space="preserve">in the </w:t>
      </w:r>
      <w:r w:rsidR="008B7E2A">
        <w:rPr>
          <w:rFonts w:eastAsia="Calibri"/>
        </w:rPr>
        <w:t>Stipulation</w:t>
      </w:r>
      <w:r w:rsidR="008B7E2A" w:rsidRPr="00266EF0">
        <w:rPr>
          <w:rFonts w:eastAsia="Calibri"/>
        </w:rPr>
        <w:t xml:space="preserve">, and </w:t>
      </w:r>
      <w:r w:rsidR="008B7E2A">
        <w:rPr>
          <w:rFonts w:eastAsia="Calibri"/>
        </w:rPr>
        <w:t>the witnesses that address the issues in this docket.</w:t>
      </w:r>
    </w:p>
    <w:p w:rsidR="008B7E2A" w:rsidRDefault="008B7E2A" w:rsidP="00BF1E04">
      <w:pPr>
        <w:ind w:firstLine="720"/>
        <w:jc w:val="both"/>
        <w:rPr>
          <w:rFonts w:eastAsia="Calibri"/>
        </w:rPr>
      </w:pPr>
      <w:r w:rsidRPr="008B7E2A">
        <w:rPr>
          <w:rFonts w:eastAsia="Calibri"/>
          <w:b/>
        </w:rPr>
        <w:t xml:space="preserve">Item </w:t>
      </w:r>
      <w:r>
        <w:rPr>
          <w:rFonts w:eastAsia="Calibri"/>
          <w:b/>
        </w:rPr>
        <w:t xml:space="preserve">1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8B7E2A" w:rsidRDefault="009D7F10" w:rsidP="00BF1E04">
      <w:pPr>
        <w:tabs>
          <w:tab w:val="left" w:pos="1710"/>
        </w:tabs>
        <w:ind w:left="720"/>
        <w:jc w:val="both"/>
        <w:rPr>
          <w:rFonts w:eastAsia="Calibri"/>
        </w:rPr>
      </w:pPr>
      <w:r>
        <w:rPr>
          <w:rFonts w:eastAsia="Calibri"/>
        </w:rPr>
        <w:t>“</w:t>
      </w:r>
      <w:r w:rsidR="008B7E2A" w:rsidRPr="008B7E2A">
        <w:rPr>
          <w:rFonts w:eastAsia="Calibri"/>
        </w:rPr>
        <w:t>Avista agrees to begin separately accounting for all internal and external costs related to preparation, filing, and litigation of Washington general rate cases.  The Company will present the overall amount of test year rate case expenses, including but not limited to internal labor costs, administrative and production costs, and costs of outside services, beginning with the 2012 test year.</w:t>
      </w:r>
      <w:r>
        <w:rPr>
          <w:rFonts w:eastAsia="Calibri"/>
        </w:rPr>
        <w:t>”</w:t>
      </w:r>
    </w:p>
    <w:p w:rsidR="008B7E2A" w:rsidRDefault="008B7E2A" w:rsidP="00BF1E04">
      <w:pPr>
        <w:tabs>
          <w:tab w:val="left" w:pos="1710"/>
        </w:tabs>
        <w:ind w:left="720"/>
        <w:jc w:val="both"/>
        <w:rPr>
          <w:rFonts w:eastAsia="Calibri"/>
        </w:rPr>
      </w:pPr>
    </w:p>
    <w:p w:rsidR="005D7A9E" w:rsidRDefault="005D7A9E">
      <w:pPr>
        <w:autoSpaceDE/>
        <w:autoSpaceDN/>
        <w:rPr>
          <w:rFonts w:eastAsia="Calibri"/>
          <w:b/>
        </w:rPr>
      </w:pPr>
      <w:r>
        <w:rPr>
          <w:rFonts w:eastAsia="Calibri"/>
          <w:b/>
        </w:rPr>
        <w:br w:type="page"/>
      </w:r>
    </w:p>
    <w:p w:rsidR="008B7E2A" w:rsidRDefault="008B7E2A" w:rsidP="00BF1E04">
      <w:pPr>
        <w:ind w:firstLine="720"/>
        <w:jc w:val="both"/>
        <w:rPr>
          <w:rFonts w:eastAsia="Calibri"/>
        </w:rPr>
      </w:pPr>
      <w:r w:rsidRPr="008B7E2A">
        <w:rPr>
          <w:rFonts w:eastAsia="Calibri"/>
          <w:b/>
        </w:rPr>
        <w:lastRenderedPageBreak/>
        <w:t xml:space="preserve">Item </w:t>
      </w:r>
      <w:r>
        <w:rPr>
          <w:rFonts w:eastAsia="Calibri"/>
          <w:b/>
        </w:rPr>
        <w:t xml:space="preserve">2 </w:t>
      </w:r>
      <w:r w:rsidRPr="008B7E2A">
        <w:rPr>
          <w:rFonts w:eastAsia="Calibri"/>
          <w:b/>
        </w:rPr>
        <w:t xml:space="preserve">– </w:t>
      </w:r>
      <w:r>
        <w:rPr>
          <w:rFonts w:eastAsia="Calibri"/>
          <w:b/>
        </w:rPr>
        <w:t>Stipulation</w:t>
      </w:r>
      <w:r w:rsidRPr="008B7E2A">
        <w:rPr>
          <w:rFonts w:eastAsia="Calibri"/>
          <w:b/>
        </w:rPr>
        <w:t xml:space="preserve"> Page </w:t>
      </w:r>
      <w:r>
        <w:rPr>
          <w:rFonts w:eastAsia="Calibri"/>
          <w:b/>
        </w:rPr>
        <w:t>12</w:t>
      </w:r>
      <w:r w:rsidRPr="008B7E2A">
        <w:rPr>
          <w:rFonts w:eastAsia="Calibri"/>
          <w:b/>
        </w:rPr>
        <w:t xml:space="preserve">, Paragraphs </w:t>
      </w:r>
      <w:r>
        <w:rPr>
          <w:rFonts w:eastAsia="Calibri"/>
          <w:b/>
        </w:rPr>
        <w:t>15</w:t>
      </w:r>
      <w:r w:rsidRPr="008B7E2A">
        <w:rPr>
          <w:rFonts w:eastAsia="Calibri"/>
          <w:b/>
        </w:rPr>
        <w:t>, addr</w:t>
      </w:r>
      <w:r>
        <w:rPr>
          <w:rFonts w:eastAsia="Calibri"/>
          <w:b/>
        </w:rPr>
        <w:t>essed by Witness Andrews</w:t>
      </w:r>
      <w:r>
        <w:rPr>
          <w:rFonts w:eastAsia="Calibri"/>
        </w:rPr>
        <w:t>:</w:t>
      </w:r>
    </w:p>
    <w:p w:rsidR="00C91091" w:rsidRPr="008B7E2A" w:rsidRDefault="009D7F10" w:rsidP="00BF1E04">
      <w:pPr>
        <w:ind w:left="720"/>
        <w:jc w:val="both"/>
        <w:rPr>
          <w:rFonts w:eastAsia="Calibri"/>
        </w:rPr>
      </w:pPr>
      <w:r>
        <w:rPr>
          <w:rFonts w:eastAsia="Calibri"/>
        </w:rPr>
        <w:t>“</w:t>
      </w:r>
      <w:r w:rsidR="008B7E2A" w:rsidRPr="008B7E2A">
        <w:rPr>
          <w:rFonts w:eastAsia="Calibri"/>
        </w:rPr>
        <w:t>Pursuant to the Commission’s Final Order in Docket UE-100467 and UE-100468, Avista shall perform an annual internal audit for accounting practices in each of the three years following the issuance of that Final Order, and shall prepare a report regarding the results of such audit.  The Company shall provide to the Parties the results of its annual audit(s), as well as all internal and external costs associated with performing the audit(s) and preparing the report(s).</w:t>
      </w:r>
      <w:r>
        <w:rPr>
          <w:rFonts w:eastAsia="Calibri"/>
        </w:rPr>
        <w:t>”</w:t>
      </w:r>
    </w:p>
    <w:p w:rsidR="00C91091" w:rsidRDefault="00C91091" w:rsidP="00BF1E04">
      <w:pPr>
        <w:spacing w:line="480" w:lineRule="auto"/>
        <w:ind w:firstLine="720"/>
        <w:jc w:val="both"/>
        <w:rPr>
          <w:rFonts w:eastAsia="Calibri"/>
        </w:rPr>
      </w:pPr>
    </w:p>
    <w:p w:rsidR="00E90E6D" w:rsidRPr="0020672A" w:rsidRDefault="00E90E6D" w:rsidP="00BF1E04">
      <w:pPr>
        <w:spacing w:line="480" w:lineRule="auto"/>
        <w:ind w:firstLine="720"/>
        <w:jc w:val="both"/>
        <w:rPr>
          <w:b/>
        </w:rPr>
      </w:pPr>
      <w:r w:rsidRPr="0020672A">
        <w:rPr>
          <w:b/>
        </w:rPr>
        <w:t xml:space="preserve">Q.  </w:t>
      </w:r>
      <w:r>
        <w:rPr>
          <w:b/>
        </w:rPr>
        <w:tab/>
        <w:t xml:space="preserve">Were all the requirements in Order No. </w:t>
      </w:r>
      <w:r w:rsidR="00A91003">
        <w:rPr>
          <w:b/>
        </w:rPr>
        <w:t>06</w:t>
      </w:r>
      <w:r>
        <w:rPr>
          <w:b/>
        </w:rPr>
        <w:t xml:space="preserve"> and the Settlement Stipulation met by the Company prior to filing this general rate case?</w:t>
      </w:r>
    </w:p>
    <w:p w:rsidR="00266EF0" w:rsidRPr="004118A9" w:rsidRDefault="00E90E6D" w:rsidP="00BF1E04">
      <w:pPr>
        <w:spacing w:line="480" w:lineRule="auto"/>
        <w:ind w:firstLine="720"/>
        <w:jc w:val="both"/>
        <w:rPr>
          <w:rFonts w:eastAsia="Calibri"/>
        </w:rPr>
      </w:pPr>
      <w:r w:rsidRPr="0020672A">
        <w:t>A.</w:t>
      </w:r>
      <w:r w:rsidRPr="0020672A">
        <w:rPr>
          <w:b/>
        </w:rPr>
        <w:t xml:space="preserve">  </w:t>
      </w:r>
      <w:r>
        <w:rPr>
          <w:b/>
        </w:rPr>
        <w:tab/>
      </w:r>
      <w:r>
        <w:t>Yes, a</w:t>
      </w:r>
      <w:r w:rsidR="00266EF0">
        <w:rPr>
          <w:rFonts w:eastAsia="Calibri"/>
        </w:rPr>
        <w:t xml:space="preserve">ll of the items that were required of the Company in Order No. </w:t>
      </w:r>
      <w:r w:rsidR="00A91003">
        <w:rPr>
          <w:rFonts w:eastAsia="Calibri"/>
        </w:rPr>
        <w:t>06</w:t>
      </w:r>
      <w:r w:rsidR="00266EF0">
        <w:rPr>
          <w:rFonts w:eastAsia="Calibri"/>
        </w:rPr>
        <w:t xml:space="preserve"> and the Settlement Stipulation were </w:t>
      </w:r>
      <w:r w:rsidR="008354EE">
        <w:rPr>
          <w:rFonts w:eastAsia="Calibri"/>
        </w:rPr>
        <w:t xml:space="preserve">either </w:t>
      </w:r>
      <w:r w:rsidR="00266EF0">
        <w:rPr>
          <w:rFonts w:eastAsia="Calibri"/>
        </w:rPr>
        <w:t>completed prior to filing this general rate case</w:t>
      </w:r>
      <w:r w:rsidR="008354EE">
        <w:rPr>
          <w:rFonts w:eastAsia="Calibri"/>
        </w:rPr>
        <w:t xml:space="preserve"> or are addressed in this docket as required</w:t>
      </w:r>
      <w:r w:rsidR="00266EF0">
        <w:rPr>
          <w:rFonts w:eastAsia="Calibri"/>
        </w:rPr>
        <w:t>.</w:t>
      </w:r>
    </w:p>
    <w:p w:rsidR="00BF6CAC" w:rsidRPr="0020672A" w:rsidRDefault="00BF6CAC" w:rsidP="00BF1E04">
      <w:pPr>
        <w:spacing w:line="480" w:lineRule="auto"/>
        <w:ind w:firstLine="720"/>
        <w:jc w:val="both"/>
        <w:rPr>
          <w:b/>
        </w:rPr>
      </w:pPr>
      <w:r w:rsidRPr="0020672A">
        <w:rPr>
          <w:b/>
        </w:rPr>
        <w:t xml:space="preserve">Q.  </w:t>
      </w:r>
      <w:r>
        <w:rPr>
          <w:b/>
        </w:rPr>
        <w:tab/>
        <w:t>Does this conclude your pre-filed, direct testimony?</w:t>
      </w:r>
    </w:p>
    <w:p w:rsidR="00914F08" w:rsidRPr="00F72F9A" w:rsidRDefault="00BF6CAC" w:rsidP="00BF1E04">
      <w:pPr>
        <w:spacing w:line="480" w:lineRule="auto"/>
        <w:ind w:firstLine="720"/>
        <w:jc w:val="both"/>
      </w:pPr>
      <w:r w:rsidRPr="0020672A">
        <w:t>A.</w:t>
      </w:r>
      <w:r w:rsidRPr="0020672A">
        <w:rPr>
          <w:b/>
        </w:rPr>
        <w:t xml:space="preserve">  </w:t>
      </w:r>
      <w:r>
        <w:rPr>
          <w:b/>
        </w:rPr>
        <w:tab/>
      </w:r>
      <w:r>
        <w:t xml:space="preserve">Yes it does. </w:t>
      </w:r>
    </w:p>
    <w:sectPr w:rsidR="00914F08" w:rsidRPr="00F72F9A" w:rsidSect="00CA7EA4">
      <w:pgSz w:w="12240" w:h="15840" w:code="1"/>
      <w:pgMar w:top="1440" w:right="1440" w:bottom="1584"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B67" w:rsidRDefault="00BF0B67">
      <w:r>
        <w:separator/>
      </w:r>
    </w:p>
  </w:endnote>
  <w:endnote w:type="continuationSeparator" w:id="0">
    <w:p w:rsidR="00BF0B67" w:rsidRDefault="00BF0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Pr="00C372CC" w:rsidRDefault="00BF0B67">
    <w:pPr>
      <w:pStyle w:val="Footer"/>
      <w:tabs>
        <w:tab w:val="clear" w:pos="4320"/>
        <w:tab w:val="clear" w:pos="8640"/>
        <w:tab w:val="left" w:pos="180"/>
        <w:tab w:val="right" w:pos="9360"/>
      </w:tabs>
    </w:pPr>
    <w:r w:rsidRPr="00C372CC">
      <w:t>Direct Testimony of Patrick D. Ehrbar</w:t>
    </w:r>
  </w:p>
  <w:p w:rsidR="00BF0B67" w:rsidRPr="00C372CC" w:rsidRDefault="00BF0B67">
    <w:pPr>
      <w:pStyle w:val="Footer"/>
      <w:tabs>
        <w:tab w:val="clear" w:pos="4320"/>
        <w:tab w:val="clear" w:pos="8640"/>
        <w:tab w:val="left" w:pos="180"/>
        <w:tab w:val="right" w:pos="9360"/>
      </w:tabs>
    </w:pPr>
    <w:r w:rsidRPr="00C372CC">
      <w:t>Avista Corporation</w:t>
    </w:r>
  </w:p>
  <w:p w:rsidR="00BF0B67" w:rsidRPr="00C372CC" w:rsidRDefault="00BF0B67" w:rsidP="00CA7EA4">
    <w:pPr>
      <w:pStyle w:val="Footer"/>
      <w:tabs>
        <w:tab w:val="clear" w:pos="4320"/>
        <w:tab w:val="clear" w:pos="8640"/>
        <w:tab w:val="left" w:pos="180"/>
        <w:tab w:val="right" w:pos="8910"/>
      </w:tabs>
      <w:rPr>
        <w:rStyle w:val="PageNumber"/>
      </w:rPr>
    </w:pPr>
    <w:r w:rsidRPr="00C372CC">
      <w:t>Docket Nos. UE-12____ and UG-12____</w:t>
    </w:r>
    <w:r w:rsidRPr="00C372CC">
      <w:tab/>
      <w:t xml:space="preserve">Page </w:t>
    </w:r>
    <w:r w:rsidR="00B558A0" w:rsidRPr="00C372CC">
      <w:rPr>
        <w:rStyle w:val="PageNumber"/>
      </w:rPr>
      <w:fldChar w:fldCharType="begin"/>
    </w:r>
    <w:r w:rsidRPr="00C372CC">
      <w:rPr>
        <w:rStyle w:val="PageNumber"/>
      </w:rPr>
      <w:instrText xml:space="preserve"> PAGE </w:instrText>
    </w:r>
    <w:r w:rsidR="00B558A0" w:rsidRPr="00C372CC">
      <w:rPr>
        <w:rStyle w:val="PageNumber"/>
      </w:rPr>
      <w:fldChar w:fldCharType="separate"/>
    </w:r>
    <w:r w:rsidR="00282E3C">
      <w:rPr>
        <w:rStyle w:val="PageNumber"/>
        <w:noProof/>
      </w:rPr>
      <w:t>45</w:t>
    </w:r>
    <w:r w:rsidR="00B558A0" w:rsidRPr="00C372CC">
      <w:rPr>
        <w:rStyle w:val="PageNumber"/>
      </w:rPr>
      <w:fldChar w:fldCharType="end"/>
    </w:r>
  </w:p>
  <w:p w:rsidR="00BF0B67" w:rsidRPr="00C66B50" w:rsidRDefault="00BF0B67">
    <w:pPr>
      <w:pStyle w:val="Footer"/>
      <w:tabs>
        <w:tab w:val="clear" w:pos="4320"/>
        <w:tab w:val="clear" w:pos="8640"/>
        <w:tab w:val="left" w:pos="180"/>
        <w:tab w:val="right" w:pos="9360"/>
      </w:tabs>
      <w:rPr>
        <w:sz w:val="22"/>
        <w:szCs w:val="22"/>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B67" w:rsidRDefault="00BF0B67">
      <w:r>
        <w:separator/>
      </w:r>
    </w:p>
  </w:footnote>
  <w:footnote w:type="continuationSeparator" w:id="0">
    <w:p w:rsidR="00BF0B67" w:rsidRDefault="00BF0B67">
      <w:r>
        <w:continuationSeparator/>
      </w:r>
    </w:p>
  </w:footnote>
  <w:footnote w:id="1">
    <w:p w:rsidR="00BF0B67" w:rsidRPr="009D7F10" w:rsidRDefault="00BF0B67" w:rsidP="00377BBA">
      <w:pPr>
        <w:pStyle w:val="TestBody"/>
        <w:widowControl w:val="0"/>
        <w:tabs>
          <w:tab w:val="left" w:pos="1440"/>
        </w:tabs>
        <w:spacing w:line="240" w:lineRule="auto"/>
        <w:ind w:left="0" w:right="-101"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40.0 cents per therm for the cost of natural gas and pipeline transportation, the proposed increase to Schedule 146 rates represents an average increase of 1.1% in those customers’ total natural gas bill.</w:t>
      </w:r>
    </w:p>
    <w:p w:rsidR="00BF0B67" w:rsidRDefault="00BF0B67" w:rsidP="00916D0F">
      <w:pPr>
        <w:pStyle w:val="FootnoteText"/>
      </w:pPr>
    </w:p>
  </w:footnote>
  <w:footnote w:id="2">
    <w:p w:rsidR="00BF0B67" w:rsidRDefault="00BF0B67" w:rsidP="002C0C2F">
      <w:pPr>
        <w:pStyle w:val="FootnoteText"/>
      </w:pPr>
      <w:r w:rsidRPr="0027643C">
        <w:rPr>
          <w:rStyle w:val="FootnoteReference"/>
        </w:rPr>
        <w:footnoteRef/>
      </w:r>
      <w:r w:rsidRPr="0027643C">
        <w:t xml:space="preserve"> Kn</w:t>
      </w:r>
      <w:r>
        <w:t xml:space="preserve">ox Exhibit No. ___(TLK-4), at 3 </w:t>
      </w:r>
      <w:proofErr w:type="spellStart"/>
      <w:r>
        <w:t>ln.</w:t>
      </w:r>
      <w:r w:rsidRPr="0027643C">
        <w:t>28</w:t>
      </w:r>
      <w:proofErr w:type="spellEnd"/>
    </w:p>
  </w:footnote>
  <w:footnote w:id="3">
    <w:p w:rsidR="00BF0B67" w:rsidRDefault="00BF0B67" w:rsidP="005A6FE5">
      <w:pPr>
        <w:pStyle w:val="FootnoteText"/>
        <w:jc w:val="both"/>
      </w:pPr>
      <w:r>
        <w:rPr>
          <w:rStyle w:val="FootnoteReference"/>
        </w:rPr>
        <w:footnoteRef/>
      </w:r>
      <w:r>
        <w:t xml:space="preserve"> The proposed increase in demand charges of 8.7% is greater than the proposed increase in the variable rates </w:t>
      </w:r>
      <w:r w:rsidRPr="00443386">
        <w:t>of 7.7%</w:t>
      </w:r>
    </w:p>
  </w:footnote>
  <w:footnote w:id="4">
    <w:p w:rsidR="00BF0B67" w:rsidRDefault="00BF0B67" w:rsidP="0021578E">
      <w:pPr>
        <w:pStyle w:val="FootnoteText"/>
        <w:jc w:val="both"/>
      </w:pPr>
      <w:r w:rsidRPr="0030773D">
        <w:rPr>
          <w:rStyle w:val="FootnoteReference"/>
        </w:rPr>
        <w:footnoteRef/>
      </w:r>
      <w:r w:rsidRPr="0030773D">
        <w:t xml:space="preserve"> Schedule 111 Minimum Charge increase equals the $4 increase in Schedule 101 Basic Cha</w:t>
      </w:r>
      <w:r>
        <w:t>r</w:t>
      </w:r>
      <w:r w:rsidRPr="0030773D">
        <w:t>ge plus 200 therms multiplied by the change in the variable rate (200*$0.00337 = $0.67).  That total is $4.67</w:t>
      </w:r>
      <w:r>
        <w:t xml:space="preserve">, which is $0.12 lower than the </w:t>
      </w:r>
      <w:r w:rsidRPr="0030773D">
        <w:t xml:space="preserve">true breakeven </w:t>
      </w:r>
      <w:r>
        <w:t xml:space="preserve">of </w:t>
      </w:r>
      <w:r w:rsidRPr="0030773D">
        <w:t>$4.79</w:t>
      </w:r>
      <w:r>
        <w:t xml:space="preserve">.  </w:t>
      </w:r>
      <w:r w:rsidRPr="0030773D">
        <w:t>By adding this small, additional amount, the breakeven bill at 200 therms for Schedules 101 and 111 is $170.50.</w:t>
      </w:r>
      <w:r>
        <w:t xml:space="preserve">  </w:t>
      </w:r>
    </w:p>
  </w:footnote>
  <w:footnote w:id="5">
    <w:p w:rsidR="00BF0B67" w:rsidRPr="00EB082C" w:rsidRDefault="00BF0B67" w:rsidP="00311F09">
      <w:pPr>
        <w:pStyle w:val="FootnoteText"/>
        <w:jc w:val="both"/>
      </w:pPr>
      <w:r w:rsidRPr="00EB082C">
        <w:rPr>
          <w:rStyle w:val="FootnoteReference"/>
        </w:rPr>
        <w:footnoteRef/>
      </w:r>
      <w:r w:rsidRPr="00EB082C">
        <w:t xml:space="preserve"> </w:t>
      </w:r>
      <w:r>
        <w:t xml:space="preserve">Lafferty, </w:t>
      </w:r>
      <w:r w:rsidRPr="00D94D79">
        <w:t>Exhibit No. ___(RJL-2)</w:t>
      </w:r>
      <w:r>
        <w:t>, p</w:t>
      </w:r>
      <w:r w:rsidRPr="00EB082C">
        <w:t xml:space="preserve"> </w:t>
      </w:r>
      <w:r>
        <w:t xml:space="preserve">IV.  </w:t>
      </w:r>
    </w:p>
  </w:footnote>
  <w:footnote w:id="6">
    <w:p w:rsidR="00BF0B67" w:rsidRDefault="00BF0B67" w:rsidP="00311F09">
      <w:pPr>
        <w:pStyle w:val="FootnoteText"/>
        <w:jc w:val="both"/>
      </w:pPr>
      <w:r w:rsidRPr="00EB082C">
        <w:rPr>
          <w:rStyle w:val="FootnoteReference"/>
        </w:rPr>
        <w:footnoteRef/>
      </w:r>
      <w:r w:rsidRPr="00EB082C">
        <w:t xml:space="preserve"> </w:t>
      </w:r>
      <w:r>
        <w:t xml:space="preserve">Christie, </w:t>
      </w:r>
      <w:r w:rsidRPr="00EB082C">
        <w:t xml:space="preserve">Exhibit No. </w:t>
      </w:r>
      <w:r w:rsidRPr="0031526F">
        <w:t>___(KJC-</w:t>
      </w:r>
      <w:r>
        <w:t>2</w:t>
      </w:r>
      <w:r w:rsidRPr="00EB082C">
        <w:t>)</w:t>
      </w:r>
      <w:r>
        <w:t>, p</w:t>
      </w:r>
      <w:r w:rsidRPr="00EB082C">
        <w:t xml:space="preserve"> 1.5</w:t>
      </w:r>
      <w:r>
        <w:t>.</w:t>
      </w:r>
    </w:p>
  </w:footnote>
  <w:footnote w:id="7">
    <w:p w:rsidR="00BF0B67" w:rsidRDefault="00BF0B67" w:rsidP="00F10C1F">
      <w:pPr>
        <w:pStyle w:val="FootnoteText"/>
      </w:pPr>
      <w:r>
        <w:rPr>
          <w:rStyle w:val="FootnoteReference"/>
        </w:rPr>
        <w:footnoteRef/>
      </w:r>
      <w:r>
        <w:t xml:space="preserve"> Puget Sound Energy </w:t>
      </w:r>
      <w:r w:rsidRPr="00AE2FA5">
        <w:t>Dockets UE-060266 and UG-060267</w:t>
      </w:r>
      <w:r>
        <w:t>, O</w:t>
      </w:r>
      <w:r w:rsidRPr="00AE2FA5">
        <w:t>rder No. 08,</w:t>
      </w:r>
      <w:r>
        <w:t xml:space="preserve"> ¶139. </w:t>
      </w:r>
    </w:p>
  </w:footnote>
  <w:footnote w:id="8">
    <w:p w:rsidR="00BF0B67" w:rsidRDefault="00BF0B67" w:rsidP="00F10C1F">
      <w:pPr>
        <w:pStyle w:val="FootnoteText"/>
      </w:pPr>
      <w:r>
        <w:rPr>
          <w:rStyle w:val="FootnoteReference"/>
        </w:rPr>
        <w:footnoteRef/>
      </w:r>
      <w:r>
        <w:t xml:space="preserve"> Avista Docket UG-060518, “Evaluation of Avista Gas Decoupling Mechanism Pilot”, </w:t>
      </w:r>
      <w:proofErr w:type="spellStart"/>
      <w:r>
        <w:t>p.81</w:t>
      </w:r>
      <w:proofErr w:type="spellEnd"/>
      <w:r>
        <w:t xml:space="preserve">, Table </w:t>
      </w:r>
      <w:proofErr w:type="spellStart"/>
      <w:r>
        <w:t>K10</w:t>
      </w:r>
      <w:proofErr w:type="spellEnd"/>
      <w:r>
        <w:t>.</w:t>
      </w:r>
    </w:p>
  </w:footnote>
  <w:footnote w:id="9">
    <w:p w:rsidR="00BF0B67" w:rsidRDefault="00BF0B67">
      <w:pPr>
        <w:pStyle w:val="FootnoteText"/>
      </w:pPr>
      <w:r>
        <w:rPr>
          <w:rStyle w:val="FootnoteReference"/>
        </w:rPr>
        <w:footnoteRef/>
      </w:r>
      <w:r>
        <w:t xml:space="preserve"> Avista Docket UE-111882, “2012-2013 Biennial Conservation Plan of Avista Corporation”, p. 3.</w:t>
      </w:r>
    </w:p>
  </w:footnote>
  <w:footnote w:id="10">
    <w:p w:rsidR="00BF0B67" w:rsidRDefault="00BF0B67">
      <w:pPr>
        <w:pStyle w:val="FootnoteText"/>
      </w:pPr>
      <w:r>
        <w:rPr>
          <w:rStyle w:val="FootnoteReference"/>
        </w:rPr>
        <w:footnoteRef/>
      </w:r>
      <w:r>
        <w:t xml:space="preserve"> Id. at 12.</w:t>
      </w:r>
    </w:p>
  </w:footnote>
  <w:footnote w:id="11">
    <w:p w:rsidR="00BF0B67" w:rsidRDefault="00BF0B67" w:rsidP="000C21C5">
      <w:pPr>
        <w:pStyle w:val="FootnoteText"/>
      </w:pPr>
      <w:r>
        <w:rPr>
          <w:rStyle w:val="FootnoteReference"/>
        </w:rPr>
        <w:footnoteRef/>
      </w:r>
      <w:r>
        <w:t xml:space="preserve"> Id.</w:t>
      </w:r>
    </w:p>
  </w:footnote>
  <w:footnote w:id="12">
    <w:p w:rsidR="00BF0B67" w:rsidRDefault="00BF0B67" w:rsidP="00135AD1">
      <w:pPr>
        <w:pStyle w:val="FootnoteText"/>
      </w:pPr>
      <w:r>
        <w:rPr>
          <w:rStyle w:val="FootnoteReference"/>
        </w:rPr>
        <w:footnoteRef/>
      </w:r>
      <w:r>
        <w:t xml:space="preserve"> Of the 27.3 million kWhs saved, 5.2% came from Schedule 11 customers and 94.8% came from Schedule 1 customers.  See Ehrbar electronic workpapers for calculation.</w:t>
      </w:r>
    </w:p>
  </w:footnote>
  <w:footnote w:id="13">
    <w:p w:rsidR="00BF0B67" w:rsidRDefault="00BF0B67">
      <w:pPr>
        <w:pStyle w:val="FootnoteText"/>
      </w:pPr>
      <w:r>
        <w:rPr>
          <w:rStyle w:val="FootnoteReference"/>
        </w:rPr>
        <w:footnoteRef/>
      </w:r>
      <w:r>
        <w:t xml:space="preserve"> Johnson Exhibit No.___(WGJ-4).  See annual “Average Market Sale and Purchase Price per MWH”.</w:t>
      </w:r>
    </w:p>
  </w:footnote>
  <w:footnote w:id="14">
    <w:p w:rsidR="00BF0B67" w:rsidRPr="006B346B" w:rsidRDefault="00BF0B67" w:rsidP="00872D83">
      <w:pPr>
        <w:pStyle w:val="FootnoteText"/>
        <w:jc w:val="both"/>
      </w:pPr>
      <w:r w:rsidRPr="006B346B">
        <w:rPr>
          <w:rStyle w:val="FootnoteReference"/>
        </w:rPr>
        <w:footnoteRef/>
      </w:r>
      <w:r w:rsidRPr="006B346B">
        <w:t xml:space="preserve"> </w:t>
      </w:r>
      <w:bookmarkStart w:id="1" w:name="19.285.060"/>
      <w:r>
        <w:t>RCW 19.285.060:  “</w:t>
      </w:r>
      <w:r w:rsidRPr="006B346B">
        <w:rPr>
          <w:rStyle w:val="apple-style-span"/>
          <w:color w:val="000000"/>
        </w:rPr>
        <w:t>A qualifying utility that fails to comply with the energy conservation or renewable energy targets established in</w:t>
      </w:r>
      <w:r>
        <w:rPr>
          <w:rStyle w:val="apple-style-span"/>
          <w:color w:val="000000"/>
        </w:rPr>
        <w:t xml:space="preserve"> </w:t>
      </w:r>
      <w:r w:rsidRPr="006B346B">
        <w:rPr>
          <w:rStyle w:val="apple-style-span"/>
          <w:color w:val="000000"/>
        </w:rPr>
        <w:t>RCW</w:t>
      </w:r>
      <w:r w:rsidRPr="006B346B">
        <w:rPr>
          <w:rStyle w:val="apple-converted-space"/>
          <w:color w:val="000000"/>
        </w:rPr>
        <w:t> </w:t>
      </w:r>
      <w:bookmarkEnd w:id="1"/>
      <w:r w:rsidRPr="006B346B">
        <w:rPr>
          <w:rStyle w:val="apple-style-span"/>
          <w:color w:val="000000"/>
        </w:rPr>
        <w:t>19.285.040</w:t>
      </w:r>
      <w:r w:rsidRPr="006B346B">
        <w:rPr>
          <w:rStyle w:val="apple-converted-space"/>
          <w:color w:val="000000"/>
        </w:rPr>
        <w:t> </w:t>
      </w:r>
      <w:r w:rsidRPr="006B346B">
        <w:rPr>
          <w:rStyle w:val="apple-style-span"/>
          <w:color w:val="000000"/>
        </w:rPr>
        <w:t>shall pay an administrative penalty to the state of Washington in the amount of fifty dollars for each</w:t>
      </w:r>
      <w:r>
        <w:rPr>
          <w:rStyle w:val="apple-style-span"/>
          <w:color w:val="000000"/>
        </w:rPr>
        <w:t xml:space="preserve"> </w:t>
      </w:r>
      <w:r w:rsidRPr="006B346B">
        <w:rPr>
          <w:rStyle w:val="apple-style-span"/>
          <w:color w:val="000000"/>
        </w:rPr>
        <w:t>megawatt-hour of shortfall</w:t>
      </w:r>
      <w:r>
        <w:rPr>
          <w:rStyle w:val="apple-style-span"/>
          <w:color w:val="000000"/>
        </w:rPr>
        <w:t>.”</w:t>
      </w:r>
    </w:p>
  </w:footnote>
  <w:footnote w:id="15">
    <w:p w:rsidR="00BF0B67" w:rsidRDefault="00BF0B67" w:rsidP="000F5D38">
      <w:pPr>
        <w:pStyle w:val="FootnoteText"/>
        <w:jc w:val="both"/>
      </w:pPr>
      <w:r>
        <w:rPr>
          <w:rStyle w:val="FootnoteReference"/>
        </w:rPr>
        <w:footnoteRef/>
      </w:r>
      <w:r>
        <w:t xml:space="preserve"> Includes gross up for revenue related expenses.  Actual balance as of 12/31/2011 is $12,947,628.</w:t>
      </w:r>
    </w:p>
  </w:footnote>
  <w:footnote w:id="16">
    <w:p w:rsidR="00BF0B67" w:rsidRDefault="00BF0B67">
      <w:pPr>
        <w:pStyle w:val="FootnoteText"/>
      </w:pPr>
      <w:r>
        <w:rPr>
          <w:rStyle w:val="FootnoteReference"/>
        </w:rPr>
        <w:footnoteRef/>
      </w:r>
      <w:r>
        <w:t xml:space="preserve"> Avista Docket UE-011595, Fifth Supplemental Order (June 18, 2002), Settlement Stipulation, p.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pPr>
      <w:pStyle w:val="Header"/>
      <w:jc w:val="right"/>
    </w:pPr>
    <w:r>
      <w:t>Exhibit No. ___(PDE-1T)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B67" w:rsidRDefault="00BF0B67" w:rsidP="007B58C5">
    <w:pPr>
      <w:pStyle w:val="Header"/>
      <w:jc w:val="right"/>
    </w:pPr>
    <w:r>
      <w:t>Exhibit No. ___(PDE-1T)</w:t>
    </w:r>
  </w:p>
  <w:p w:rsidR="00BF0B67" w:rsidRDefault="00BF0B67"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017"/>
    <w:multiLevelType w:val="hybridMultilevel"/>
    <w:tmpl w:val="C2863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0F0A25AE"/>
    <w:multiLevelType w:val="hybridMultilevel"/>
    <w:tmpl w:val="CE447D62"/>
    <w:lvl w:ilvl="0" w:tplc="1FCACEF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7">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8">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9">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1">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3">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4">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5">
    <w:nsid w:val="227A56D3"/>
    <w:multiLevelType w:val="hybridMultilevel"/>
    <w:tmpl w:val="7EA28972"/>
    <w:lvl w:ilvl="0" w:tplc="4D6EE88E">
      <w:start w:val="1"/>
      <w:numFmt w:val="upperLetter"/>
      <w:lvlText w:val="%1."/>
      <w:lvlJc w:val="left"/>
      <w:pPr>
        <w:tabs>
          <w:tab w:val="num" w:pos="1530"/>
        </w:tabs>
        <w:ind w:left="1530" w:hanging="720"/>
      </w:pPr>
      <w:rPr>
        <w:rFonts w:ascii="Times New Roman" w:eastAsia="Times New Roman" w:hAnsi="Times New Roman" w:cs="Times New Roman"/>
      </w:rPr>
    </w:lvl>
    <w:lvl w:ilvl="1" w:tplc="46324E58">
      <w:start w:val="17"/>
      <w:numFmt w:val="upperLetter"/>
      <w:lvlText w:val="%2."/>
      <w:lvlJc w:val="left"/>
      <w:pPr>
        <w:tabs>
          <w:tab w:val="num" w:pos="2970"/>
        </w:tabs>
        <w:ind w:left="2970" w:hanging="144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6">
    <w:nsid w:val="235E76F7"/>
    <w:multiLevelType w:val="multilevel"/>
    <w:tmpl w:val="7736C418"/>
    <w:styleLink w:val="RTF5fNum2027"/>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9">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0">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2">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3">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4">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3E126A0D"/>
    <w:multiLevelType w:val="hybridMultilevel"/>
    <w:tmpl w:val="89EE0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7">
    <w:nsid w:val="45825E14"/>
    <w:multiLevelType w:val="hybridMultilevel"/>
    <w:tmpl w:val="5E068FDA"/>
    <w:lvl w:ilvl="0" w:tplc="36221CBE">
      <w:start w:val="1"/>
      <w:numFmt w:val="upp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9">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0">
    <w:nsid w:val="4F301ADC"/>
    <w:multiLevelType w:val="hybridMultilevel"/>
    <w:tmpl w:val="29FC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32">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8159CF"/>
    <w:multiLevelType w:val="singleLevel"/>
    <w:tmpl w:val="214EFFDC"/>
    <w:lvl w:ilvl="0">
      <w:start w:val="17"/>
      <w:numFmt w:val="upperLetter"/>
      <w:lvlText w:val="%1."/>
      <w:lvlJc w:val="left"/>
      <w:pPr>
        <w:tabs>
          <w:tab w:val="num" w:pos="1440"/>
        </w:tabs>
        <w:ind w:left="1440" w:hanging="720"/>
      </w:pPr>
      <w:rPr>
        <w:rFonts w:cs="Times New Roman" w:hint="default"/>
      </w:rPr>
    </w:lvl>
  </w:abstractNum>
  <w:abstractNum w:abstractNumId="34">
    <w:nsid w:val="56891531"/>
    <w:multiLevelType w:val="hybridMultilevel"/>
    <w:tmpl w:val="568EE9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36">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37">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0C3609E"/>
    <w:multiLevelType w:val="hybridMultilevel"/>
    <w:tmpl w:val="481CBC8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4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44">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5">
    <w:nsid w:val="76654A71"/>
    <w:multiLevelType w:val="hybridMultilevel"/>
    <w:tmpl w:val="144C2512"/>
    <w:lvl w:ilvl="0" w:tplc="8C32BD2E">
      <w:start w:val="17"/>
      <w:numFmt w:val="upp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46">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6"/>
  </w:num>
  <w:num w:numId="2">
    <w:abstractNumId w:val="29"/>
  </w:num>
  <w:num w:numId="3">
    <w:abstractNumId w:val="2"/>
  </w:num>
  <w:num w:numId="4">
    <w:abstractNumId w:val="21"/>
  </w:num>
  <w:num w:numId="5">
    <w:abstractNumId w:val="6"/>
  </w:num>
  <w:num w:numId="6">
    <w:abstractNumId w:val="19"/>
  </w:num>
  <w:num w:numId="7">
    <w:abstractNumId w:val="10"/>
  </w:num>
  <w:num w:numId="8">
    <w:abstractNumId w:val="14"/>
  </w:num>
  <w:num w:numId="9">
    <w:abstractNumId w:val="24"/>
  </w:num>
  <w:num w:numId="10">
    <w:abstractNumId w:val="17"/>
  </w:num>
  <w:num w:numId="11">
    <w:abstractNumId w:val="8"/>
  </w:num>
  <w:num w:numId="12">
    <w:abstractNumId w:val="44"/>
  </w:num>
  <w:num w:numId="13">
    <w:abstractNumId w:val="42"/>
  </w:num>
  <w:num w:numId="14">
    <w:abstractNumId w:val="46"/>
  </w:num>
  <w:num w:numId="15">
    <w:abstractNumId w:val="13"/>
  </w:num>
  <w:num w:numId="16">
    <w:abstractNumId w:val="16"/>
  </w:num>
  <w:num w:numId="17">
    <w:abstractNumId w:val="23"/>
  </w:num>
  <w:num w:numId="18">
    <w:abstractNumId w:val="43"/>
  </w:num>
  <w:num w:numId="19">
    <w:abstractNumId w:val="18"/>
  </w:num>
  <w:num w:numId="20">
    <w:abstractNumId w:val="36"/>
  </w:num>
  <w:num w:numId="21">
    <w:abstractNumId w:val="1"/>
  </w:num>
  <w:num w:numId="22">
    <w:abstractNumId w:val="35"/>
  </w:num>
  <w:num w:numId="23">
    <w:abstractNumId w:val="28"/>
  </w:num>
  <w:num w:numId="24">
    <w:abstractNumId w:val="22"/>
  </w:num>
  <w:num w:numId="25">
    <w:abstractNumId w:val="4"/>
  </w:num>
  <w:num w:numId="26">
    <w:abstractNumId w:val="3"/>
  </w:num>
  <w:num w:numId="27">
    <w:abstractNumId w:val="12"/>
  </w:num>
  <w:num w:numId="28">
    <w:abstractNumId w:val="41"/>
  </w:num>
  <w:num w:numId="29">
    <w:abstractNumId w:val="11"/>
  </w:num>
  <w:num w:numId="30">
    <w:abstractNumId w:val="31"/>
  </w:num>
  <w:num w:numId="31">
    <w:abstractNumId w:val="37"/>
  </w:num>
  <w:num w:numId="32">
    <w:abstractNumId w:val="38"/>
  </w:num>
  <w:num w:numId="33">
    <w:abstractNumId w:val="32"/>
  </w:num>
  <w:num w:numId="34">
    <w:abstractNumId w:val="7"/>
  </w:num>
  <w:num w:numId="35">
    <w:abstractNumId w:val="33"/>
  </w:num>
  <w:num w:numId="36">
    <w:abstractNumId w:val="45"/>
  </w:num>
  <w:num w:numId="37">
    <w:abstractNumId w:val="5"/>
  </w:num>
  <w:num w:numId="38">
    <w:abstractNumId w:val="27"/>
  </w:num>
  <w:num w:numId="39">
    <w:abstractNumId w:val="15"/>
  </w:num>
  <w:num w:numId="40">
    <w:abstractNumId w:val="40"/>
  </w:num>
  <w:num w:numId="41">
    <w:abstractNumId w:val="25"/>
  </w:num>
  <w:num w:numId="42">
    <w:abstractNumId w:val="34"/>
  </w:num>
  <w:num w:numId="43">
    <w:abstractNumId w:val="0"/>
  </w:num>
  <w:num w:numId="44">
    <w:abstractNumId w:val="30"/>
  </w:num>
  <w:num w:numId="45">
    <w:abstractNumId w:val="9"/>
  </w:num>
  <w:num w:numId="46">
    <w:abstractNumId w:val="39"/>
  </w:num>
  <w:num w:numId="47">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3068"/>
    <w:rsid w:val="00005690"/>
    <w:rsid w:val="00006E2F"/>
    <w:rsid w:val="00007E94"/>
    <w:rsid w:val="00010FB3"/>
    <w:rsid w:val="00013EB7"/>
    <w:rsid w:val="0001498B"/>
    <w:rsid w:val="00016F05"/>
    <w:rsid w:val="00022EA9"/>
    <w:rsid w:val="00024AC8"/>
    <w:rsid w:val="0003051A"/>
    <w:rsid w:val="0003347A"/>
    <w:rsid w:val="0003621B"/>
    <w:rsid w:val="00042739"/>
    <w:rsid w:val="00045C70"/>
    <w:rsid w:val="00046323"/>
    <w:rsid w:val="000504EF"/>
    <w:rsid w:val="00054A99"/>
    <w:rsid w:val="00064145"/>
    <w:rsid w:val="00066C73"/>
    <w:rsid w:val="0006733F"/>
    <w:rsid w:val="00067420"/>
    <w:rsid w:val="00070A2E"/>
    <w:rsid w:val="0007197F"/>
    <w:rsid w:val="000725F5"/>
    <w:rsid w:val="00075515"/>
    <w:rsid w:val="00075612"/>
    <w:rsid w:val="00081958"/>
    <w:rsid w:val="000831A6"/>
    <w:rsid w:val="000844DB"/>
    <w:rsid w:val="0008527C"/>
    <w:rsid w:val="000925D0"/>
    <w:rsid w:val="000926C0"/>
    <w:rsid w:val="000926CF"/>
    <w:rsid w:val="0009624A"/>
    <w:rsid w:val="0009730E"/>
    <w:rsid w:val="000A0894"/>
    <w:rsid w:val="000A204F"/>
    <w:rsid w:val="000A2244"/>
    <w:rsid w:val="000A232B"/>
    <w:rsid w:val="000A2AD6"/>
    <w:rsid w:val="000A3548"/>
    <w:rsid w:val="000A497F"/>
    <w:rsid w:val="000A4A15"/>
    <w:rsid w:val="000A4C44"/>
    <w:rsid w:val="000A502C"/>
    <w:rsid w:val="000A6665"/>
    <w:rsid w:val="000A6734"/>
    <w:rsid w:val="000A6BBC"/>
    <w:rsid w:val="000B567E"/>
    <w:rsid w:val="000B5939"/>
    <w:rsid w:val="000B5DDE"/>
    <w:rsid w:val="000B6A29"/>
    <w:rsid w:val="000B7DDE"/>
    <w:rsid w:val="000C19AD"/>
    <w:rsid w:val="000C21C5"/>
    <w:rsid w:val="000C64E4"/>
    <w:rsid w:val="000D5132"/>
    <w:rsid w:val="000D6ABC"/>
    <w:rsid w:val="000D6BFD"/>
    <w:rsid w:val="000D7C83"/>
    <w:rsid w:val="000E2E27"/>
    <w:rsid w:val="000E6F31"/>
    <w:rsid w:val="000F0B81"/>
    <w:rsid w:val="000F2A4D"/>
    <w:rsid w:val="000F3263"/>
    <w:rsid w:val="000F3897"/>
    <w:rsid w:val="000F3DC4"/>
    <w:rsid w:val="000F5D38"/>
    <w:rsid w:val="000F6CFB"/>
    <w:rsid w:val="00100091"/>
    <w:rsid w:val="001020C1"/>
    <w:rsid w:val="00102C9F"/>
    <w:rsid w:val="00102DA5"/>
    <w:rsid w:val="00103E4A"/>
    <w:rsid w:val="00106FF3"/>
    <w:rsid w:val="001121FA"/>
    <w:rsid w:val="00112801"/>
    <w:rsid w:val="00113A3C"/>
    <w:rsid w:val="001210ED"/>
    <w:rsid w:val="0012232D"/>
    <w:rsid w:val="00122BB9"/>
    <w:rsid w:val="0012369E"/>
    <w:rsid w:val="001279B7"/>
    <w:rsid w:val="00131A33"/>
    <w:rsid w:val="00131E05"/>
    <w:rsid w:val="00133769"/>
    <w:rsid w:val="0013455F"/>
    <w:rsid w:val="00135AD1"/>
    <w:rsid w:val="00137989"/>
    <w:rsid w:val="00141F88"/>
    <w:rsid w:val="00147D24"/>
    <w:rsid w:val="00150518"/>
    <w:rsid w:val="00156D28"/>
    <w:rsid w:val="0015701E"/>
    <w:rsid w:val="00162D05"/>
    <w:rsid w:val="001634DE"/>
    <w:rsid w:val="00170A22"/>
    <w:rsid w:val="00171B4C"/>
    <w:rsid w:val="00174FCE"/>
    <w:rsid w:val="0017674C"/>
    <w:rsid w:val="00177866"/>
    <w:rsid w:val="00177CFC"/>
    <w:rsid w:val="00180519"/>
    <w:rsid w:val="00185D46"/>
    <w:rsid w:val="0019267A"/>
    <w:rsid w:val="00197176"/>
    <w:rsid w:val="001A3017"/>
    <w:rsid w:val="001A315C"/>
    <w:rsid w:val="001A4278"/>
    <w:rsid w:val="001A60D6"/>
    <w:rsid w:val="001A786F"/>
    <w:rsid w:val="001B23F5"/>
    <w:rsid w:val="001B2DA2"/>
    <w:rsid w:val="001B3BF7"/>
    <w:rsid w:val="001C15C7"/>
    <w:rsid w:val="001C4645"/>
    <w:rsid w:val="001C57DE"/>
    <w:rsid w:val="001C5F10"/>
    <w:rsid w:val="001C6565"/>
    <w:rsid w:val="001D224A"/>
    <w:rsid w:val="001D2BD3"/>
    <w:rsid w:val="001E12F2"/>
    <w:rsid w:val="001E427B"/>
    <w:rsid w:val="001E65B2"/>
    <w:rsid w:val="001E6D70"/>
    <w:rsid w:val="001F0D77"/>
    <w:rsid w:val="001F4EC4"/>
    <w:rsid w:val="00200521"/>
    <w:rsid w:val="00203679"/>
    <w:rsid w:val="002041A4"/>
    <w:rsid w:val="00204C48"/>
    <w:rsid w:val="00206BDE"/>
    <w:rsid w:val="00207D6E"/>
    <w:rsid w:val="0021578E"/>
    <w:rsid w:val="00216493"/>
    <w:rsid w:val="00216BB6"/>
    <w:rsid w:val="00221538"/>
    <w:rsid w:val="00232747"/>
    <w:rsid w:val="002336F1"/>
    <w:rsid w:val="00233F30"/>
    <w:rsid w:val="002369E0"/>
    <w:rsid w:val="002467E2"/>
    <w:rsid w:val="0025349A"/>
    <w:rsid w:val="002543B2"/>
    <w:rsid w:val="00257659"/>
    <w:rsid w:val="00265299"/>
    <w:rsid w:val="00265A10"/>
    <w:rsid w:val="00266EF0"/>
    <w:rsid w:val="00272E6B"/>
    <w:rsid w:val="002734F6"/>
    <w:rsid w:val="002746C1"/>
    <w:rsid w:val="0027643C"/>
    <w:rsid w:val="00280678"/>
    <w:rsid w:val="00282E3C"/>
    <w:rsid w:val="0028794F"/>
    <w:rsid w:val="0029101F"/>
    <w:rsid w:val="00292D6F"/>
    <w:rsid w:val="00294B78"/>
    <w:rsid w:val="00294C0F"/>
    <w:rsid w:val="00294CA7"/>
    <w:rsid w:val="0029596D"/>
    <w:rsid w:val="002A1F24"/>
    <w:rsid w:val="002A2752"/>
    <w:rsid w:val="002A433D"/>
    <w:rsid w:val="002B6EA3"/>
    <w:rsid w:val="002B738D"/>
    <w:rsid w:val="002C0C2F"/>
    <w:rsid w:val="002C1940"/>
    <w:rsid w:val="002C60CB"/>
    <w:rsid w:val="002D398E"/>
    <w:rsid w:val="002E3123"/>
    <w:rsid w:val="002E3552"/>
    <w:rsid w:val="002F0D16"/>
    <w:rsid w:val="002F3BC3"/>
    <w:rsid w:val="00301EC5"/>
    <w:rsid w:val="0030773D"/>
    <w:rsid w:val="00311F09"/>
    <w:rsid w:val="0031526F"/>
    <w:rsid w:val="003162C7"/>
    <w:rsid w:val="003279B2"/>
    <w:rsid w:val="00334F95"/>
    <w:rsid w:val="00336CAF"/>
    <w:rsid w:val="003370D8"/>
    <w:rsid w:val="00337649"/>
    <w:rsid w:val="00337BB3"/>
    <w:rsid w:val="00346019"/>
    <w:rsid w:val="00352B85"/>
    <w:rsid w:val="003538D4"/>
    <w:rsid w:val="00364F2D"/>
    <w:rsid w:val="00371D94"/>
    <w:rsid w:val="003730D2"/>
    <w:rsid w:val="00377BBA"/>
    <w:rsid w:val="003B133A"/>
    <w:rsid w:val="003C1E67"/>
    <w:rsid w:val="003C3120"/>
    <w:rsid w:val="003C50D7"/>
    <w:rsid w:val="003C53DB"/>
    <w:rsid w:val="003D2E9A"/>
    <w:rsid w:val="003D716B"/>
    <w:rsid w:val="003D71F3"/>
    <w:rsid w:val="003E2C1F"/>
    <w:rsid w:val="003E52DF"/>
    <w:rsid w:val="003E654B"/>
    <w:rsid w:val="003F11AC"/>
    <w:rsid w:val="003F5EB7"/>
    <w:rsid w:val="003F766B"/>
    <w:rsid w:val="0040013A"/>
    <w:rsid w:val="00407743"/>
    <w:rsid w:val="00411FE6"/>
    <w:rsid w:val="004163BA"/>
    <w:rsid w:val="00416D8E"/>
    <w:rsid w:val="0043473F"/>
    <w:rsid w:val="00434EE0"/>
    <w:rsid w:val="00437F07"/>
    <w:rsid w:val="00443386"/>
    <w:rsid w:val="00444CC5"/>
    <w:rsid w:val="0044635D"/>
    <w:rsid w:val="00451B1C"/>
    <w:rsid w:val="004568E4"/>
    <w:rsid w:val="00460A8B"/>
    <w:rsid w:val="004713C9"/>
    <w:rsid w:val="00474CF8"/>
    <w:rsid w:val="00476E35"/>
    <w:rsid w:val="004868D1"/>
    <w:rsid w:val="00492441"/>
    <w:rsid w:val="004940D3"/>
    <w:rsid w:val="00497EDA"/>
    <w:rsid w:val="004A3FBB"/>
    <w:rsid w:val="004A43E9"/>
    <w:rsid w:val="004A5E75"/>
    <w:rsid w:val="004A5E9F"/>
    <w:rsid w:val="004B1B0F"/>
    <w:rsid w:val="004B1D0C"/>
    <w:rsid w:val="004B23F1"/>
    <w:rsid w:val="004B4017"/>
    <w:rsid w:val="004B5392"/>
    <w:rsid w:val="004B6F76"/>
    <w:rsid w:val="004C1B9A"/>
    <w:rsid w:val="004C2025"/>
    <w:rsid w:val="004C58FC"/>
    <w:rsid w:val="004C5C79"/>
    <w:rsid w:val="004D081B"/>
    <w:rsid w:val="004D0E04"/>
    <w:rsid w:val="004D102F"/>
    <w:rsid w:val="004D1B1A"/>
    <w:rsid w:val="004D207D"/>
    <w:rsid w:val="004D28F2"/>
    <w:rsid w:val="004D772E"/>
    <w:rsid w:val="004E4650"/>
    <w:rsid w:val="004E5181"/>
    <w:rsid w:val="004E793A"/>
    <w:rsid w:val="004F713F"/>
    <w:rsid w:val="0050216C"/>
    <w:rsid w:val="005141FE"/>
    <w:rsid w:val="00515008"/>
    <w:rsid w:val="00517717"/>
    <w:rsid w:val="00520565"/>
    <w:rsid w:val="00524793"/>
    <w:rsid w:val="00524EA6"/>
    <w:rsid w:val="00531D60"/>
    <w:rsid w:val="00536E7C"/>
    <w:rsid w:val="00541BEB"/>
    <w:rsid w:val="0054237D"/>
    <w:rsid w:val="005426B3"/>
    <w:rsid w:val="00545B95"/>
    <w:rsid w:val="005540EB"/>
    <w:rsid w:val="0055620C"/>
    <w:rsid w:val="00562193"/>
    <w:rsid w:val="0056366E"/>
    <w:rsid w:val="005678FA"/>
    <w:rsid w:val="00571787"/>
    <w:rsid w:val="00577848"/>
    <w:rsid w:val="00580834"/>
    <w:rsid w:val="005819D4"/>
    <w:rsid w:val="00583438"/>
    <w:rsid w:val="0058469D"/>
    <w:rsid w:val="00585860"/>
    <w:rsid w:val="00586BE2"/>
    <w:rsid w:val="00586CB3"/>
    <w:rsid w:val="00592BD1"/>
    <w:rsid w:val="00593603"/>
    <w:rsid w:val="00593B68"/>
    <w:rsid w:val="00596611"/>
    <w:rsid w:val="005A10A8"/>
    <w:rsid w:val="005A200C"/>
    <w:rsid w:val="005A37F6"/>
    <w:rsid w:val="005A38EB"/>
    <w:rsid w:val="005A6FE5"/>
    <w:rsid w:val="005A6FF9"/>
    <w:rsid w:val="005B0B41"/>
    <w:rsid w:val="005B4C72"/>
    <w:rsid w:val="005B5994"/>
    <w:rsid w:val="005C1AB9"/>
    <w:rsid w:val="005C2C88"/>
    <w:rsid w:val="005C3EE2"/>
    <w:rsid w:val="005C4E2C"/>
    <w:rsid w:val="005D0943"/>
    <w:rsid w:val="005D45EC"/>
    <w:rsid w:val="005D7A9E"/>
    <w:rsid w:val="005E25D7"/>
    <w:rsid w:val="005F0B42"/>
    <w:rsid w:val="005F1CE5"/>
    <w:rsid w:val="00601C28"/>
    <w:rsid w:val="006057DA"/>
    <w:rsid w:val="0061080A"/>
    <w:rsid w:val="00614DB9"/>
    <w:rsid w:val="0061684F"/>
    <w:rsid w:val="00620985"/>
    <w:rsid w:val="00625666"/>
    <w:rsid w:val="00633F02"/>
    <w:rsid w:val="00634835"/>
    <w:rsid w:val="006368E0"/>
    <w:rsid w:val="00643147"/>
    <w:rsid w:val="006435B7"/>
    <w:rsid w:val="00643CE5"/>
    <w:rsid w:val="0064487F"/>
    <w:rsid w:val="00644E23"/>
    <w:rsid w:val="00645683"/>
    <w:rsid w:val="006470C2"/>
    <w:rsid w:val="006554D4"/>
    <w:rsid w:val="0065749C"/>
    <w:rsid w:val="00664B41"/>
    <w:rsid w:val="00667220"/>
    <w:rsid w:val="006676B9"/>
    <w:rsid w:val="00672D65"/>
    <w:rsid w:val="00675C4E"/>
    <w:rsid w:val="00680941"/>
    <w:rsid w:val="006848C3"/>
    <w:rsid w:val="0068497F"/>
    <w:rsid w:val="00685D0C"/>
    <w:rsid w:val="00686872"/>
    <w:rsid w:val="00690866"/>
    <w:rsid w:val="006A2A4B"/>
    <w:rsid w:val="006A2C7D"/>
    <w:rsid w:val="006A2F58"/>
    <w:rsid w:val="006A4BDB"/>
    <w:rsid w:val="006B1DF5"/>
    <w:rsid w:val="006B4092"/>
    <w:rsid w:val="006B6BC2"/>
    <w:rsid w:val="006C1681"/>
    <w:rsid w:val="006C2F60"/>
    <w:rsid w:val="006C6690"/>
    <w:rsid w:val="006C681F"/>
    <w:rsid w:val="006D0B08"/>
    <w:rsid w:val="006D0C1F"/>
    <w:rsid w:val="006D3C1A"/>
    <w:rsid w:val="006E11B2"/>
    <w:rsid w:val="006E2663"/>
    <w:rsid w:val="006F42EC"/>
    <w:rsid w:val="006F6605"/>
    <w:rsid w:val="006F730C"/>
    <w:rsid w:val="00702E30"/>
    <w:rsid w:val="00704982"/>
    <w:rsid w:val="00704EEB"/>
    <w:rsid w:val="007055A8"/>
    <w:rsid w:val="007077ED"/>
    <w:rsid w:val="007100B2"/>
    <w:rsid w:val="00711833"/>
    <w:rsid w:val="00712A9B"/>
    <w:rsid w:val="00716C13"/>
    <w:rsid w:val="00736360"/>
    <w:rsid w:val="00737CA1"/>
    <w:rsid w:val="00742B9F"/>
    <w:rsid w:val="00743B59"/>
    <w:rsid w:val="00744D65"/>
    <w:rsid w:val="0074529E"/>
    <w:rsid w:val="007645E8"/>
    <w:rsid w:val="00772721"/>
    <w:rsid w:val="00775966"/>
    <w:rsid w:val="00777ABD"/>
    <w:rsid w:val="00781C4B"/>
    <w:rsid w:val="007836C7"/>
    <w:rsid w:val="00786A12"/>
    <w:rsid w:val="007917C5"/>
    <w:rsid w:val="007928C1"/>
    <w:rsid w:val="00794492"/>
    <w:rsid w:val="00796789"/>
    <w:rsid w:val="00797C30"/>
    <w:rsid w:val="007A5DCF"/>
    <w:rsid w:val="007B5402"/>
    <w:rsid w:val="007B58C5"/>
    <w:rsid w:val="007B60A4"/>
    <w:rsid w:val="007B7B22"/>
    <w:rsid w:val="007B7C07"/>
    <w:rsid w:val="007C1D7F"/>
    <w:rsid w:val="007C32EE"/>
    <w:rsid w:val="007C57D8"/>
    <w:rsid w:val="007C7320"/>
    <w:rsid w:val="007E1AF4"/>
    <w:rsid w:val="007E208F"/>
    <w:rsid w:val="007E74EA"/>
    <w:rsid w:val="007F042B"/>
    <w:rsid w:val="007F6B5E"/>
    <w:rsid w:val="00802819"/>
    <w:rsid w:val="00804381"/>
    <w:rsid w:val="00806C7F"/>
    <w:rsid w:val="00812DE4"/>
    <w:rsid w:val="00814123"/>
    <w:rsid w:val="008147B1"/>
    <w:rsid w:val="00815D50"/>
    <w:rsid w:val="008202A5"/>
    <w:rsid w:val="00820881"/>
    <w:rsid w:val="00822186"/>
    <w:rsid w:val="0082656C"/>
    <w:rsid w:val="0082661B"/>
    <w:rsid w:val="00830886"/>
    <w:rsid w:val="008354EE"/>
    <w:rsid w:val="008503A2"/>
    <w:rsid w:val="00872D83"/>
    <w:rsid w:val="0087366D"/>
    <w:rsid w:val="00874B82"/>
    <w:rsid w:val="008779F0"/>
    <w:rsid w:val="00882549"/>
    <w:rsid w:val="008832F2"/>
    <w:rsid w:val="00886C9D"/>
    <w:rsid w:val="00886E4E"/>
    <w:rsid w:val="008918EA"/>
    <w:rsid w:val="00891D48"/>
    <w:rsid w:val="00892413"/>
    <w:rsid w:val="00892BAC"/>
    <w:rsid w:val="00894CE2"/>
    <w:rsid w:val="008970B3"/>
    <w:rsid w:val="00897B8E"/>
    <w:rsid w:val="008A7469"/>
    <w:rsid w:val="008B41AB"/>
    <w:rsid w:val="008B4398"/>
    <w:rsid w:val="008B536F"/>
    <w:rsid w:val="008B5C02"/>
    <w:rsid w:val="008B744B"/>
    <w:rsid w:val="008B7D0B"/>
    <w:rsid w:val="008B7E2A"/>
    <w:rsid w:val="008C49C5"/>
    <w:rsid w:val="008D18B6"/>
    <w:rsid w:val="008D1B9E"/>
    <w:rsid w:val="008D308F"/>
    <w:rsid w:val="008D5C91"/>
    <w:rsid w:val="008E48B0"/>
    <w:rsid w:val="008E580F"/>
    <w:rsid w:val="008E7886"/>
    <w:rsid w:val="008F0D0B"/>
    <w:rsid w:val="008F5275"/>
    <w:rsid w:val="008F6E36"/>
    <w:rsid w:val="008F70B5"/>
    <w:rsid w:val="009026B3"/>
    <w:rsid w:val="00904ACA"/>
    <w:rsid w:val="0090528A"/>
    <w:rsid w:val="00905F79"/>
    <w:rsid w:val="0091181E"/>
    <w:rsid w:val="0091216A"/>
    <w:rsid w:val="0091322F"/>
    <w:rsid w:val="00914F08"/>
    <w:rsid w:val="00916D0F"/>
    <w:rsid w:val="00925CE2"/>
    <w:rsid w:val="00931621"/>
    <w:rsid w:val="009334AE"/>
    <w:rsid w:val="0093530C"/>
    <w:rsid w:val="00935CE0"/>
    <w:rsid w:val="00936BE1"/>
    <w:rsid w:val="00944313"/>
    <w:rsid w:val="00956624"/>
    <w:rsid w:val="00956860"/>
    <w:rsid w:val="009605C7"/>
    <w:rsid w:val="00961303"/>
    <w:rsid w:val="00966A3C"/>
    <w:rsid w:val="00973290"/>
    <w:rsid w:val="00975FB9"/>
    <w:rsid w:val="0098231D"/>
    <w:rsid w:val="00983877"/>
    <w:rsid w:val="00987E07"/>
    <w:rsid w:val="009A1846"/>
    <w:rsid w:val="009B388A"/>
    <w:rsid w:val="009B6AD6"/>
    <w:rsid w:val="009C52C8"/>
    <w:rsid w:val="009C54AD"/>
    <w:rsid w:val="009D7F10"/>
    <w:rsid w:val="009E1E4A"/>
    <w:rsid w:val="009E29E5"/>
    <w:rsid w:val="009E6376"/>
    <w:rsid w:val="009E6CD4"/>
    <w:rsid w:val="009F186A"/>
    <w:rsid w:val="009F3201"/>
    <w:rsid w:val="009F5837"/>
    <w:rsid w:val="009F6A4B"/>
    <w:rsid w:val="00A001E8"/>
    <w:rsid w:val="00A05EB6"/>
    <w:rsid w:val="00A07AB7"/>
    <w:rsid w:val="00A11C96"/>
    <w:rsid w:val="00A14416"/>
    <w:rsid w:val="00A152BC"/>
    <w:rsid w:val="00A309B9"/>
    <w:rsid w:val="00A310C9"/>
    <w:rsid w:val="00A31942"/>
    <w:rsid w:val="00A3375D"/>
    <w:rsid w:val="00A33792"/>
    <w:rsid w:val="00A359BB"/>
    <w:rsid w:val="00A4037C"/>
    <w:rsid w:val="00A42AF9"/>
    <w:rsid w:val="00A42F19"/>
    <w:rsid w:val="00A44669"/>
    <w:rsid w:val="00A47B5B"/>
    <w:rsid w:val="00A539B1"/>
    <w:rsid w:val="00A54220"/>
    <w:rsid w:val="00A55DC6"/>
    <w:rsid w:val="00A6021E"/>
    <w:rsid w:val="00A63164"/>
    <w:rsid w:val="00A64306"/>
    <w:rsid w:val="00A67FB6"/>
    <w:rsid w:val="00A74FBD"/>
    <w:rsid w:val="00A85884"/>
    <w:rsid w:val="00A8627C"/>
    <w:rsid w:val="00A879CD"/>
    <w:rsid w:val="00A91003"/>
    <w:rsid w:val="00A931A6"/>
    <w:rsid w:val="00AA0324"/>
    <w:rsid w:val="00AA41A9"/>
    <w:rsid w:val="00AB59BB"/>
    <w:rsid w:val="00AC1B51"/>
    <w:rsid w:val="00AC3ADC"/>
    <w:rsid w:val="00AC6208"/>
    <w:rsid w:val="00AD03A5"/>
    <w:rsid w:val="00AD03EF"/>
    <w:rsid w:val="00AD1968"/>
    <w:rsid w:val="00AD2C96"/>
    <w:rsid w:val="00AD2FA3"/>
    <w:rsid w:val="00AE4671"/>
    <w:rsid w:val="00AF0066"/>
    <w:rsid w:val="00AF0FEB"/>
    <w:rsid w:val="00AF12CC"/>
    <w:rsid w:val="00AF2573"/>
    <w:rsid w:val="00AF5996"/>
    <w:rsid w:val="00B03C54"/>
    <w:rsid w:val="00B03DF0"/>
    <w:rsid w:val="00B065DD"/>
    <w:rsid w:val="00B07C8E"/>
    <w:rsid w:val="00B10A70"/>
    <w:rsid w:val="00B10EE8"/>
    <w:rsid w:val="00B17425"/>
    <w:rsid w:val="00B21F13"/>
    <w:rsid w:val="00B232F9"/>
    <w:rsid w:val="00B26158"/>
    <w:rsid w:val="00B312FA"/>
    <w:rsid w:val="00B313D9"/>
    <w:rsid w:val="00B34EAB"/>
    <w:rsid w:val="00B361D5"/>
    <w:rsid w:val="00B36F8C"/>
    <w:rsid w:val="00B44612"/>
    <w:rsid w:val="00B5246C"/>
    <w:rsid w:val="00B54997"/>
    <w:rsid w:val="00B558A0"/>
    <w:rsid w:val="00B56F17"/>
    <w:rsid w:val="00B62488"/>
    <w:rsid w:val="00B632D5"/>
    <w:rsid w:val="00B63D21"/>
    <w:rsid w:val="00B6598F"/>
    <w:rsid w:val="00B73EB1"/>
    <w:rsid w:val="00B85AB9"/>
    <w:rsid w:val="00B9227F"/>
    <w:rsid w:val="00BA3C7B"/>
    <w:rsid w:val="00BA66BC"/>
    <w:rsid w:val="00BB1AEE"/>
    <w:rsid w:val="00BB28F9"/>
    <w:rsid w:val="00BB4B20"/>
    <w:rsid w:val="00BC395A"/>
    <w:rsid w:val="00BC5C99"/>
    <w:rsid w:val="00BD11DE"/>
    <w:rsid w:val="00BD4FCB"/>
    <w:rsid w:val="00BD66D3"/>
    <w:rsid w:val="00BE3A17"/>
    <w:rsid w:val="00BE592C"/>
    <w:rsid w:val="00BE67DE"/>
    <w:rsid w:val="00BE7DBC"/>
    <w:rsid w:val="00BF0B67"/>
    <w:rsid w:val="00BF1E04"/>
    <w:rsid w:val="00BF220C"/>
    <w:rsid w:val="00BF36C1"/>
    <w:rsid w:val="00BF6CAC"/>
    <w:rsid w:val="00BF7A34"/>
    <w:rsid w:val="00C01292"/>
    <w:rsid w:val="00C0218F"/>
    <w:rsid w:val="00C02270"/>
    <w:rsid w:val="00C05050"/>
    <w:rsid w:val="00C057A2"/>
    <w:rsid w:val="00C06F9C"/>
    <w:rsid w:val="00C07A93"/>
    <w:rsid w:val="00C14052"/>
    <w:rsid w:val="00C14E85"/>
    <w:rsid w:val="00C17302"/>
    <w:rsid w:val="00C21346"/>
    <w:rsid w:val="00C22D33"/>
    <w:rsid w:val="00C372CC"/>
    <w:rsid w:val="00C42FEB"/>
    <w:rsid w:val="00C47E03"/>
    <w:rsid w:val="00C53F95"/>
    <w:rsid w:val="00C55F2A"/>
    <w:rsid w:val="00C62791"/>
    <w:rsid w:val="00C66B50"/>
    <w:rsid w:val="00C67525"/>
    <w:rsid w:val="00C73089"/>
    <w:rsid w:val="00C86EA5"/>
    <w:rsid w:val="00C86EB1"/>
    <w:rsid w:val="00C91091"/>
    <w:rsid w:val="00C92A6D"/>
    <w:rsid w:val="00C92E0A"/>
    <w:rsid w:val="00C9379A"/>
    <w:rsid w:val="00C94D90"/>
    <w:rsid w:val="00C951DC"/>
    <w:rsid w:val="00CA1321"/>
    <w:rsid w:val="00CA394A"/>
    <w:rsid w:val="00CA7EA4"/>
    <w:rsid w:val="00CB03C2"/>
    <w:rsid w:val="00CB3A2C"/>
    <w:rsid w:val="00CB4B74"/>
    <w:rsid w:val="00CB6133"/>
    <w:rsid w:val="00CB616E"/>
    <w:rsid w:val="00CB6730"/>
    <w:rsid w:val="00CB6B66"/>
    <w:rsid w:val="00CB6B6A"/>
    <w:rsid w:val="00CB77AB"/>
    <w:rsid w:val="00CD3B0C"/>
    <w:rsid w:val="00CE5121"/>
    <w:rsid w:val="00CE6A59"/>
    <w:rsid w:val="00CF134C"/>
    <w:rsid w:val="00CF1C5E"/>
    <w:rsid w:val="00CF227B"/>
    <w:rsid w:val="00CF4396"/>
    <w:rsid w:val="00CF6646"/>
    <w:rsid w:val="00D00A5C"/>
    <w:rsid w:val="00D05A0A"/>
    <w:rsid w:val="00D05FDA"/>
    <w:rsid w:val="00D07D43"/>
    <w:rsid w:val="00D114C4"/>
    <w:rsid w:val="00D13BAA"/>
    <w:rsid w:val="00D211CA"/>
    <w:rsid w:val="00D23105"/>
    <w:rsid w:val="00D23716"/>
    <w:rsid w:val="00D24629"/>
    <w:rsid w:val="00D2673C"/>
    <w:rsid w:val="00D26BFF"/>
    <w:rsid w:val="00D33F64"/>
    <w:rsid w:val="00D408D9"/>
    <w:rsid w:val="00D41DAB"/>
    <w:rsid w:val="00D448D9"/>
    <w:rsid w:val="00D44A55"/>
    <w:rsid w:val="00D469C0"/>
    <w:rsid w:val="00D503E1"/>
    <w:rsid w:val="00D52594"/>
    <w:rsid w:val="00D602F1"/>
    <w:rsid w:val="00D60C38"/>
    <w:rsid w:val="00D6449A"/>
    <w:rsid w:val="00D64945"/>
    <w:rsid w:val="00D65965"/>
    <w:rsid w:val="00D65F38"/>
    <w:rsid w:val="00D665C6"/>
    <w:rsid w:val="00D74916"/>
    <w:rsid w:val="00D7592A"/>
    <w:rsid w:val="00D76B2E"/>
    <w:rsid w:val="00D81685"/>
    <w:rsid w:val="00D84EFB"/>
    <w:rsid w:val="00D84FF1"/>
    <w:rsid w:val="00D8699E"/>
    <w:rsid w:val="00D8771A"/>
    <w:rsid w:val="00D90ACA"/>
    <w:rsid w:val="00D9113E"/>
    <w:rsid w:val="00D9150B"/>
    <w:rsid w:val="00D91979"/>
    <w:rsid w:val="00D94D79"/>
    <w:rsid w:val="00D951AB"/>
    <w:rsid w:val="00D95326"/>
    <w:rsid w:val="00D9742D"/>
    <w:rsid w:val="00DA1FA5"/>
    <w:rsid w:val="00DA3323"/>
    <w:rsid w:val="00DA4A2B"/>
    <w:rsid w:val="00DB02B8"/>
    <w:rsid w:val="00DB40E5"/>
    <w:rsid w:val="00DB780C"/>
    <w:rsid w:val="00DB7F95"/>
    <w:rsid w:val="00DD0A5E"/>
    <w:rsid w:val="00DD318C"/>
    <w:rsid w:val="00DD4AC7"/>
    <w:rsid w:val="00DE2D27"/>
    <w:rsid w:val="00DE62CA"/>
    <w:rsid w:val="00DF1AB0"/>
    <w:rsid w:val="00E01006"/>
    <w:rsid w:val="00E0406D"/>
    <w:rsid w:val="00E05E04"/>
    <w:rsid w:val="00E10C3E"/>
    <w:rsid w:val="00E13701"/>
    <w:rsid w:val="00E14F63"/>
    <w:rsid w:val="00E15C86"/>
    <w:rsid w:val="00E16771"/>
    <w:rsid w:val="00E204C6"/>
    <w:rsid w:val="00E228B0"/>
    <w:rsid w:val="00E23F70"/>
    <w:rsid w:val="00E24E2A"/>
    <w:rsid w:val="00E252B9"/>
    <w:rsid w:val="00E35B37"/>
    <w:rsid w:val="00E42AAE"/>
    <w:rsid w:val="00E43526"/>
    <w:rsid w:val="00E50228"/>
    <w:rsid w:val="00E5022E"/>
    <w:rsid w:val="00E50FA4"/>
    <w:rsid w:val="00E54BA8"/>
    <w:rsid w:val="00E64A57"/>
    <w:rsid w:val="00E657FC"/>
    <w:rsid w:val="00E65A4C"/>
    <w:rsid w:val="00E759B3"/>
    <w:rsid w:val="00E8422E"/>
    <w:rsid w:val="00E90E6D"/>
    <w:rsid w:val="00EA2588"/>
    <w:rsid w:val="00EB082C"/>
    <w:rsid w:val="00EB1E66"/>
    <w:rsid w:val="00EB338C"/>
    <w:rsid w:val="00EB4421"/>
    <w:rsid w:val="00EB681F"/>
    <w:rsid w:val="00EB6F55"/>
    <w:rsid w:val="00EB7429"/>
    <w:rsid w:val="00EC11AD"/>
    <w:rsid w:val="00EC4770"/>
    <w:rsid w:val="00EE3D44"/>
    <w:rsid w:val="00EF07BA"/>
    <w:rsid w:val="00EF0D97"/>
    <w:rsid w:val="00EF723C"/>
    <w:rsid w:val="00F02AD8"/>
    <w:rsid w:val="00F043CB"/>
    <w:rsid w:val="00F04603"/>
    <w:rsid w:val="00F04E95"/>
    <w:rsid w:val="00F05529"/>
    <w:rsid w:val="00F10C1F"/>
    <w:rsid w:val="00F10E61"/>
    <w:rsid w:val="00F152A2"/>
    <w:rsid w:val="00F161AD"/>
    <w:rsid w:val="00F16DBE"/>
    <w:rsid w:val="00F17A6C"/>
    <w:rsid w:val="00F17ED7"/>
    <w:rsid w:val="00F20CDF"/>
    <w:rsid w:val="00F22C45"/>
    <w:rsid w:val="00F303A1"/>
    <w:rsid w:val="00F318AD"/>
    <w:rsid w:val="00F31A4E"/>
    <w:rsid w:val="00F31BEF"/>
    <w:rsid w:val="00F33810"/>
    <w:rsid w:val="00F34EA0"/>
    <w:rsid w:val="00F40195"/>
    <w:rsid w:val="00F4098D"/>
    <w:rsid w:val="00F40EED"/>
    <w:rsid w:val="00F4142D"/>
    <w:rsid w:val="00F46CE8"/>
    <w:rsid w:val="00F50FF3"/>
    <w:rsid w:val="00F51504"/>
    <w:rsid w:val="00F539AB"/>
    <w:rsid w:val="00F553EF"/>
    <w:rsid w:val="00F557D5"/>
    <w:rsid w:val="00F63B78"/>
    <w:rsid w:val="00F71538"/>
    <w:rsid w:val="00F72F9A"/>
    <w:rsid w:val="00F7412B"/>
    <w:rsid w:val="00F76380"/>
    <w:rsid w:val="00F765C1"/>
    <w:rsid w:val="00F76726"/>
    <w:rsid w:val="00F820B5"/>
    <w:rsid w:val="00F829AF"/>
    <w:rsid w:val="00F84743"/>
    <w:rsid w:val="00F85036"/>
    <w:rsid w:val="00F9270A"/>
    <w:rsid w:val="00F957E5"/>
    <w:rsid w:val="00F95B65"/>
    <w:rsid w:val="00F97D0D"/>
    <w:rsid w:val="00FA7F94"/>
    <w:rsid w:val="00FB214D"/>
    <w:rsid w:val="00FB30C0"/>
    <w:rsid w:val="00FB789D"/>
    <w:rsid w:val="00FC3CEF"/>
    <w:rsid w:val="00FD0FCC"/>
    <w:rsid w:val="00FD5ADD"/>
    <w:rsid w:val="00FE07FB"/>
    <w:rsid w:val="00FE0C74"/>
    <w:rsid w:val="00FE19A9"/>
    <w:rsid w:val="00FE31C3"/>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8918EA"/>
    <w:rPr>
      <w:sz w:val="20"/>
      <w:szCs w:val="20"/>
    </w:rPr>
  </w:style>
  <w:style w:type="character" w:styleId="FootnoteReference">
    <w:name w:val="footnote reference"/>
    <w:basedOn w:val="DefaultParagraphFont"/>
    <w:uiPriority w:val="99"/>
    <w:rsid w:val="008918EA"/>
    <w:rPr>
      <w:rFonts w:cs="Times New Roman"/>
      <w:vertAlign w:val="superscript"/>
    </w:rPr>
  </w:style>
  <w:style w:type="paragraph" w:styleId="BodyText">
    <w:name w:val="Body Text"/>
    <w:basedOn w:val="Normal"/>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34"/>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RTF5fNum2040"/>
    <w:pPr>
      <w:numPr>
        <w:numId w:val="21"/>
      </w:numPr>
    </w:pPr>
  </w:style>
  <w:style w:type="numbering" w:customStyle="1" w:styleId="Footer">
    <w:name w:val="RTF5fNum203"/>
    <w:pPr>
      <w:numPr>
        <w:numId w:val="3"/>
      </w:numPr>
    </w:pPr>
  </w:style>
  <w:style w:type="numbering" w:customStyle="1" w:styleId="PageNumber">
    <w:name w:val="RTF5fNum2047"/>
    <w:pPr>
      <w:numPr>
        <w:numId w:val="26"/>
      </w:numPr>
    </w:pPr>
  </w:style>
  <w:style w:type="numbering" w:customStyle="1" w:styleId="LineNumber">
    <w:name w:val="RTF5fNum2045"/>
    <w:pPr>
      <w:numPr>
        <w:numId w:val="25"/>
      </w:numPr>
    </w:pPr>
  </w:style>
  <w:style w:type="numbering" w:customStyle="1" w:styleId="BodyText2">
    <w:name w:val="RTF5fNum207"/>
    <w:pPr>
      <w:numPr>
        <w:numId w:val="5"/>
      </w:numPr>
    </w:pPr>
  </w:style>
  <w:style w:type="numbering" w:customStyle="1" w:styleId="BodyTextIndent2">
    <w:name w:val="RTF5fNum2036"/>
    <w:pPr>
      <w:numPr>
        <w:numId w:val="34"/>
      </w:numPr>
    </w:pPr>
  </w:style>
  <w:style w:type="numbering" w:customStyle="1" w:styleId="BodyTextIndent3">
    <w:name w:val="RTF5fNum2018"/>
    <w:pPr>
      <w:numPr>
        <w:numId w:val="11"/>
      </w:numPr>
    </w:pPr>
  </w:style>
  <w:style w:type="numbering" w:customStyle="1" w:styleId="FootnoteText">
    <w:name w:val="RTF5fNum2011"/>
    <w:pPr>
      <w:numPr>
        <w:numId w:val="7"/>
      </w:numPr>
    </w:pPr>
  </w:style>
  <w:style w:type="numbering" w:customStyle="1" w:styleId="FootnoteReference">
    <w:name w:val="RTF5fNum2052"/>
    <w:pPr>
      <w:numPr>
        <w:numId w:val="29"/>
      </w:numPr>
    </w:pPr>
  </w:style>
  <w:style w:type="numbering" w:customStyle="1" w:styleId="BodyText">
    <w:name w:val="RTF5fNum2048"/>
    <w:pPr>
      <w:numPr>
        <w:numId w:val="27"/>
      </w:numPr>
    </w:pPr>
  </w:style>
  <w:style w:type="numbering" w:customStyle="1" w:styleId="DocumentMap">
    <w:name w:val="RTF5fNum2026"/>
    <w:pPr>
      <w:numPr>
        <w:numId w:val="15"/>
      </w:numPr>
    </w:pPr>
  </w:style>
  <w:style w:type="numbering" w:customStyle="1" w:styleId="TestBody">
    <w:name w:val="RTF5fNum2012"/>
    <w:pPr>
      <w:numPr>
        <w:numId w:val="8"/>
      </w:numPr>
    </w:pPr>
  </w:style>
  <w:style w:type="numbering" w:customStyle="1" w:styleId="AnswerBullets">
    <w:name w:val="RTF5fNum2027"/>
    <w:pPr>
      <w:numPr>
        <w:numId w:val="16"/>
      </w:numPr>
    </w:pPr>
  </w:style>
  <w:style w:type="numbering" w:customStyle="1" w:styleId="BodyText3">
    <w:name w:val="RTF5fNum2015"/>
    <w:pPr>
      <w:numPr>
        <w:numId w:val="10"/>
      </w:numPr>
    </w:pPr>
  </w:style>
  <w:style w:type="numbering" w:customStyle="1" w:styleId="P24">
    <w:name w:val="RTF5fNum2035"/>
    <w:pPr>
      <w:numPr>
        <w:numId w:val="19"/>
      </w:numPr>
    </w:pPr>
  </w:style>
  <w:style w:type="numbering" w:customStyle="1" w:styleId="P25">
    <w:name w:val="RTF5fNum2010"/>
    <w:pPr>
      <w:numPr>
        <w:numId w:val="6"/>
      </w:numPr>
    </w:pPr>
  </w:style>
  <w:style w:type="numbering" w:customStyle="1" w:styleId="P27">
    <w:name w:val="RTF5fNum206"/>
    <w:pPr>
      <w:numPr>
        <w:numId w:val="4"/>
      </w:numPr>
    </w:pPr>
  </w:style>
  <w:style w:type="numbering" w:customStyle="1" w:styleId="P31">
    <w:name w:val="RTF5fNum2044"/>
    <w:pPr>
      <w:numPr>
        <w:numId w:val="24"/>
      </w:numPr>
    </w:pPr>
  </w:style>
  <w:style w:type="numbering" w:customStyle="1" w:styleId="P43">
    <w:name w:val="RTF5fNum2030"/>
    <w:pPr>
      <w:numPr>
        <w:numId w:val="17"/>
      </w:numPr>
    </w:pPr>
  </w:style>
  <w:style w:type="numbering" w:customStyle="1" w:styleId="P44">
    <w:name w:val="RTF5fNum2014"/>
    <w:pPr>
      <w:numPr>
        <w:numId w:val="9"/>
      </w:numPr>
    </w:pPr>
  </w:style>
  <w:style w:type="numbering" w:customStyle="1" w:styleId="P47">
    <w:name w:val="RTF5fNum2042"/>
    <w:pPr>
      <w:numPr>
        <w:numId w:val="23"/>
      </w:numPr>
    </w:pPr>
  </w:style>
  <w:style w:type="numbering" w:customStyle="1" w:styleId="P63">
    <w:name w:val="RTF5fNum2053"/>
    <w:pPr>
      <w:numPr>
        <w:numId w:val="30"/>
      </w:numPr>
    </w:pPr>
  </w:style>
  <w:style w:type="numbering" w:customStyle="1" w:styleId="P65">
    <w:name w:val="RTF5fNum2041"/>
    <w:pPr>
      <w:numPr>
        <w:numId w:val="22"/>
      </w:numPr>
    </w:pPr>
  </w:style>
  <w:style w:type="numbering" w:customStyle="1" w:styleId="P70">
    <w:name w:val="RTF5fNum2039"/>
    <w:pPr>
      <w:numPr>
        <w:numId w:val="20"/>
      </w:numPr>
    </w:pPr>
  </w:style>
  <w:style w:type="numbering" w:customStyle="1" w:styleId="P72">
    <w:name w:val="RTF5fNum2051"/>
    <w:pPr>
      <w:numPr>
        <w:numId w:val="28"/>
      </w:numPr>
    </w:pPr>
  </w:style>
  <w:style w:type="numbering" w:customStyle="1" w:styleId="P83">
    <w:name w:val="RTF5fNum2021"/>
    <w:pPr>
      <w:numPr>
        <w:numId w:val="13"/>
      </w:numPr>
    </w:pPr>
  </w:style>
  <w:style w:type="numbering" w:customStyle="1" w:styleId="P84">
    <w:name w:val="RTF5fNum2033"/>
    <w:pPr>
      <w:numPr>
        <w:numId w:val="18"/>
      </w:numPr>
    </w:pPr>
  </w:style>
  <w:style w:type="numbering" w:customStyle="1" w:styleId="P85">
    <w:name w:val="RTF5fNum2019"/>
    <w:pPr>
      <w:numPr>
        <w:numId w:val="12"/>
      </w:numPr>
    </w:pPr>
  </w:style>
  <w:style w:type="numbering" w:customStyle="1" w:styleId="P101">
    <w:name w:val="RTF5fNum2022"/>
    <w:pPr>
      <w:numPr>
        <w:numId w:val="14"/>
      </w:numPr>
    </w:pPr>
  </w:style>
</w:styles>
</file>

<file path=word/webSettings.xml><?xml version="1.0" encoding="utf-8"?>
<w:webSettings xmlns:r="http://schemas.openxmlformats.org/officeDocument/2006/relationships" xmlns:w="http://schemas.openxmlformats.org/wordprocessingml/2006/main">
  <w:divs>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7" Type="http://schemas.microsoft.com/office/2007/relationships/stylesWithEffects" Target="stylesWithEffect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2012-04-18T07:00:00+00:00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F3A52-0D07-4F33-BED0-76DAA6E6A1DE}"/>
</file>

<file path=customXml/itemProps2.xml><?xml version="1.0" encoding="utf-8"?>
<ds:datastoreItem xmlns:ds="http://schemas.openxmlformats.org/officeDocument/2006/customXml" ds:itemID="{2F88E917-E799-490A-9398-379B812044FD}"/>
</file>

<file path=customXml/itemProps3.xml><?xml version="1.0" encoding="utf-8"?>
<ds:datastoreItem xmlns:ds="http://schemas.openxmlformats.org/officeDocument/2006/customXml" ds:itemID="{A5BF995B-6EA0-4DE4-88CD-3044A9268ECB}"/>
</file>

<file path=customXml/itemProps4.xml><?xml version="1.0" encoding="utf-8"?>
<ds:datastoreItem xmlns:ds="http://schemas.openxmlformats.org/officeDocument/2006/customXml" ds:itemID="{707BCCBC-9E04-4838-BA18-6085E8FEC221}"/>
</file>

<file path=customXml/itemProps5.xml><?xml version="1.0" encoding="utf-8"?>
<ds:datastoreItem xmlns:ds="http://schemas.openxmlformats.org/officeDocument/2006/customXml" ds:itemID="{59709DED-A8AE-488B-8C25-94C69504C11A}"/>
</file>

<file path=docProps/app.xml><?xml version="1.0" encoding="utf-8"?>
<Properties xmlns="http://schemas.openxmlformats.org/officeDocument/2006/extended-properties" xmlns:vt="http://schemas.openxmlformats.org/officeDocument/2006/docPropsVTypes">
  <Template>Normal.dotm</Template>
  <TotalTime>234</TotalTime>
  <Pages>48</Pages>
  <Words>10998</Words>
  <Characters>57665</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68526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32</cp:revision>
  <cp:lastPrinted>2012-04-18T17:32:00Z</cp:lastPrinted>
  <dcterms:created xsi:type="dcterms:W3CDTF">2012-03-19T22:10:00Z</dcterms:created>
  <dcterms:modified xsi:type="dcterms:W3CDTF">2012-04-18T18:25:00Z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