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7D" w:rsidRPr="00F9627D" w:rsidRDefault="00F9627D" w:rsidP="00F9627D">
      <w:pPr>
        <w:jc w:val="center"/>
        <w:rPr>
          <w:b/>
        </w:rPr>
      </w:pPr>
      <w:r w:rsidRPr="00F9627D">
        <w:rPr>
          <w:b/>
        </w:rPr>
        <w:t>Attachment to Public Counsel Comments filed August 2, 2012</w:t>
      </w:r>
    </w:p>
    <w:p w:rsidR="0043096C" w:rsidRDefault="0019563F">
      <w:r>
        <w:t>The Commission has invited additional comments by the close of business August 2, 2012.  The list of issues</w:t>
      </w:r>
      <w:r w:rsidR="003556CB">
        <w:t xml:space="preserve"> below</w:t>
      </w:r>
      <w:r>
        <w:t xml:space="preserve"> were developed with interested parties following the Open Meeting on July 27, 2012. </w:t>
      </w:r>
      <w:r w:rsidR="0043096C">
        <w:t>Please address whether you think an issue needs to be addressed by the Commission now, prior to issuing an Order, or could be resolved at a later time, and if so when</w:t>
      </w:r>
      <w:r w:rsidR="00540AAE">
        <w:t xml:space="preserve"> and through what process</w:t>
      </w:r>
      <w:r w:rsidR="0043096C">
        <w:t>.</w:t>
      </w:r>
    </w:p>
    <w:p w:rsidR="0043096C" w:rsidRDefault="0043096C">
      <w:r>
        <w:t>Issues f</w:t>
      </w:r>
      <w:r w:rsidR="00540AAE">
        <w:t>or written comments to address:</w:t>
      </w:r>
    </w:p>
    <w:p w:rsidR="008B595B" w:rsidRPr="008B595B" w:rsidRDefault="008B595B">
      <w:pPr>
        <w:rPr>
          <w:b/>
        </w:rPr>
      </w:pPr>
      <w:r w:rsidRPr="008B595B">
        <w:rPr>
          <w:b/>
        </w:rPr>
        <w:t>*</w:t>
      </w:r>
      <w:r w:rsidR="00991131">
        <w:rPr>
          <w:b/>
        </w:rPr>
        <w:t xml:space="preserve">Please note: All references in the matrix below to “Public Counsel’s Comments” refer to comments filed August 2, 2012.  </w:t>
      </w:r>
      <w:r w:rsidRPr="008B595B">
        <w:rPr>
          <w:b/>
        </w:rPr>
        <w:t xml:space="preserve">Public Counsel did not provide comments on the </w:t>
      </w:r>
      <w:proofErr w:type="spellStart"/>
      <w:r w:rsidRPr="008B595B">
        <w:rPr>
          <w:b/>
        </w:rPr>
        <w:t>Renewab</w:t>
      </w:r>
      <w:r>
        <w:rPr>
          <w:b/>
        </w:rPr>
        <w:t>les</w:t>
      </w:r>
      <w:proofErr w:type="spellEnd"/>
      <w:r>
        <w:rPr>
          <w:b/>
        </w:rPr>
        <w:t xml:space="preserve"> Reports filed Under the EIA</w:t>
      </w:r>
      <w:r w:rsidR="00991131">
        <w:rPr>
          <w:b/>
        </w:rPr>
        <w:t>.</w:t>
      </w:r>
      <w:r>
        <w:rPr>
          <w:b/>
        </w:rPr>
        <w:t xml:space="preserve"> </w:t>
      </w:r>
      <w:r w:rsidR="00991131">
        <w:rPr>
          <w:b/>
        </w:rPr>
        <w:t>T</w:t>
      </w:r>
      <w:r>
        <w:rPr>
          <w:b/>
        </w:rPr>
        <w:t xml:space="preserve">herefore we do not address the issues related to </w:t>
      </w:r>
      <w:proofErr w:type="spellStart"/>
      <w:r>
        <w:rPr>
          <w:b/>
        </w:rPr>
        <w:t>renewables</w:t>
      </w:r>
      <w:proofErr w:type="spellEnd"/>
      <w:r>
        <w:rPr>
          <w:b/>
        </w:rPr>
        <w:t xml:space="preserve"> included in the matr</w:t>
      </w:r>
      <w:r w:rsidR="001A12CF">
        <w:rPr>
          <w:b/>
        </w:rPr>
        <w:t xml:space="preserve">ix. We have </w:t>
      </w:r>
      <w:r>
        <w:rPr>
          <w:b/>
        </w:rPr>
        <w:t>designate</w:t>
      </w:r>
      <w:r w:rsidR="001A12CF">
        <w:rPr>
          <w:b/>
        </w:rPr>
        <w:t>d</w:t>
      </w:r>
      <w:r>
        <w:rPr>
          <w:b/>
        </w:rPr>
        <w:t xml:space="preserve"> these as </w:t>
      </w:r>
      <w:r w:rsidR="001A12CF">
        <w:rPr>
          <w:b/>
        </w:rPr>
        <w:t xml:space="preserve"> issues </w:t>
      </w:r>
      <w:r>
        <w:rPr>
          <w:b/>
        </w:rPr>
        <w:t>“not applicable” or “N.A.”</w:t>
      </w:r>
    </w:p>
    <w:tbl>
      <w:tblPr>
        <w:tblStyle w:val="TableGrid"/>
        <w:tblW w:w="0" w:type="auto"/>
        <w:tblLook w:val="04A0"/>
      </w:tblPr>
      <w:tblGrid>
        <w:gridCol w:w="4922"/>
        <w:gridCol w:w="2327"/>
        <w:gridCol w:w="2327"/>
      </w:tblGrid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rPr>
                <w:b/>
              </w:rPr>
            </w:pPr>
          </w:p>
        </w:tc>
        <w:tc>
          <w:tcPr>
            <w:tcW w:w="2327" w:type="dxa"/>
          </w:tcPr>
          <w:p w:rsidR="0043096C" w:rsidRDefault="0043096C" w:rsidP="0043096C">
            <w:pPr>
              <w:pStyle w:val="NoSpacing"/>
            </w:pPr>
            <w:r>
              <w:t>Comments</w:t>
            </w:r>
          </w:p>
        </w:tc>
        <w:tc>
          <w:tcPr>
            <w:tcW w:w="2327" w:type="dxa"/>
          </w:tcPr>
          <w:p w:rsidR="0043096C" w:rsidRDefault="0043096C" w:rsidP="0043096C">
            <w:pPr>
              <w:pStyle w:val="NoSpacing"/>
            </w:pPr>
            <w:r>
              <w:t>When and Process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540AAE" w:rsidP="0019563F">
            <w:pPr>
              <w:rPr>
                <w:b/>
              </w:rPr>
            </w:pPr>
            <w:r>
              <w:rPr>
                <w:b/>
              </w:rPr>
              <w:t>Renewables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N.A.              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Two-step compliance</w:t>
            </w:r>
          </w:p>
        </w:tc>
        <w:tc>
          <w:tcPr>
            <w:tcW w:w="2327" w:type="dxa"/>
          </w:tcPr>
          <w:p w:rsidR="0043096C" w:rsidRPr="0043096C" w:rsidRDefault="0030270C" w:rsidP="0043096C">
            <w:pPr>
              <w:pStyle w:val="NoSpacing"/>
            </w:pPr>
            <w:r>
              <w:t xml:space="preserve">    </w:t>
            </w:r>
            <w:r w:rsidR="008B595B">
              <w:t xml:space="preserve">N.A.    </w:t>
            </w:r>
          </w:p>
        </w:tc>
        <w:tc>
          <w:tcPr>
            <w:tcW w:w="2327" w:type="dxa"/>
          </w:tcPr>
          <w:p w:rsidR="0043096C" w:rsidRPr="0043096C" w:rsidRDefault="0043096C" w:rsidP="0043096C">
            <w:pPr>
              <w:pStyle w:val="NoSpacing"/>
            </w:pP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Reporting year information: current or preceding year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January 1 required actions for compliance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540AAE" w:rsidRPr="0043096C" w:rsidTr="0043096C">
        <w:tc>
          <w:tcPr>
            <w:tcW w:w="4922" w:type="dxa"/>
          </w:tcPr>
          <w:p w:rsidR="00540AAE" w:rsidRPr="0043096C" w:rsidRDefault="00540AAE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Resource eligibility determination</w:t>
            </w:r>
            <w:r w:rsidR="003556CB">
              <w:rPr>
                <w:b/>
              </w:rPr>
              <w:t>*</w:t>
            </w:r>
          </w:p>
        </w:tc>
        <w:tc>
          <w:tcPr>
            <w:tcW w:w="2327" w:type="dxa"/>
          </w:tcPr>
          <w:p w:rsidR="00540AAE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540AAE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Incremental hydro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Method review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Method approval/selection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Potential double counting of RECs in other states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Using incremental hydro in the year it was generated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Confidentiality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3096C">
              <w:rPr>
                <w:b/>
              </w:rPr>
              <w:t>Incremental cost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540AAE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2016 </w:t>
            </w:r>
            <w:r w:rsidR="0043096C" w:rsidRPr="0043096C">
              <w:rPr>
                <w:b/>
              </w:rPr>
              <w:t>Biomass</w:t>
            </w:r>
            <w:r>
              <w:rPr>
                <w:b/>
              </w:rPr>
              <w:t xml:space="preserve"> &amp; rulemaking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43096C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</w:tr>
      <w:tr w:rsidR="00540AAE" w:rsidRPr="0043096C" w:rsidTr="0043096C">
        <w:tc>
          <w:tcPr>
            <w:tcW w:w="4922" w:type="dxa"/>
          </w:tcPr>
          <w:p w:rsidR="00540AAE" w:rsidRPr="0043096C" w:rsidRDefault="00540AAE" w:rsidP="001956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WREGIS</w:t>
            </w:r>
          </w:p>
        </w:tc>
        <w:tc>
          <w:tcPr>
            <w:tcW w:w="2327" w:type="dxa"/>
          </w:tcPr>
          <w:p w:rsidR="00540AAE" w:rsidRPr="0043096C" w:rsidRDefault="008B595B" w:rsidP="0043096C">
            <w:pPr>
              <w:pStyle w:val="NoSpacing"/>
            </w:pPr>
            <w:r>
              <w:t xml:space="preserve">    N.A.</w:t>
            </w:r>
          </w:p>
        </w:tc>
        <w:tc>
          <w:tcPr>
            <w:tcW w:w="2327" w:type="dxa"/>
          </w:tcPr>
          <w:p w:rsidR="00540AAE" w:rsidRPr="0043096C" w:rsidRDefault="001A12CF" w:rsidP="0043096C">
            <w:pPr>
              <w:pStyle w:val="NoSpacing"/>
            </w:pPr>
            <w:r>
              <w:t xml:space="preserve">    N.A.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rPr>
                <w:b/>
              </w:rPr>
            </w:pPr>
            <w:r w:rsidRPr="0043096C">
              <w:rPr>
                <w:b/>
              </w:rPr>
              <w:t>Conservation</w:t>
            </w:r>
          </w:p>
        </w:tc>
        <w:tc>
          <w:tcPr>
            <w:tcW w:w="2327" w:type="dxa"/>
          </w:tcPr>
          <w:p w:rsidR="0043096C" w:rsidRPr="0043096C" w:rsidRDefault="0043096C" w:rsidP="0043096C">
            <w:pPr>
              <w:pStyle w:val="NoSpacing"/>
            </w:pPr>
          </w:p>
        </w:tc>
        <w:tc>
          <w:tcPr>
            <w:tcW w:w="2327" w:type="dxa"/>
          </w:tcPr>
          <w:p w:rsidR="0043096C" w:rsidRPr="0043096C" w:rsidRDefault="0043096C" w:rsidP="0043096C">
            <w:pPr>
              <w:pStyle w:val="NoSpacing"/>
            </w:pP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NEEA savings</w:t>
            </w:r>
          </w:p>
        </w:tc>
        <w:tc>
          <w:tcPr>
            <w:tcW w:w="2327" w:type="dxa"/>
          </w:tcPr>
          <w:p w:rsidR="0043096C" w:rsidRPr="0043096C" w:rsidRDefault="00407093" w:rsidP="00407093">
            <w:pPr>
              <w:pStyle w:val="NoSpacing"/>
            </w:pPr>
            <w:r>
              <w:t xml:space="preserve">See Section III, Part A(1) </w:t>
            </w:r>
            <w:r w:rsidR="001A12CF">
              <w:t>“</w:t>
            </w:r>
            <w:r w:rsidR="0030270C">
              <w:t xml:space="preserve">Conservation </w:t>
            </w:r>
            <w:r>
              <w:t xml:space="preserve">Savings Issues, NEEA Savings,” </w:t>
            </w:r>
            <w:r w:rsidR="001A12CF">
              <w:t>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D169D6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Adjustments to reported savings</w:t>
            </w:r>
          </w:p>
        </w:tc>
        <w:tc>
          <w:tcPr>
            <w:tcW w:w="2327" w:type="dxa"/>
          </w:tcPr>
          <w:p w:rsidR="0043096C" w:rsidRPr="0043096C" w:rsidRDefault="00407093" w:rsidP="0043096C">
            <w:pPr>
              <w:pStyle w:val="NoSpacing"/>
            </w:pPr>
            <w:r>
              <w:t>See Section III, Part A(2)“Savings Issues, Changes to Unit Energy Savings,”</w:t>
            </w:r>
            <w:r w:rsidR="001A12CF">
              <w:t xml:space="preserve"> 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21315F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lastRenderedPageBreak/>
              <w:br w:type="page"/>
            </w:r>
            <w:r w:rsidR="0043096C" w:rsidRPr="0043096C">
              <w:rPr>
                <w:b/>
              </w:rPr>
              <w:t>Prudence</w:t>
            </w:r>
          </w:p>
        </w:tc>
        <w:tc>
          <w:tcPr>
            <w:tcW w:w="2327" w:type="dxa"/>
          </w:tcPr>
          <w:p w:rsidR="0043096C" w:rsidRPr="0043096C" w:rsidRDefault="001A12CF" w:rsidP="001A12CF">
            <w:pPr>
              <w:pStyle w:val="NoSpacing"/>
            </w:pPr>
            <w:r>
              <w:t xml:space="preserve">See Section III, Part B </w:t>
            </w:r>
            <w:r w:rsidR="00407093">
              <w:t>(3) “Regulatory Issues, Assessment of DSM Prudence,”</w:t>
            </w:r>
            <w:r>
              <w:t xml:space="preserve"> 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Baseline/adaptive management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See Section III, Part A</w:t>
            </w:r>
            <w:r w:rsidR="00407093">
              <w:t>(3) “Savings Issues, Common Definition of Critical Terms Such as ‘baseline,’” i</w:t>
            </w:r>
            <w:r>
              <w:t>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Confidentiality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 xml:space="preserve">See Section </w:t>
            </w:r>
            <w:r w:rsidR="00407093">
              <w:t>III, Part B(4)“Regulatory Issues, Confidentiality,”</w:t>
            </w:r>
            <w:r>
              <w:t xml:space="preserve"> 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Consistency of EM&amp;V Framework</w:t>
            </w:r>
            <w:r w:rsidR="00540AAE">
              <w:rPr>
                <w:b/>
              </w:rPr>
              <w:t>s</w:t>
            </w:r>
          </w:p>
        </w:tc>
        <w:tc>
          <w:tcPr>
            <w:tcW w:w="2327" w:type="dxa"/>
          </w:tcPr>
          <w:p w:rsidR="0043096C" w:rsidRPr="0043096C" w:rsidRDefault="003C2762" w:rsidP="0043096C">
            <w:pPr>
              <w:pStyle w:val="NoSpacing"/>
            </w:pPr>
            <w:r>
              <w:t>See Section III, Part B(2)</w:t>
            </w:r>
            <w:r w:rsidR="00C9613B">
              <w:t>“Regulatory Is</w:t>
            </w:r>
            <w:r>
              <w:t>sues, EM&amp;V Consistency—Third Party Portfolio Verification,”</w:t>
            </w:r>
            <w:r w:rsidR="00C9613B">
              <w:t xml:space="preserve"> in Public Counsel’s Comments</w:t>
            </w:r>
            <w:r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Reporting Documentation requirements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 xml:space="preserve">See Section </w:t>
            </w:r>
            <w:r w:rsidR="003C2762">
              <w:t xml:space="preserve">III, Part B(1)“Regulatory Issues, Reporting of Conservation Achievement,” </w:t>
            </w:r>
            <w:r>
              <w:t>in Public Counsel’s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“Pursue all” conservation resources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See Secti</w:t>
            </w:r>
            <w:r w:rsidR="003C2762">
              <w:t>on II, Part B, “Response to Staff Request for Clarification Regarding Pursuing ‘All’ Conservation Under the EIA,</w:t>
            </w:r>
            <w:r>
              <w:t>” in Public Counsel’s Comments.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In Commission’s Orders in the pending EIA dockets.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t>CWG working Group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</w:tr>
    </w:tbl>
    <w:p w:rsidR="0021315F" w:rsidRDefault="0021315F">
      <w:r>
        <w:br w:type="page"/>
      </w:r>
    </w:p>
    <w:tbl>
      <w:tblPr>
        <w:tblStyle w:val="TableGrid"/>
        <w:tblW w:w="0" w:type="auto"/>
        <w:tblLook w:val="04A0"/>
      </w:tblPr>
      <w:tblGrid>
        <w:gridCol w:w="4922"/>
        <w:gridCol w:w="2327"/>
        <w:gridCol w:w="2327"/>
      </w:tblGrid>
      <w:tr w:rsidR="0043096C" w:rsidRPr="0043096C" w:rsidTr="0043096C">
        <w:tc>
          <w:tcPr>
            <w:tcW w:w="4922" w:type="dxa"/>
          </w:tcPr>
          <w:p w:rsidR="0043096C" w:rsidRPr="0043096C" w:rsidRDefault="0043096C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3096C">
              <w:rPr>
                <w:b/>
              </w:rPr>
              <w:lastRenderedPageBreak/>
              <w:t>Advisory Group Role in prudence review</w:t>
            </w:r>
          </w:p>
        </w:tc>
        <w:tc>
          <w:tcPr>
            <w:tcW w:w="2327" w:type="dxa"/>
          </w:tcPr>
          <w:p w:rsidR="0043096C" w:rsidRPr="0043096C" w:rsidRDefault="003C2762" w:rsidP="0043096C">
            <w:pPr>
              <w:pStyle w:val="NoSpacing"/>
            </w:pPr>
            <w:r>
              <w:t>See Section III, Part B(3)</w:t>
            </w:r>
            <w:r w:rsidR="00C9613B">
              <w:t>“Regulatory Issues</w:t>
            </w:r>
            <w:r>
              <w:t>, Assessment of DSM Prudence</w:t>
            </w:r>
            <w:r w:rsidR="00C9613B">
              <w:t>” in Public Counsel’s Comments</w:t>
            </w:r>
            <w:r>
              <w:t>.</w:t>
            </w:r>
          </w:p>
        </w:tc>
        <w:tc>
          <w:tcPr>
            <w:tcW w:w="2327" w:type="dxa"/>
          </w:tcPr>
          <w:p w:rsidR="0043096C" w:rsidRPr="0043096C" w:rsidRDefault="00D169D6" w:rsidP="0043096C">
            <w:pPr>
              <w:pStyle w:val="NoSpacing"/>
            </w:pPr>
            <w:r>
              <w:t>Should be resolved by March of 2013 In a separate policy proceeding that may result in an Interpretive and Policy Statement.</w:t>
            </w:r>
          </w:p>
        </w:tc>
      </w:tr>
      <w:tr w:rsidR="0043096C" w:rsidRPr="0043096C" w:rsidTr="0043096C">
        <w:tc>
          <w:tcPr>
            <w:tcW w:w="4922" w:type="dxa"/>
          </w:tcPr>
          <w:p w:rsidR="0043096C" w:rsidRPr="0043096C" w:rsidRDefault="00540AAE" w:rsidP="001956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Demand Side Resources </w:t>
            </w:r>
            <w:r w:rsidR="0043096C" w:rsidRPr="0043096C">
              <w:rPr>
                <w:b/>
              </w:rPr>
              <w:t>RFP review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  <w:tc>
          <w:tcPr>
            <w:tcW w:w="2327" w:type="dxa"/>
          </w:tcPr>
          <w:p w:rsidR="0043096C" w:rsidRPr="0043096C" w:rsidRDefault="00C9613B" w:rsidP="0043096C">
            <w:pPr>
              <w:pStyle w:val="NoSpacing"/>
            </w:pPr>
            <w:r>
              <w:t>No Comments</w:t>
            </w:r>
            <w:r w:rsidR="003C2762">
              <w:t>.</w:t>
            </w:r>
          </w:p>
        </w:tc>
      </w:tr>
    </w:tbl>
    <w:p w:rsidR="0043096C" w:rsidRPr="003556CB" w:rsidRDefault="003556CB" w:rsidP="0043096C">
      <w:r w:rsidRPr="003556CB">
        <w:t xml:space="preserve">*This issue was raised by Chairman </w:t>
      </w:r>
      <w:proofErr w:type="spellStart"/>
      <w:r w:rsidRPr="003556CB">
        <w:t>Goltz</w:t>
      </w:r>
      <w:proofErr w:type="spellEnd"/>
      <w:r w:rsidRPr="003556CB">
        <w:t xml:space="preserve"> during the July 27 Open Meeting.</w:t>
      </w:r>
      <w:bookmarkStart w:id="0" w:name="_GoBack"/>
      <w:bookmarkEnd w:id="0"/>
    </w:p>
    <w:sectPr w:rsidR="0043096C" w:rsidRPr="003556CB" w:rsidSect="00F9627D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E10"/>
    <w:multiLevelType w:val="hybridMultilevel"/>
    <w:tmpl w:val="0116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066BA"/>
    <w:multiLevelType w:val="hybridMultilevel"/>
    <w:tmpl w:val="5E88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B134B"/>
    <w:multiLevelType w:val="hybridMultilevel"/>
    <w:tmpl w:val="9AD4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096C"/>
    <w:rsid w:val="0019563F"/>
    <w:rsid w:val="001A12CF"/>
    <w:rsid w:val="0021315F"/>
    <w:rsid w:val="0030270C"/>
    <w:rsid w:val="003115C1"/>
    <w:rsid w:val="003548AB"/>
    <w:rsid w:val="003556CB"/>
    <w:rsid w:val="003C2762"/>
    <w:rsid w:val="00407093"/>
    <w:rsid w:val="0043096C"/>
    <w:rsid w:val="00540AAE"/>
    <w:rsid w:val="00820211"/>
    <w:rsid w:val="008B595B"/>
    <w:rsid w:val="00991131"/>
    <w:rsid w:val="00B50717"/>
    <w:rsid w:val="00C9613B"/>
    <w:rsid w:val="00D169D6"/>
    <w:rsid w:val="00F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6C"/>
    <w:pPr>
      <w:ind w:left="720"/>
      <w:contextualSpacing/>
    </w:pPr>
  </w:style>
  <w:style w:type="table" w:styleId="TableGrid">
    <w:name w:val="Table Grid"/>
    <w:basedOn w:val="TableNormal"/>
    <w:uiPriority w:val="59"/>
    <w:rsid w:val="0043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0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6C"/>
    <w:pPr>
      <w:ind w:left="720"/>
      <w:contextualSpacing/>
    </w:pPr>
  </w:style>
  <w:style w:type="table" w:styleId="TableGrid">
    <w:name w:val="Table Grid"/>
    <w:basedOn w:val="TableNormal"/>
    <w:uiPriority w:val="59"/>
    <w:rsid w:val="0043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09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B52CB-3A7F-4FAD-8D18-BAA0B59C37C8}"/>
</file>

<file path=customXml/itemProps2.xml><?xml version="1.0" encoding="utf-8"?>
<ds:datastoreItem xmlns:ds="http://schemas.openxmlformats.org/officeDocument/2006/customXml" ds:itemID="{9F542A45-5C85-4A68-AA86-52A82559BE70}"/>
</file>

<file path=customXml/itemProps3.xml><?xml version="1.0" encoding="utf-8"?>
<ds:datastoreItem xmlns:ds="http://schemas.openxmlformats.org/officeDocument/2006/customXml" ds:itemID="{EFBB7BC6-6063-42F4-9CAA-D16D8FB88A76}"/>
</file>

<file path=customXml/itemProps4.xml><?xml version="1.0" encoding="utf-8"?>
<ds:datastoreItem xmlns:ds="http://schemas.openxmlformats.org/officeDocument/2006/customXml" ds:itemID="{6D0B92FE-9EA1-46BA-9878-05E5BA5DB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Juliana (UTC)</dc:creator>
  <cp:lastModifiedBy>Mary Kimball</cp:lastModifiedBy>
  <cp:revision>4</cp:revision>
  <dcterms:created xsi:type="dcterms:W3CDTF">2012-08-02T22:52:00Z</dcterms:created>
  <dcterms:modified xsi:type="dcterms:W3CDTF">2012-08-02T23:05:00Z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0x0101006E56B4D1795A2E4DB2F0B01679ED314A00B8B777AB53222F48ABE74CFDB1F2A548</vt:lpwstr>
  </property>
  <property fmtid="{D5CDD505-2E9C-101B-9397-08002B2CF9AE}" pid="5" name="_docset_NoMedatataSyncRequired">
    <vt:lpwstr>False</vt:lpwstr>
  </property>
</Properties>
</file>