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D6149" w14:textId="77777777" w:rsidR="002B1A60" w:rsidRPr="00740BE8" w:rsidRDefault="002B1A60" w:rsidP="002B1A60">
      <w:pPr>
        <w:pStyle w:val="Title"/>
        <w:contextualSpacing/>
        <w:rPr>
          <w:szCs w:val="24"/>
        </w:rPr>
      </w:pPr>
      <w:r w:rsidRPr="00740BE8">
        <w:rPr>
          <w:szCs w:val="24"/>
        </w:rPr>
        <w:t>BEFORE THE WASHINGTON UTILITIES AND</w:t>
      </w:r>
    </w:p>
    <w:p w14:paraId="5CA9FC7E" w14:textId="77777777" w:rsidR="002B1A60" w:rsidRPr="00740BE8" w:rsidRDefault="002B1A60" w:rsidP="002B1A60">
      <w:pPr>
        <w:pStyle w:val="Title"/>
        <w:contextualSpacing/>
        <w:rPr>
          <w:szCs w:val="24"/>
        </w:rPr>
      </w:pPr>
    </w:p>
    <w:p w14:paraId="004858DA" w14:textId="77777777" w:rsidR="002B1A60" w:rsidRPr="00740BE8" w:rsidRDefault="002B1A60" w:rsidP="002B1A60">
      <w:pPr>
        <w:pStyle w:val="Title"/>
        <w:contextualSpacing/>
        <w:rPr>
          <w:szCs w:val="24"/>
        </w:rPr>
      </w:pPr>
      <w:r w:rsidRPr="00740BE8">
        <w:rPr>
          <w:szCs w:val="24"/>
        </w:rPr>
        <w:t xml:space="preserve"> TRANSPORTATION COMMISSION</w:t>
      </w:r>
    </w:p>
    <w:p w14:paraId="728545F6" w14:textId="77777777" w:rsidR="002B1A60" w:rsidRPr="00740BE8" w:rsidRDefault="002B1A60" w:rsidP="002B1A60">
      <w:pPr>
        <w:contextualSpacing/>
        <w:jc w:val="center"/>
        <w:rPr>
          <w:rFonts w:ascii="Times New Roman" w:hAnsi="Times New Roman"/>
          <w:szCs w:val="24"/>
        </w:rPr>
      </w:pPr>
    </w:p>
    <w:p w14:paraId="7DD9D2FE" w14:textId="77777777" w:rsidR="002B1A60" w:rsidRPr="00740BE8" w:rsidRDefault="002B1A60" w:rsidP="002B1A60">
      <w:pPr>
        <w:pStyle w:val="Heading1"/>
        <w:contextualSpacing/>
        <w:jc w:val="center"/>
      </w:pPr>
      <w:r w:rsidRPr="00740BE8">
        <w:t>UE-161024</w:t>
      </w:r>
    </w:p>
    <w:tbl>
      <w:tblPr>
        <w:tblW w:w="0" w:type="auto"/>
        <w:tblLayout w:type="fixed"/>
        <w:tblCellMar>
          <w:left w:w="0" w:type="dxa"/>
          <w:right w:w="0" w:type="dxa"/>
        </w:tblCellMar>
        <w:tblLook w:val="0000" w:firstRow="0" w:lastRow="0" w:firstColumn="0" w:lastColumn="0" w:noHBand="0" w:noVBand="0"/>
      </w:tblPr>
      <w:tblGrid>
        <w:gridCol w:w="4508"/>
        <w:gridCol w:w="310"/>
        <w:gridCol w:w="4542"/>
      </w:tblGrid>
      <w:tr w:rsidR="002B1A60" w:rsidRPr="00740BE8" w14:paraId="52303DF1" w14:textId="77777777" w:rsidTr="008472A8">
        <w:trPr>
          <w:trHeight w:val="2223"/>
        </w:trPr>
        <w:tc>
          <w:tcPr>
            <w:tcW w:w="4508" w:type="dxa"/>
            <w:tcBorders>
              <w:bottom w:val="single" w:sz="4" w:space="0" w:color="auto"/>
            </w:tcBorders>
          </w:tcPr>
          <w:p w14:paraId="2880669E" w14:textId="77777777" w:rsidR="002B1A60" w:rsidRPr="00740BE8" w:rsidRDefault="002B1A60" w:rsidP="002B1A60">
            <w:pPr>
              <w:tabs>
                <w:tab w:val="left" w:pos="1456"/>
              </w:tabs>
              <w:autoSpaceDE w:val="0"/>
              <w:autoSpaceDN w:val="0"/>
              <w:adjustRightInd w:val="0"/>
              <w:contextualSpacing/>
              <w:rPr>
                <w:rFonts w:ascii="Times New Roman" w:hAnsi="Times New Roman"/>
              </w:rPr>
            </w:pPr>
          </w:p>
          <w:p w14:paraId="60ED771D" w14:textId="77777777" w:rsidR="002B1A60" w:rsidRPr="00740BE8" w:rsidRDefault="002B1A60" w:rsidP="002B1A60">
            <w:pPr>
              <w:tabs>
                <w:tab w:val="left" w:pos="1456"/>
              </w:tabs>
              <w:autoSpaceDE w:val="0"/>
              <w:autoSpaceDN w:val="0"/>
              <w:adjustRightInd w:val="0"/>
              <w:contextualSpacing/>
              <w:rPr>
                <w:rFonts w:ascii="Times New Roman" w:hAnsi="Times New Roman"/>
              </w:rPr>
            </w:pPr>
            <w:r w:rsidRPr="00740BE8">
              <w:rPr>
                <w:rFonts w:ascii="Times New Roman" w:hAnsi="Times New Roman"/>
              </w:rPr>
              <w:t xml:space="preserve">In the Matter of </w:t>
            </w:r>
          </w:p>
          <w:p w14:paraId="10FF8AD3" w14:textId="77777777" w:rsidR="002B1A60" w:rsidRPr="00740BE8" w:rsidRDefault="002B1A60" w:rsidP="002B1A60">
            <w:pPr>
              <w:tabs>
                <w:tab w:val="left" w:pos="1456"/>
              </w:tabs>
              <w:autoSpaceDE w:val="0"/>
              <w:autoSpaceDN w:val="0"/>
              <w:adjustRightInd w:val="0"/>
              <w:contextualSpacing/>
              <w:rPr>
                <w:rFonts w:ascii="Times New Roman" w:hAnsi="Times New Roman"/>
              </w:rPr>
            </w:pPr>
          </w:p>
          <w:p w14:paraId="367D7AB9" w14:textId="77777777" w:rsidR="002B1A60" w:rsidRPr="00740BE8" w:rsidRDefault="002B1A60" w:rsidP="002B1A60">
            <w:pPr>
              <w:tabs>
                <w:tab w:val="left" w:pos="1456"/>
              </w:tabs>
              <w:autoSpaceDE w:val="0"/>
              <w:autoSpaceDN w:val="0"/>
              <w:adjustRightInd w:val="0"/>
              <w:contextualSpacing/>
              <w:rPr>
                <w:rFonts w:ascii="Times New Roman" w:hAnsi="Times New Roman"/>
              </w:rPr>
            </w:pPr>
            <w:r w:rsidRPr="00740BE8">
              <w:rPr>
                <w:rFonts w:ascii="Times New Roman" w:hAnsi="Times New Roman"/>
              </w:rPr>
              <w:t xml:space="preserve">Rulemaking for Integrated Resource </w:t>
            </w:r>
          </w:p>
          <w:p w14:paraId="34FFD28C" w14:textId="77777777" w:rsidR="002B1A60" w:rsidRPr="00740BE8" w:rsidRDefault="002B1A60" w:rsidP="002B1A60">
            <w:pPr>
              <w:tabs>
                <w:tab w:val="left" w:pos="1456"/>
              </w:tabs>
              <w:autoSpaceDE w:val="0"/>
              <w:autoSpaceDN w:val="0"/>
              <w:adjustRightInd w:val="0"/>
              <w:contextualSpacing/>
              <w:rPr>
                <w:rFonts w:ascii="Times New Roman" w:hAnsi="Times New Roman"/>
              </w:rPr>
            </w:pPr>
            <w:r w:rsidRPr="00740BE8">
              <w:rPr>
                <w:rFonts w:ascii="Times New Roman" w:hAnsi="Times New Roman"/>
              </w:rPr>
              <w:t xml:space="preserve">Planning, WAC 480-100-238, WAC 480-90-238, and WAC 480-107 </w:t>
            </w:r>
          </w:p>
          <w:p w14:paraId="5A1F71CF" w14:textId="77777777" w:rsidR="00740BE8" w:rsidRPr="00740BE8" w:rsidRDefault="00740BE8" w:rsidP="00740BE8">
            <w:pPr>
              <w:pStyle w:val="BodyTextIndent2"/>
              <w:spacing w:after="240"/>
              <w:contextualSpacing/>
              <w:rPr>
                <w:rFonts w:ascii="Times New Roman" w:hAnsi="Times New Roman"/>
                <w:color w:val="000000"/>
              </w:rPr>
            </w:pPr>
            <w:r w:rsidRPr="00740BE8">
              <w:rPr>
                <w:rFonts w:ascii="Times New Roman" w:hAnsi="Times New Roman"/>
                <w:color w:val="000000"/>
              </w:rPr>
              <w:tab/>
            </w:r>
          </w:p>
          <w:p w14:paraId="553D139C" w14:textId="7461779B" w:rsidR="00740BE8" w:rsidRPr="00740BE8" w:rsidRDefault="00740BE8" w:rsidP="00740BE8">
            <w:pPr>
              <w:pStyle w:val="BodyTextIndent2"/>
              <w:spacing w:after="240"/>
              <w:contextualSpacing/>
              <w:rPr>
                <w:rFonts w:ascii="Times New Roman" w:hAnsi="Times New Roman"/>
              </w:rPr>
            </w:pPr>
            <w:r w:rsidRPr="00740BE8">
              <w:rPr>
                <w:rFonts w:ascii="Times New Roman" w:hAnsi="Times New Roman"/>
                <w:color w:val="000000"/>
              </w:rPr>
              <w:t>RE: Public Utility Regulatory Policies Act, Obligations of the Utility to Qualifying Facilities, WAC 480-107-105.</w:t>
            </w:r>
            <w:r w:rsidRPr="00740BE8">
              <w:rPr>
                <w:rFonts w:ascii="Times New Roman" w:hAnsi="Times New Roman"/>
                <w:color w:val="000000"/>
              </w:rPr>
              <w:br/>
            </w:r>
            <w:r w:rsidRPr="00740BE8">
              <w:rPr>
                <w:rFonts w:ascii="Times New Roman" w:hAnsi="Times New Roman"/>
              </w:rPr>
              <w:t>Docket U-161024</w:t>
            </w:r>
          </w:p>
          <w:p w14:paraId="06D9DC49" w14:textId="77777777" w:rsidR="00740BE8" w:rsidRPr="00740BE8" w:rsidRDefault="00740BE8" w:rsidP="002B1A60">
            <w:pPr>
              <w:tabs>
                <w:tab w:val="left" w:pos="1456"/>
              </w:tabs>
              <w:autoSpaceDE w:val="0"/>
              <w:autoSpaceDN w:val="0"/>
              <w:adjustRightInd w:val="0"/>
              <w:contextualSpacing/>
              <w:rPr>
                <w:rFonts w:ascii="Times New Roman" w:hAnsi="Times New Roman"/>
              </w:rPr>
            </w:pPr>
          </w:p>
        </w:tc>
        <w:tc>
          <w:tcPr>
            <w:tcW w:w="310" w:type="dxa"/>
          </w:tcPr>
          <w:p w14:paraId="6EE47E29" w14:textId="77777777" w:rsidR="002B1A60" w:rsidRPr="00740BE8" w:rsidRDefault="002B1A60" w:rsidP="002B1A60">
            <w:pPr>
              <w:pStyle w:val="SingleSpacing"/>
              <w:spacing w:line="240" w:lineRule="auto"/>
              <w:contextualSpacing/>
            </w:pPr>
          </w:p>
          <w:p w14:paraId="4EC8DA16" w14:textId="77777777" w:rsidR="002B1A60" w:rsidRPr="00740BE8" w:rsidRDefault="002B1A60" w:rsidP="002B1A60">
            <w:pPr>
              <w:pStyle w:val="SingleSpacing"/>
              <w:spacing w:line="240" w:lineRule="auto"/>
              <w:contextualSpacing/>
            </w:pPr>
            <w:r w:rsidRPr="00740BE8">
              <w:t>)</w:t>
            </w:r>
          </w:p>
          <w:p w14:paraId="0A636D1D" w14:textId="77777777" w:rsidR="002B1A60" w:rsidRPr="00740BE8" w:rsidRDefault="002B1A60" w:rsidP="002B1A60">
            <w:pPr>
              <w:pStyle w:val="SingleSpacing"/>
              <w:spacing w:line="240" w:lineRule="auto"/>
              <w:contextualSpacing/>
            </w:pPr>
            <w:r w:rsidRPr="00740BE8">
              <w:t>)</w:t>
            </w:r>
          </w:p>
          <w:p w14:paraId="235DB353" w14:textId="77777777" w:rsidR="002B1A60" w:rsidRPr="00740BE8" w:rsidRDefault="002B1A60" w:rsidP="002B1A60">
            <w:pPr>
              <w:pStyle w:val="SingleSpacing"/>
              <w:spacing w:line="240" w:lineRule="auto"/>
              <w:contextualSpacing/>
            </w:pPr>
            <w:r w:rsidRPr="00740BE8">
              <w:t>)</w:t>
            </w:r>
          </w:p>
          <w:p w14:paraId="5CB53D0F" w14:textId="77777777" w:rsidR="002B1A60" w:rsidRPr="00740BE8" w:rsidRDefault="002B1A60" w:rsidP="002B1A60">
            <w:pPr>
              <w:pStyle w:val="SingleSpacing"/>
              <w:spacing w:line="240" w:lineRule="auto"/>
              <w:contextualSpacing/>
            </w:pPr>
            <w:r w:rsidRPr="00740BE8">
              <w:t>)</w:t>
            </w:r>
          </w:p>
          <w:p w14:paraId="2FF45459" w14:textId="77777777" w:rsidR="002B1A60" w:rsidRPr="00740BE8" w:rsidRDefault="002B1A60" w:rsidP="002B1A60">
            <w:pPr>
              <w:pStyle w:val="SingleSpacing"/>
              <w:spacing w:line="240" w:lineRule="auto"/>
              <w:contextualSpacing/>
            </w:pPr>
            <w:r w:rsidRPr="00740BE8">
              <w:t>)</w:t>
            </w:r>
          </w:p>
          <w:p w14:paraId="4B54A363" w14:textId="77777777" w:rsidR="002B1A60" w:rsidRPr="00740BE8" w:rsidRDefault="002B1A60" w:rsidP="002B1A60">
            <w:pPr>
              <w:pStyle w:val="SingleSpacing"/>
              <w:spacing w:line="240" w:lineRule="auto"/>
              <w:contextualSpacing/>
            </w:pPr>
            <w:r w:rsidRPr="00740BE8">
              <w:t>)</w:t>
            </w:r>
          </w:p>
          <w:p w14:paraId="4FE9CA76" w14:textId="77777777" w:rsidR="002B1A60" w:rsidRDefault="002B1A60" w:rsidP="002B1A60">
            <w:pPr>
              <w:contextualSpacing/>
              <w:rPr>
                <w:rFonts w:ascii="Times New Roman" w:hAnsi="Times New Roman"/>
              </w:rPr>
            </w:pPr>
            <w:r w:rsidRPr="00740BE8">
              <w:rPr>
                <w:rFonts w:ascii="Times New Roman" w:hAnsi="Times New Roman"/>
              </w:rPr>
              <w:t>)</w:t>
            </w:r>
          </w:p>
          <w:p w14:paraId="570902D5" w14:textId="77777777" w:rsidR="00740BE8" w:rsidRDefault="00740BE8" w:rsidP="002B1A60">
            <w:pPr>
              <w:contextualSpacing/>
              <w:rPr>
                <w:rFonts w:ascii="Times New Roman" w:hAnsi="Times New Roman"/>
              </w:rPr>
            </w:pPr>
            <w:r>
              <w:rPr>
                <w:rFonts w:ascii="Times New Roman" w:hAnsi="Times New Roman"/>
              </w:rPr>
              <w:t>)</w:t>
            </w:r>
          </w:p>
          <w:p w14:paraId="1BB8A6C8" w14:textId="77777777" w:rsidR="00740BE8" w:rsidRDefault="00740BE8" w:rsidP="002B1A60">
            <w:pPr>
              <w:contextualSpacing/>
              <w:rPr>
                <w:rFonts w:ascii="Times New Roman" w:hAnsi="Times New Roman"/>
              </w:rPr>
            </w:pPr>
            <w:r>
              <w:rPr>
                <w:rFonts w:ascii="Times New Roman" w:hAnsi="Times New Roman"/>
              </w:rPr>
              <w:t>)</w:t>
            </w:r>
          </w:p>
          <w:p w14:paraId="4479A449" w14:textId="77777777" w:rsidR="00740BE8" w:rsidRDefault="00740BE8" w:rsidP="002B1A60">
            <w:pPr>
              <w:contextualSpacing/>
              <w:rPr>
                <w:rFonts w:ascii="Times New Roman" w:hAnsi="Times New Roman"/>
              </w:rPr>
            </w:pPr>
            <w:r>
              <w:rPr>
                <w:rFonts w:ascii="Times New Roman" w:hAnsi="Times New Roman"/>
              </w:rPr>
              <w:t>)</w:t>
            </w:r>
          </w:p>
          <w:p w14:paraId="090CEAA1" w14:textId="132631ED" w:rsidR="00740BE8" w:rsidRPr="00740BE8" w:rsidRDefault="00740BE8" w:rsidP="002B1A60">
            <w:pPr>
              <w:contextualSpacing/>
              <w:rPr>
                <w:rFonts w:ascii="Times New Roman" w:hAnsi="Times New Roman"/>
              </w:rPr>
            </w:pPr>
            <w:r>
              <w:rPr>
                <w:rFonts w:ascii="Times New Roman" w:hAnsi="Times New Roman"/>
              </w:rPr>
              <w:t>)</w:t>
            </w:r>
          </w:p>
        </w:tc>
        <w:tc>
          <w:tcPr>
            <w:tcW w:w="4542" w:type="dxa"/>
          </w:tcPr>
          <w:p w14:paraId="4F91D7E9" w14:textId="77777777" w:rsidR="002B1A60" w:rsidRPr="00740BE8" w:rsidRDefault="002B1A60" w:rsidP="002B1A60">
            <w:pPr>
              <w:pStyle w:val="SingleSpacing"/>
              <w:spacing w:line="240" w:lineRule="auto"/>
              <w:contextualSpacing/>
            </w:pPr>
            <w:bookmarkStart w:id="0" w:name="CaseNumber"/>
            <w:bookmarkEnd w:id="0"/>
          </w:p>
          <w:p w14:paraId="2914F30B" w14:textId="77777777" w:rsidR="002B1A60" w:rsidRPr="00740BE8" w:rsidRDefault="002B1A60" w:rsidP="002B1A60">
            <w:pPr>
              <w:pStyle w:val="SingleSpacing"/>
              <w:spacing w:line="240" w:lineRule="auto"/>
              <w:contextualSpacing/>
            </w:pPr>
          </w:p>
          <w:p w14:paraId="3B561090" w14:textId="77777777" w:rsidR="00740BE8" w:rsidRDefault="00740BE8" w:rsidP="002B1A60">
            <w:pPr>
              <w:pStyle w:val="BodyText2"/>
              <w:spacing w:line="240" w:lineRule="auto"/>
              <w:ind w:left="410"/>
              <w:contextualSpacing/>
              <w:rPr>
                <w:rFonts w:ascii="Times New Roman" w:hAnsi="Times New Roman"/>
              </w:rPr>
            </w:pPr>
          </w:p>
          <w:p w14:paraId="6FC63861" w14:textId="77777777" w:rsidR="00740BE8" w:rsidRDefault="00740BE8" w:rsidP="002B1A60">
            <w:pPr>
              <w:pStyle w:val="BodyText2"/>
              <w:spacing w:line="240" w:lineRule="auto"/>
              <w:ind w:left="410"/>
              <w:contextualSpacing/>
              <w:rPr>
                <w:rFonts w:ascii="Times New Roman" w:hAnsi="Times New Roman"/>
              </w:rPr>
            </w:pPr>
          </w:p>
          <w:p w14:paraId="226DD9CD" w14:textId="77777777" w:rsidR="00740BE8" w:rsidRDefault="00740BE8" w:rsidP="002B1A60">
            <w:pPr>
              <w:pStyle w:val="BodyText2"/>
              <w:spacing w:line="240" w:lineRule="auto"/>
              <w:ind w:left="410"/>
              <w:contextualSpacing/>
              <w:rPr>
                <w:rFonts w:ascii="Times New Roman" w:hAnsi="Times New Roman"/>
              </w:rPr>
            </w:pPr>
          </w:p>
          <w:p w14:paraId="6B494AFD" w14:textId="77777777" w:rsidR="00740BE8" w:rsidRDefault="00740BE8" w:rsidP="002B1A60">
            <w:pPr>
              <w:pStyle w:val="BodyText2"/>
              <w:spacing w:line="240" w:lineRule="auto"/>
              <w:ind w:left="410"/>
              <w:contextualSpacing/>
              <w:rPr>
                <w:rFonts w:ascii="Times New Roman" w:hAnsi="Times New Roman"/>
              </w:rPr>
            </w:pPr>
          </w:p>
          <w:p w14:paraId="23BCA7F7" w14:textId="70DFD716" w:rsidR="002B1A60" w:rsidRPr="00740BE8" w:rsidRDefault="002B1A60" w:rsidP="002B1A60">
            <w:pPr>
              <w:pStyle w:val="BodyText2"/>
              <w:spacing w:line="240" w:lineRule="auto"/>
              <w:ind w:left="410"/>
              <w:contextualSpacing/>
              <w:rPr>
                <w:rFonts w:ascii="Times New Roman" w:hAnsi="Times New Roman"/>
                <w:b/>
                <w:bCs/>
              </w:rPr>
            </w:pPr>
            <w:r w:rsidRPr="00740BE8">
              <w:rPr>
                <w:rFonts w:ascii="Times New Roman" w:hAnsi="Times New Roman"/>
              </w:rPr>
              <w:t>NEWSUN ENERGY LLC</w:t>
            </w:r>
          </w:p>
          <w:p w14:paraId="178486B3" w14:textId="77777777" w:rsidR="002B1A60" w:rsidRPr="00740BE8" w:rsidRDefault="002B1A60" w:rsidP="002B1A60">
            <w:pPr>
              <w:pStyle w:val="BodyText2"/>
              <w:spacing w:line="240" w:lineRule="auto"/>
              <w:ind w:left="410"/>
              <w:contextualSpacing/>
              <w:rPr>
                <w:rFonts w:ascii="Times New Roman" w:hAnsi="Times New Roman"/>
                <w:b/>
                <w:bCs/>
              </w:rPr>
            </w:pPr>
          </w:p>
        </w:tc>
      </w:tr>
    </w:tbl>
    <w:p w14:paraId="1FC53A3E" w14:textId="7F50CA7D" w:rsidR="002B1A60" w:rsidRPr="00740BE8" w:rsidRDefault="002B1A60" w:rsidP="002B1A60">
      <w:pPr>
        <w:contextualSpacing/>
        <w:rPr>
          <w:rFonts w:ascii="Times New Roman" w:hAnsi="Times New Roman"/>
        </w:rPr>
      </w:pPr>
    </w:p>
    <w:p w14:paraId="156D86F0" w14:textId="77777777" w:rsidR="002B1A60" w:rsidRPr="00740BE8" w:rsidRDefault="002B1A60" w:rsidP="002B1A60">
      <w:pPr>
        <w:spacing w:line="480" w:lineRule="auto"/>
        <w:jc w:val="center"/>
        <w:rPr>
          <w:rFonts w:ascii="Times New Roman" w:hAnsi="Times New Roman"/>
          <w:b/>
        </w:rPr>
      </w:pPr>
      <w:r w:rsidRPr="00740BE8">
        <w:rPr>
          <w:rFonts w:ascii="Times New Roman" w:hAnsi="Times New Roman"/>
          <w:b/>
        </w:rPr>
        <w:t>I.</w:t>
      </w:r>
      <w:r w:rsidRPr="00740BE8">
        <w:rPr>
          <w:rFonts w:ascii="Times New Roman" w:hAnsi="Times New Roman"/>
          <w:b/>
        </w:rPr>
        <w:tab/>
        <w:t>INTRODUCTION</w:t>
      </w:r>
    </w:p>
    <w:p w14:paraId="25DE5837" w14:textId="6C8CB74A" w:rsidR="002B1A60" w:rsidRPr="00740BE8" w:rsidRDefault="002B1A60" w:rsidP="007F00C7">
      <w:pPr>
        <w:pStyle w:val="ListParagraph"/>
        <w:numPr>
          <w:ilvl w:val="1"/>
          <w:numId w:val="16"/>
        </w:numPr>
        <w:spacing w:line="480" w:lineRule="auto"/>
        <w:ind w:left="0" w:hanging="540"/>
        <w:contextualSpacing/>
        <w:jc w:val="both"/>
        <w:rPr>
          <w:rFonts w:ascii="Times New Roman" w:hAnsi="Times New Roman"/>
        </w:rPr>
      </w:pPr>
      <w:proofErr w:type="spellStart"/>
      <w:r w:rsidRPr="00740BE8">
        <w:rPr>
          <w:rFonts w:ascii="Times New Roman" w:hAnsi="Times New Roman"/>
        </w:rPr>
        <w:t>NewSun</w:t>
      </w:r>
      <w:proofErr w:type="spellEnd"/>
      <w:r w:rsidRPr="00740BE8">
        <w:rPr>
          <w:rFonts w:ascii="Times New Roman" w:hAnsi="Times New Roman"/>
        </w:rPr>
        <w:t xml:space="preserve"> Energy LLC (“</w:t>
      </w:r>
      <w:proofErr w:type="spellStart"/>
      <w:r w:rsidRPr="00740BE8">
        <w:rPr>
          <w:rFonts w:ascii="Times New Roman" w:hAnsi="Times New Roman"/>
        </w:rPr>
        <w:t>NewSun</w:t>
      </w:r>
      <w:proofErr w:type="spellEnd"/>
      <w:r w:rsidRPr="00740BE8">
        <w:rPr>
          <w:rFonts w:ascii="Times New Roman" w:hAnsi="Times New Roman"/>
        </w:rPr>
        <w:t>”) submits these comments regarding the Washington Utilities and Transportation Commission’s (the “Commission</w:t>
      </w:r>
      <w:r w:rsidR="0064790A">
        <w:rPr>
          <w:rFonts w:ascii="Times New Roman" w:hAnsi="Times New Roman"/>
        </w:rPr>
        <w:t>’s</w:t>
      </w:r>
      <w:r w:rsidRPr="00740BE8">
        <w:rPr>
          <w:rFonts w:ascii="Times New Roman" w:hAnsi="Times New Roman"/>
        </w:rPr>
        <w:t>” or “WUTC</w:t>
      </w:r>
      <w:r w:rsidR="0064790A">
        <w:rPr>
          <w:rFonts w:ascii="Times New Roman" w:hAnsi="Times New Roman"/>
        </w:rPr>
        <w:t>’s</w:t>
      </w:r>
      <w:r w:rsidRPr="00740BE8">
        <w:rPr>
          <w:rFonts w:ascii="Times New Roman" w:hAnsi="Times New Roman"/>
        </w:rPr>
        <w:t xml:space="preserve">”) rulemaking to examine whether the Commission’s rules related to the integrated resource plan (“IRP”) process, energy storage, requests for proposals (“RFP”), avoided costs, transmission and distribution planning, and flexible resource modeling require an update </w:t>
      </w:r>
      <w:r w:rsidR="0064790A">
        <w:rPr>
          <w:rFonts w:ascii="Times New Roman" w:hAnsi="Times New Roman"/>
        </w:rPr>
        <w:t>to reflect</w:t>
      </w:r>
      <w:r w:rsidRPr="00740BE8">
        <w:rPr>
          <w:rFonts w:ascii="Times New Roman" w:hAnsi="Times New Roman"/>
        </w:rPr>
        <w:t xml:space="preserve"> recent trends in the energy industry.  In particular, </w:t>
      </w:r>
      <w:proofErr w:type="spellStart"/>
      <w:r w:rsidRPr="00740BE8">
        <w:rPr>
          <w:rFonts w:ascii="Times New Roman" w:hAnsi="Times New Roman"/>
        </w:rPr>
        <w:t>NewSun</w:t>
      </w:r>
      <w:proofErr w:type="spellEnd"/>
      <w:r w:rsidRPr="00740BE8">
        <w:rPr>
          <w:rFonts w:ascii="Times New Roman" w:hAnsi="Times New Roman"/>
        </w:rPr>
        <w:t xml:space="preserve"> is responding to the Commission’s Notice of March 20, 2017 </w:t>
      </w:r>
      <w:r w:rsidR="00714F10">
        <w:rPr>
          <w:rFonts w:ascii="Times New Roman" w:hAnsi="Times New Roman"/>
        </w:rPr>
        <w:t xml:space="preserve">(the “Notice”) </w:t>
      </w:r>
      <w:r w:rsidRPr="00740BE8">
        <w:rPr>
          <w:rFonts w:ascii="Times New Roman" w:hAnsi="Times New Roman"/>
        </w:rPr>
        <w:t xml:space="preserve">to </w:t>
      </w:r>
      <w:r w:rsidRPr="00740BE8">
        <w:rPr>
          <w:rFonts w:ascii="Times New Roman" w:hAnsi="Times New Roman"/>
          <w:bCs/>
          <w:szCs w:val="24"/>
        </w:rPr>
        <w:t>consider whether revisions are necessary to rules in WAC 480-107 that outline a utility’s obligation to a PURPA qualifying facility (</w:t>
      </w:r>
      <w:r w:rsidR="0064790A">
        <w:rPr>
          <w:rFonts w:ascii="Times New Roman" w:hAnsi="Times New Roman"/>
          <w:bCs/>
          <w:szCs w:val="24"/>
        </w:rPr>
        <w:t>“</w:t>
      </w:r>
      <w:r w:rsidRPr="00740BE8">
        <w:rPr>
          <w:rFonts w:ascii="Times New Roman" w:hAnsi="Times New Roman"/>
          <w:bCs/>
          <w:szCs w:val="24"/>
        </w:rPr>
        <w:t>QF</w:t>
      </w:r>
      <w:r w:rsidR="0064790A">
        <w:rPr>
          <w:rFonts w:ascii="Times New Roman" w:hAnsi="Times New Roman"/>
          <w:bCs/>
          <w:szCs w:val="24"/>
        </w:rPr>
        <w:t>”</w:t>
      </w:r>
      <w:r w:rsidRPr="00740BE8">
        <w:rPr>
          <w:rFonts w:ascii="Times New Roman" w:hAnsi="Times New Roman"/>
          <w:bCs/>
          <w:szCs w:val="24"/>
        </w:rPr>
        <w:t xml:space="preserve">).   </w:t>
      </w:r>
    </w:p>
    <w:p w14:paraId="52623229" w14:textId="16BE8D90" w:rsidR="00C135D1" w:rsidRPr="000E34F0" w:rsidRDefault="00C135D1" w:rsidP="00ED066F">
      <w:pPr>
        <w:pStyle w:val="ListParagraph"/>
        <w:numPr>
          <w:ilvl w:val="1"/>
          <w:numId w:val="16"/>
        </w:numPr>
        <w:spacing w:line="480" w:lineRule="auto"/>
        <w:ind w:left="0" w:hanging="540"/>
        <w:contextualSpacing/>
        <w:rPr>
          <w:rFonts w:ascii="Times New Roman" w:hAnsi="Times New Roman"/>
        </w:rPr>
      </w:pPr>
      <w:proofErr w:type="spellStart"/>
      <w:r w:rsidRPr="000E34F0">
        <w:rPr>
          <w:rFonts w:ascii="Times New Roman" w:hAnsi="Times New Roman"/>
          <w:bCs/>
          <w:szCs w:val="24"/>
        </w:rPr>
        <w:t>NewSun</w:t>
      </w:r>
      <w:proofErr w:type="spellEnd"/>
      <w:r w:rsidRPr="000E34F0">
        <w:rPr>
          <w:rFonts w:ascii="Times New Roman" w:hAnsi="Times New Roman"/>
          <w:bCs/>
          <w:szCs w:val="24"/>
        </w:rPr>
        <w:t xml:space="preserve"> is a developer of renewable and energy storage projects across the US, </w:t>
      </w:r>
      <w:r w:rsidR="007F00C7" w:rsidRPr="000E34F0">
        <w:rPr>
          <w:rFonts w:ascii="Times New Roman" w:hAnsi="Times New Roman"/>
          <w:bCs/>
          <w:szCs w:val="24"/>
        </w:rPr>
        <w:t>including opportunities to provide energy to utilities in</w:t>
      </w:r>
      <w:r w:rsidRPr="000E34F0">
        <w:rPr>
          <w:rFonts w:ascii="Times New Roman" w:hAnsi="Times New Roman"/>
          <w:bCs/>
          <w:szCs w:val="24"/>
        </w:rPr>
        <w:t xml:space="preserve"> the State of Washington</w:t>
      </w:r>
      <w:r w:rsidR="000E34F0" w:rsidRPr="000E34F0">
        <w:rPr>
          <w:rFonts w:ascii="Times New Roman" w:hAnsi="Times New Roman"/>
          <w:bCs/>
          <w:szCs w:val="24"/>
        </w:rPr>
        <w:t xml:space="preserve">.  </w:t>
      </w:r>
      <w:r w:rsidRPr="000E34F0">
        <w:rPr>
          <w:rFonts w:ascii="Times New Roman" w:hAnsi="Times New Roman"/>
          <w:bCs/>
          <w:szCs w:val="24"/>
        </w:rPr>
        <w:t>In the Commission’</w:t>
      </w:r>
      <w:r w:rsidR="00672ACD" w:rsidRPr="000E34F0">
        <w:rPr>
          <w:rFonts w:ascii="Times New Roman" w:hAnsi="Times New Roman"/>
          <w:bCs/>
          <w:szCs w:val="24"/>
        </w:rPr>
        <w:t xml:space="preserve">s </w:t>
      </w:r>
      <w:r w:rsidRPr="000E34F0">
        <w:rPr>
          <w:rFonts w:ascii="Times New Roman" w:hAnsi="Times New Roman"/>
          <w:bCs/>
          <w:szCs w:val="24"/>
        </w:rPr>
        <w:t>Notice, several questions were presented to solicit stakeholder feedback and this submission will address each question in order.</w:t>
      </w:r>
    </w:p>
    <w:p w14:paraId="3403F07F" w14:textId="1C2B3A0B" w:rsidR="0042630A" w:rsidRPr="00740BE8" w:rsidRDefault="0042630A" w:rsidP="00C135D1">
      <w:pPr>
        <w:pStyle w:val="ListParagraph"/>
        <w:numPr>
          <w:ilvl w:val="1"/>
          <w:numId w:val="16"/>
        </w:numPr>
        <w:spacing w:line="480" w:lineRule="auto"/>
        <w:ind w:left="0" w:hanging="540"/>
        <w:contextualSpacing/>
        <w:rPr>
          <w:rFonts w:ascii="Times New Roman" w:hAnsi="Times New Roman"/>
        </w:rPr>
      </w:pPr>
      <w:r w:rsidRPr="00740BE8">
        <w:rPr>
          <w:rFonts w:ascii="Times New Roman" w:hAnsi="Times New Roman"/>
          <w:b/>
          <w:szCs w:val="24"/>
        </w:rPr>
        <w:lastRenderedPageBreak/>
        <w:t>A</w:t>
      </w:r>
      <w:r w:rsidR="004C584E" w:rsidRPr="00740BE8">
        <w:rPr>
          <w:rFonts w:ascii="Times New Roman" w:hAnsi="Times New Roman"/>
          <w:b/>
          <w:szCs w:val="24"/>
        </w:rPr>
        <w:t xml:space="preserve">. </w:t>
      </w:r>
      <w:r w:rsidR="005403C5" w:rsidRPr="00740BE8">
        <w:rPr>
          <w:rFonts w:ascii="Times New Roman" w:hAnsi="Times New Roman"/>
          <w:b/>
          <w:szCs w:val="24"/>
        </w:rPr>
        <w:t>Avoided cost methodology</w:t>
      </w:r>
      <w:r w:rsidR="00077A5A" w:rsidRPr="00740BE8">
        <w:rPr>
          <w:rFonts w:ascii="Times New Roman" w:hAnsi="Times New Roman"/>
          <w:b/>
          <w:szCs w:val="24"/>
        </w:rPr>
        <w:t>:</w:t>
      </w:r>
    </w:p>
    <w:p w14:paraId="6C12E2F8" w14:textId="163B1887" w:rsidR="00C135D1" w:rsidRPr="007F00C7" w:rsidRDefault="00C135D1" w:rsidP="00C135D1">
      <w:pPr>
        <w:spacing w:line="480" w:lineRule="auto"/>
        <w:ind w:left="-540"/>
        <w:contextualSpacing/>
        <w:rPr>
          <w:rFonts w:ascii="Times New Roman" w:hAnsi="Times New Roman"/>
          <w:b/>
          <w:bCs/>
          <w:i/>
          <w:szCs w:val="24"/>
        </w:rPr>
      </w:pPr>
      <w:r w:rsidRPr="007F00C7">
        <w:rPr>
          <w:rFonts w:ascii="Times New Roman" w:hAnsi="Times New Roman"/>
          <w:b/>
          <w:bCs/>
          <w:szCs w:val="24"/>
        </w:rPr>
        <w:t xml:space="preserve">Commission Q: </w:t>
      </w:r>
      <w:r w:rsidRPr="007F00C7">
        <w:rPr>
          <w:rFonts w:ascii="Times New Roman" w:hAnsi="Times New Roman"/>
          <w:b/>
          <w:bCs/>
          <w:i/>
          <w:szCs w:val="24"/>
        </w:rPr>
        <w:t>“</w:t>
      </w:r>
      <w:r w:rsidR="004B6F73" w:rsidRPr="007F00C7">
        <w:rPr>
          <w:rFonts w:ascii="Times New Roman" w:hAnsi="Times New Roman"/>
          <w:b/>
          <w:bCs/>
          <w:i/>
          <w:szCs w:val="24"/>
        </w:rPr>
        <w:t>What is the appropriate</w:t>
      </w:r>
      <w:r w:rsidR="005403C5" w:rsidRPr="007F00C7">
        <w:rPr>
          <w:rFonts w:ascii="Times New Roman" w:hAnsi="Times New Roman"/>
          <w:b/>
          <w:bCs/>
          <w:i/>
          <w:szCs w:val="24"/>
        </w:rPr>
        <w:t xml:space="preserve"> avoided cost methodology for calculating QF energy and capacity rates? </w:t>
      </w:r>
      <w:r w:rsidR="00CB4C51" w:rsidRPr="007F00C7">
        <w:rPr>
          <w:rFonts w:ascii="Times New Roman" w:hAnsi="Times New Roman"/>
          <w:b/>
          <w:bCs/>
          <w:i/>
          <w:szCs w:val="24"/>
        </w:rPr>
        <w:t>A brief review of commonly cited l</w:t>
      </w:r>
      <w:r w:rsidR="005403C5" w:rsidRPr="007F00C7">
        <w:rPr>
          <w:rFonts w:ascii="Times New Roman" w:hAnsi="Times New Roman"/>
          <w:b/>
          <w:bCs/>
          <w:i/>
          <w:szCs w:val="24"/>
        </w:rPr>
        <w:t xml:space="preserve">iterature </w:t>
      </w:r>
      <w:r w:rsidR="00CB4C51" w:rsidRPr="007F00C7">
        <w:rPr>
          <w:rFonts w:ascii="Times New Roman" w:hAnsi="Times New Roman"/>
          <w:b/>
          <w:bCs/>
          <w:i/>
          <w:szCs w:val="24"/>
        </w:rPr>
        <w:t>identifies</w:t>
      </w:r>
      <w:r w:rsidR="005403C5" w:rsidRPr="007F00C7">
        <w:rPr>
          <w:rFonts w:ascii="Times New Roman" w:hAnsi="Times New Roman"/>
          <w:b/>
          <w:bCs/>
          <w:i/>
          <w:szCs w:val="24"/>
        </w:rPr>
        <w:t xml:space="preserve"> five methodologies: Proxy Unit, Peaker Method, Difference in Revenue Requirement, Market-Based Pricing, and Competitive Bidding.</w:t>
      </w:r>
      <w:r w:rsidRPr="007F00C7">
        <w:rPr>
          <w:rFonts w:ascii="Times New Roman" w:hAnsi="Times New Roman"/>
          <w:b/>
          <w:bCs/>
          <w:i/>
          <w:szCs w:val="24"/>
        </w:rPr>
        <w:t>”</w:t>
      </w:r>
    </w:p>
    <w:p w14:paraId="6071F479" w14:textId="77777777" w:rsidR="00AE1A1C" w:rsidRDefault="00714F10" w:rsidP="00C135D1">
      <w:pPr>
        <w:spacing w:line="480" w:lineRule="auto"/>
        <w:ind w:left="-540"/>
        <w:contextualSpacing/>
        <w:rPr>
          <w:rFonts w:ascii="Times New Roman" w:hAnsi="Times New Roman"/>
          <w:bCs/>
          <w:szCs w:val="24"/>
        </w:rPr>
      </w:pPr>
      <w:r>
        <w:rPr>
          <w:rFonts w:ascii="Times New Roman" w:hAnsi="Times New Roman"/>
          <w:bCs/>
          <w:szCs w:val="24"/>
        </w:rPr>
        <w:t>A</w:t>
      </w:r>
      <w:r w:rsidR="00C135D1" w:rsidRPr="00740BE8">
        <w:rPr>
          <w:rFonts w:ascii="Times New Roman" w:hAnsi="Times New Roman"/>
          <w:bCs/>
          <w:szCs w:val="24"/>
        </w:rPr>
        <w:t xml:space="preserve">ny </w:t>
      </w:r>
      <w:r>
        <w:rPr>
          <w:rFonts w:ascii="Times New Roman" w:hAnsi="Times New Roman"/>
          <w:bCs/>
          <w:szCs w:val="24"/>
        </w:rPr>
        <w:t>a</w:t>
      </w:r>
      <w:r w:rsidR="00C135D1" w:rsidRPr="00740BE8">
        <w:rPr>
          <w:rFonts w:ascii="Times New Roman" w:hAnsi="Times New Roman"/>
          <w:bCs/>
          <w:szCs w:val="24"/>
        </w:rPr>
        <w:t xml:space="preserve">voided </w:t>
      </w:r>
      <w:r>
        <w:rPr>
          <w:rFonts w:ascii="Times New Roman" w:hAnsi="Times New Roman"/>
          <w:bCs/>
          <w:szCs w:val="24"/>
        </w:rPr>
        <w:t>c</w:t>
      </w:r>
      <w:r w:rsidR="00C135D1" w:rsidRPr="00740BE8">
        <w:rPr>
          <w:rFonts w:ascii="Times New Roman" w:hAnsi="Times New Roman"/>
          <w:bCs/>
          <w:szCs w:val="24"/>
        </w:rPr>
        <w:t>ost methodolog</w:t>
      </w:r>
      <w:r>
        <w:rPr>
          <w:rFonts w:ascii="Times New Roman" w:hAnsi="Times New Roman"/>
          <w:bCs/>
          <w:szCs w:val="24"/>
        </w:rPr>
        <w:t>y</w:t>
      </w:r>
      <w:r w:rsidR="00C135D1" w:rsidRPr="00740BE8">
        <w:rPr>
          <w:rFonts w:ascii="Times New Roman" w:hAnsi="Times New Roman"/>
          <w:bCs/>
          <w:szCs w:val="24"/>
        </w:rPr>
        <w:t xml:space="preserve"> </w:t>
      </w:r>
      <w:r>
        <w:rPr>
          <w:rFonts w:ascii="Times New Roman" w:hAnsi="Times New Roman"/>
          <w:bCs/>
          <w:szCs w:val="24"/>
        </w:rPr>
        <w:t>should</w:t>
      </w:r>
      <w:r w:rsidR="00AE1A1C">
        <w:rPr>
          <w:rFonts w:ascii="Times New Roman" w:hAnsi="Times New Roman"/>
          <w:bCs/>
          <w:szCs w:val="24"/>
        </w:rPr>
        <w:t>:</w:t>
      </w:r>
      <w:r>
        <w:rPr>
          <w:rFonts w:ascii="Times New Roman" w:hAnsi="Times New Roman"/>
          <w:bCs/>
          <w:szCs w:val="24"/>
        </w:rPr>
        <w:t xml:space="preserve"> </w:t>
      </w:r>
    </w:p>
    <w:p w14:paraId="7C026535" w14:textId="54A0D063" w:rsidR="007F00C7" w:rsidRDefault="00AE1A1C" w:rsidP="00AE1A1C">
      <w:pPr>
        <w:spacing w:line="480" w:lineRule="auto"/>
        <w:ind w:left="-540" w:firstLine="1260"/>
        <w:contextualSpacing/>
        <w:rPr>
          <w:rFonts w:ascii="Times New Roman" w:hAnsi="Times New Roman"/>
          <w:bCs/>
          <w:szCs w:val="24"/>
        </w:rPr>
      </w:pPr>
      <w:r>
        <w:rPr>
          <w:rFonts w:ascii="Times New Roman" w:hAnsi="Times New Roman"/>
          <w:bCs/>
          <w:szCs w:val="24"/>
        </w:rPr>
        <w:t>I) I</w:t>
      </w:r>
      <w:r w:rsidR="00C135D1" w:rsidRPr="00740BE8">
        <w:rPr>
          <w:rFonts w:ascii="Times New Roman" w:hAnsi="Times New Roman"/>
          <w:bCs/>
          <w:szCs w:val="24"/>
        </w:rPr>
        <w:t xml:space="preserve">ncorporate </w:t>
      </w:r>
      <w:r w:rsidR="007F00C7">
        <w:rPr>
          <w:rFonts w:ascii="Times New Roman" w:hAnsi="Times New Roman"/>
          <w:bCs/>
          <w:szCs w:val="24"/>
        </w:rPr>
        <w:t xml:space="preserve">all the attributes required under PURPA Section 210 requirements for avoided costs, including avoided energy, </w:t>
      </w:r>
      <w:r w:rsidR="00C135D1" w:rsidRPr="00740BE8">
        <w:rPr>
          <w:rFonts w:ascii="Times New Roman" w:hAnsi="Times New Roman"/>
          <w:bCs/>
          <w:szCs w:val="24"/>
        </w:rPr>
        <w:t>capacity</w:t>
      </w:r>
      <w:r w:rsidR="007F00C7">
        <w:rPr>
          <w:rFonts w:ascii="Times New Roman" w:hAnsi="Times New Roman"/>
          <w:bCs/>
          <w:szCs w:val="24"/>
        </w:rPr>
        <w:t xml:space="preserve">, transmission, O&amp;M, and any other </w:t>
      </w:r>
      <w:r w:rsidR="00C135D1" w:rsidRPr="00740BE8">
        <w:rPr>
          <w:rFonts w:ascii="Times New Roman" w:hAnsi="Times New Roman"/>
          <w:bCs/>
          <w:szCs w:val="24"/>
        </w:rPr>
        <w:t xml:space="preserve">costs </w:t>
      </w:r>
      <w:r w:rsidR="007F00C7">
        <w:rPr>
          <w:rFonts w:ascii="Times New Roman" w:hAnsi="Times New Roman"/>
          <w:bCs/>
          <w:szCs w:val="24"/>
        </w:rPr>
        <w:t>projected for avoidance by the purchasing utility as a result of the power generation by the QF, as well as costs avoided which would have been incurred in order to comply with applicable state policies and regulations</w:t>
      </w:r>
      <w:r w:rsidR="00BA55D8">
        <w:rPr>
          <w:rFonts w:ascii="Times New Roman" w:hAnsi="Times New Roman"/>
          <w:bCs/>
          <w:szCs w:val="24"/>
        </w:rPr>
        <w:t>;</w:t>
      </w:r>
      <w:r w:rsidR="007F00C7">
        <w:rPr>
          <w:rFonts w:ascii="Times New Roman" w:hAnsi="Times New Roman"/>
          <w:bCs/>
          <w:szCs w:val="24"/>
        </w:rPr>
        <w:t xml:space="preserve"> for example, environmental attributes, renewable mandates, emission reductions and greenhouse gases.  </w:t>
      </w:r>
    </w:p>
    <w:p w14:paraId="648B3FA1" w14:textId="02D1EC2A" w:rsidR="007F00C7" w:rsidRDefault="00AE1A1C" w:rsidP="00AE1A1C">
      <w:pPr>
        <w:spacing w:line="480" w:lineRule="auto"/>
        <w:ind w:left="-540" w:firstLine="1260"/>
        <w:contextualSpacing/>
        <w:rPr>
          <w:rFonts w:ascii="Times New Roman" w:hAnsi="Times New Roman"/>
          <w:bCs/>
          <w:szCs w:val="24"/>
        </w:rPr>
      </w:pPr>
      <w:r>
        <w:rPr>
          <w:rFonts w:ascii="Times New Roman" w:hAnsi="Times New Roman"/>
          <w:bCs/>
          <w:szCs w:val="24"/>
        </w:rPr>
        <w:t>II) L</w:t>
      </w:r>
      <w:r w:rsidR="00BA55D8">
        <w:rPr>
          <w:rFonts w:ascii="Times New Roman" w:hAnsi="Times New Roman"/>
          <w:bCs/>
          <w:szCs w:val="24"/>
        </w:rPr>
        <w:t xml:space="preserve">ook at </w:t>
      </w:r>
      <w:r>
        <w:rPr>
          <w:rFonts w:ascii="Times New Roman" w:hAnsi="Times New Roman"/>
          <w:bCs/>
          <w:szCs w:val="24"/>
        </w:rPr>
        <w:t xml:space="preserve">cost </w:t>
      </w:r>
      <w:r w:rsidR="00BA55D8">
        <w:rPr>
          <w:rFonts w:ascii="Times New Roman" w:hAnsi="Times New Roman"/>
          <w:bCs/>
          <w:szCs w:val="24"/>
        </w:rPr>
        <w:t xml:space="preserve">projections for </w:t>
      </w:r>
      <w:proofErr w:type="spellStart"/>
      <w:r w:rsidR="00BA55D8">
        <w:rPr>
          <w:rFonts w:ascii="Times New Roman" w:hAnsi="Times New Roman"/>
          <w:bCs/>
          <w:szCs w:val="24"/>
        </w:rPr>
        <w:t>over time</w:t>
      </w:r>
      <w:proofErr w:type="spellEnd"/>
      <w:r w:rsidR="00BA55D8">
        <w:rPr>
          <w:rFonts w:ascii="Times New Roman" w:hAnsi="Times New Roman"/>
          <w:bCs/>
          <w:szCs w:val="24"/>
        </w:rPr>
        <w:t xml:space="preserve"> period</w:t>
      </w:r>
      <w:r>
        <w:rPr>
          <w:rFonts w:ascii="Times New Roman" w:hAnsi="Times New Roman"/>
          <w:bCs/>
          <w:szCs w:val="24"/>
        </w:rPr>
        <w:t>s</w:t>
      </w:r>
      <w:r w:rsidR="00BA55D8">
        <w:rPr>
          <w:rFonts w:ascii="Times New Roman" w:hAnsi="Times New Roman"/>
          <w:bCs/>
          <w:szCs w:val="24"/>
        </w:rPr>
        <w:t xml:space="preserve"> consistent with 1) the term length requirements under PURPA which require long-term power purchase agreements of term sufficient to allow for the financing of the new generation facility (see FERC “</w:t>
      </w:r>
      <w:proofErr w:type="spellStart"/>
      <w:r w:rsidR="00BA55D8">
        <w:rPr>
          <w:rFonts w:ascii="Times New Roman" w:hAnsi="Times New Roman"/>
          <w:bCs/>
          <w:szCs w:val="24"/>
        </w:rPr>
        <w:t>Allco</w:t>
      </w:r>
      <w:proofErr w:type="spellEnd"/>
      <w:r w:rsidR="00BA55D8">
        <w:rPr>
          <w:rFonts w:ascii="Times New Roman" w:hAnsi="Times New Roman"/>
          <w:bCs/>
          <w:szCs w:val="24"/>
        </w:rPr>
        <w:t xml:space="preserve">” 2016 ruling); and 2) in the case of capacity avoidance, reflects (a) the equivalent term of the asset life of the generation capacity avoided by the QF and (b) the incrementally increasing value to the ratepayer of deferring such prospectively rate-based generation assets for longer terms (i.e. avoided for 30 years is more valuable to </w:t>
      </w:r>
      <w:r w:rsidR="00145AE4">
        <w:rPr>
          <w:rFonts w:ascii="Times New Roman" w:hAnsi="Times New Roman"/>
          <w:bCs/>
          <w:szCs w:val="24"/>
        </w:rPr>
        <w:t xml:space="preserve">the </w:t>
      </w:r>
      <w:r w:rsidR="00BA55D8">
        <w:rPr>
          <w:rFonts w:ascii="Times New Roman" w:hAnsi="Times New Roman"/>
          <w:bCs/>
          <w:szCs w:val="24"/>
        </w:rPr>
        <w:t>ratepayer than 20 years, which should be reflected in pricing made available to QFs for commensurate terms).</w:t>
      </w:r>
    </w:p>
    <w:p w14:paraId="66B267EF" w14:textId="44C6D66A" w:rsidR="00AE1A1C" w:rsidRDefault="00AE1A1C" w:rsidP="00AE1A1C">
      <w:pPr>
        <w:spacing w:line="480" w:lineRule="auto"/>
        <w:ind w:left="-540" w:firstLine="1260"/>
        <w:contextualSpacing/>
        <w:rPr>
          <w:rFonts w:ascii="Times New Roman" w:hAnsi="Times New Roman"/>
          <w:bCs/>
          <w:szCs w:val="24"/>
        </w:rPr>
      </w:pPr>
      <w:r>
        <w:rPr>
          <w:rFonts w:ascii="Times New Roman" w:hAnsi="Times New Roman"/>
          <w:bCs/>
          <w:szCs w:val="24"/>
        </w:rPr>
        <w:t xml:space="preserve">III) Incorporate utilities’ respective IRP generation asset plans into the calculation of when additional capacity avoidance might occur.  For example, if a utility is projecting to build a new CT in year 202x, then the pricing schedule available to the QF which avoids the need for such new rate-based generation should incorporate the avoided cost; similarly, if a </w:t>
      </w:r>
      <w:r>
        <w:rPr>
          <w:rFonts w:ascii="Times New Roman" w:hAnsi="Times New Roman"/>
          <w:bCs/>
          <w:szCs w:val="24"/>
        </w:rPr>
        <w:lastRenderedPageBreak/>
        <w:t>renewable portfolio standard stair-steps up in a given year, the projected cost of new generation to meet that state mandate should be reflected in the avoided cost pricing.</w:t>
      </w:r>
    </w:p>
    <w:p w14:paraId="2579D675" w14:textId="41EA7294" w:rsidR="00AE1A1C" w:rsidRDefault="00AE1A1C" w:rsidP="00AE1A1C">
      <w:pPr>
        <w:spacing w:line="480" w:lineRule="auto"/>
        <w:ind w:left="-540" w:firstLine="1260"/>
        <w:contextualSpacing/>
        <w:rPr>
          <w:rFonts w:ascii="Times New Roman" w:hAnsi="Times New Roman"/>
          <w:bCs/>
          <w:szCs w:val="24"/>
        </w:rPr>
      </w:pPr>
      <w:r>
        <w:rPr>
          <w:rFonts w:ascii="Times New Roman" w:hAnsi="Times New Roman"/>
          <w:bCs/>
          <w:szCs w:val="24"/>
        </w:rPr>
        <w:t>IV)  The method implemented and required by the state should provide for complete transparency of assumptions and inputs by utilities, so there is an opportunity for public scrutiny of the accuracy and applicability.</w:t>
      </w:r>
    </w:p>
    <w:p w14:paraId="5A3A7F17" w14:textId="73252219" w:rsidR="00145AE4" w:rsidRDefault="00145AE4" w:rsidP="00AE1A1C">
      <w:pPr>
        <w:spacing w:line="480" w:lineRule="auto"/>
        <w:ind w:left="-540" w:firstLine="1260"/>
        <w:contextualSpacing/>
        <w:rPr>
          <w:rFonts w:ascii="Times New Roman" w:hAnsi="Times New Roman"/>
          <w:bCs/>
          <w:szCs w:val="24"/>
        </w:rPr>
      </w:pPr>
      <w:r>
        <w:rPr>
          <w:rFonts w:ascii="Times New Roman" w:hAnsi="Times New Roman"/>
          <w:bCs/>
          <w:szCs w:val="24"/>
        </w:rPr>
        <w:t>VI) Provide for predictability as to when rates (and if applicable methodology) can and will change, so as to provide visibility and a stable investment environment (to allow for developers to bring competitive options to the state, which is undermined in absence of such policy outlook stability).</w:t>
      </w:r>
    </w:p>
    <w:p w14:paraId="3646F68A" w14:textId="74C1C9D2" w:rsidR="00AE1A1C" w:rsidRDefault="00AE1A1C" w:rsidP="00AE1A1C">
      <w:pPr>
        <w:spacing w:line="480" w:lineRule="auto"/>
        <w:ind w:left="-540" w:firstLine="1260"/>
        <w:contextualSpacing/>
        <w:rPr>
          <w:rFonts w:ascii="Times New Roman" w:hAnsi="Times New Roman"/>
          <w:bCs/>
          <w:szCs w:val="24"/>
        </w:rPr>
      </w:pPr>
      <w:r>
        <w:rPr>
          <w:rFonts w:ascii="Times New Roman" w:hAnsi="Times New Roman"/>
          <w:bCs/>
          <w:szCs w:val="24"/>
        </w:rPr>
        <w:t>V) Of the methods listed, the Proxy method as implemented in Oregon successfully implements these objectives.</w:t>
      </w:r>
    </w:p>
    <w:p w14:paraId="09808D37" w14:textId="77777777" w:rsidR="00C135D1" w:rsidRPr="00740BE8" w:rsidRDefault="00C135D1" w:rsidP="00C135D1">
      <w:pPr>
        <w:spacing w:line="480" w:lineRule="auto"/>
        <w:ind w:left="-540"/>
        <w:contextualSpacing/>
        <w:rPr>
          <w:rFonts w:ascii="Times New Roman" w:hAnsi="Times New Roman"/>
          <w:bCs/>
          <w:szCs w:val="24"/>
        </w:rPr>
      </w:pPr>
    </w:p>
    <w:p w14:paraId="47C15BA0" w14:textId="61828168" w:rsidR="00912FC6" w:rsidRPr="00145AE4" w:rsidRDefault="00C135D1" w:rsidP="00912FC6">
      <w:pPr>
        <w:spacing w:line="480" w:lineRule="auto"/>
        <w:ind w:left="-540"/>
        <w:contextualSpacing/>
        <w:rPr>
          <w:rFonts w:ascii="Times New Roman" w:hAnsi="Times New Roman"/>
          <w:b/>
          <w:bCs/>
          <w:i/>
          <w:szCs w:val="24"/>
        </w:rPr>
      </w:pPr>
      <w:r w:rsidRPr="00145AE4">
        <w:rPr>
          <w:rFonts w:ascii="Times New Roman" w:hAnsi="Times New Roman"/>
          <w:b/>
          <w:bCs/>
          <w:szCs w:val="24"/>
        </w:rPr>
        <w:t xml:space="preserve">Commission Q: </w:t>
      </w:r>
      <w:r w:rsidRPr="00145AE4">
        <w:rPr>
          <w:rFonts w:ascii="Times New Roman" w:hAnsi="Times New Roman"/>
          <w:b/>
          <w:bCs/>
          <w:i/>
          <w:szCs w:val="24"/>
        </w:rPr>
        <w:t>“</w:t>
      </w:r>
      <w:r w:rsidR="004B6F73" w:rsidRPr="00145AE4">
        <w:rPr>
          <w:rFonts w:ascii="Times New Roman" w:hAnsi="Times New Roman"/>
          <w:b/>
          <w:bCs/>
          <w:i/>
          <w:szCs w:val="24"/>
        </w:rPr>
        <w:t xml:space="preserve">Are there multiple methodologies that may be appropriate for calculating the energy and capacity payments, depending on its circumstances? If so, </w:t>
      </w:r>
      <w:r w:rsidR="00F95AF3" w:rsidRPr="00145AE4">
        <w:rPr>
          <w:rFonts w:ascii="Times New Roman" w:hAnsi="Times New Roman"/>
          <w:b/>
          <w:bCs/>
          <w:i/>
          <w:szCs w:val="24"/>
        </w:rPr>
        <w:t xml:space="preserve">what criteria should </w:t>
      </w:r>
      <w:r w:rsidR="00F47374" w:rsidRPr="00145AE4">
        <w:rPr>
          <w:rFonts w:ascii="Times New Roman" w:hAnsi="Times New Roman"/>
          <w:b/>
          <w:bCs/>
          <w:i/>
          <w:szCs w:val="24"/>
        </w:rPr>
        <w:t>the Commission</w:t>
      </w:r>
      <w:r w:rsidR="00F95AF3" w:rsidRPr="00145AE4">
        <w:rPr>
          <w:rFonts w:ascii="Times New Roman" w:hAnsi="Times New Roman"/>
          <w:b/>
          <w:bCs/>
          <w:i/>
          <w:szCs w:val="24"/>
        </w:rPr>
        <w:t xml:space="preserve"> use to</w:t>
      </w:r>
      <w:r w:rsidR="004B6F73" w:rsidRPr="00145AE4">
        <w:rPr>
          <w:rFonts w:ascii="Times New Roman" w:hAnsi="Times New Roman"/>
          <w:b/>
          <w:bCs/>
          <w:i/>
          <w:szCs w:val="24"/>
        </w:rPr>
        <w:t xml:space="preserve"> identify the most appropriate methodology for a specific utility</w:t>
      </w:r>
      <w:r w:rsidR="00CB4C51" w:rsidRPr="00145AE4">
        <w:rPr>
          <w:rFonts w:ascii="Times New Roman" w:hAnsi="Times New Roman"/>
          <w:b/>
          <w:bCs/>
          <w:i/>
          <w:szCs w:val="24"/>
        </w:rPr>
        <w:t>,</w:t>
      </w:r>
      <w:r w:rsidR="004B6F73" w:rsidRPr="00145AE4">
        <w:rPr>
          <w:rFonts w:ascii="Times New Roman" w:hAnsi="Times New Roman"/>
          <w:b/>
          <w:bCs/>
          <w:i/>
          <w:szCs w:val="24"/>
        </w:rPr>
        <w:t xml:space="preserve"> at a specific</w:t>
      </w:r>
      <w:r w:rsidR="00CB4C51" w:rsidRPr="00145AE4">
        <w:rPr>
          <w:rFonts w:ascii="Times New Roman" w:hAnsi="Times New Roman"/>
          <w:b/>
          <w:bCs/>
          <w:i/>
          <w:szCs w:val="24"/>
        </w:rPr>
        <w:t xml:space="preserve"> point in</w:t>
      </w:r>
      <w:r w:rsidRPr="00145AE4">
        <w:rPr>
          <w:rFonts w:ascii="Times New Roman" w:hAnsi="Times New Roman"/>
          <w:b/>
          <w:bCs/>
          <w:i/>
          <w:szCs w:val="24"/>
        </w:rPr>
        <w:t xml:space="preserve"> time?”</w:t>
      </w:r>
    </w:p>
    <w:p w14:paraId="6BEE0CFA" w14:textId="3A601E34" w:rsidR="00C135D1" w:rsidRPr="00740BE8" w:rsidRDefault="00912FC6" w:rsidP="00C135D1">
      <w:pPr>
        <w:spacing w:line="480" w:lineRule="auto"/>
        <w:ind w:left="-540"/>
        <w:contextualSpacing/>
        <w:rPr>
          <w:rFonts w:ascii="Times New Roman" w:hAnsi="Times New Roman"/>
          <w:bCs/>
          <w:szCs w:val="24"/>
        </w:rPr>
      </w:pPr>
      <w:r>
        <w:rPr>
          <w:rFonts w:ascii="Times New Roman" w:hAnsi="Times New Roman"/>
          <w:bCs/>
          <w:szCs w:val="24"/>
        </w:rPr>
        <w:t>The Commission should define a clear single methodology in order to prevent gaming by utilities as to which rates the utility might offer each individual QF in order to discourage such prospective QF(s).  Certainty in the market is required in order for developers to invest in the development assets required to bring QF projects to the market for the benefit of the ratepayers, which cannot be achieved if methodologies can shift, particularly at utility discretion.</w:t>
      </w:r>
    </w:p>
    <w:p w14:paraId="4B7ADB69" w14:textId="77777777" w:rsidR="00BB7AA6" w:rsidRDefault="00BB7AA6" w:rsidP="00C135D1">
      <w:pPr>
        <w:spacing w:line="480" w:lineRule="auto"/>
        <w:ind w:left="-540"/>
        <w:contextualSpacing/>
        <w:rPr>
          <w:rFonts w:ascii="Times New Roman" w:hAnsi="Times New Roman"/>
          <w:bCs/>
          <w:szCs w:val="24"/>
        </w:rPr>
      </w:pPr>
    </w:p>
    <w:p w14:paraId="3096BE88" w14:textId="0AC1E500" w:rsidR="005F7F9C" w:rsidRPr="00145AE4" w:rsidRDefault="00C135D1" w:rsidP="00C135D1">
      <w:pPr>
        <w:spacing w:line="480" w:lineRule="auto"/>
        <w:ind w:left="-540"/>
        <w:contextualSpacing/>
        <w:rPr>
          <w:rFonts w:ascii="Times New Roman" w:hAnsi="Times New Roman"/>
          <w:b/>
          <w:bCs/>
          <w:i/>
          <w:szCs w:val="24"/>
        </w:rPr>
      </w:pPr>
      <w:r w:rsidRPr="00145AE4">
        <w:rPr>
          <w:rFonts w:ascii="Times New Roman" w:hAnsi="Times New Roman"/>
          <w:b/>
          <w:bCs/>
          <w:szCs w:val="24"/>
        </w:rPr>
        <w:lastRenderedPageBreak/>
        <w:t>Commission Q: “</w:t>
      </w:r>
      <w:r w:rsidR="00E87310" w:rsidRPr="00145AE4">
        <w:rPr>
          <w:rFonts w:ascii="Times New Roman" w:hAnsi="Times New Roman"/>
          <w:b/>
          <w:bCs/>
          <w:i/>
          <w:szCs w:val="24"/>
        </w:rPr>
        <w:t>Is it appropriate for a utility to calculate separate avoided capacity rates based on short-run and long-run resource requirements</w:t>
      </w:r>
      <w:r w:rsidRPr="00145AE4">
        <w:rPr>
          <w:rFonts w:ascii="Times New Roman" w:hAnsi="Times New Roman"/>
          <w:b/>
          <w:bCs/>
          <w:i/>
          <w:szCs w:val="24"/>
        </w:rPr>
        <w:t>?”</w:t>
      </w:r>
    </w:p>
    <w:p w14:paraId="2674B2F5" w14:textId="4E7281E9" w:rsidR="00C135D1" w:rsidRPr="00740BE8" w:rsidRDefault="00ED7FAC" w:rsidP="00C135D1">
      <w:pPr>
        <w:spacing w:line="480" w:lineRule="auto"/>
        <w:ind w:left="-540"/>
        <w:contextualSpacing/>
        <w:rPr>
          <w:rFonts w:ascii="Times New Roman" w:hAnsi="Times New Roman"/>
          <w:bCs/>
          <w:szCs w:val="24"/>
        </w:rPr>
      </w:pPr>
      <w:r w:rsidRPr="00AF7872">
        <w:rPr>
          <w:rFonts w:ascii="Times New Roman" w:hAnsi="Times New Roman"/>
          <w:bCs/>
          <w:szCs w:val="24"/>
        </w:rPr>
        <w:t xml:space="preserve">Yes.  Short run and long-run resource requirements are often met via differing solutions.  Short run avoided capacity rates often do not reflect the costs of </w:t>
      </w:r>
      <w:r w:rsidR="00BB7AA6" w:rsidRPr="00AF7872">
        <w:rPr>
          <w:rFonts w:ascii="Times New Roman" w:hAnsi="Times New Roman"/>
          <w:bCs/>
          <w:szCs w:val="24"/>
        </w:rPr>
        <w:t>producing or pr</w:t>
      </w:r>
      <w:r w:rsidRPr="00AF7872">
        <w:rPr>
          <w:rFonts w:ascii="Times New Roman" w:hAnsi="Times New Roman"/>
          <w:bCs/>
          <w:szCs w:val="24"/>
        </w:rPr>
        <w:t xml:space="preserve">ocuring </w:t>
      </w:r>
      <w:r w:rsidR="00BB7AA6" w:rsidRPr="00AF7872">
        <w:rPr>
          <w:rFonts w:ascii="Times New Roman" w:hAnsi="Times New Roman"/>
          <w:bCs/>
          <w:szCs w:val="24"/>
        </w:rPr>
        <w:t>from a</w:t>
      </w:r>
      <w:r w:rsidRPr="00AF7872">
        <w:rPr>
          <w:rFonts w:ascii="Times New Roman" w:hAnsi="Times New Roman"/>
          <w:bCs/>
          <w:szCs w:val="24"/>
        </w:rPr>
        <w:t xml:space="preserve">  generating resource</w:t>
      </w:r>
      <w:r w:rsidR="00BB7AA6" w:rsidRPr="00AF7872">
        <w:rPr>
          <w:rFonts w:ascii="Times New Roman" w:hAnsi="Times New Roman"/>
          <w:bCs/>
          <w:szCs w:val="24"/>
        </w:rPr>
        <w:t xml:space="preserve"> that will be deployed over the long term</w:t>
      </w:r>
      <w:r w:rsidRPr="00AF7872">
        <w:rPr>
          <w:rFonts w:ascii="Times New Roman" w:hAnsi="Times New Roman"/>
          <w:bCs/>
          <w:szCs w:val="24"/>
        </w:rPr>
        <w:t>.  A new resource, by definition, will reflect the competitive long-run cost of new capacity.</w:t>
      </w:r>
      <w:r w:rsidR="000E34F0">
        <w:rPr>
          <w:rFonts w:ascii="Times New Roman" w:hAnsi="Times New Roman"/>
          <w:bCs/>
          <w:szCs w:val="24"/>
        </w:rPr>
        <w:t xml:space="preserve">  </w:t>
      </w:r>
      <w:bookmarkStart w:id="1" w:name="_GoBack"/>
      <w:bookmarkEnd w:id="1"/>
    </w:p>
    <w:p w14:paraId="52C7BE2C" w14:textId="77777777" w:rsidR="00ED7FAC" w:rsidRPr="00740BE8" w:rsidRDefault="00ED7FAC" w:rsidP="00C135D1">
      <w:pPr>
        <w:spacing w:line="480" w:lineRule="auto"/>
        <w:ind w:left="-540"/>
        <w:contextualSpacing/>
        <w:rPr>
          <w:rFonts w:ascii="Times New Roman" w:hAnsi="Times New Roman"/>
          <w:bCs/>
          <w:szCs w:val="24"/>
        </w:rPr>
      </w:pPr>
    </w:p>
    <w:p w14:paraId="10249CE6" w14:textId="67A3E74A" w:rsidR="00ED7FAC" w:rsidRPr="00145AE4" w:rsidRDefault="00C135D1" w:rsidP="00ED7FAC">
      <w:pPr>
        <w:spacing w:line="480" w:lineRule="auto"/>
        <w:ind w:left="-540"/>
        <w:contextualSpacing/>
        <w:rPr>
          <w:rFonts w:ascii="Times New Roman" w:hAnsi="Times New Roman"/>
          <w:b/>
          <w:bCs/>
          <w:i/>
          <w:szCs w:val="24"/>
        </w:rPr>
      </w:pPr>
      <w:r w:rsidRPr="00145AE4">
        <w:rPr>
          <w:rFonts w:ascii="Times New Roman" w:hAnsi="Times New Roman"/>
          <w:b/>
          <w:bCs/>
          <w:szCs w:val="24"/>
        </w:rPr>
        <w:t xml:space="preserve">Commission Q: </w:t>
      </w:r>
      <w:r w:rsidR="00025652" w:rsidRPr="00145AE4">
        <w:rPr>
          <w:rFonts w:ascii="Times New Roman" w:hAnsi="Times New Roman"/>
          <w:b/>
          <w:bCs/>
          <w:i/>
          <w:szCs w:val="24"/>
        </w:rPr>
        <w:t xml:space="preserve">Should avoided costs </w:t>
      </w:r>
      <w:r w:rsidR="00F95AF3" w:rsidRPr="00145AE4">
        <w:rPr>
          <w:rFonts w:ascii="Times New Roman" w:hAnsi="Times New Roman"/>
          <w:b/>
          <w:bCs/>
          <w:i/>
          <w:szCs w:val="24"/>
        </w:rPr>
        <w:t xml:space="preserve">be separated to </w:t>
      </w:r>
      <w:r w:rsidR="00025652" w:rsidRPr="00145AE4">
        <w:rPr>
          <w:rFonts w:ascii="Times New Roman" w:hAnsi="Times New Roman"/>
          <w:b/>
          <w:bCs/>
          <w:i/>
          <w:szCs w:val="24"/>
        </w:rPr>
        <w:t xml:space="preserve">reflect </w:t>
      </w:r>
      <w:r w:rsidR="00F95AF3" w:rsidRPr="00145AE4">
        <w:rPr>
          <w:rFonts w:ascii="Times New Roman" w:hAnsi="Times New Roman"/>
          <w:b/>
          <w:bCs/>
          <w:i/>
          <w:szCs w:val="24"/>
        </w:rPr>
        <w:t xml:space="preserve">each type of </w:t>
      </w:r>
      <w:r w:rsidR="00025652" w:rsidRPr="00145AE4">
        <w:rPr>
          <w:rFonts w:ascii="Times New Roman" w:hAnsi="Times New Roman"/>
          <w:b/>
          <w:bCs/>
          <w:i/>
          <w:szCs w:val="24"/>
        </w:rPr>
        <w:t>resource’</w:t>
      </w:r>
      <w:r w:rsidR="00FC487F" w:rsidRPr="00145AE4">
        <w:rPr>
          <w:rFonts w:ascii="Times New Roman" w:hAnsi="Times New Roman"/>
          <w:b/>
          <w:bCs/>
          <w:i/>
          <w:szCs w:val="24"/>
        </w:rPr>
        <w:t>s capacity value through a peak credit, Effective Load Carrying Capability, or some other calculation?</w:t>
      </w:r>
      <w:r w:rsidR="00F95AF3" w:rsidRPr="00145AE4">
        <w:rPr>
          <w:rFonts w:ascii="Times New Roman" w:hAnsi="Times New Roman"/>
          <w:b/>
          <w:bCs/>
          <w:i/>
          <w:szCs w:val="24"/>
        </w:rPr>
        <w:t xml:space="preserve"> </w:t>
      </w:r>
    </w:p>
    <w:p w14:paraId="01D05BD4" w14:textId="6C414E6F" w:rsidR="00145AE4" w:rsidRDefault="006F71A1" w:rsidP="00ED7FAC">
      <w:pPr>
        <w:spacing w:line="480" w:lineRule="auto"/>
        <w:ind w:left="-540"/>
        <w:contextualSpacing/>
        <w:rPr>
          <w:rFonts w:ascii="Times New Roman" w:hAnsi="Times New Roman"/>
          <w:bCs/>
          <w:szCs w:val="24"/>
        </w:rPr>
      </w:pPr>
      <w:r w:rsidRPr="00740BE8">
        <w:rPr>
          <w:rFonts w:ascii="Times New Roman" w:hAnsi="Times New Roman"/>
          <w:bCs/>
          <w:szCs w:val="24"/>
        </w:rPr>
        <w:t>Yes</w:t>
      </w:r>
      <w:r w:rsidR="00AF7872">
        <w:rPr>
          <w:rFonts w:ascii="Times New Roman" w:hAnsi="Times New Roman"/>
          <w:bCs/>
          <w:szCs w:val="24"/>
        </w:rPr>
        <w:t>,</w:t>
      </w:r>
      <w:r w:rsidR="00145AE4">
        <w:rPr>
          <w:rFonts w:ascii="Times New Roman" w:hAnsi="Times New Roman"/>
          <w:bCs/>
          <w:szCs w:val="24"/>
        </w:rPr>
        <w:t xml:space="preserve"> this is reasonable and the Effective Load Carrying Capability methodology is an appropriate means</w:t>
      </w:r>
      <w:r w:rsidRPr="00740BE8">
        <w:rPr>
          <w:rFonts w:ascii="Times New Roman" w:hAnsi="Times New Roman"/>
          <w:bCs/>
          <w:szCs w:val="24"/>
        </w:rPr>
        <w:t xml:space="preserve">.  </w:t>
      </w:r>
      <w:r w:rsidR="00145AE4">
        <w:rPr>
          <w:rFonts w:ascii="Times New Roman" w:hAnsi="Times New Roman"/>
          <w:bCs/>
          <w:szCs w:val="24"/>
        </w:rPr>
        <w:t>The policy framework surrounding this should provide public visibility regarding the methods and assumptions to avoid utilities gaming such methods to discount actual contributions by certain resource types.  If this is implemented through a volumetric rate structure, the Commission should take care to ensure that capacity value is embedded properly in such rates.  As, for example in Oregon’s implementation, discussed in OPUC Order 16-174.</w:t>
      </w:r>
    </w:p>
    <w:p w14:paraId="15ECE384" w14:textId="6F34BA88" w:rsidR="00ED7FAC" w:rsidRPr="00740BE8" w:rsidRDefault="006F71A1" w:rsidP="00ED7FAC">
      <w:pPr>
        <w:spacing w:line="480" w:lineRule="auto"/>
        <w:ind w:left="-540"/>
        <w:contextualSpacing/>
        <w:rPr>
          <w:rFonts w:ascii="Times New Roman" w:hAnsi="Times New Roman"/>
          <w:bCs/>
          <w:szCs w:val="24"/>
        </w:rPr>
      </w:pPr>
      <w:r w:rsidRPr="00740BE8">
        <w:rPr>
          <w:rFonts w:ascii="Times New Roman" w:hAnsi="Times New Roman"/>
          <w:bCs/>
          <w:szCs w:val="24"/>
        </w:rPr>
        <w:t xml:space="preserve">  </w:t>
      </w:r>
    </w:p>
    <w:p w14:paraId="17E21BAE" w14:textId="77777777" w:rsidR="008F0242" w:rsidRPr="00145AE4" w:rsidRDefault="008F0242" w:rsidP="00C135D1">
      <w:pPr>
        <w:pStyle w:val="ListParagraph"/>
        <w:numPr>
          <w:ilvl w:val="1"/>
          <w:numId w:val="16"/>
        </w:numPr>
        <w:spacing w:line="480" w:lineRule="auto"/>
        <w:ind w:left="0" w:hanging="540"/>
        <w:contextualSpacing/>
        <w:rPr>
          <w:rFonts w:ascii="Times New Roman" w:hAnsi="Times New Roman"/>
          <w:b/>
          <w:bCs/>
          <w:szCs w:val="24"/>
        </w:rPr>
      </w:pPr>
      <w:r w:rsidRPr="00145AE4">
        <w:rPr>
          <w:rFonts w:ascii="Times New Roman" w:hAnsi="Times New Roman"/>
          <w:b/>
          <w:bCs/>
          <w:szCs w:val="24"/>
        </w:rPr>
        <w:t>B</w:t>
      </w:r>
      <w:r w:rsidR="004C584E" w:rsidRPr="00145AE4">
        <w:rPr>
          <w:rFonts w:ascii="Times New Roman" w:hAnsi="Times New Roman"/>
          <w:b/>
          <w:bCs/>
          <w:szCs w:val="24"/>
        </w:rPr>
        <w:t xml:space="preserve">. </w:t>
      </w:r>
      <w:r w:rsidR="005403C5" w:rsidRPr="00145AE4">
        <w:rPr>
          <w:rFonts w:ascii="Times New Roman" w:hAnsi="Times New Roman"/>
          <w:b/>
          <w:bCs/>
          <w:szCs w:val="24"/>
        </w:rPr>
        <w:t>Standard Practices</w:t>
      </w:r>
    </w:p>
    <w:p w14:paraId="584CB30F" w14:textId="737ADAF2" w:rsidR="004B6F73" w:rsidRPr="00145AE4" w:rsidRDefault="0084173B" w:rsidP="0084173B">
      <w:pPr>
        <w:spacing w:line="480" w:lineRule="auto"/>
        <w:ind w:left="-540"/>
        <w:contextualSpacing/>
        <w:rPr>
          <w:rFonts w:ascii="Times New Roman" w:hAnsi="Times New Roman"/>
          <w:b/>
          <w:bCs/>
          <w:szCs w:val="24"/>
        </w:rPr>
      </w:pPr>
      <w:r w:rsidRPr="00145AE4">
        <w:rPr>
          <w:rFonts w:ascii="Times New Roman" w:hAnsi="Times New Roman"/>
          <w:b/>
          <w:bCs/>
          <w:szCs w:val="24"/>
        </w:rPr>
        <w:t xml:space="preserve">Commission Q: </w:t>
      </w:r>
      <w:r w:rsidRPr="00145AE4">
        <w:rPr>
          <w:rFonts w:ascii="Times New Roman" w:hAnsi="Times New Roman"/>
          <w:b/>
          <w:bCs/>
          <w:i/>
          <w:szCs w:val="24"/>
        </w:rPr>
        <w:t>“</w:t>
      </w:r>
      <w:r w:rsidR="004B6F73" w:rsidRPr="00145AE4">
        <w:rPr>
          <w:rFonts w:ascii="Times New Roman" w:hAnsi="Times New Roman"/>
          <w:b/>
          <w:bCs/>
          <w:i/>
          <w:szCs w:val="24"/>
        </w:rPr>
        <w:t xml:space="preserve">What should be the maximum </w:t>
      </w:r>
      <w:r w:rsidR="00BF4583" w:rsidRPr="00145AE4">
        <w:rPr>
          <w:rFonts w:ascii="Times New Roman" w:hAnsi="Times New Roman"/>
          <w:b/>
          <w:bCs/>
          <w:i/>
          <w:szCs w:val="24"/>
        </w:rPr>
        <w:t>design capacity</w:t>
      </w:r>
      <w:r w:rsidR="004B6F73" w:rsidRPr="00145AE4">
        <w:rPr>
          <w:rFonts w:ascii="Times New Roman" w:hAnsi="Times New Roman"/>
          <w:b/>
          <w:bCs/>
          <w:i/>
          <w:szCs w:val="24"/>
        </w:rPr>
        <w:t xml:space="preserve"> of a </w:t>
      </w:r>
      <w:r w:rsidR="002F64FB" w:rsidRPr="00145AE4">
        <w:rPr>
          <w:rFonts w:ascii="Times New Roman" w:hAnsi="Times New Roman"/>
          <w:b/>
          <w:bCs/>
          <w:i/>
          <w:szCs w:val="24"/>
        </w:rPr>
        <w:t xml:space="preserve">facility to </w:t>
      </w:r>
      <w:r w:rsidR="004B6F73" w:rsidRPr="00145AE4">
        <w:rPr>
          <w:rFonts w:ascii="Times New Roman" w:hAnsi="Times New Roman"/>
          <w:b/>
          <w:bCs/>
          <w:i/>
          <w:szCs w:val="24"/>
        </w:rPr>
        <w:t xml:space="preserve">qualify for the standard offer? Should the Commission differentiate </w:t>
      </w:r>
      <w:r w:rsidR="00F47374" w:rsidRPr="00145AE4">
        <w:rPr>
          <w:rFonts w:ascii="Times New Roman" w:hAnsi="Times New Roman"/>
          <w:b/>
          <w:bCs/>
          <w:i/>
          <w:szCs w:val="24"/>
        </w:rPr>
        <w:t xml:space="preserve">between </w:t>
      </w:r>
      <w:r w:rsidR="004B6F73" w:rsidRPr="00145AE4">
        <w:rPr>
          <w:rFonts w:ascii="Times New Roman" w:hAnsi="Times New Roman"/>
          <w:b/>
          <w:bCs/>
          <w:i/>
          <w:szCs w:val="24"/>
        </w:rPr>
        <w:t xml:space="preserve">types of resources for determining the maximum </w:t>
      </w:r>
      <w:r w:rsidR="00BF4583" w:rsidRPr="00145AE4">
        <w:rPr>
          <w:rFonts w:ascii="Times New Roman" w:hAnsi="Times New Roman"/>
          <w:b/>
          <w:bCs/>
          <w:i/>
          <w:szCs w:val="24"/>
        </w:rPr>
        <w:t xml:space="preserve">design capacity </w:t>
      </w:r>
      <w:r w:rsidR="004B6F73" w:rsidRPr="00145AE4">
        <w:rPr>
          <w:rFonts w:ascii="Times New Roman" w:hAnsi="Times New Roman"/>
          <w:b/>
          <w:bCs/>
          <w:i/>
          <w:szCs w:val="24"/>
        </w:rPr>
        <w:t xml:space="preserve">of a </w:t>
      </w:r>
      <w:r w:rsidR="002F64FB" w:rsidRPr="00145AE4">
        <w:rPr>
          <w:rFonts w:ascii="Times New Roman" w:hAnsi="Times New Roman"/>
          <w:b/>
          <w:bCs/>
          <w:i/>
          <w:szCs w:val="24"/>
        </w:rPr>
        <w:t>facility</w:t>
      </w:r>
      <w:r w:rsidR="004B6F73" w:rsidRPr="00145AE4">
        <w:rPr>
          <w:rFonts w:ascii="Times New Roman" w:hAnsi="Times New Roman"/>
          <w:b/>
          <w:bCs/>
          <w:i/>
          <w:szCs w:val="24"/>
        </w:rPr>
        <w:t xml:space="preserve"> to qualify for a standard contract?</w:t>
      </w:r>
      <w:r w:rsidRPr="00145AE4">
        <w:rPr>
          <w:rFonts w:ascii="Times New Roman" w:hAnsi="Times New Roman"/>
          <w:b/>
          <w:bCs/>
          <w:i/>
          <w:szCs w:val="24"/>
        </w:rPr>
        <w:t>”</w:t>
      </w:r>
    </w:p>
    <w:p w14:paraId="5C0B9C8A" w14:textId="77777777" w:rsidR="00AF7872" w:rsidRDefault="00AF7872" w:rsidP="0084173B">
      <w:pPr>
        <w:spacing w:line="480" w:lineRule="auto"/>
        <w:ind w:left="-540"/>
        <w:contextualSpacing/>
        <w:rPr>
          <w:rFonts w:ascii="Times New Roman" w:hAnsi="Times New Roman"/>
          <w:bCs/>
          <w:szCs w:val="24"/>
        </w:rPr>
      </w:pPr>
      <w:r>
        <w:rPr>
          <w:rFonts w:ascii="Times New Roman" w:hAnsi="Times New Roman"/>
          <w:bCs/>
          <w:szCs w:val="24"/>
        </w:rPr>
        <w:t xml:space="preserve">The more important question pertaining to capacity sizing of standard offer contracts is not necessarily what the maximum size should be (with exceptions in the cases of particularly small utilities), but rather ensuring a maximum contract size is sufficiently large to allow QF power generation development at sufficient scales to bring the ratepayer the benefit of the </w:t>
      </w:r>
      <w:r>
        <w:rPr>
          <w:rFonts w:ascii="Times New Roman" w:hAnsi="Times New Roman"/>
          <w:bCs/>
          <w:szCs w:val="24"/>
        </w:rPr>
        <w:lastRenderedPageBreak/>
        <w:t>mature technology, while also not unnecessarily burdening smaller projects with disproportionately high fixed costs and financing costs.  If the avoided cost methodology properly reflects actual costs avoided, the ratepayer should be indifferent to the project sizes being larger.  Conversely, the ratepayer may actually be harmed by a cap on capacity which is too small, as this may prevent QFs from being successfully developed or economical, due to the burden of such costs on smaller projects, thus denying the ratepayer the opportunity to (</w:t>
      </w:r>
      <w:proofErr w:type="spellStart"/>
      <w:r>
        <w:rPr>
          <w:rFonts w:ascii="Times New Roman" w:hAnsi="Times New Roman"/>
          <w:bCs/>
          <w:szCs w:val="24"/>
        </w:rPr>
        <w:t>i</w:t>
      </w:r>
      <w:proofErr w:type="spellEnd"/>
      <w:r>
        <w:rPr>
          <w:rFonts w:ascii="Times New Roman" w:hAnsi="Times New Roman"/>
          <w:bCs/>
          <w:szCs w:val="24"/>
        </w:rPr>
        <w:t xml:space="preserve">) benefit from efficiencies of scale, and (ii) avoid having new generation be rate-based at their long-term expense.  Indeed larger projects may more efficiently accomplish societal goals, such as those in state renewable mandates and carbon policy, and motivated increase entrepreneurial activity to bring such solutions to the state and its ratepayers.  </w:t>
      </w:r>
    </w:p>
    <w:p w14:paraId="2B03B551" w14:textId="1C05DCE9" w:rsidR="00476D9C" w:rsidRDefault="00AF7872" w:rsidP="00AF7872">
      <w:pPr>
        <w:spacing w:line="480" w:lineRule="auto"/>
        <w:ind w:left="-540" w:firstLine="1260"/>
        <w:contextualSpacing/>
        <w:rPr>
          <w:rFonts w:ascii="Times New Roman" w:hAnsi="Times New Roman"/>
          <w:bCs/>
          <w:szCs w:val="24"/>
        </w:rPr>
      </w:pPr>
      <w:r>
        <w:rPr>
          <w:rFonts w:ascii="Times New Roman" w:hAnsi="Times New Roman"/>
          <w:bCs/>
          <w:szCs w:val="24"/>
        </w:rPr>
        <w:t>Maximum contract size should not be less than 20 MW in order to ensure that such financing costs are not unduly burdensome to such projects.  A larger cap, such as 80 MW (consistent with the FERC maximum eligibility for SPP QFs) would bring the benefit of supporting QF development on larger voltage transmission lines, and thus effectively expand the market of competitive options which might benefit the ratepayer and achievement of state policy goals embedded in avoided cost pricing (</w:t>
      </w:r>
      <w:proofErr w:type="spellStart"/>
      <w:r>
        <w:rPr>
          <w:rFonts w:ascii="Times New Roman" w:hAnsi="Times New Roman"/>
          <w:bCs/>
          <w:szCs w:val="24"/>
        </w:rPr>
        <w:t>eg</w:t>
      </w:r>
      <w:proofErr w:type="spellEnd"/>
      <w:r>
        <w:rPr>
          <w:rFonts w:ascii="Times New Roman" w:hAnsi="Times New Roman"/>
          <w:bCs/>
          <w:szCs w:val="24"/>
        </w:rPr>
        <w:t>, RPS).</w:t>
      </w:r>
    </w:p>
    <w:p w14:paraId="117E1FEB" w14:textId="0192A848" w:rsidR="004B6F73" w:rsidRPr="00740BE8" w:rsidRDefault="004B6F73" w:rsidP="0084173B">
      <w:pPr>
        <w:spacing w:line="480" w:lineRule="auto"/>
        <w:ind w:left="-540"/>
        <w:contextualSpacing/>
        <w:rPr>
          <w:rFonts w:ascii="Times New Roman" w:hAnsi="Times New Roman"/>
          <w:bCs/>
          <w:szCs w:val="24"/>
        </w:rPr>
      </w:pPr>
    </w:p>
    <w:p w14:paraId="5CB38D6B" w14:textId="33A25FE4" w:rsidR="0084173B" w:rsidRDefault="0084173B" w:rsidP="0084173B">
      <w:pPr>
        <w:spacing w:line="480" w:lineRule="auto"/>
        <w:ind w:left="-540"/>
        <w:contextualSpacing/>
        <w:rPr>
          <w:rFonts w:ascii="Times New Roman" w:hAnsi="Times New Roman"/>
          <w:b/>
          <w:bCs/>
          <w:i/>
          <w:szCs w:val="24"/>
        </w:rPr>
      </w:pPr>
      <w:r w:rsidRPr="00145AE4">
        <w:rPr>
          <w:rFonts w:ascii="Times New Roman" w:hAnsi="Times New Roman"/>
          <w:b/>
          <w:bCs/>
          <w:szCs w:val="24"/>
        </w:rPr>
        <w:t xml:space="preserve">Commission Q: </w:t>
      </w:r>
      <w:r w:rsidRPr="00145AE4">
        <w:rPr>
          <w:rFonts w:ascii="Times New Roman" w:hAnsi="Times New Roman"/>
          <w:b/>
          <w:bCs/>
          <w:i/>
          <w:szCs w:val="24"/>
        </w:rPr>
        <w:t>“</w:t>
      </w:r>
      <w:r w:rsidR="005F7F9C" w:rsidRPr="00145AE4">
        <w:rPr>
          <w:rFonts w:ascii="Times New Roman" w:hAnsi="Times New Roman"/>
          <w:b/>
          <w:bCs/>
          <w:i/>
          <w:szCs w:val="24"/>
        </w:rPr>
        <w:t xml:space="preserve">For the purpose of setting the maximum </w:t>
      </w:r>
      <w:r w:rsidR="00BF4583" w:rsidRPr="00145AE4">
        <w:rPr>
          <w:rFonts w:ascii="Times New Roman" w:hAnsi="Times New Roman"/>
          <w:b/>
          <w:bCs/>
          <w:i/>
          <w:szCs w:val="24"/>
        </w:rPr>
        <w:t xml:space="preserve">design capacity </w:t>
      </w:r>
      <w:r w:rsidR="005F7F9C" w:rsidRPr="00145AE4">
        <w:rPr>
          <w:rFonts w:ascii="Times New Roman" w:hAnsi="Times New Roman"/>
          <w:b/>
          <w:bCs/>
          <w:i/>
          <w:szCs w:val="24"/>
        </w:rPr>
        <w:t xml:space="preserve">of </w:t>
      </w:r>
      <w:r w:rsidR="00BF4583" w:rsidRPr="00145AE4">
        <w:rPr>
          <w:rFonts w:ascii="Times New Roman" w:hAnsi="Times New Roman"/>
          <w:b/>
          <w:bCs/>
          <w:i/>
          <w:szCs w:val="24"/>
        </w:rPr>
        <w:t xml:space="preserve">a </w:t>
      </w:r>
      <w:r w:rsidR="00A64BAD" w:rsidRPr="00145AE4">
        <w:rPr>
          <w:rFonts w:ascii="Times New Roman" w:hAnsi="Times New Roman"/>
          <w:b/>
          <w:bCs/>
          <w:i/>
          <w:szCs w:val="24"/>
        </w:rPr>
        <w:t>facility</w:t>
      </w:r>
      <w:r w:rsidR="005F7F9C" w:rsidRPr="00145AE4">
        <w:rPr>
          <w:rFonts w:ascii="Times New Roman" w:hAnsi="Times New Roman"/>
          <w:b/>
          <w:bCs/>
          <w:i/>
          <w:szCs w:val="24"/>
        </w:rPr>
        <w:t xml:space="preserve"> to qualify for a standard contract, </w:t>
      </w:r>
      <w:r w:rsidR="00DF1B6C" w:rsidRPr="00145AE4">
        <w:rPr>
          <w:rFonts w:ascii="Times New Roman" w:hAnsi="Times New Roman"/>
          <w:b/>
          <w:bCs/>
          <w:i/>
          <w:szCs w:val="24"/>
        </w:rPr>
        <w:t>is it necessary for the</w:t>
      </w:r>
      <w:r w:rsidR="005F7F9C" w:rsidRPr="00145AE4">
        <w:rPr>
          <w:rFonts w:ascii="Times New Roman" w:hAnsi="Times New Roman"/>
          <w:b/>
          <w:bCs/>
          <w:i/>
          <w:szCs w:val="24"/>
        </w:rPr>
        <w:t xml:space="preserve"> Commission </w:t>
      </w:r>
      <w:r w:rsidR="00DF1B6C" w:rsidRPr="00145AE4">
        <w:rPr>
          <w:rFonts w:ascii="Times New Roman" w:hAnsi="Times New Roman"/>
          <w:b/>
          <w:bCs/>
          <w:i/>
          <w:szCs w:val="24"/>
        </w:rPr>
        <w:t>to set a</w:t>
      </w:r>
      <w:r w:rsidR="004B6F73" w:rsidRPr="00145AE4">
        <w:rPr>
          <w:rFonts w:ascii="Times New Roman" w:hAnsi="Times New Roman"/>
          <w:b/>
          <w:bCs/>
          <w:i/>
          <w:szCs w:val="24"/>
        </w:rPr>
        <w:t xml:space="preserve"> minimum distance between </w:t>
      </w:r>
      <w:r w:rsidR="005B255E" w:rsidRPr="00145AE4">
        <w:rPr>
          <w:rFonts w:ascii="Times New Roman" w:hAnsi="Times New Roman"/>
          <w:b/>
          <w:bCs/>
          <w:i/>
          <w:szCs w:val="24"/>
        </w:rPr>
        <w:t>QFs</w:t>
      </w:r>
      <w:r w:rsidR="00BF52E5" w:rsidRPr="00145AE4">
        <w:rPr>
          <w:rFonts w:ascii="Times New Roman" w:hAnsi="Times New Roman"/>
          <w:b/>
          <w:bCs/>
          <w:i/>
          <w:szCs w:val="24"/>
        </w:rPr>
        <w:t xml:space="preserve"> belonging to the same owner</w:t>
      </w:r>
      <w:r w:rsidR="005F7F9C" w:rsidRPr="00145AE4">
        <w:rPr>
          <w:rFonts w:ascii="Times New Roman" w:hAnsi="Times New Roman"/>
          <w:b/>
          <w:bCs/>
          <w:i/>
          <w:szCs w:val="24"/>
        </w:rPr>
        <w:t xml:space="preserve">? If so, </w:t>
      </w:r>
      <w:r w:rsidR="00DF1B6C" w:rsidRPr="00145AE4">
        <w:rPr>
          <w:rFonts w:ascii="Times New Roman" w:hAnsi="Times New Roman"/>
          <w:b/>
          <w:bCs/>
          <w:i/>
          <w:szCs w:val="24"/>
        </w:rPr>
        <w:t>what is the appropriate distance or test for determining a minimum distance</w:t>
      </w:r>
      <w:r w:rsidR="005F7F9C" w:rsidRPr="00145AE4">
        <w:rPr>
          <w:rFonts w:ascii="Times New Roman" w:hAnsi="Times New Roman"/>
          <w:b/>
          <w:bCs/>
          <w:i/>
          <w:szCs w:val="24"/>
        </w:rPr>
        <w:t>? Should the Commission set different minimum distance requirements based on the type of QF resource?</w:t>
      </w:r>
      <w:r w:rsidRPr="00145AE4">
        <w:rPr>
          <w:rFonts w:ascii="Times New Roman" w:hAnsi="Times New Roman"/>
          <w:b/>
          <w:bCs/>
          <w:i/>
          <w:szCs w:val="24"/>
        </w:rPr>
        <w:t>”</w:t>
      </w:r>
    </w:p>
    <w:p w14:paraId="77457B73" w14:textId="77777777" w:rsidR="00145AE4" w:rsidRPr="00145AE4" w:rsidRDefault="00145AE4" w:rsidP="0084173B">
      <w:pPr>
        <w:spacing w:line="480" w:lineRule="auto"/>
        <w:ind w:left="-540"/>
        <w:contextualSpacing/>
        <w:rPr>
          <w:rFonts w:ascii="Times New Roman" w:hAnsi="Times New Roman"/>
          <w:b/>
          <w:bCs/>
          <w:szCs w:val="24"/>
        </w:rPr>
      </w:pPr>
    </w:p>
    <w:p w14:paraId="18380D22" w14:textId="77777777" w:rsidR="00A024B4" w:rsidRDefault="00A024B4" w:rsidP="0084173B">
      <w:pPr>
        <w:spacing w:line="480" w:lineRule="auto"/>
        <w:ind w:left="-540"/>
        <w:contextualSpacing/>
        <w:rPr>
          <w:rFonts w:ascii="Times New Roman" w:hAnsi="Times New Roman"/>
          <w:bCs/>
          <w:szCs w:val="24"/>
        </w:rPr>
      </w:pPr>
      <w:r>
        <w:rPr>
          <w:rFonts w:ascii="Times New Roman" w:hAnsi="Times New Roman"/>
          <w:bCs/>
          <w:szCs w:val="24"/>
        </w:rPr>
        <w:lastRenderedPageBreak/>
        <w:t>T</w:t>
      </w:r>
      <w:r w:rsidR="0084173B" w:rsidRPr="00740BE8">
        <w:rPr>
          <w:rFonts w:ascii="Times New Roman" w:hAnsi="Times New Roman"/>
          <w:bCs/>
          <w:szCs w:val="24"/>
        </w:rPr>
        <w:t>he rules established by</w:t>
      </w:r>
      <w:r w:rsidR="00145AE4">
        <w:rPr>
          <w:rFonts w:ascii="Times New Roman" w:hAnsi="Times New Roman"/>
          <w:bCs/>
          <w:szCs w:val="24"/>
        </w:rPr>
        <w:t xml:space="preserve"> FERC for</w:t>
      </w:r>
      <w:r w:rsidR="0084173B" w:rsidRPr="00740BE8">
        <w:rPr>
          <w:rFonts w:ascii="Times New Roman" w:hAnsi="Times New Roman"/>
          <w:bCs/>
          <w:szCs w:val="24"/>
        </w:rPr>
        <w:t xml:space="preserve"> PURPA for minimum distance between QFs are well established and appropriate, requiring no additional modification.  </w:t>
      </w:r>
      <w:r>
        <w:rPr>
          <w:rFonts w:ascii="Times New Roman" w:hAnsi="Times New Roman"/>
          <w:bCs/>
          <w:szCs w:val="24"/>
        </w:rPr>
        <w:t xml:space="preserve">Per above comments, larger project size brings quantifiable ratepayer benefits and market competitivity.  </w:t>
      </w:r>
    </w:p>
    <w:p w14:paraId="11887786" w14:textId="48045186" w:rsidR="005F7F9C" w:rsidRPr="00740BE8" w:rsidRDefault="00A024B4" w:rsidP="00A024B4">
      <w:pPr>
        <w:spacing w:line="480" w:lineRule="auto"/>
        <w:ind w:left="-540" w:firstLine="1260"/>
        <w:contextualSpacing/>
        <w:rPr>
          <w:rFonts w:ascii="Times New Roman" w:hAnsi="Times New Roman"/>
          <w:bCs/>
          <w:szCs w:val="24"/>
        </w:rPr>
      </w:pPr>
      <w:r>
        <w:rPr>
          <w:rFonts w:ascii="Times New Roman" w:hAnsi="Times New Roman"/>
          <w:bCs/>
          <w:szCs w:val="24"/>
        </w:rPr>
        <w:t xml:space="preserve">Additionally, </w:t>
      </w:r>
      <w:r w:rsidR="0084173B" w:rsidRPr="00740BE8">
        <w:rPr>
          <w:rFonts w:ascii="Times New Roman" w:hAnsi="Times New Roman"/>
          <w:bCs/>
          <w:szCs w:val="24"/>
        </w:rPr>
        <w:t xml:space="preserve">there should be explicit allowance for the project development of multiple facilities by a single entity, and shared use of common facilities </w:t>
      </w:r>
      <w:r>
        <w:rPr>
          <w:rFonts w:ascii="Times New Roman" w:hAnsi="Times New Roman"/>
          <w:bCs/>
          <w:szCs w:val="24"/>
        </w:rPr>
        <w:t xml:space="preserve">(such as interconnection and tie-lines) </w:t>
      </w:r>
      <w:r w:rsidR="0084173B" w:rsidRPr="00740BE8">
        <w:rPr>
          <w:rFonts w:ascii="Times New Roman" w:hAnsi="Times New Roman"/>
          <w:bCs/>
          <w:szCs w:val="24"/>
        </w:rPr>
        <w:t xml:space="preserve">to minimize land and environmental impacts and </w:t>
      </w:r>
      <w:r>
        <w:rPr>
          <w:rFonts w:ascii="Times New Roman" w:hAnsi="Times New Roman"/>
          <w:bCs/>
          <w:szCs w:val="24"/>
        </w:rPr>
        <w:t>avoid unnecessary conflict with, and impedance of, development realities given the limited points of interconnection practically realizable by projects, due to the finite nature of transmission systems</w:t>
      </w:r>
      <w:r w:rsidR="0084173B" w:rsidRPr="00740BE8">
        <w:rPr>
          <w:rFonts w:ascii="Times New Roman" w:hAnsi="Times New Roman"/>
          <w:bCs/>
          <w:szCs w:val="24"/>
        </w:rPr>
        <w:t>.</w:t>
      </w:r>
    </w:p>
    <w:p w14:paraId="655263A9" w14:textId="77777777" w:rsidR="0084173B" w:rsidRPr="00740BE8" w:rsidRDefault="0084173B" w:rsidP="0084173B">
      <w:pPr>
        <w:spacing w:line="480" w:lineRule="auto"/>
        <w:ind w:left="-540"/>
        <w:contextualSpacing/>
        <w:rPr>
          <w:rFonts w:ascii="Times New Roman" w:hAnsi="Times New Roman"/>
          <w:bCs/>
          <w:szCs w:val="24"/>
        </w:rPr>
      </w:pPr>
    </w:p>
    <w:p w14:paraId="3B5E1C08" w14:textId="38AF9FF8" w:rsidR="005F7F9C" w:rsidRPr="00740BE8" w:rsidRDefault="00C86570" w:rsidP="00C86570">
      <w:pPr>
        <w:spacing w:line="480" w:lineRule="auto"/>
        <w:ind w:left="-540"/>
        <w:contextualSpacing/>
        <w:rPr>
          <w:rFonts w:ascii="Times New Roman" w:hAnsi="Times New Roman"/>
          <w:bCs/>
          <w:szCs w:val="24"/>
        </w:rPr>
      </w:pPr>
      <w:r w:rsidRPr="00145AE4">
        <w:rPr>
          <w:rFonts w:ascii="Times New Roman" w:hAnsi="Times New Roman"/>
          <w:b/>
          <w:bCs/>
          <w:szCs w:val="24"/>
        </w:rPr>
        <w:t xml:space="preserve">Commission Q: </w:t>
      </w:r>
      <w:r w:rsidRPr="00145AE4">
        <w:rPr>
          <w:rFonts w:ascii="Times New Roman" w:hAnsi="Times New Roman"/>
          <w:b/>
          <w:bCs/>
          <w:i/>
          <w:szCs w:val="24"/>
        </w:rPr>
        <w:t>“</w:t>
      </w:r>
      <w:r w:rsidR="001B670B" w:rsidRPr="00145AE4">
        <w:rPr>
          <w:rFonts w:ascii="Times New Roman" w:hAnsi="Times New Roman"/>
          <w:b/>
          <w:bCs/>
          <w:i/>
          <w:szCs w:val="24"/>
        </w:rPr>
        <w:t>If the Commission were to specify</w:t>
      </w:r>
      <w:r w:rsidR="001B670B" w:rsidRPr="00145AE4" w:rsidDel="005C44A1">
        <w:rPr>
          <w:rFonts w:ascii="Times New Roman" w:hAnsi="Times New Roman"/>
          <w:b/>
          <w:bCs/>
          <w:i/>
          <w:szCs w:val="24"/>
        </w:rPr>
        <w:t xml:space="preserve"> </w:t>
      </w:r>
      <w:r w:rsidR="001B670B" w:rsidRPr="00145AE4">
        <w:rPr>
          <w:rFonts w:ascii="Times New Roman" w:hAnsi="Times New Roman"/>
          <w:b/>
          <w:bCs/>
          <w:i/>
          <w:szCs w:val="24"/>
        </w:rPr>
        <w:t xml:space="preserve">the term length of a standard offer power purchase agreement, how should it best balance the preference of project developers for longer term agreements to mitigate their risks against the uncertainty that the avoided cost rates in effect at the time will accurately reflect the true avoided cost to the utility in the future? </w:t>
      </w:r>
      <w:r w:rsidR="00A446BB" w:rsidRPr="00145AE4">
        <w:rPr>
          <w:rFonts w:ascii="Times New Roman" w:hAnsi="Times New Roman"/>
          <w:b/>
          <w:bCs/>
          <w:i/>
          <w:szCs w:val="24"/>
        </w:rPr>
        <w:t xml:space="preserve">Should the </w:t>
      </w:r>
      <w:r w:rsidR="00AF1F80" w:rsidRPr="00145AE4">
        <w:rPr>
          <w:rFonts w:ascii="Times New Roman" w:hAnsi="Times New Roman"/>
          <w:b/>
          <w:bCs/>
          <w:i/>
          <w:szCs w:val="24"/>
        </w:rPr>
        <w:t>C</w:t>
      </w:r>
      <w:r w:rsidR="00A446BB" w:rsidRPr="00145AE4">
        <w:rPr>
          <w:rFonts w:ascii="Times New Roman" w:hAnsi="Times New Roman"/>
          <w:b/>
          <w:bCs/>
          <w:i/>
          <w:szCs w:val="24"/>
        </w:rPr>
        <w:t>ommission differentiate standard contract lengths based on the type of</w:t>
      </w:r>
      <w:r w:rsidR="00A446BB" w:rsidRPr="00740BE8">
        <w:rPr>
          <w:rFonts w:ascii="Times New Roman" w:hAnsi="Times New Roman"/>
          <w:bCs/>
          <w:i/>
          <w:szCs w:val="24"/>
        </w:rPr>
        <w:t xml:space="preserve"> </w:t>
      </w:r>
      <w:r w:rsidR="00A446BB" w:rsidRPr="007517BA">
        <w:rPr>
          <w:rFonts w:ascii="Times New Roman" w:hAnsi="Times New Roman"/>
          <w:b/>
          <w:bCs/>
          <w:i/>
          <w:szCs w:val="24"/>
        </w:rPr>
        <w:t>resource?</w:t>
      </w:r>
      <w:r w:rsidRPr="007517BA">
        <w:rPr>
          <w:rFonts w:ascii="Times New Roman" w:hAnsi="Times New Roman"/>
          <w:b/>
          <w:bCs/>
          <w:i/>
          <w:szCs w:val="24"/>
        </w:rPr>
        <w:t>”</w:t>
      </w:r>
    </w:p>
    <w:p w14:paraId="78EBA015" w14:textId="3C08176E" w:rsidR="00C22C20" w:rsidRPr="00740BE8" w:rsidRDefault="00C86570" w:rsidP="009173A9">
      <w:pPr>
        <w:spacing w:line="480" w:lineRule="auto"/>
        <w:ind w:left="-540"/>
        <w:contextualSpacing/>
        <w:rPr>
          <w:rFonts w:ascii="Times New Roman" w:hAnsi="Times New Roman"/>
          <w:bCs/>
          <w:szCs w:val="24"/>
        </w:rPr>
      </w:pPr>
      <w:r w:rsidRPr="00740BE8">
        <w:rPr>
          <w:rFonts w:ascii="Times New Roman" w:hAnsi="Times New Roman"/>
          <w:bCs/>
          <w:szCs w:val="24"/>
        </w:rPr>
        <w:t>Longer standard offer contract</w:t>
      </w:r>
      <w:r w:rsidR="007517BA">
        <w:rPr>
          <w:rFonts w:ascii="Times New Roman" w:hAnsi="Times New Roman"/>
          <w:bCs/>
          <w:szCs w:val="24"/>
        </w:rPr>
        <w:t xml:space="preserve">s provide several benefits to the ratepayers, particularly in terms of facilitating the viability of the lowest possible QF projects, and thus the avoidance benefits which come with such QFs being developed.  Longer terms enable projects to </w:t>
      </w:r>
      <w:r w:rsidR="00C22C20" w:rsidRPr="00740BE8">
        <w:rPr>
          <w:rFonts w:ascii="Times New Roman" w:hAnsi="Times New Roman"/>
          <w:bCs/>
          <w:szCs w:val="24"/>
        </w:rPr>
        <w:t>attract the lowest interest rates possible, which for capital intensive power assets can be a significant portion of the overall costs</w:t>
      </w:r>
      <w:r w:rsidR="007517BA">
        <w:rPr>
          <w:rFonts w:ascii="Times New Roman" w:hAnsi="Times New Roman"/>
          <w:bCs/>
          <w:szCs w:val="24"/>
        </w:rPr>
        <w:t>, as well as extend the period of capacity avoidance by the QF</w:t>
      </w:r>
      <w:r w:rsidR="00C22C20" w:rsidRPr="00740BE8">
        <w:rPr>
          <w:rFonts w:ascii="Times New Roman" w:hAnsi="Times New Roman"/>
          <w:bCs/>
          <w:szCs w:val="24"/>
        </w:rPr>
        <w:t xml:space="preserve">.  </w:t>
      </w:r>
      <w:r w:rsidR="007517BA">
        <w:rPr>
          <w:rFonts w:ascii="Times New Roman" w:hAnsi="Times New Roman"/>
          <w:bCs/>
          <w:szCs w:val="24"/>
        </w:rPr>
        <w:t xml:space="preserve"> At a minimum, QF contract term lengths made available should comply with the FERC guidance that such terms be long enough to facilitate facility financing.  Further, it should be noted that the assets which the utilities avoided cost pricing methodologies are based on typically include </w:t>
      </w:r>
      <w:r w:rsidR="007517BA">
        <w:rPr>
          <w:rFonts w:ascii="Times New Roman" w:hAnsi="Times New Roman"/>
          <w:bCs/>
          <w:szCs w:val="24"/>
        </w:rPr>
        <w:lastRenderedPageBreak/>
        <w:t xml:space="preserve">a mix of operation generation assets which are either fully depreciated or which are depreciated over terms of terms of 30 years or more.  Forcing the QF to finance their projects over shorter terms (due to shorter contract lengths) necessarily and unequitably imposes higher costs on the QFs, due to underlying debt payments on new generation being for shorter terms (just like home mortgage payments, </w:t>
      </w:r>
      <w:proofErr w:type="spellStart"/>
      <w:r w:rsidR="007517BA">
        <w:rPr>
          <w:rFonts w:ascii="Times New Roman" w:hAnsi="Times New Roman"/>
          <w:bCs/>
          <w:szCs w:val="24"/>
        </w:rPr>
        <w:t>eg</w:t>
      </w:r>
      <w:proofErr w:type="spellEnd"/>
      <w:r w:rsidR="007517BA">
        <w:rPr>
          <w:rFonts w:ascii="Times New Roman" w:hAnsi="Times New Roman"/>
          <w:bCs/>
          <w:szCs w:val="24"/>
        </w:rPr>
        <w:t xml:space="preserve"> 15-years, vs 20-years, vs 30-years), which deprives the ratepayers of potential competitive options and the potenti</w:t>
      </w:r>
      <w:r w:rsidR="009173A9">
        <w:rPr>
          <w:rFonts w:ascii="Times New Roman" w:hAnsi="Times New Roman"/>
          <w:bCs/>
          <w:szCs w:val="24"/>
        </w:rPr>
        <w:t>al to avoid stair-stepped costs for new rate-</w:t>
      </w:r>
      <w:r w:rsidR="007517BA">
        <w:rPr>
          <w:rFonts w:ascii="Times New Roman" w:hAnsi="Times New Roman"/>
          <w:bCs/>
          <w:szCs w:val="24"/>
        </w:rPr>
        <w:t>based assets built by utilities.</w:t>
      </w:r>
      <w:r w:rsidR="009173A9">
        <w:rPr>
          <w:rFonts w:ascii="Times New Roman" w:hAnsi="Times New Roman"/>
          <w:bCs/>
          <w:szCs w:val="24"/>
        </w:rPr>
        <w:t xml:space="preserve">  </w:t>
      </w:r>
      <w:r w:rsidR="00C22C20" w:rsidRPr="00740BE8">
        <w:rPr>
          <w:rFonts w:ascii="Times New Roman" w:hAnsi="Times New Roman"/>
          <w:bCs/>
          <w:szCs w:val="24"/>
        </w:rPr>
        <w:t xml:space="preserve">We are also at a historical low point in the natural gas price cycle, which argues that the risk of moving out of market with avoided costs is biased in favor of utility customers.  </w:t>
      </w:r>
    </w:p>
    <w:p w14:paraId="0BEF29CD" w14:textId="77777777" w:rsidR="00C22C20" w:rsidRPr="00740BE8" w:rsidRDefault="00C22C20" w:rsidP="00C86570">
      <w:pPr>
        <w:spacing w:line="480" w:lineRule="auto"/>
        <w:ind w:left="-540"/>
        <w:contextualSpacing/>
        <w:rPr>
          <w:rFonts w:ascii="Times New Roman" w:hAnsi="Times New Roman"/>
          <w:bCs/>
          <w:szCs w:val="24"/>
        </w:rPr>
      </w:pPr>
    </w:p>
    <w:p w14:paraId="0122E2FC" w14:textId="38585BBE" w:rsidR="005F7F9C" w:rsidRPr="00145AE4" w:rsidRDefault="00C22C20" w:rsidP="00C22C20">
      <w:pPr>
        <w:spacing w:line="480" w:lineRule="auto"/>
        <w:ind w:left="-540"/>
        <w:contextualSpacing/>
        <w:rPr>
          <w:rFonts w:ascii="Times New Roman" w:hAnsi="Times New Roman"/>
          <w:b/>
          <w:bCs/>
          <w:i/>
          <w:szCs w:val="24"/>
        </w:rPr>
      </w:pPr>
      <w:r w:rsidRPr="00145AE4">
        <w:rPr>
          <w:rFonts w:ascii="Times New Roman" w:hAnsi="Times New Roman"/>
          <w:b/>
          <w:bCs/>
          <w:szCs w:val="24"/>
        </w:rPr>
        <w:t xml:space="preserve">Commission Q: </w:t>
      </w:r>
      <w:r w:rsidRPr="00145AE4">
        <w:rPr>
          <w:rFonts w:ascii="Times New Roman" w:hAnsi="Times New Roman"/>
          <w:b/>
          <w:bCs/>
          <w:i/>
          <w:szCs w:val="24"/>
        </w:rPr>
        <w:t>“</w:t>
      </w:r>
      <w:r w:rsidR="005F7F9C" w:rsidRPr="00145AE4">
        <w:rPr>
          <w:rFonts w:ascii="Times New Roman" w:hAnsi="Times New Roman"/>
          <w:b/>
          <w:bCs/>
          <w:i/>
          <w:szCs w:val="24"/>
        </w:rPr>
        <w:t xml:space="preserve">Should the Commission </w:t>
      </w:r>
      <w:r w:rsidR="001B670B" w:rsidRPr="00145AE4">
        <w:rPr>
          <w:rFonts w:ascii="Times New Roman" w:hAnsi="Times New Roman"/>
          <w:b/>
          <w:bCs/>
          <w:i/>
          <w:szCs w:val="24"/>
        </w:rPr>
        <w:t xml:space="preserve">specify </w:t>
      </w:r>
      <w:r w:rsidR="005F7F9C" w:rsidRPr="00145AE4">
        <w:rPr>
          <w:rFonts w:ascii="Times New Roman" w:hAnsi="Times New Roman"/>
          <w:b/>
          <w:bCs/>
          <w:i/>
          <w:szCs w:val="24"/>
        </w:rPr>
        <w:t xml:space="preserve">in rule the point </w:t>
      </w:r>
      <w:r w:rsidR="001B670B" w:rsidRPr="00145AE4">
        <w:rPr>
          <w:rFonts w:ascii="Times New Roman" w:hAnsi="Times New Roman"/>
          <w:b/>
          <w:bCs/>
          <w:i/>
          <w:szCs w:val="24"/>
        </w:rPr>
        <w:t>in the standard offer contract process where</w:t>
      </w:r>
      <w:r w:rsidR="001B670B" w:rsidRPr="00145AE4" w:rsidDel="001B670B">
        <w:rPr>
          <w:rFonts w:ascii="Times New Roman" w:hAnsi="Times New Roman"/>
          <w:b/>
          <w:bCs/>
          <w:i/>
          <w:szCs w:val="24"/>
        </w:rPr>
        <w:t xml:space="preserve"> </w:t>
      </w:r>
      <w:r w:rsidR="005F7F9C" w:rsidRPr="00145AE4">
        <w:rPr>
          <w:rFonts w:ascii="Times New Roman" w:hAnsi="Times New Roman"/>
          <w:b/>
          <w:bCs/>
          <w:i/>
          <w:szCs w:val="24"/>
        </w:rPr>
        <w:t>a utility has a legally enforceable obligation to purchase a facility’s output?</w:t>
      </w:r>
      <w:r w:rsidRPr="00145AE4">
        <w:rPr>
          <w:rFonts w:ascii="Times New Roman" w:hAnsi="Times New Roman"/>
          <w:b/>
          <w:bCs/>
          <w:i/>
          <w:szCs w:val="24"/>
        </w:rPr>
        <w:t>”</w:t>
      </w:r>
    </w:p>
    <w:p w14:paraId="419B2BDF" w14:textId="18AAC998" w:rsidR="00145AE4" w:rsidRPr="00740BE8" w:rsidRDefault="008D0C21" w:rsidP="00C22C20">
      <w:pPr>
        <w:spacing w:line="480" w:lineRule="auto"/>
        <w:ind w:left="-540"/>
        <w:contextualSpacing/>
        <w:rPr>
          <w:rFonts w:ascii="Times New Roman" w:hAnsi="Times New Roman"/>
          <w:bCs/>
          <w:szCs w:val="24"/>
        </w:rPr>
      </w:pPr>
      <w:r>
        <w:rPr>
          <w:rFonts w:ascii="Times New Roman" w:hAnsi="Times New Roman"/>
          <w:bCs/>
          <w:szCs w:val="24"/>
        </w:rPr>
        <w:t xml:space="preserve">Yes.  But this point should </w:t>
      </w:r>
      <w:r w:rsidR="00145AE4">
        <w:rPr>
          <w:rFonts w:ascii="Times New Roman" w:hAnsi="Times New Roman"/>
          <w:bCs/>
          <w:szCs w:val="24"/>
        </w:rPr>
        <w:t xml:space="preserve">not </w:t>
      </w:r>
      <w:r>
        <w:rPr>
          <w:rFonts w:ascii="Times New Roman" w:hAnsi="Times New Roman"/>
          <w:bCs/>
          <w:szCs w:val="24"/>
        </w:rPr>
        <w:t xml:space="preserve">be </w:t>
      </w:r>
      <w:r w:rsidR="00145AE4">
        <w:rPr>
          <w:rFonts w:ascii="Times New Roman" w:hAnsi="Times New Roman"/>
          <w:bCs/>
          <w:szCs w:val="24"/>
        </w:rPr>
        <w:t xml:space="preserve">controlled by the utility, as the LEO is a primary mechanism for protecting the QF against utilities refusal to comply with their PURPA obligations through protracting negotiations indefinitely, </w:t>
      </w:r>
      <w:proofErr w:type="spellStart"/>
      <w:r w:rsidR="00145AE4">
        <w:rPr>
          <w:rFonts w:ascii="Times New Roman" w:hAnsi="Times New Roman"/>
          <w:bCs/>
          <w:szCs w:val="24"/>
        </w:rPr>
        <w:t>etc</w:t>
      </w:r>
      <w:proofErr w:type="spellEnd"/>
      <w:r w:rsidR="00145AE4">
        <w:rPr>
          <w:rFonts w:ascii="Times New Roman" w:hAnsi="Times New Roman"/>
          <w:bCs/>
          <w:szCs w:val="24"/>
        </w:rPr>
        <w:t>, and refusing to execute contracts.</w:t>
      </w:r>
      <w:r w:rsidR="00912FC6">
        <w:rPr>
          <w:rFonts w:ascii="Times New Roman" w:hAnsi="Times New Roman"/>
          <w:bCs/>
          <w:szCs w:val="24"/>
        </w:rPr>
        <w:t xml:space="preserve">  There should </w:t>
      </w:r>
      <w:r>
        <w:rPr>
          <w:rFonts w:ascii="Times New Roman" w:hAnsi="Times New Roman"/>
          <w:bCs/>
          <w:szCs w:val="24"/>
        </w:rPr>
        <w:t xml:space="preserve">thus </w:t>
      </w:r>
      <w:r w:rsidR="00912FC6">
        <w:rPr>
          <w:rFonts w:ascii="Times New Roman" w:hAnsi="Times New Roman"/>
          <w:bCs/>
          <w:szCs w:val="24"/>
        </w:rPr>
        <w:t>be a clear rule framework around this, specifically designed to preempt utilities potential avoidance of their mandatory purchase obligations under PURPA.</w:t>
      </w:r>
    </w:p>
    <w:p w14:paraId="3C48DA4B" w14:textId="77777777" w:rsidR="00C22C20" w:rsidRPr="00740BE8" w:rsidRDefault="00C22C20" w:rsidP="00C22C20">
      <w:pPr>
        <w:spacing w:line="480" w:lineRule="auto"/>
        <w:ind w:left="-540"/>
        <w:contextualSpacing/>
        <w:rPr>
          <w:rFonts w:ascii="Times New Roman" w:hAnsi="Times New Roman"/>
          <w:bCs/>
          <w:szCs w:val="24"/>
        </w:rPr>
      </w:pPr>
    </w:p>
    <w:p w14:paraId="3CF148DD" w14:textId="2662DEA6" w:rsidR="005F7F9C" w:rsidRPr="00145AE4" w:rsidRDefault="00C22C20" w:rsidP="00C22C20">
      <w:pPr>
        <w:spacing w:line="480" w:lineRule="auto"/>
        <w:ind w:left="-540"/>
        <w:contextualSpacing/>
        <w:rPr>
          <w:rFonts w:ascii="Times New Roman" w:hAnsi="Times New Roman"/>
          <w:b/>
          <w:bCs/>
          <w:i/>
          <w:szCs w:val="24"/>
        </w:rPr>
      </w:pPr>
      <w:r w:rsidRPr="00145AE4">
        <w:rPr>
          <w:rFonts w:ascii="Times New Roman" w:hAnsi="Times New Roman"/>
          <w:b/>
          <w:bCs/>
          <w:szCs w:val="24"/>
        </w:rPr>
        <w:t xml:space="preserve">Commission Q: </w:t>
      </w:r>
      <w:r w:rsidRPr="00145AE4">
        <w:rPr>
          <w:rFonts w:ascii="Times New Roman" w:hAnsi="Times New Roman"/>
          <w:b/>
          <w:bCs/>
          <w:i/>
          <w:szCs w:val="24"/>
        </w:rPr>
        <w:t>“</w:t>
      </w:r>
      <w:r w:rsidR="005F7F9C" w:rsidRPr="00145AE4">
        <w:rPr>
          <w:rFonts w:ascii="Times New Roman" w:hAnsi="Times New Roman"/>
          <w:b/>
          <w:bCs/>
          <w:i/>
          <w:szCs w:val="24"/>
        </w:rPr>
        <w:t xml:space="preserve">Should the rates and the </w:t>
      </w:r>
      <w:r w:rsidR="00BF4583" w:rsidRPr="00145AE4">
        <w:rPr>
          <w:rFonts w:ascii="Times New Roman" w:hAnsi="Times New Roman"/>
          <w:b/>
          <w:bCs/>
          <w:i/>
          <w:szCs w:val="24"/>
        </w:rPr>
        <w:t xml:space="preserve">model </w:t>
      </w:r>
      <w:r w:rsidR="005F7F9C" w:rsidRPr="00145AE4">
        <w:rPr>
          <w:rFonts w:ascii="Times New Roman" w:hAnsi="Times New Roman"/>
          <w:b/>
          <w:bCs/>
          <w:i/>
          <w:szCs w:val="24"/>
        </w:rPr>
        <w:t>standard offer agreements be disaggregat</w:t>
      </w:r>
      <w:r w:rsidRPr="00145AE4">
        <w:rPr>
          <w:rFonts w:ascii="Times New Roman" w:hAnsi="Times New Roman"/>
          <w:b/>
          <w:bCs/>
          <w:i/>
          <w:szCs w:val="24"/>
        </w:rPr>
        <w:t>ed into separate tariffs?”</w:t>
      </w:r>
    </w:p>
    <w:p w14:paraId="4E1FFD65" w14:textId="64D4D14B" w:rsidR="00C22C20" w:rsidRPr="00740BE8" w:rsidRDefault="00912FC6" w:rsidP="00C22C20">
      <w:pPr>
        <w:spacing w:line="480" w:lineRule="auto"/>
        <w:ind w:left="-540"/>
        <w:contextualSpacing/>
        <w:rPr>
          <w:rFonts w:ascii="Times New Roman" w:hAnsi="Times New Roman"/>
          <w:bCs/>
          <w:szCs w:val="24"/>
        </w:rPr>
      </w:pPr>
      <w:r>
        <w:rPr>
          <w:rFonts w:ascii="Times New Roman" w:hAnsi="Times New Roman"/>
          <w:bCs/>
          <w:szCs w:val="24"/>
        </w:rPr>
        <w:t>No, applicable rates should be included in the standard agreement, as per the rates which are in effect at the time of contract execution, so that they are fixed and the contracts are financeable.</w:t>
      </w:r>
      <w:r w:rsidR="008D0C21">
        <w:rPr>
          <w:rFonts w:ascii="Times New Roman" w:hAnsi="Times New Roman"/>
          <w:bCs/>
          <w:szCs w:val="24"/>
        </w:rPr>
        <w:t xml:space="preserve">  Ultimately, the </w:t>
      </w:r>
      <w:proofErr w:type="spellStart"/>
      <w:r w:rsidR="008D0C21">
        <w:rPr>
          <w:rFonts w:ascii="Times New Roman" w:hAnsi="Times New Roman"/>
          <w:bCs/>
          <w:szCs w:val="24"/>
        </w:rPr>
        <w:t>financeability</w:t>
      </w:r>
      <w:proofErr w:type="spellEnd"/>
      <w:r w:rsidR="008D0C21">
        <w:rPr>
          <w:rFonts w:ascii="Times New Roman" w:hAnsi="Times New Roman"/>
          <w:bCs/>
          <w:szCs w:val="24"/>
        </w:rPr>
        <w:t xml:space="preserve"> of the contracts resultant from Commission policy should be a </w:t>
      </w:r>
      <w:r w:rsidR="008D0C21">
        <w:rPr>
          <w:rFonts w:ascii="Times New Roman" w:hAnsi="Times New Roman"/>
          <w:bCs/>
          <w:szCs w:val="24"/>
        </w:rPr>
        <w:lastRenderedPageBreak/>
        <w:t>key criteria for all decisions, as the ability to finance new power generation is critical to their ability to ever exist, and thus for the Commission’s policies to comply with the obligations under PURPA.</w:t>
      </w:r>
    </w:p>
    <w:p w14:paraId="112EF463" w14:textId="77777777" w:rsidR="00AA54BF" w:rsidRDefault="00AA54BF" w:rsidP="00AA54BF">
      <w:pPr>
        <w:spacing w:line="480" w:lineRule="auto"/>
        <w:ind w:left="-540"/>
        <w:contextualSpacing/>
        <w:rPr>
          <w:rFonts w:ascii="Times New Roman" w:hAnsi="Times New Roman"/>
          <w:bCs/>
          <w:szCs w:val="24"/>
        </w:rPr>
      </w:pPr>
    </w:p>
    <w:p w14:paraId="516235D5" w14:textId="77777777" w:rsidR="00AA54BF" w:rsidRDefault="00AA54BF" w:rsidP="00AA54BF">
      <w:pPr>
        <w:spacing w:line="480" w:lineRule="auto"/>
        <w:ind w:left="-540"/>
        <w:contextualSpacing/>
        <w:rPr>
          <w:rFonts w:ascii="Times New Roman" w:hAnsi="Times New Roman"/>
          <w:bCs/>
          <w:szCs w:val="24"/>
        </w:rPr>
      </w:pPr>
    </w:p>
    <w:p w14:paraId="3C31FB69" w14:textId="2841F0DD" w:rsidR="0042630A" w:rsidRPr="00AA54BF" w:rsidRDefault="0064790A" w:rsidP="00AA54BF">
      <w:pPr>
        <w:spacing w:line="480" w:lineRule="auto"/>
        <w:ind w:left="-540"/>
        <w:contextualSpacing/>
        <w:rPr>
          <w:rFonts w:ascii="Times New Roman" w:hAnsi="Times New Roman"/>
          <w:bCs/>
          <w:szCs w:val="24"/>
        </w:rPr>
      </w:pPr>
      <w:r>
        <w:rPr>
          <w:rFonts w:ascii="Times New Roman" w:hAnsi="Times New Roman"/>
          <w:bCs/>
          <w:szCs w:val="24"/>
        </w:rPr>
        <w:t>JAKE STEPH</w:t>
      </w:r>
      <w:r w:rsidR="0028375A" w:rsidRPr="00AA54BF">
        <w:rPr>
          <w:rFonts w:ascii="Times New Roman" w:hAnsi="Times New Roman"/>
          <w:bCs/>
          <w:szCs w:val="24"/>
        </w:rPr>
        <w:t>ENS</w:t>
      </w:r>
    </w:p>
    <w:p w14:paraId="22C3D7C3" w14:textId="58BA7651" w:rsidR="002C039A" w:rsidRPr="00AA54BF" w:rsidRDefault="0028375A" w:rsidP="00AA54BF">
      <w:pPr>
        <w:spacing w:line="480" w:lineRule="auto"/>
        <w:ind w:left="-540"/>
        <w:contextualSpacing/>
        <w:rPr>
          <w:rFonts w:ascii="Times New Roman" w:hAnsi="Times New Roman"/>
          <w:bCs/>
          <w:szCs w:val="24"/>
        </w:rPr>
      </w:pPr>
      <w:r w:rsidRPr="00AA54BF">
        <w:rPr>
          <w:rFonts w:ascii="Times New Roman" w:hAnsi="Times New Roman"/>
          <w:bCs/>
          <w:szCs w:val="24"/>
        </w:rPr>
        <w:t>CEO</w:t>
      </w:r>
      <w:r w:rsidR="00AA54BF">
        <w:rPr>
          <w:rFonts w:ascii="Times New Roman" w:hAnsi="Times New Roman"/>
          <w:bCs/>
          <w:szCs w:val="24"/>
        </w:rPr>
        <w:t>, NEWSUN ENERGY LLC</w:t>
      </w:r>
    </w:p>
    <w:sectPr w:rsidR="002C039A" w:rsidRPr="00AA54BF" w:rsidSect="0042630A">
      <w:headerReference w:type="even" r:id="rId12"/>
      <w:headerReference w:type="default" r:id="rId13"/>
      <w:footerReference w:type="even" r:id="rId14"/>
      <w:footerReference w:type="default" r:id="rId15"/>
      <w:headerReference w:type="first" r:id="rId16"/>
      <w:footerReference w:type="first" r:id="rId17"/>
      <w:pgSz w:w="12240" w:h="15840" w:code="1"/>
      <w:pgMar w:top="720" w:right="1800" w:bottom="1440" w:left="180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01497" w14:textId="77777777" w:rsidR="0096455F" w:rsidRDefault="0096455F" w:rsidP="0042630A">
      <w:r>
        <w:separator/>
      </w:r>
    </w:p>
  </w:endnote>
  <w:endnote w:type="continuationSeparator" w:id="0">
    <w:p w14:paraId="6A8B21D2" w14:textId="77777777" w:rsidR="0096455F" w:rsidRDefault="0096455F" w:rsidP="0042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21847" w14:textId="77777777" w:rsidR="00AA54BF" w:rsidRDefault="00AA54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E5994" w14:textId="77777777" w:rsidR="00AA54BF" w:rsidRDefault="00AA54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E39DA" w14:textId="579C01BE" w:rsidR="00AA54BF" w:rsidRPr="00AA54BF" w:rsidRDefault="00AA54BF" w:rsidP="00AA54BF">
    <w:pPr>
      <w:pStyle w:val="Footer"/>
      <w:tabs>
        <w:tab w:val="clear" w:pos="9360"/>
        <w:tab w:val="right" w:pos="8640"/>
      </w:tabs>
      <w:rPr>
        <w:sz w:val="20"/>
      </w:rPr>
    </w:pPr>
    <w:r w:rsidRPr="00AA54BF">
      <w:rPr>
        <w:sz w:val="20"/>
      </w:rPr>
      <w:t>NEWSUN ENERGY Comments in U-161024</w:t>
    </w:r>
    <w:r w:rsidRPr="00AA54BF">
      <w:rPr>
        <w:sz w:val="20"/>
      </w:rPr>
      <w:tab/>
    </w:r>
    <w:r w:rsidRPr="00AA54BF">
      <w:rPr>
        <w:sz w:val="20"/>
      </w:rPr>
      <w:tab/>
      <w:t>April 17,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33A02" w14:textId="77777777" w:rsidR="0096455F" w:rsidRDefault="0096455F" w:rsidP="0042630A">
      <w:r>
        <w:separator/>
      </w:r>
    </w:p>
  </w:footnote>
  <w:footnote w:type="continuationSeparator" w:id="0">
    <w:p w14:paraId="213B67DC" w14:textId="77777777" w:rsidR="0096455F" w:rsidRDefault="0096455F" w:rsidP="00426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3FB5B" w14:textId="77777777" w:rsidR="00AA54BF" w:rsidRDefault="00AA54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1346D" w14:textId="5A5842B2" w:rsidR="00472118" w:rsidRPr="00FE7D83" w:rsidRDefault="00472118" w:rsidP="00472118">
    <w:pPr>
      <w:pStyle w:val="Header"/>
      <w:tabs>
        <w:tab w:val="clear" w:pos="8640"/>
        <w:tab w:val="right" w:pos="8460"/>
      </w:tabs>
      <w:rPr>
        <w:rStyle w:val="PageNumber"/>
        <w:rFonts w:ascii="Times New Roman" w:hAnsi="Times New Roman"/>
        <w:b/>
        <w:sz w:val="20"/>
        <w:szCs w:val="20"/>
      </w:rPr>
    </w:pPr>
    <w:r w:rsidRPr="00FE7D83">
      <w:rPr>
        <w:rFonts w:ascii="Times New Roman" w:hAnsi="Times New Roman"/>
        <w:b/>
        <w:sz w:val="20"/>
        <w:szCs w:val="20"/>
      </w:rPr>
      <w:tab/>
    </w:r>
    <w:r w:rsidRPr="00FE7D83">
      <w:rPr>
        <w:rFonts w:ascii="Times New Roman" w:hAnsi="Times New Roman"/>
        <w:b/>
        <w:sz w:val="20"/>
        <w:szCs w:val="20"/>
      </w:rPr>
      <w:tab/>
      <w:t xml:space="preserve">PAGE </w:t>
    </w:r>
    <w:r w:rsidRPr="00FE7D83">
      <w:rPr>
        <w:rStyle w:val="PageNumber"/>
        <w:rFonts w:ascii="Times New Roman" w:hAnsi="Times New Roman"/>
        <w:b/>
        <w:sz w:val="20"/>
        <w:szCs w:val="20"/>
      </w:rPr>
      <w:fldChar w:fldCharType="begin"/>
    </w:r>
    <w:r w:rsidRPr="00FE7D83">
      <w:rPr>
        <w:rStyle w:val="PageNumber"/>
        <w:rFonts w:ascii="Times New Roman" w:hAnsi="Times New Roman"/>
        <w:b/>
        <w:sz w:val="20"/>
        <w:szCs w:val="20"/>
      </w:rPr>
      <w:instrText xml:space="preserve"> PAGE </w:instrText>
    </w:r>
    <w:r w:rsidRPr="00FE7D83">
      <w:rPr>
        <w:rStyle w:val="PageNumber"/>
        <w:rFonts w:ascii="Times New Roman" w:hAnsi="Times New Roman"/>
        <w:b/>
        <w:sz w:val="20"/>
        <w:szCs w:val="20"/>
      </w:rPr>
      <w:fldChar w:fldCharType="separate"/>
    </w:r>
    <w:r w:rsidR="00410363">
      <w:rPr>
        <w:rStyle w:val="PageNumber"/>
        <w:rFonts w:ascii="Times New Roman" w:hAnsi="Times New Roman"/>
        <w:b/>
        <w:noProof/>
        <w:sz w:val="20"/>
        <w:szCs w:val="20"/>
      </w:rPr>
      <w:t>8</w:t>
    </w:r>
    <w:r w:rsidRPr="00FE7D83">
      <w:rPr>
        <w:rStyle w:val="PageNumber"/>
        <w:rFonts w:ascii="Times New Roman" w:hAnsi="Times New Roman"/>
        <w:b/>
        <w:sz w:val="20"/>
        <w:szCs w:val="20"/>
      </w:rPr>
      <w:fldChar w:fldCharType="end"/>
    </w:r>
  </w:p>
  <w:p w14:paraId="10251889" w14:textId="77777777" w:rsidR="00472118" w:rsidRPr="00FE7D83" w:rsidRDefault="00472118" w:rsidP="00472118">
    <w:pPr>
      <w:pStyle w:val="Header"/>
      <w:tabs>
        <w:tab w:val="clear" w:pos="8640"/>
        <w:tab w:val="right" w:pos="8460"/>
      </w:tabs>
      <w:rPr>
        <w:rFonts w:ascii="Times New Roman" w:hAnsi="Times New Roman"/>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EA060" w14:textId="22DB4B2A" w:rsidR="00472118" w:rsidRPr="00BF5254" w:rsidRDefault="00472118" w:rsidP="00472118">
    <w:pPr>
      <w:pStyle w:val="Header"/>
      <w:tabs>
        <w:tab w:val="clear" w:pos="8640"/>
        <w:tab w:val="right" w:pos="8460"/>
      </w:tabs>
      <w:rPr>
        <w:rFonts w:ascii="Times New Roman" w:hAnsi="Times New Roman"/>
        <w:b/>
        <w:sz w:val="20"/>
        <w:szCs w:val="20"/>
      </w:rPr>
    </w:pPr>
    <w:r>
      <w:tab/>
    </w:r>
    <w:r>
      <w:rPr>
        <w:rFonts w:ascii="Times New Roman" w:hAnsi="Times New Roman"/>
        <w:b/>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5947"/>
    <w:multiLevelType w:val="hybridMultilevel"/>
    <w:tmpl w:val="7C7AD3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9F6D26"/>
    <w:multiLevelType w:val="hybridMultilevel"/>
    <w:tmpl w:val="D0445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694C35"/>
    <w:multiLevelType w:val="hybridMultilevel"/>
    <w:tmpl w:val="9C0C0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CB50C0"/>
    <w:multiLevelType w:val="hybridMultilevel"/>
    <w:tmpl w:val="56E2A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195D31"/>
    <w:multiLevelType w:val="hybridMultilevel"/>
    <w:tmpl w:val="4576178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ADE749C"/>
    <w:multiLevelType w:val="hybridMultilevel"/>
    <w:tmpl w:val="BA6A2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7043D8"/>
    <w:multiLevelType w:val="hybridMultilevel"/>
    <w:tmpl w:val="E3F83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A645A7"/>
    <w:multiLevelType w:val="hybridMultilevel"/>
    <w:tmpl w:val="CD7ED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474CF5"/>
    <w:multiLevelType w:val="hybridMultilevel"/>
    <w:tmpl w:val="1B04DA92"/>
    <w:lvl w:ilvl="0" w:tplc="EC1EF4A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106175"/>
    <w:multiLevelType w:val="hybridMultilevel"/>
    <w:tmpl w:val="56AC6BC6"/>
    <w:lvl w:ilvl="0" w:tplc="E424D552">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0962A9"/>
    <w:multiLevelType w:val="hybridMultilevel"/>
    <w:tmpl w:val="D0445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C50AE1"/>
    <w:multiLevelType w:val="hybridMultilevel"/>
    <w:tmpl w:val="DE144CB2"/>
    <w:lvl w:ilvl="0" w:tplc="14A2C99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7D5DD8"/>
    <w:multiLevelType w:val="hybridMultilevel"/>
    <w:tmpl w:val="9C0C0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2222E4"/>
    <w:multiLevelType w:val="hybridMultilevel"/>
    <w:tmpl w:val="55344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D7D072B"/>
    <w:multiLevelType w:val="hybridMultilevel"/>
    <w:tmpl w:val="D5547DB8"/>
    <w:lvl w:ilvl="0" w:tplc="0409000F">
      <w:start w:val="1"/>
      <w:numFmt w:val="decimal"/>
      <w:lvlText w:val="%1."/>
      <w:lvlJc w:val="left"/>
      <w:pPr>
        <w:ind w:left="720" w:hanging="360"/>
      </w:pPr>
    </w:lvl>
    <w:lvl w:ilvl="1" w:tplc="5D2CF7C6">
      <w:start w:val="1"/>
      <w:numFmt w:val="decimal"/>
      <w:lvlText w:val="%2."/>
      <w:lvlJc w:val="left"/>
      <w:pPr>
        <w:ind w:left="2016" w:hanging="936"/>
      </w:pPr>
      <w:rPr>
        <w:rFonts w:ascii="Times New Roman" w:eastAsia="Times New Roman" w:hAnsi="Times New Roman" w:cs="Times New Roman" w:hint="default"/>
        <w:b w:val="0"/>
        <w:bCs w:val="0"/>
      </w:rPr>
    </w:lvl>
    <w:lvl w:ilvl="2" w:tplc="DF6A6700">
      <w:start w:val="1"/>
      <w:numFmt w:val="upperLetter"/>
      <w:lvlText w:val="%3."/>
      <w:lvlJc w:val="left"/>
      <w:pPr>
        <w:ind w:left="2340" w:hanging="360"/>
      </w:pPr>
      <w:rPr>
        <w:rFonts w:hint="default"/>
      </w:rPr>
    </w:lvl>
    <w:lvl w:ilvl="3" w:tplc="65DAED90">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9"/>
  </w:num>
  <w:num w:numId="4">
    <w:abstractNumId w:val="4"/>
  </w:num>
  <w:num w:numId="5">
    <w:abstractNumId w:val="11"/>
  </w:num>
  <w:num w:numId="6">
    <w:abstractNumId w:val="8"/>
  </w:num>
  <w:num w:numId="7">
    <w:abstractNumId w:val="3"/>
  </w:num>
  <w:num w:numId="8">
    <w:abstractNumId w:val="2"/>
  </w:num>
  <w:num w:numId="9">
    <w:abstractNumId w:val="12"/>
  </w:num>
  <w:num w:numId="10">
    <w:abstractNumId w:val="10"/>
  </w:num>
  <w:num w:numId="11">
    <w:abstractNumId w:val="1"/>
  </w:num>
  <w:num w:numId="12">
    <w:abstractNumId w:val="5"/>
  </w:num>
  <w:num w:numId="13">
    <w:abstractNumId w:val="7"/>
  </w:num>
  <w:num w:numId="14">
    <w:abstractNumId w:val="13"/>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30A"/>
    <w:rsid w:val="00025652"/>
    <w:rsid w:val="00057EC1"/>
    <w:rsid w:val="00077A5A"/>
    <w:rsid w:val="000866C3"/>
    <w:rsid w:val="000916F0"/>
    <w:rsid w:val="000B0505"/>
    <w:rsid w:val="000C6A08"/>
    <w:rsid w:val="000E1756"/>
    <w:rsid w:val="000E201C"/>
    <w:rsid w:val="000E34F0"/>
    <w:rsid w:val="000E640C"/>
    <w:rsid w:val="000E6433"/>
    <w:rsid w:val="0013444B"/>
    <w:rsid w:val="00145AE4"/>
    <w:rsid w:val="001B670B"/>
    <w:rsid w:val="001C5AB1"/>
    <w:rsid w:val="001C79AF"/>
    <w:rsid w:val="001D6D97"/>
    <w:rsid w:val="001E1D7A"/>
    <w:rsid w:val="001E3DA0"/>
    <w:rsid w:val="0023095A"/>
    <w:rsid w:val="00231DB8"/>
    <w:rsid w:val="00235C94"/>
    <w:rsid w:val="00254092"/>
    <w:rsid w:val="002736FD"/>
    <w:rsid w:val="0028375A"/>
    <w:rsid w:val="00286CE7"/>
    <w:rsid w:val="002B1A60"/>
    <w:rsid w:val="002C039A"/>
    <w:rsid w:val="002C0954"/>
    <w:rsid w:val="002D206A"/>
    <w:rsid w:val="002E1B0B"/>
    <w:rsid w:val="002E6922"/>
    <w:rsid w:val="002F64FB"/>
    <w:rsid w:val="003006FE"/>
    <w:rsid w:val="00335726"/>
    <w:rsid w:val="003770E0"/>
    <w:rsid w:val="0039196E"/>
    <w:rsid w:val="003A020B"/>
    <w:rsid w:val="003A1BFC"/>
    <w:rsid w:val="003A4700"/>
    <w:rsid w:val="003D229F"/>
    <w:rsid w:val="003D4A50"/>
    <w:rsid w:val="003E25A8"/>
    <w:rsid w:val="003E4A41"/>
    <w:rsid w:val="003E754A"/>
    <w:rsid w:val="00410363"/>
    <w:rsid w:val="0042630A"/>
    <w:rsid w:val="00461D70"/>
    <w:rsid w:val="00472118"/>
    <w:rsid w:val="00476D9C"/>
    <w:rsid w:val="0049017D"/>
    <w:rsid w:val="004B6F73"/>
    <w:rsid w:val="004C584E"/>
    <w:rsid w:val="004D4D15"/>
    <w:rsid w:val="004D6C73"/>
    <w:rsid w:val="004E3315"/>
    <w:rsid w:val="0053091A"/>
    <w:rsid w:val="0053667D"/>
    <w:rsid w:val="005403C5"/>
    <w:rsid w:val="00552600"/>
    <w:rsid w:val="00554CD3"/>
    <w:rsid w:val="00561B75"/>
    <w:rsid w:val="00567D40"/>
    <w:rsid w:val="00595403"/>
    <w:rsid w:val="005A6C74"/>
    <w:rsid w:val="005B255E"/>
    <w:rsid w:val="005F2FCC"/>
    <w:rsid w:val="005F7F9C"/>
    <w:rsid w:val="00610F1E"/>
    <w:rsid w:val="006344C8"/>
    <w:rsid w:val="0064790A"/>
    <w:rsid w:val="006575D2"/>
    <w:rsid w:val="00665BB6"/>
    <w:rsid w:val="006706B3"/>
    <w:rsid w:val="00672ACD"/>
    <w:rsid w:val="00672F7B"/>
    <w:rsid w:val="006A41EE"/>
    <w:rsid w:val="006A7698"/>
    <w:rsid w:val="006A7814"/>
    <w:rsid w:val="006B3E54"/>
    <w:rsid w:val="006C1048"/>
    <w:rsid w:val="006C3BBE"/>
    <w:rsid w:val="006C6ABE"/>
    <w:rsid w:val="006E3F3F"/>
    <w:rsid w:val="006F565B"/>
    <w:rsid w:val="006F71A1"/>
    <w:rsid w:val="00706C74"/>
    <w:rsid w:val="00714F10"/>
    <w:rsid w:val="00736299"/>
    <w:rsid w:val="00740926"/>
    <w:rsid w:val="00740BE8"/>
    <w:rsid w:val="007517BA"/>
    <w:rsid w:val="00764C23"/>
    <w:rsid w:val="00791F7E"/>
    <w:rsid w:val="007C0BFA"/>
    <w:rsid w:val="007D63E7"/>
    <w:rsid w:val="007F00C7"/>
    <w:rsid w:val="007F750D"/>
    <w:rsid w:val="00810164"/>
    <w:rsid w:val="0084173B"/>
    <w:rsid w:val="00846EB3"/>
    <w:rsid w:val="00852DCD"/>
    <w:rsid w:val="00886981"/>
    <w:rsid w:val="008D0C21"/>
    <w:rsid w:val="008D3F6B"/>
    <w:rsid w:val="008F0242"/>
    <w:rsid w:val="008F78EE"/>
    <w:rsid w:val="00901362"/>
    <w:rsid w:val="00906CA3"/>
    <w:rsid w:val="00912FC6"/>
    <w:rsid w:val="009173A9"/>
    <w:rsid w:val="00922714"/>
    <w:rsid w:val="00936B87"/>
    <w:rsid w:val="0096455F"/>
    <w:rsid w:val="00967DA5"/>
    <w:rsid w:val="00973F49"/>
    <w:rsid w:val="009A6037"/>
    <w:rsid w:val="009D77CC"/>
    <w:rsid w:val="009E087A"/>
    <w:rsid w:val="00A0002D"/>
    <w:rsid w:val="00A024B4"/>
    <w:rsid w:val="00A0499F"/>
    <w:rsid w:val="00A11328"/>
    <w:rsid w:val="00A13BA2"/>
    <w:rsid w:val="00A446BB"/>
    <w:rsid w:val="00A64BAD"/>
    <w:rsid w:val="00A84C2A"/>
    <w:rsid w:val="00A86A60"/>
    <w:rsid w:val="00A91E0A"/>
    <w:rsid w:val="00A94E10"/>
    <w:rsid w:val="00AA1068"/>
    <w:rsid w:val="00AA54BF"/>
    <w:rsid w:val="00AD3312"/>
    <w:rsid w:val="00AE1A1C"/>
    <w:rsid w:val="00AE273E"/>
    <w:rsid w:val="00AE6672"/>
    <w:rsid w:val="00AE7407"/>
    <w:rsid w:val="00AF1F80"/>
    <w:rsid w:val="00AF2A40"/>
    <w:rsid w:val="00AF7872"/>
    <w:rsid w:val="00B13041"/>
    <w:rsid w:val="00B44C7C"/>
    <w:rsid w:val="00B528A8"/>
    <w:rsid w:val="00B86E5F"/>
    <w:rsid w:val="00BA11DE"/>
    <w:rsid w:val="00BA55D8"/>
    <w:rsid w:val="00BB7AA6"/>
    <w:rsid w:val="00BF4583"/>
    <w:rsid w:val="00BF52E5"/>
    <w:rsid w:val="00C135D1"/>
    <w:rsid w:val="00C13F02"/>
    <w:rsid w:val="00C16BA8"/>
    <w:rsid w:val="00C22C20"/>
    <w:rsid w:val="00C53A06"/>
    <w:rsid w:val="00C810F4"/>
    <w:rsid w:val="00C86570"/>
    <w:rsid w:val="00CA7BC2"/>
    <w:rsid w:val="00CB4C51"/>
    <w:rsid w:val="00CE19D3"/>
    <w:rsid w:val="00D5147E"/>
    <w:rsid w:val="00D66D57"/>
    <w:rsid w:val="00DA1B86"/>
    <w:rsid w:val="00DA2A1A"/>
    <w:rsid w:val="00DD2A47"/>
    <w:rsid w:val="00DF1B6C"/>
    <w:rsid w:val="00DF2350"/>
    <w:rsid w:val="00E027A5"/>
    <w:rsid w:val="00E039CC"/>
    <w:rsid w:val="00E47E6B"/>
    <w:rsid w:val="00E86769"/>
    <w:rsid w:val="00E87310"/>
    <w:rsid w:val="00E917FA"/>
    <w:rsid w:val="00ED2CF4"/>
    <w:rsid w:val="00ED7F00"/>
    <w:rsid w:val="00ED7FAC"/>
    <w:rsid w:val="00EE0312"/>
    <w:rsid w:val="00EE2D61"/>
    <w:rsid w:val="00EF78A0"/>
    <w:rsid w:val="00F1442E"/>
    <w:rsid w:val="00F21B68"/>
    <w:rsid w:val="00F31C05"/>
    <w:rsid w:val="00F47374"/>
    <w:rsid w:val="00F704CE"/>
    <w:rsid w:val="00F711E7"/>
    <w:rsid w:val="00F95AF3"/>
    <w:rsid w:val="00F971F3"/>
    <w:rsid w:val="00FA775E"/>
    <w:rsid w:val="00FC4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91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2630A"/>
    <w:rPr>
      <w:rFonts w:ascii="Palatino Linotype" w:eastAsia="Times New Roman" w:hAnsi="Palatino Linotype" w:cs="Times New Roman"/>
      <w:sz w:val="24"/>
      <w:szCs w:val="12"/>
    </w:rPr>
  </w:style>
  <w:style w:type="paragraph" w:styleId="Heading1">
    <w:name w:val="heading 1"/>
    <w:basedOn w:val="Normal"/>
    <w:next w:val="Normal"/>
    <w:link w:val="Heading1Char"/>
    <w:qFormat/>
    <w:rsid w:val="004C584E"/>
    <w:pPr>
      <w:keepNext/>
      <w:spacing w:after="240"/>
      <w:outlineLvl w:val="0"/>
    </w:pPr>
    <w:rPr>
      <w:rFonts w:ascii="Times New Roman" w:hAnsi="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584E"/>
    <w:rPr>
      <w:rFonts w:ascii="Times New Roman" w:eastAsia="Times New Roman" w:hAnsi="Times New Roman" w:cs="Times New Roman"/>
      <w:b/>
      <w:sz w:val="24"/>
      <w:szCs w:val="24"/>
    </w:rPr>
  </w:style>
  <w:style w:type="paragraph" w:styleId="BodyTextIndent2">
    <w:name w:val="Body Text Indent 2"/>
    <w:basedOn w:val="Normal"/>
    <w:next w:val="Normal"/>
    <w:link w:val="BodyTextIndent2Char"/>
    <w:rsid w:val="0042630A"/>
    <w:pPr>
      <w:autoSpaceDE w:val="0"/>
      <w:autoSpaceDN w:val="0"/>
      <w:adjustRightInd w:val="0"/>
    </w:pPr>
    <w:rPr>
      <w:szCs w:val="24"/>
    </w:rPr>
  </w:style>
  <w:style w:type="character" w:customStyle="1" w:styleId="BodyTextIndent2Char">
    <w:name w:val="Body Text Indent 2 Char"/>
    <w:basedOn w:val="DefaultParagraphFont"/>
    <w:link w:val="BodyTextIndent2"/>
    <w:rsid w:val="0042630A"/>
    <w:rPr>
      <w:rFonts w:ascii="Palatino Linotype" w:eastAsia="Times New Roman" w:hAnsi="Palatino Linotype" w:cs="Times New Roman"/>
      <w:sz w:val="24"/>
      <w:szCs w:val="24"/>
    </w:rPr>
  </w:style>
  <w:style w:type="character" w:styleId="Hyperlink">
    <w:name w:val="Hyperlink"/>
    <w:rsid w:val="0042630A"/>
    <w:rPr>
      <w:rFonts w:cs="Palatino Linotype"/>
      <w:color w:val="000000"/>
    </w:rPr>
  </w:style>
  <w:style w:type="paragraph" w:styleId="Header">
    <w:name w:val="header"/>
    <w:basedOn w:val="Normal"/>
    <w:link w:val="HeaderChar"/>
    <w:rsid w:val="0042630A"/>
    <w:pPr>
      <w:tabs>
        <w:tab w:val="center" w:pos="4320"/>
        <w:tab w:val="right" w:pos="8640"/>
      </w:tabs>
    </w:pPr>
  </w:style>
  <w:style w:type="character" w:customStyle="1" w:styleId="HeaderChar">
    <w:name w:val="Header Char"/>
    <w:basedOn w:val="DefaultParagraphFont"/>
    <w:link w:val="Header"/>
    <w:rsid w:val="0042630A"/>
    <w:rPr>
      <w:rFonts w:ascii="Palatino Linotype" w:eastAsia="Times New Roman" w:hAnsi="Palatino Linotype" w:cs="Times New Roman"/>
      <w:sz w:val="24"/>
      <w:szCs w:val="12"/>
    </w:rPr>
  </w:style>
  <w:style w:type="character" w:styleId="PageNumber">
    <w:name w:val="page number"/>
    <w:basedOn w:val="DefaultParagraphFont"/>
    <w:rsid w:val="0042630A"/>
  </w:style>
  <w:style w:type="paragraph" w:styleId="NoSpacing">
    <w:name w:val="No Spacing"/>
    <w:uiPriority w:val="1"/>
    <w:qFormat/>
    <w:rsid w:val="0042630A"/>
    <w:rPr>
      <w:rFonts w:ascii="Calibri" w:eastAsia="Calibri" w:hAnsi="Calibri" w:cs="Times New Roman"/>
    </w:rPr>
  </w:style>
  <w:style w:type="paragraph" w:styleId="ListParagraph">
    <w:name w:val="List Paragraph"/>
    <w:basedOn w:val="Normal"/>
    <w:uiPriority w:val="34"/>
    <w:qFormat/>
    <w:rsid w:val="0042630A"/>
    <w:pPr>
      <w:ind w:left="720"/>
    </w:pPr>
  </w:style>
  <w:style w:type="paragraph" w:styleId="Footer">
    <w:name w:val="footer"/>
    <w:basedOn w:val="Normal"/>
    <w:link w:val="FooterChar"/>
    <w:uiPriority w:val="99"/>
    <w:unhideWhenUsed/>
    <w:rsid w:val="0042630A"/>
    <w:pPr>
      <w:tabs>
        <w:tab w:val="center" w:pos="4680"/>
        <w:tab w:val="right" w:pos="9360"/>
      </w:tabs>
    </w:pPr>
  </w:style>
  <w:style w:type="character" w:customStyle="1" w:styleId="FooterChar">
    <w:name w:val="Footer Char"/>
    <w:basedOn w:val="DefaultParagraphFont"/>
    <w:link w:val="Footer"/>
    <w:uiPriority w:val="99"/>
    <w:rsid w:val="0042630A"/>
    <w:rPr>
      <w:rFonts w:ascii="Palatino Linotype" w:eastAsia="Times New Roman" w:hAnsi="Palatino Linotype" w:cs="Times New Roman"/>
      <w:sz w:val="24"/>
      <w:szCs w:val="12"/>
    </w:rPr>
  </w:style>
  <w:style w:type="paragraph" w:styleId="FootnoteText">
    <w:name w:val="footnote text"/>
    <w:basedOn w:val="Normal"/>
    <w:link w:val="FootnoteTextChar"/>
    <w:uiPriority w:val="99"/>
    <w:semiHidden/>
    <w:unhideWhenUsed/>
    <w:rsid w:val="00E86769"/>
    <w:rPr>
      <w:sz w:val="20"/>
      <w:szCs w:val="20"/>
    </w:rPr>
  </w:style>
  <w:style w:type="character" w:customStyle="1" w:styleId="FootnoteTextChar">
    <w:name w:val="Footnote Text Char"/>
    <w:basedOn w:val="DefaultParagraphFont"/>
    <w:link w:val="FootnoteText"/>
    <w:uiPriority w:val="99"/>
    <w:semiHidden/>
    <w:rsid w:val="00E86769"/>
    <w:rPr>
      <w:rFonts w:ascii="Palatino Linotype" w:eastAsia="Times New Roman" w:hAnsi="Palatino Linotype" w:cs="Times New Roman"/>
      <w:sz w:val="20"/>
      <w:szCs w:val="20"/>
    </w:rPr>
  </w:style>
  <w:style w:type="character" w:styleId="FootnoteReference">
    <w:name w:val="footnote reference"/>
    <w:basedOn w:val="DefaultParagraphFont"/>
    <w:uiPriority w:val="99"/>
    <w:semiHidden/>
    <w:unhideWhenUsed/>
    <w:rsid w:val="00E86769"/>
    <w:rPr>
      <w:vertAlign w:val="superscript"/>
    </w:rPr>
  </w:style>
  <w:style w:type="character" w:styleId="FollowedHyperlink">
    <w:name w:val="FollowedHyperlink"/>
    <w:basedOn w:val="DefaultParagraphFont"/>
    <w:uiPriority w:val="99"/>
    <w:semiHidden/>
    <w:unhideWhenUsed/>
    <w:rsid w:val="004C584E"/>
    <w:rPr>
      <w:color w:val="800080" w:themeColor="followedHyperlink"/>
      <w:u w:val="single"/>
    </w:rPr>
  </w:style>
  <w:style w:type="paragraph" w:styleId="BalloonText">
    <w:name w:val="Balloon Text"/>
    <w:basedOn w:val="Normal"/>
    <w:link w:val="BalloonTextChar"/>
    <w:uiPriority w:val="99"/>
    <w:semiHidden/>
    <w:unhideWhenUsed/>
    <w:rsid w:val="00554C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CD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06C74"/>
    <w:rPr>
      <w:sz w:val="16"/>
      <w:szCs w:val="16"/>
    </w:rPr>
  </w:style>
  <w:style w:type="paragraph" w:styleId="CommentText">
    <w:name w:val="annotation text"/>
    <w:basedOn w:val="Normal"/>
    <w:link w:val="CommentTextChar"/>
    <w:uiPriority w:val="99"/>
    <w:semiHidden/>
    <w:unhideWhenUsed/>
    <w:rsid w:val="00706C74"/>
    <w:rPr>
      <w:sz w:val="20"/>
      <w:szCs w:val="20"/>
    </w:rPr>
  </w:style>
  <w:style w:type="character" w:customStyle="1" w:styleId="CommentTextChar">
    <w:name w:val="Comment Text Char"/>
    <w:basedOn w:val="DefaultParagraphFont"/>
    <w:link w:val="CommentText"/>
    <w:uiPriority w:val="99"/>
    <w:semiHidden/>
    <w:rsid w:val="00706C74"/>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706C74"/>
    <w:rPr>
      <w:b/>
      <w:bCs/>
    </w:rPr>
  </w:style>
  <w:style w:type="character" w:customStyle="1" w:styleId="CommentSubjectChar">
    <w:name w:val="Comment Subject Char"/>
    <w:basedOn w:val="CommentTextChar"/>
    <w:link w:val="CommentSubject"/>
    <w:uiPriority w:val="99"/>
    <w:semiHidden/>
    <w:rsid w:val="00706C74"/>
    <w:rPr>
      <w:rFonts w:ascii="Palatino Linotype" w:eastAsia="Times New Roman" w:hAnsi="Palatino Linotype" w:cs="Times New Roman"/>
      <w:b/>
      <w:bCs/>
      <w:sz w:val="20"/>
      <w:szCs w:val="20"/>
    </w:rPr>
  </w:style>
  <w:style w:type="paragraph" w:styleId="BodyText2">
    <w:name w:val="Body Text 2"/>
    <w:basedOn w:val="Normal"/>
    <w:link w:val="BodyText2Char"/>
    <w:uiPriority w:val="99"/>
    <w:semiHidden/>
    <w:unhideWhenUsed/>
    <w:rsid w:val="002B1A60"/>
    <w:pPr>
      <w:spacing w:after="120" w:line="480" w:lineRule="auto"/>
    </w:pPr>
  </w:style>
  <w:style w:type="character" w:customStyle="1" w:styleId="BodyText2Char">
    <w:name w:val="Body Text 2 Char"/>
    <w:basedOn w:val="DefaultParagraphFont"/>
    <w:link w:val="BodyText2"/>
    <w:uiPriority w:val="99"/>
    <w:semiHidden/>
    <w:rsid w:val="002B1A60"/>
    <w:rPr>
      <w:rFonts w:ascii="Palatino Linotype" w:eastAsia="Times New Roman" w:hAnsi="Palatino Linotype" w:cs="Times New Roman"/>
      <w:sz w:val="24"/>
      <w:szCs w:val="12"/>
    </w:rPr>
  </w:style>
  <w:style w:type="paragraph" w:styleId="Title">
    <w:name w:val="Title"/>
    <w:basedOn w:val="Normal"/>
    <w:link w:val="TitleChar"/>
    <w:qFormat/>
    <w:rsid w:val="002B1A60"/>
    <w:pPr>
      <w:jc w:val="center"/>
    </w:pPr>
    <w:rPr>
      <w:rFonts w:ascii="Times New Roman" w:hAnsi="Times New Roman"/>
      <w:b/>
      <w:bCs/>
      <w:szCs w:val="20"/>
    </w:rPr>
  </w:style>
  <w:style w:type="character" w:customStyle="1" w:styleId="TitleChar">
    <w:name w:val="Title Char"/>
    <w:basedOn w:val="DefaultParagraphFont"/>
    <w:link w:val="Title"/>
    <w:rsid w:val="002B1A60"/>
    <w:rPr>
      <w:rFonts w:ascii="Times New Roman" w:eastAsia="Times New Roman" w:hAnsi="Times New Roman" w:cs="Times New Roman"/>
      <w:b/>
      <w:bCs/>
      <w:sz w:val="24"/>
      <w:szCs w:val="20"/>
    </w:rPr>
  </w:style>
  <w:style w:type="paragraph" w:customStyle="1" w:styleId="SingleSpacing">
    <w:name w:val="Single Spacing"/>
    <w:basedOn w:val="Normal"/>
    <w:rsid w:val="002B1A60"/>
    <w:pPr>
      <w:spacing w:line="254" w:lineRule="exact"/>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259595">
      <w:bodyDiv w:val="1"/>
      <w:marLeft w:val="0"/>
      <w:marRight w:val="0"/>
      <w:marTop w:val="0"/>
      <w:marBottom w:val="0"/>
      <w:divBdr>
        <w:top w:val="none" w:sz="0" w:space="0" w:color="auto"/>
        <w:left w:val="none" w:sz="0" w:space="0" w:color="auto"/>
        <w:bottom w:val="none" w:sz="0" w:space="0" w:color="auto"/>
        <w:right w:val="none" w:sz="0" w:space="0" w:color="auto"/>
      </w:divBdr>
    </w:div>
    <w:div w:id="138243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385494873D7724999268C978D4EEA56" ma:contentTypeVersion="104" ma:contentTypeDescription="" ma:contentTypeScope="" ma:versionID="bc16ed271db9f9cfd2184be8ba8092f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dustryCode xmlns="dc463f71-b30c-4ab2-9473-d307f9d35888">501</IndustryCode>
    <DocketNumber xmlns="dc463f71-b30c-4ab2-9473-d307f9d35888">161024</DocketNumber>
    <Prefix xmlns="dc463f71-b30c-4ab2-9473-d307f9d35888">U</Prefix>
    <DocumentSetType xmlns="dc463f71-b30c-4ab2-9473-d307f9d35888">Comment</DocumentSetType>
    <Visibility xmlns="dc463f71-b30c-4ab2-9473-d307f9d35888" xsi:nil="true"/>
    <IsConfidential xmlns="dc463f71-b30c-4ab2-9473-d307f9d35888">false</IsConfidential>
    <AgendaOrder xmlns="dc463f71-b30c-4ab2-9473-d307f9d35888">false</AgendaOrder>
    <CaseType xmlns="dc463f71-b30c-4ab2-9473-d307f9d35888">Rulemaking</CaseType>
    <CaseStatus xmlns="dc463f71-b30c-4ab2-9473-d307f9d35888">Closed</CaseStatus>
    <OpenedDate xmlns="dc463f71-b30c-4ab2-9473-d307f9d35888">2016-08-23T07:00:00+00:00</OpenedDate>
    <Date1 xmlns="dc463f71-b30c-4ab2-9473-d307f9d35888">2017-04-21T07:00:00+00:00</Date1>
    <IsDocumentOrder xmlns="dc463f71-b30c-4ab2-9473-d307f9d35888" xsi:nil="true"/>
    <IsHighlyConfidential xmlns="dc463f71-b30c-4ab2-9473-d307f9d35888">false</IsHighlyConfidential>
    <CaseCompanyNames xmlns="dc463f71-b30c-4ab2-9473-d307f9d35888" xsi:nil="true"/>
    <Nickname xmlns="http://schemas.microsoft.com/sharepoint/v3" xsi:nil="true"/>
    <DelegatedOrder xmlns="dc463f71-b30c-4ab2-9473-d307f9d35888">false</DelegatedOrder>
    <SignificantOrder xmlns="dc463f71-b30c-4ab2-9473-d307f9d35888">false</SignificantOrder>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34F7F-FBFF-4313-A2F8-8DC116B0E154}"/>
</file>

<file path=customXml/itemProps2.xml><?xml version="1.0" encoding="utf-8"?>
<ds:datastoreItem xmlns:ds="http://schemas.openxmlformats.org/officeDocument/2006/customXml" ds:itemID="{23E8F25D-5D66-4F61-8C04-0399F4BF065F}"/>
</file>

<file path=customXml/itemProps3.xml><?xml version="1.0" encoding="utf-8"?>
<ds:datastoreItem xmlns:ds="http://schemas.openxmlformats.org/officeDocument/2006/customXml" ds:itemID="{CFD3EC16-9285-466A-ABC5-483D5781E0E7}">
  <ds:schemaRefs>
    <ds:schemaRef ds:uri="http://schemas.microsoft.com/sharepoint/v3/contenttype/forms"/>
  </ds:schemaRefs>
</ds:datastoreItem>
</file>

<file path=customXml/itemProps4.xml><?xml version="1.0" encoding="utf-8"?>
<ds:datastoreItem xmlns:ds="http://schemas.openxmlformats.org/officeDocument/2006/customXml" ds:itemID="{C9798451-34C6-47ED-B978-0E35070AC4D4}">
  <ds:schemaRefs>
    <ds:schemaRef ds:uri="http://schemas.microsoft.com/office/2006/metadata/properties"/>
    <ds:schemaRef ds:uri="http://schemas.microsoft.com/office/infopath/2007/PartnerControls"/>
    <ds:schemaRef ds:uri="dc463f71-b30c-4ab2-9473-d307f9d35888"/>
    <ds:schemaRef ds:uri="http://schemas.microsoft.com/sharepoint/v3"/>
  </ds:schemaRefs>
</ds:datastoreItem>
</file>

<file path=customXml/itemProps5.xml><?xml version="1.0" encoding="utf-8"?>
<ds:datastoreItem xmlns:ds="http://schemas.openxmlformats.org/officeDocument/2006/customXml" ds:itemID="{A393667D-3B99-4691-A6A1-D51376F75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1881</Words>
  <Characters>10728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Notice of Opportunity to Comment</vt:lpstr>
    </vt:vector>
  </TitlesOfParts>
  <LinksUpToDate>false</LinksUpToDate>
  <CharactersWithSpaces>12584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Opportunity to Comment</dc:title>
  <dc:creator/>
  <cp:lastModifiedBy/>
  <cp:revision>1</cp:revision>
  <dcterms:created xsi:type="dcterms:W3CDTF">2017-04-17T20:32:00Z</dcterms:created>
  <dcterms:modified xsi:type="dcterms:W3CDTF">2017-04-17T23:55:00Z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0x0101006E56B4D1795A2E4DB2F0B01679ED314A004385494873D7724999268C978D4EEA56</vt:lpwstr>
  </property>
  <property fmtid="{D5CDD505-2E9C-101B-9397-08002B2CF9AE}" pid="3" name="_docset_NoMedatataSyncRequired">
    <vt:lpwstr>False</vt:lpwstr>
  </property>
  <property fmtid="{D5CDD505-2E9C-101B-9397-08002B2CF9AE}" pid="4" name="IsEFSEC">
    <vt:bool>false</vt:bool>
  </property>
</Properties>
</file>