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C4E87" w14:textId="77777777" w:rsidR="00924CD0" w:rsidRDefault="00924CD0" w:rsidP="00924CD0">
      <w:pPr>
        <w:pStyle w:val="Header"/>
        <w:spacing w:line="240" w:lineRule="exact"/>
        <w:jc w:val="center"/>
        <w:rPr>
          <w:rFonts w:ascii="Times New Roman" w:hAnsi="Times New Roman"/>
          <w:b/>
        </w:rPr>
      </w:pPr>
      <w:r>
        <w:rPr>
          <w:rFonts w:ascii="Times New Roman" w:hAnsi="Times New Roman"/>
          <w:b/>
        </w:rPr>
        <w:t>BEFORE THE WASHINGTON</w:t>
      </w:r>
    </w:p>
    <w:p w14:paraId="406D5A06" w14:textId="77777777" w:rsidR="003F6EB5" w:rsidRPr="00924CD0" w:rsidRDefault="003F6EB5" w:rsidP="00924CD0">
      <w:pPr>
        <w:pStyle w:val="Header"/>
        <w:spacing w:line="240" w:lineRule="exact"/>
        <w:jc w:val="center"/>
        <w:rPr>
          <w:rFonts w:ascii="Times New Roman" w:hAnsi="Times New Roman"/>
          <w:b/>
        </w:rPr>
      </w:pPr>
      <w:r w:rsidRPr="00924CD0">
        <w:rPr>
          <w:rFonts w:ascii="Times New Roman" w:hAnsi="Times New Roman"/>
          <w:b/>
        </w:rPr>
        <w:t>UTILITIES AND TRANSPORTATION COMMISSION</w:t>
      </w:r>
    </w:p>
    <w:p w14:paraId="3E236EDF" w14:textId="77777777" w:rsidR="00924CD0" w:rsidRPr="003215A3" w:rsidRDefault="00924CD0" w:rsidP="003F6EB5">
      <w:pPr>
        <w:pStyle w:val="Header"/>
        <w:spacing w:line="240" w:lineRule="exact"/>
        <w:rPr>
          <w:rFonts w:ascii="Times New Roman" w:hAnsi="Times New Roman"/>
        </w:rPr>
      </w:pPr>
    </w:p>
    <w:p w14:paraId="706140EB" w14:textId="77777777" w:rsidR="003F6EB5" w:rsidRPr="003215A3" w:rsidRDefault="003F6EB5" w:rsidP="003F6EB5">
      <w:pPr>
        <w:pStyle w:val="Header"/>
        <w:spacing w:line="240" w:lineRule="exact"/>
        <w:rPr>
          <w:rFonts w:ascii="Times New Roman" w:hAnsi="Times New Roman"/>
        </w:rPr>
      </w:pPr>
    </w:p>
    <w:tbl>
      <w:tblPr>
        <w:tblW w:w="0" w:type="auto"/>
        <w:tblLook w:val="0000" w:firstRow="0" w:lastRow="0" w:firstColumn="0" w:lastColumn="0" w:noHBand="0" w:noVBand="0"/>
      </w:tblPr>
      <w:tblGrid>
        <w:gridCol w:w="4248"/>
        <w:gridCol w:w="360"/>
        <w:gridCol w:w="3888"/>
      </w:tblGrid>
      <w:tr w:rsidR="00924CD0" w:rsidRPr="00924CD0" w14:paraId="69E7D17B" w14:textId="77777777" w:rsidTr="007F6E45">
        <w:trPr>
          <w:trHeight w:val="3186"/>
        </w:trPr>
        <w:tc>
          <w:tcPr>
            <w:tcW w:w="4248" w:type="dxa"/>
            <w:tcBorders>
              <w:bottom w:val="single" w:sz="4" w:space="0" w:color="auto"/>
              <w:right w:val="single" w:sz="4" w:space="0" w:color="auto"/>
            </w:tcBorders>
          </w:tcPr>
          <w:p w14:paraId="5E046464" w14:textId="77777777" w:rsidR="007F6E45" w:rsidRPr="000D1664" w:rsidRDefault="007F6E45" w:rsidP="007F6E45">
            <w:pPr>
              <w:pStyle w:val="Header"/>
              <w:tabs>
                <w:tab w:val="left" w:pos="681"/>
                <w:tab w:val="left" w:pos="1401"/>
              </w:tabs>
              <w:rPr>
                <w:rFonts w:ascii="Times New Roman" w:hAnsi="Times New Roman"/>
              </w:rPr>
            </w:pPr>
            <w:r>
              <w:rPr>
                <w:rFonts w:ascii="Times New Roman" w:hAnsi="Times New Roman"/>
              </w:rPr>
              <w:t>I</w:t>
            </w:r>
            <w:r w:rsidRPr="000D1664">
              <w:rPr>
                <w:rFonts w:ascii="Times New Roman" w:hAnsi="Times New Roman"/>
              </w:rPr>
              <w:t>n the Matter of</w:t>
            </w:r>
          </w:p>
          <w:p w14:paraId="698C3541" w14:textId="77777777" w:rsidR="007F6E45" w:rsidRPr="000D1664" w:rsidRDefault="007F6E45" w:rsidP="007F6E45">
            <w:pPr>
              <w:pStyle w:val="Header"/>
              <w:tabs>
                <w:tab w:val="left" w:pos="681"/>
                <w:tab w:val="left" w:pos="1401"/>
              </w:tabs>
              <w:rPr>
                <w:rFonts w:ascii="Times New Roman" w:hAnsi="Times New Roman"/>
              </w:rPr>
            </w:pPr>
          </w:p>
          <w:p w14:paraId="42E3F227" w14:textId="77777777" w:rsidR="007F6E45" w:rsidRPr="000D1664" w:rsidRDefault="007F6E45" w:rsidP="007F6E45">
            <w:pPr>
              <w:pStyle w:val="Header"/>
              <w:tabs>
                <w:tab w:val="left" w:pos="681"/>
                <w:tab w:val="left" w:pos="1401"/>
              </w:tabs>
              <w:rPr>
                <w:rFonts w:ascii="Times New Roman" w:hAnsi="Times New Roman"/>
              </w:rPr>
            </w:pPr>
            <w:r w:rsidRPr="000D1664">
              <w:rPr>
                <w:rFonts w:ascii="Times New Roman" w:hAnsi="Times New Roman"/>
              </w:rPr>
              <w:t xml:space="preserve">PACIFIC POWER &amp; LIGHT COMPANY, </w:t>
            </w:r>
          </w:p>
          <w:p w14:paraId="3DCD9F74" w14:textId="77777777" w:rsidR="007F6E45" w:rsidRPr="000D1664" w:rsidRDefault="007F6E45" w:rsidP="007F6E45">
            <w:pPr>
              <w:pStyle w:val="Header"/>
              <w:tabs>
                <w:tab w:val="left" w:pos="681"/>
                <w:tab w:val="left" w:pos="1401"/>
              </w:tabs>
              <w:rPr>
                <w:rFonts w:ascii="Times New Roman" w:hAnsi="Times New Roman"/>
              </w:rPr>
            </w:pPr>
          </w:p>
          <w:p w14:paraId="146B0474" w14:textId="77777777" w:rsidR="007F6E45" w:rsidRDefault="007F6E45" w:rsidP="007F6E45">
            <w:pPr>
              <w:pStyle w:val="Header"/>
              <w:tabs>
                <w:tab w:val="left" w:pos="681"/>
                <w:tab w:val="left" w:pos="1401"/>
              </w:tabs>
              <w:rPr>
                <w:rFonts w:ascii="Times New Roman" w:hAnsi="Times New Roman"/>
              </w:rPr>
            </w:pPr>
            <w:r w:rsidRPr="000D1664">
              <w:rPr>
                <w:rFonts w:ascii="Times New Roman" w:hAnsi="Times New Roman"/>
              </w:rPr>
              <w:t>Petition For a Rate Increase Based on a Modified Commission Basis Report, Two-Year Rate Plan, and Decoupling Mechanism</w:t>
            </w:r>
          </w:p>
          <w:p w14:paraId="68968B6A" w14:textId="77777777" w:rsidR="00924CD0" w:rsidRPr="00924CD0" w:rsidRDefault="00924CD0" w:rsidP="004D2D62">
            <w:pPr>
              <w:tabs>
                <w:tab w:val="left" w:pos="1800"/>
              </w:tabs>
              <w:spacing w:line="264" w:lineRule="auto"/>
              <w:rPr>
                <w:rFonts w:ascii="Times New Roman" w:hAnsi="Times New Roman"/>
              </w:rPr>
            </w:pPr>
          </w:p>
          <w:p w14:paraId="726F40F7" w14:textId="77777777" w:rsidR="00924CD0" w:rsidRPr="00924CD0" w:rsidRDefault="00924CD0" w:rsidP="004D2D62">
            <w:pPr>
              <w:rPr>
                <w:rFonts w:ascii="Times New Roman" w:hAnsi="Times New Roman"/>
              </w:rPr>
            </w:pPr>
          </w:p>
        </w:tc>
        <w:tc>
          <w:tcPr>
            <w:tcW w:w="360" w:type="dxa"/>
            <w:tcBorders>
              <w:left w:val="single" w:sz="4" w:space="0" w:color="auto"/>
            </w:tcBorders>
          </w:tcPr>
          <w:p w14:paraId="311C2D4E" w14:textId="77777777" w:rsidR="00924CD0" w:rsidRPr="00924CD0" w:rsidRDefault="00924CD0" w:rsidP="004D2D62">
            <w:pPr>
              <w:rPr>
                <w:rFonts w:ascii="Times New Roman" w:hAnsi="Times New Roman"/>
              </w:rPr>
            </w:pPr>
          </w:p>
        </w:tc>
        <w:tc>
          <w:tcPr>
            <w:tcW w:w="3888" w:type="dxa"/>
          </w:tcPr>
          <w:p w14:paraId="2102E0A1" w14:textId="06017C71" w:rsidR="00924CD0" w:rsidRPr="00924CD0" w:rsidRDefault="00924CD0" w:rsidP="00665E4C">
            <w:pPr>
              <w:spacing w:line="264" w:lineRule="auto"/>
              <w:rPr>
                <w:rFonts w:ascii="Times New Roman" w:hAnsi="Times New Roman"/>
              </w:rPr>
            </w:pPr>
            <w:r w:rsidRPr="00924CD0">
              <w:rPr>
                <w:rFonts w:ascii="Times New Roman" w:hAnsi="Times New Roman"/>
              </w:rPr>
              <w:t xml:space="preserve">DOCKET </w:t>
            </w:r>
            <w:r w:rsidRPr="00924CD0">
              <w:rPr>
                <w:rFonts w:ascii="Times New Roman" w:hAnsi="Times New Roman"/>
                <w:bCs/>
              </w:rPr>
              <w:t>UE-</w:t>
            </w:r>
            <w:r w:rsidR="00665E4C">
              <w:rPr>
                <w:rFonts w:ascii="Times New Roman" w:hAnsi="Times New Roman"/>
                <w:bCs/>
              </w:rPr>
              <w:t>152253</w:t>
            </w:r>
          </w:p>
          <w:p w14:paraId="06704B6C" w14:textId="77777777" w:rsidR="00924CD0" w:rsidRDefault="00924CD0" w:rsidP="004D2D62">
            <w:pPr>
              <w:spacing w:line="264" w:lineRule="auto"/>
              <w:rPr>
                <w:rFonts w:ascii="Times New Roman" w:hAnsi="Times New Roman"/>
              </w:rPr>
            </w:pPr>
          </w:p>
          <w:p w14:paraId="0FDA46E5" w14:textId="77777777" w:rsidR="00924CD0" w:rsidRDefault="00924CD0" w:rsidP="004D2D62">
            <w:pPr>
              <w:spacing w:line="264" w:lineRule="auto"/>
              <w:rPr>
                <w:rFonts w:ascii="Times New Roman" w:hAnsi="Times New Roman"/>
              </w:rPr>
            </w:pPr>
            <w:r>
              <w:rPr>
                <w:rFonts w:ascii="Times New Roman" w:hAnsi="Times New Roman"/>
              </w:rPr>
              <w:t>COMMISSION STAFF’S</w:t>
            </w:r>
          </w:p>
          <w:p w14:paraId="474F4263" w14:textId="39440F64" w:rsidR="00665E4C" w:rsidRPr="00924CD0" w:rsidRDefault="00866421" w:rsidP="004D2D62">
            <w:pPr>
              <w:spacing w:line="264" w:lineRule="auto"/>
              <w:rPr>
                <w:rFonts w:ascii="Times New Roman" w:hAnsi="Times New Roman"/>
                <w:b/>
              </w:rPr>
            </w:pPr>
            <w:r>
              <w:rPr>
                <w:rFonts w:ascii="Times New Roman" w:hAnsi="Times New Roman"/>
              </w:rPr>
              <w:t>OPPOSITION TO PACIFIC POWER &amp; LIGHT COMPANY’S MOTION TO STRIKE SECTION III OF SIERRA CLUB’S CROSS-ANSWERING TESTIMONY OR ALTERNATIVE MOTION FOR LIVE REBUTTAL</w:t>
            </w:r>
          </w:p>
          <w:p w14:paraId="46B2BBB6" w14:textId="77777777" w:rsidR="00924CD0" w:rsidRPr="00924CD0" w:rsidRDefault="00924CD0" w:rsidP="004D2D62">
            <w:pPr>
              <w:rPr>
                <w:rFonts w:ascii="Times New Roman" w:hAnsi="Times New Roman"/>
              </w:rPr>
            </w:pPr>
          </w:p>
          <w:p w14:paraId="51D81699" w14:textId="77777777" w:rsidR="00924CD0" w:rsidRPr="00924CD0" w:rsidRDefault="00924CD0" w:rsidP="004D2D62">
            <w:pPr>
              <w:pStyle w:val="Header"/>
              <w:tabs>
                <w:tab w:val="clear" w:pos="4320"/>
                <w:tab w:val="clear" w:pos="8640"/>
              </w:tabs>
              <w:rPr>
                <w:rFonts w:ascii="Times New Roman" w:hAnsi="Times New Roman"/>
              </w:rPr>
            </w:pPr>
          </w:p>
        </w:tc>
      </w:tr>
    </w:tbl>
    <w:p w14:paraId="7D5C5D15" w14:textId="77777777" w:rsidR="00924CD0" w:rsidRPr="00353C42" w:rsidRDefault="00924CD0" w:rsidP="00422068">
      <w:pPr>
        <w:spacing w:line="480" w:lineRule="auto"/>
        <w:jc w:val="center"/>
        <w:rPr>
          <w:rFonts w:ascii="Times New Roman" w:hAnsi="Times New Roman"/>
          <w:b/>
        </w:rPr>
      </w:pPr>
    </w:p>
    <w:p w14:paraId="5B6BE311" w14:textId="387357F5" w:rsidR="007B4430" w:rsidRPr="00EB0C74" w:rsidRDefault="00422068" w:rsidP="00661D34">
      <w:pPr>
        <w:spacing w:line="480" w:lineRule="auto"/>
        <w:jc w:val="center"/>
        <w:rPr>
          <w:rFonts w:ascii="Times New Roman" w:hAnsi="Times New Roman"/>
          <w:b/>
        </w:rPr>
      </w:pPr>
      <w:r w:rsidRPr="00422068">
        <w:rPr>
          <w:b/>
        </w:rPr>
        <w:t xml:space="preserve">I.  </w:t>
      </w:r>
      <w:r w:rsidR="007B4430" w:rsidRPr="00422068">
        <w:rPr>
          <w:rFonts w:ascii="Times New Roman" w:hAnsi="Times New Roman"/>
          <w:b/>
        </w:rPr>
        <w:t>I</w:t>
      </w:r>
      <w:r w:rsidR="007B4430" w:rsidRPr="00EB0C74">
        <w:rPr>
          <w:rFonts w:ascii="Times New Roman" w:hAnsi="Times New Roman"/>
          <w:b/>
        </w:rPr>
        <w:t>NTRODUCTION</w:t>
      </w:r>
      <w:r w:rsidR="00D65A9A">
        <w:rPr>
          <w:rFonts w:ascii="Times New Roman" w:hAnsi="Times New Roman"/>
          <w:b/>
        </w:rPr>
        <w:t xml:space="preserve"> AND </w:t>
      </w:r>
      <w:r w:rsidR="00D65A9A" w:rsidRPr="007B4430">
        <w:rPr>
          <w:rFonts w:ascii="Times New Roman" w:hAnsi="Times New Roman"/>
          <w:b/>
        </w:rPr>
        <w:t>RELIEF REQUESTED</w:t>
      </w:r>
    </w:p>
    <w:p w14:paraId="54F2E781" w14:textId="2AC1B38C" w:rsidR="007B4430" w:rsidRPr="007B4430" w:rsidRDefault="007B4430" w:rsidP="00661D34">
      <w:pPr>
        <w:numPr>
          <w:ilvl w:val="0"/>
          <w:numId w:val="6"/>
        </w:numPr>
        <w:spacing w:line="480" w:lineRule="auto"/>
        <w:ind w:left="0" w:hanging="720"/>
        <w:rPr>
          <w:rFonts w:ascii="Times New Roman" w:hAnsi="Times New Roman"/>
        </w:rPr>
      </w:pPr>
      <w:r w:rsidRPr="007B4430">
        <w:rPr>
          <w:rFonts w:ascii="Times New Roman" w:hAnsi="Times New Roman"/>
        </w:rPr>
        <w:tab/>
      </w:r>
      <w:r w:rsidR="009A038A">
        <w:rPr>
          <w:rFonts w:ascii="Times New Roman" w:hAnsi="Times New Roman"/>
        </w:rPr>
        <w:t xml:space="preserve">Commission </w:t>
      </w:r>
      <w:r w:rsidRPr="007B4430">
        <w:rPr>
          <w:rFonts w:ascii="Times New Roman" w:hAnsi="Times New Roman"/>
        </w:rPr>
        <w:t>Staff of the Washington Utilities and Transportation Commission (Com</w:t>
      </w:r>
      <w:r w:rsidR="00007FAE">
        <w:rPr>
          <w:rFonts w:ascii="Times New Roman" w:hAnsi="Times New Roman"/>
        </w:rPr>
        <w:t xml:space="preserve">mission) submits this </w:t>
      </w:r>
      <w:r w:rsidR="00866421">
        <w:rPr>
          <w:rFonts w:ascii="Times New Roman" w:hAnsi="Times New Roman"/>
        </w:rPr>
        <w:t>Opposition to Pacific Power &amp; Light Company’s Motion to Strike Section III of Sierra Club’s Cross-Answering Testimony or Alternative Motion for Live Rebuttal (</w:t>
      </w:r>
      <w:r w:rsidR="00BD6A66">
        <w:rPr>
          <w:rFonts w:ascii="Times New Roman" w:hAnsi="Times New Roman"/>
        </w:rPr>
        <w:t>Motion</w:t>
      </w:r>
      <w:r w:rsidR="00866421">
        <w:rPr>
          <w:rFonts w:ascii="Times New Roman" w:hAnsi="Times New Roman"/>
        </w:rPr>
        <w:t>)</w:t>
      </w:r>
      <w:r w:rsidR="006B2594">
        <w:rPr>
          <w:rFonts w:ascii="Times New Roman" w:hAnsi="Times New Roman"/>
        </w:rPr>
        <w:t xml:space="preserve"> </w:t>
      </w:r>
      <w:r w:rsidRPr="007B4430">
        <w:rPr>
          <w:rFonts w:ascii="Times New Roman" w:hAnsi="Times New Roman"/>
        </w:rPr>
        <w:t>pursuant to W</w:t>
      </w:r>
      <w:r w:rsidR="00866421">
        <w:rPr>
          <w:rFonts w:ascii="Times New Roman" w:hAnsi="Times New Roman"/>
        </w:rPr>
        <w:t>AC 480-07-375(4</w:t>
      </w:r>
      <w:r w:rsidR="00007FAE">
        <w:rPr>
          <w:rFonts w:ascii="Times New Roman" w:hAnsi="Times New Roman"/>
        </w:rPr>
        <w:t>)</w:t>
      </w:r>
      <w:r w:rsidR="00B80614">
        <w:rPr>
          <w:rFonts w:ascii="Times New Roman" w:hAnsi="Times New Roman"/>
        </w:rPr>
        <w:t xml:space="preserve"> and the Commission’s Notice of Opportunity to </w:t>
      </w:r>
      <w:r w:rsidR="00D65A9A">
        <w:rPr>
          <w:rFonts w:ascii="Times New Roman" w:hAnsi="Times New Roman"/>
        </w:rPr>
        <w:t>File Written Comments</w:t>
      </w:r>
      <w:r w:rsidR="00B80614">
        <w:rPr>
          <w:rFonts w:ascii="Times New Roman" w:hAnsi="Times New Roman"/>
        </w:rPr>
        <w:t xml:space="preserve"> served May 25, 2016</w:t>
      </w:r>
      <w:r w:rsidR="008F0B02">
        <w:rPr>
          <w:rFonts w:ascii="Times New Roman" w:hAnsi="Times New Roman"/>
        </w:rPr>
        <w:t>.</w:t>
      </w:r>
    </w:p>
    <w:p w14:paraId="1E2DF1B6" w14:textId="57CBE2F2" w:rsidR="007B4430" w:rsidRPr="007B4430" w:rsidRDefault="007B4430" w:rsidP="00661D34">
      <w:pPr>
        <w:numPr>
          <w:ilvl w:val="0"/>
          <w:numId w:val="6"/>
        </w:numPr>
        <w:spacing w:line="480" w:lineRule="auto"/>
        <w:ind w:left="0" w:hanging="720"/>
        <w:rPr>
          <w:rFonts w:ascii="Times New Roman" w:hAnsi="Times New Roman"/>
        </w:rPr>
      </w:pPr>
      <w:r w:rsidRPr="007B4430">
        <w:rPr>
          <w:rFonts w:ascii="Times New Roman" w:hAnsi="Times New Roman"/>
        </w:rPr>
        <w:tab/>
      </w:r>
      <w:r w:rsidR="001C70C6">
        <w:rPr>
          <w:rFonts w:ascii="Times New Roman" w:hAnsi="Times New Roman"/>
        </w:rPr>
        <w:t>Commission S</w:t>
      </w:r>
      <w:r w:rsidRPr="007B4430">
        <w:rPr>
          <w:rFonts w:ascii="Times New Roman" w:hAnsi="Times New Roman"/>
        </w:rPr>
        <w:t xml:space="preserve">taff </w:t>
      </w:r>
      <w:r w:rsidR="001C70C6">
        <w:rPr>
          <w:rFonts w:ascii="Times New Roman" w:hAnsi="Times New Roman"/>
        </w:rPr>
        <w:t xml:space="preserve">(Staff) </w:t>
      </w:r>
      <w:r w:rsidR="00BD6A66">
        <w:rPr>
          <w:rFonts w:ascii="Times New Roman" w:hAnsi="Times New Roman"/>
        </w:rPr>
        <w:t>believes that the Commission should deny the Motion</w:t>
      </w:r>
      <w:r w:rsidRPr="007B4430">
        <w:rPr>
          <w:rFonts w:ascii="Times New Roman" w:hAnsi="Times New Roman"/>
        </w:rPr>
        <w:t>.</w:t>
      </w:r>
      <w:r w:rsidR="00BD6A66">
        <w:rPr>
          <w:rFonts w:ascii="Times New Roman" w:hAnsi="Times New Roman"/>
        </w:rPr>
        <w:t xml:space="preserve"> The Sierra Club cross-answering testimony at issue is squarely within the scope of the Staff supplemental testimony that the Sierra Club testimony answers, and striking this testimony would leave a gap in the record. Further, </w:t>
      </w:r>
      <w:r w:rsidR="00842B1F">
        <w:rPr>
          <w:rFonts w:ascii="Times New Roman" w:hAnsi="Times New Roman"/>
        </w:rPr>
        <w:t xml:space="preserve">Staff is greatly concerned that </w:t>
      </w:r>
      <w:r w:rsidR="001D48B3">
        <w:rPr>
          <w:rFonts w:ascii="Times New Roman" w:hAnsi="Times New Roman"/>
        </w:rPr>
        <w:t xml:space="preserve">granting </w:t>
      </w:r>
      <w:r w:rsidR="00BD6A66">
        <w:rPr>
          <w:rFonts w:ascii="Times New Roman" w:hAnsi="Times New Roman"/>
        </w:rPr>
        <w:t xml:space="preserve">the alternative request to present live </w:t>
      </w:r>
      <w:r w:rsidR="0062729A">
        <w:rPr>
          <w:rFonts w:ascii="Times New Roman" w:hAnsi="Times New Roman"/>
        </w:rPr>
        <w:t xml:space="preserve">direct </w:t>
      </w:r>
      <w:r w:rsidR="00BD6A66">
        <w:rPr>
          <w:rFonts w:ascii="Times New Roman" w:hAnsi="Times New Roman"/>
        </w:rPr>
        <w:t xml:space="preserve">testimony on the </w:t>
      </w:r>
      <w:r w:rsidR="0062729A">
        <w:rPr>
          <w:rFonts w:ascii="Times New Roman" w:hAnsi="Times New Roman"/>
        </w:rPr>
        <w:t xml:space="preserve">issue of calculating coal costs for the scenario in which units 3 and 4 of the Jim Bridger plant (“Bridger”) are converted to run on natural gas </w:t>
      </w:r>
      <w:r w:rsidR="00842B1F">
        <w:rPr>
          <w:rFonts w:ascii="Times New Roman" w:hAnsi="Times New Roman"/>
        </w:rPr>
        <w:t>would be</w:t>
      </w:r>
      <w:r w:rsidR="00BD6A66">
        <w:rPr>
          <w:rFonts w:ascii="Times New Roman" w:hAnsi="Times New Roman"/>
        </w:rPr>
        <w:t xml:space="preserve"> </w:t>
      </w:r>
      <w:r w:rsidR="002814FD">
        <w:rPr>
          <w:rFonts w:ascii="Times New Roman" w:hAnsi="Times New Roman"/>
        </w:rPr>
        <w:t>both</w:t>
      </w:r>
      <w:r w:rsidR="00BD6A66">
        <w:rPr>
          <w:rFonts w:ascii="Times New Roman" w:hAnsi="Times New Roman"/>
        </w:rPr>
        <w:t xml:space="preserve"> </w:t>
      </w:r>
      <w:r w:rsidR="00423236">
        <w:rPr>
          <w:rFonts w:ascii="Times New Roman" w:hAnsi="Times New Roman"/>
        </w:rPr>
        <w:t xml:space="preserve">impractical and unfair. </w:t>
      </w:r>
      <w:r w:rsidR="00830EC2">
        <w:rPr>
          <w:rFonts w:ascii="Times New Roman" w:hAnsi="Times New Roman"/>
        </w:rPr>
        <w:t xml:space="preserve">The Commission should deny </w:t>
      </w:r>
      <w:r w:rsidR="00991E85">
        <w:rPr>
          <w:rFonts w:ascii="Times New Roman" w:hAnsi="Times New Roman"/>
        </w:rPr>
        <w:t xml:space="preserve">both </w:t>
      </w:r>
      <w:r w:rsidR="00830EC2">
        <w:rPr>
          <w:rFonts w:ascii="Times New Roman" w:hAnsi="Times New Roman"/>
        </w:rPr>
        <w:t>the Company’s motion to strike and the alternative request for live rebuttal.</w:t>
      </w:r>
    </w:p>
    <w:p w14:paraId="639E8910" w14:textId="057B7F6F" w:rsidR="007B4430" w:rsidRPr="007B4430" w:rsidRDefault="00D65A9A" w:rsidP="00661D34">
      <w:pPr>
        <w:keepNext/>
        <w:spacing w:line="480" w:lineRule="auto"/>
        <w:jc w:val="center"/>
        <w:rPr>
          <w:rFonts w:ascii="Times New Roman" w:hAnsi="Times New Roman"/>
          <w:b/>
        </w:rPr>
      </w:pPr>
      <w:r>
        <w:rPr>
          <w:rFonts w:ascii="Times New Roman" w:hAnsi="Times New Roman"/>
          <w:b/>
        </w:rPr>
        <w:lastRenderedPageBreak/>
        <w:t>I</w:t>
      </w:r>
      <w:r w:rsidR="00422068">
        <w:rPr>
          <w:rFonts w:ascii="Times New Roman" w:hAnsi="Times New Roman"/>
          <w:b/>
        </w:rPr>
        <w:t xml:space="preserve">I.  </w:t>
      </w:r>
      <w:r w:rsidR="00842B1F">
        <w:rPr>
          <w:rFonts w:ascii="Times New Roman" w:hAnsi="Times New Roman"/>
          <w:b/>
        </w:rPr>
        <w:t>COUNTER-</w:t>
      </w:r>
      <w:r w:rsidR="00422068">
        <w:rPr>
          <w:rFonts w:ascii="Times New Roman" w:hAnsi="Times New Roman"/>
          <w:b/>
        </w:rPr>
        <w:t>ST</w:t>
      </w:r>
      <w:r w:rsidR="007B4430" w:rsidRPr="007B4430">
        <w:rPr>
          <w:rFonts w:ascii="Times New Roman" w:hAnsi="Times New Roman"/>
          <w:b/>
        </w:rPr>
        <w:t>ATEMENT OF FACTS</w:t>
      </w:r>
    </w:p>
    <w:p w14:paraId="0DBEAE45" w14:textId="5982B5AE" w:rsidR="00642ACB" w:rsidRDefault="008F0B02" w:rsidP="00842B1F">
      <w:pPr>
        <w:keepNext/>
        <w:numPr>
          <w:ilvl w:val="0"/>
          <w:numId w:val="6"/>
        </w:numPr>
        <w:spacing w:line="480" w:lineRule="auto"/>
        <w:ind w:left="0" w:hanging="720"/>
        <w:rPr>
          <w:rFonts w:ascii="Times New Roman" w:hAnsi="Times New Roman"/>
        </w:rPr>
      </w:pPr>
      <w:r>
        <w:rPr>
          <w:rFonts w:ascii="Times New Roman" w:hAnsi="Times New Roman"/>
        </w:rPr>
        <w:tab/>
      </w:r>
      <w:r w:rsidR="00842B1F">
        <w:rPr>
          <w:rFonts w:ascii="Times New Roman" w:hAnsi="Times New Roman"/>
        </w:rPr>
        <w:t xml:space="preserve">On </w:t>
      </w:r>
      <w:r w:rsidR="00341210">
        <w:rPr>
          <w:rFonts w:ascii="Times New Roman" w:hAnsi="Times New Roman"/>
        </w:rPr>
        <w:t xml:space="preserve">April 29, 2016, the Commission granted Staff’s request to file supplemental testimony based on </w:t>
      </w:r>
      <w:r w:rsidR="0062729A">
        <w:rPr>
          <w:rFonts w:ascii="Times New Roman" w:hAnsi="Times New Roman"/>
        </w:rPr>
        <w:t>a discovery dispute regarding</w:t>
      </w:r>
      <w:r w:rsidR="00341210">
        <w:rPr>
          <w:rFonts w:ascii="Times New Roman" w:hAnsi="Times New Roman"/>
        </w:rPr>
        <w:t xml:space="preserve"> the </w:t>
      </w:r>
      <w:r w:rsidR="001A260E">
        <w:rPr>
          <w:rFonts w:ascii="Times New Roman" w:hAnsi="Times New Roman"/>
        </w:rPr>
        <w:t>Bridger Coal Company (BCC)</w:t>
      </w:r>
      <w:r w:rsidR="00341210">
        <w:rPr>
          <w:rFonts w:ascii="Times New Roman" w:hAnsi="Times New Roman"/>
        </w:rPr>
        <w:t xml:space="preserve"> October 2013 mine plan.</w:t>
      </w:r>
      <w:r w:rsidR="00307775">
        <w:rPr>
          <w:rStyle w:val="FootnoteReference"/>
          <w:rFonts w:ascii="Times New Roman" w:hAnsi="Times New Roman"/>
        </w:rPr>
        <w:footnoteReference w:id="2"/>
      </w:r>
      <w:r w:rsidR="00341210">
        <w:rPr>
          <w:rFonts w:ascii="Times New Roman" w:hAnsi="Times New Roman"/>
        </w:rPr>
        <w:t xml:space="preserve"> </w:t>
      </w:r>
      <w:r w:rsidR="00AF40BA">
        <w:rPr>
          <w:rFonts w:ascii="Times New Roman" w:hAnsi="Times New Roman"/>
        </w:rPr>
        <w:t xml:space="preserve">In the Commission’s subsequent scheduling order, the Commission </w:t>
      </w:r>
      <w:r w:rsidR="00DA7F9F">
        <w:rPr>
          <w:rFonts w:ascii="Times New Roman" w:hAnsi="Times New Roman"/>
        </w:rPr>
        <w:t xml:space="preserve">specifically provided parties other than </w:t>
      </w:r>
      <w:r w:rsidR="001C51D5">
        <w:rPr>
          <w:rFonts w:ascii="Times New Roman" w:hAnsi="Times New Roman"/>
        </w:rPr>
        <w:t xml:space="preserve">Pacific Power &amp; Light Company (“Pacific Power” or “Company”) </w:t>
      </w:r>
      <w:r w:rsidR="00642ACB">
        <w:rPr>
          <w:rFonts w:ascii="Times New Roman" w:hAnsi="Times New Roman"/>
        </w:rPr>
        <w:t>with the opportunity</w:t>
      </w:r>
      <w:r w:rsidR="00DA7F9F">
        <w:rPr>
          <w:rFonts w:ascii="Times New Roman" w:hAnsi="Times New Roman"/>
        </w:rPr>
        <w:t xml:space="preserve"> to respond to Staff’s supplemental testimony</w:t>
      </w:r>
      <w:r w:rsidR="00642ACB">
        <w:rPr>
          <w:rFonts w:ascii="Times New Roman" w:hAnsi="Times New Roman"/>
        </w:rPr>
        <w:t xml:space="preserve"> by filing cross-answering testimony</w:t>
      </w:r>
      <w:r w:rsidR="00DA7F9F">
        <w:rPr>
          <w:rFonts w:ascii="Times New Roman" w:hAnsi="Times New Roman"/>
        </w:rPr>
        <w:t>.</w:t>
      </w:r>
      <w:r w:rsidR="00DA7F9F">
        <w:rPr>
          <w:rStyle w:val="FootnoteReference"/>
          <w:rFonts w:ascii="Times New Roman" w:hAnsi="Times New Roman"/>
        </w:rPr>
        <w:footnoteReference w:id="3"/>
      </w:r>
      <w:r w:rsidR="00642ACB">
        <w:rPr>
          <w:rFonts w:ascii="Times New Roman" w:hAnsi="Times New Roman"/>
        </w:rPr>
        <w:t xml:space="preserve"> Sierra Club </w:t>
      </w:r>
      <w:r w:rsidR="00A06386">
        <w:rPr>
          <w:rFonts w:ascii="Times New Roman" w:hAnsi="Times New Roman"/>
        </w:rPr>
        <w:t xml:space="preserve">timely </w:t>
      </w:r>
      <w:r w:rsidR="00642ACB">
        <w:rPr>
          <w:rFonts w:ascii="Times New Roman" w:hAnsi="Times New Roman"/>
        </w:rPr>
        <w:t>filed cross-answering testimony</w:t>
      </w:r>
      <w:r w:rsidR="00711A2C">
        <w:rPr>
          <w:rFonts w:ascii="Times New Roman" w:hAnsi="Times New Roman"/>
        </w:rPr>
        <w:t xml:space="preserve"> on May 13, 2016</w:t>
      </w:r>
      <w:r w:rsidR="00A06386">
        <w:rPr>
          <w:rFonts w:ascii="Times New Roman" w:hAnsi="Times New Roman"/>
        </w:rPr>
        <w:t>.</w:t>
      </w:r>
    </w:p>
    <w:p w14:paraId="526492DE" w14:textId="50CFEE26" w:rsidR="00B97C51" w:rsidRDefault="00642ACB" w:rsidP="00661D34">
      <w:pPr>
        <w:keepNext/>
        <w:numPr>
          <w:ilvl w:val="0"/>
          <w:numId w:val="6"/>
        </w:numPr>
        <w:spacing w:line="480" w:lineRule="auto"/>
        <w:ind w:left="0" w:hanging="720"/>
        <w:rPr>
          <w:rFonts w:ascii="Times New Roman" w:hAnsi="Times New Roman"/>
        </w:rPr>
      </w:pPr>
      <w:r>
        <w:rPr>
          <w:rFonts w:ascii="Times New Roman" w:hAnsi="Times New Roman"/>
        </w:rPr>
        <w:tab/>
      </w:r>
      <w:r w:rsidR="006C07DD" w:rsidRPr="006C07DD">
        <w:rPr>
          <w:rFonts w:ascii="Times New Roman" w:hAnsi="Times New Roman"/>
        </w:rPr>
        <w:t xml:space="preserve">The October 2013 mine plan </w:t>
      </w:r>
      <w:r w:rsidR="006C07DD">
        <w:rPr>
          <w:rFonts w:ascii="Times New Roman" w:hAnsi="Times New Roman"/>
        </w:rPr>
        <w:t xml:space="preserve">is important because </w:t>
      </w:r>
      <w:r w:rsidR="001A260E">
        <w:rPr>
          <w:rFonts w:ascii="Times New Roman" w:hAnsi="Times New Roman"/>
        </w:rPr>
        <w:t xml:space="preserve">BCC coal fuels the Jim </w:t>
      </w:r>
      <w:r w:rsidR="001A260E" w:rsidRPr="006C07DD">
        <w:rPr>
          <w:rFonts w:ascii="Times New Roman" w:hAnsi="Times New Roman"/>
        </w:rPr>
        <w:t xml:space="preserve">Bridger plant, and the October 2013 mine plan represents the most current information regarding future coal costs that was available when the Company committed itself to </w:t>
      </w:r>
      <w:r w:rsidR="006C07DD">
        <w:rPr>
          <w:rFonts w:ascii="Times New Roman" w:hAnsi="Times New Roman"/>
        </w:rPr>
        <w:t>the</w:t>
      </w:r>
      <w:r w:rsidR="001A260E" w:rsidRPr="006C07DD">
        <w:rPr>
          <w:rFonts w:ascii="Times New Roman" w:hAnsi="Times New Roman"/>
        </w:rPr>
        <w:t xml:space="preserve"> installation</w:t>
      </w:r>
      <w:r w:rsidR="006C07DD">
        <w:rPr>
          <w:rFonts w:ascii="Times New Roman" w:hAnsi="Times New Roman"/>
        </w:rPr>
        <w:t xml:space="preserve"> of selective catalytic reduction (SCR)</w:t>
      </w:r>
      <w:r w:rsidR="001A260E" w:rsidRPr="006C07DD">
        <w:rPr>
          <w:rFonts w:ascii="Times New Roman" w:hAnsi="Times New Roman"/>
        </w:rPr>
        <w:t>.</w:t>
      </w:r>
      <w:r w:rsidR="001A260E" w:rsidRPr="006C07DD">
        <w:rPr>
          <w:rStyle w:val="FootnoteReference"/>
          <w:rFonts w:ascii="Times New Roman" w:hAnsi="Times New Roman"/>
        </w:rPr>
        <w:footnoteReference w:id="4"/>
      </w:r>
      <w:r w:rsidR="001A260E" w:rsidRPr="006C07DD">
        <w:rPr>
          <w:rFonts w:ascii="Times New Roman" w:hAnsi="Times New Roman"/>
        </w:rPr>
        <w:t xml:space="preserve"> The October 2013 mine plan </w:t>
      </w:r>
      <w:r w:rsidR="00307775" w:rsidRPr="006C07DD">
        <w:rPr>
          <w:rFonts w:ascii="Times New Roman" w:hAnsi="Times New Roman"/>
        </w:rPr>
        <w:t>project</w:t>
      </w:r>
      <w:r w:rsidR="000E4611">
        <w:rPr>
          <w:rFonts w:ascii="Times New Roman" w:hAnsi="Times New Roman"/>
        </w:rPr>
        <w:t>s</w:t>
      </w:r>
      <w:r w:rsidR="00307775" w:rsidRPr="006C07DD">
        <w:rPr>
          <w:rFonts w:ascii="Times New Roman" w:hAnsi="Times New Roman"/>
        </w:rPr>
        <w:t xml:space="preserve"> higher</w:t>
      </w:r>
      <w:r w:rsidR="00341210" w:rsidRPr="006C07DD">
        <w:rPr>
          <w:rFonts w:ascii="Times New Roman" w:hAnsi="Times New Roman"/>
        </w:rPr>
        <w:t xml:space="preserve"> coal costs </w:t>
      </w:r>
      <w:r w:rsidR="00307775" w:rsidRPr="006C07DD">
        <w:rPr>
          <w:rFonts w:ascii="Times New Roman" w:hAnsi="Times New Roman"/>
        </w:rPr>
        <w:t xml:space="preserve">for </w:t>
      </w:r>
      <w:r w:rsidR="006C07DD" w:rsidRPr="006C07DD">
        <w:rPr>
          <w:rFonts w:ascii="Times New Roman" w:hAnsi="Times New Roman"/>
        </w:rPr>
        <w:t>BCC</w:t>
      </w:r>
      <w:r w:rsidR="00307775" w:rsidRPr="006C07DD">
        <w:rPr>
          <w:rFonts w:ascii="Times New Roman" w:hAnsi="Times New Roman"/>
        </w:rPr>
        <w:t xml:space="preserve"> coal, and </w:t>
      </w:r>
      <w:r w:rsidR="00BA6624" w:rsidRPr="006C07DD">
        <w:rPr>
          <w:rFonts w:ascii="Times New Roman" w:hAnsi="Times New Roman"/>
        </w:rPr>
        <w:t>fuel</w:t>
      </w:r>
      <w:r w:rsidR="00BA6624">
        <w:rPr>
          <w:rFonts w:ascii="Times New Roman" w:hAnsi="Times New Roman"/>
        </w:rPr>
        <w:t xml:space="preserve"> costs</w:t>
      </w:r>
      <w:r w:rsidR="00341210">
        <w:rPr>
          <w:rFonts w:ascii="Times New Roman" w:hAnsi="Times New Roman"/>
        </w:rPr>
        <w:t xml:space="preserve"> play an integral role in the analysis of the cost effectiveness of continuing to operate the Bridger plant as a coal-fired resource with </w:t>
      </w:r>
      <w:r w:rsidR="006C07DD">
        <w:rPr>
          <w:rFonts w:ascii="Times New Roman" w:hAnsi="Times New Roman"/>
        </w:rPr>
        <w:t>selective catalytic reduction</w:t>
      </w:r>
      <w:r w:rsidR="00BA6624">
        <w:rPr>
          <w:rFonts w:ascii="Times New Roman" w:hAnsi="Times New Roman"/>
        </w:rPr>
        <w:t>.</w:t>
      </w:r>
      <w:r w:rsidR="00077D61">
        <w:rPr>
          <w:rStyle w:val="FootnoteReference"/>
          <w:rFonts w:ascii="Times New Roman" w:hAnsi="Times New Roman"/>
        </w:rPr>
        <w:footnoteReference w:id="5"/>
      </w:r>
    </w:p>
    <w:p w14:paraId="332C55BC" w14:textId="59C3E74A" w:rsidR="00AA16DA" w:rsidRDefault="00B97C51" w:rsidP="00661D34">
      <w:pPr>
        <w:keepNext/>
        <w:numPr>
          <w:ilvl w:val="0"/>
          <w:numId w:val="6"/>
        </w:numPr>
        <w:spacing w:line="480" w:lineRule="auto"/>
        <w:ind w:left="0" w:hanging="720"/>
        <w:rPr>
          <w:rFonts w:ascii="Times New Roman" w:hAnsi="Times New Roman"/>
        </w:rPr>
      </w:pPr>
      <w:r>
        <w:rPr>
          <w:rFonts w:ascii="Times New Roman" w:hAnsi="Times New Roman"/>
        </w:rPr>
        <w:tab/>
      </w:r>
      <w:r w:rsidR="001A7F88" w:rsidDel="004D2D62">
        <w:rPr>
          <w:rFonts w:ascii="Times New Roman" w:hAnsi="Times New Roman"/>
        </w:rPr>
        <w:t xml:space="preserve">The Bridger plant includes four units. </w:t>
      </w:r>
      <w:r w:rsidR="007A5260">
        <w:rPr>
          <w:rFonts w:ascii="Times New Roman" w:hAnsi="Times New Roman"/>
        </w:rPr>
        <w:t>The instant case addresses the prudence of the installation of SCR at only units 3 and 4, but units 1 and 2 will have environmental compliance obligations that will require the Company to install SCR, convert to natural gas, or close the units by 2022 and 2021, respectively.</w:t>
      </w:r>
      <w:r w:rsidR="007A5260">
        <w:rPr>
          <w:rStyle w:val="FootnoteReference"/>
          <w:rFonts w:ascii="Times New Roman" w:hAnsi="Times New Roman"/>
        </w:rPr>
        <w:footnoteReference w:id="6"/>
      </w:r>
      <w:r w:rsidR="007A5260">
        <w:rPr>
          <w:rFonts w:ascii="Times New Roman" w:hAnsi="Times New Roman"/>
        </w:rPr>
        <w:t xml:space="preserve"> Pacific Power developed a long-term fueling plan, which includes a mine plan, in January 2013 that </w:t>
      </w:r>
      <w:r>
        <w:rPr>
          <w:rFonts w:ascii="Times New Roman" w:hAnsi="Times New Roman"/>
        </w:rPr>
        <w:t>considered</w:t>
      </w:r>
      <w:r w:rsidR="007A5260">
        <w:rPr>
          <w:rFonts w:ascii="Times New Roman" w:hAnsi="Times New Roman"/>
        </w:rPr>
        <w:t xml:space="preserve"> two different </w:t>
      </w:r>
      <w:r w:rsidR="007A5260">
        <w:rPr>
          <w:rFonts w:ascii="Times New Roman" w:hAnsi="Times New Roman"/>
        </w:rPr>
        <w:lastRenderedPageBreak/>
        <w:t>scenarios: one that provided for the installation of SCR on units 3 and 4, thereby maintaining coal-fueled operation at all four units of Bridger</w:t>
      </w:r>
      <w:r w:rsidR="0086547C">
        <w:rPr>
          <w:rFonts w:ascii="Times New Roman" w:hAnsi="Times New Roman"/>
        </w:rPr>
        <w:t xml:space="preserve"> (the SCR scenario)</w:t>
      </w:r>
      <w:r w:rsidR="007A5260">
        <w:rPr>
          <w:rFonts w:ascii="Times New Roman" w:hAnsi="Times New Roman"/>
        </w:rPr>
        <w:t>; and one which reflected conversion of two of the units to gas, thereby maintaining coal-fueled operations at only two units</w:t>
      </w:r>
      <w:r w:rsidR="0086547C">
        <w:rPr>
          <w:rFonts w:ascii="Times New Roman" w:hAnsi="Times New Roman"/>
        </w:rPr>
        <w:t xml:space="preserve"> (gas conversion scenario)</w:t>
      </w:r>
      <w:r w:rsidR="007A5260">
        <w:rPr>
          <w:rFonts w:ascii="Times New Roman" w:hAnsi="Times New Roman"/>
        </w:rPr>
        <w:t>.</w:t>
      </w:r>
      <w:r w:rsidR="007A5260">
        <w:rPr>
          <w:rStyle w:val="FootnoteReference"/>
          <w:rFonts w:ascii="Times New Roman" w:hAnsi="Times New Roman"/>
        </w:rPr>
        <w:footnoteReference w:id="7"/>
      </w:r>
      <w:r w:rsidR="007A5260">
        <w:rPr>
          <w:rFonts w:ascii="Times New Roman" w:hAnsi="Times New Roman"/>
        </w:rPr>
        <w:t xml:space="preserve"> </w:t>
      </w:r>
      <w:r w:rsidR="00AA16DA">
        <w:rPr>
          <w:rFonts w:ascii="Times New Roman" w:hAnsi="Times New Roman"/>
        </w:rPr>
        <w:t xml:space="preserve">The Company’s October 2013 mine plan, however, only evaluated the costs of all </w:t>
      </w:r>
      <w:r w:rsidR="00AA16DA" w:rsidRPr="004D2D62">
        <w:rPr>
          <w:rFonts w:ascii="Times New Roman" w:hAnsi="Times New Roman"/>
        </w:rPr>
        <w:t>four units of Bridger operating on coal (the SCR scenario)</w:t>
      </w:r>
      <w:r w:rsidR="00AA16DA">
        <w:rPr>
          <w:rFonts w:ascii="Times New Roman" w:hAnsi="Times New Roman"/>
        </w:rPr>
        <w:t>.</w:t>
      </w:r>
      <w:r w:rsidR="00AA16DA">
        <w:rPr>
          <w:rStyle w:val="FootnoteReference"/>
          <w:rFonts w:ascii="Times New Roman" w:hAnsi="Times New Roman"/>
        </w:rPr>
        <w:footnoteReference w:id="8"/>
      </w:r>
      <w:r w:rsidR="00AA16DA">
        <w:rPr>
          <w:rFonts w:ascii="Times New Roman" w:hAnsi="Times New Roman"/>
        </w:rPr>
        <w:t xml:space="preserve">  </w:t>
      </w:r>
    </w:p>
    <w:p w14:paraId="383ACA4A" w14:textId="64DA7BF5" w:rsidR="00A239AB" w:rsidRDefault="00654F48" w:rsidP="00661D34">
      <w:pPr>
        <w:keepNext/>
        <w:numPr>
          <w:ilvl w:val="0"/>
          <w:numId w:val="6"/>
        </w:numPr>
        <w:spacing w:line="480" w:lineRule="auto"/>
        <w:ind w:left="0" w:hanging="720"/>
        <w:rPr>
          <w:rFonts w:ascii="Times New Roman" w:hAnsi="Times New Roman"/>
        </w:rPr>
      </w:pPr>
      <w:r>
        <w:rPr>
          <w:rFonts w:ascii="Times New Roman" w:hAnsi="Times New Roman"/>
        </w:rPr>
        <w:tab/>
      </w:r>
      <w:r w:rsidR="0011391B">
        <w:rPr>
          <w:rFonts w:ascii="Times New Roman" w:hAnsi="Times New Roman"/>
        </w:rPr>
        <w:t>Jeremy Twitchell</w:t>
      </w:r>
      <w:r>
        <w:rPr>
          <w:rFonts w:ascii="Times New Roman" w:hAnsi="Times New Roman"/>
        </w:rPr>
        <w:t xml:space="preserve"> filed supplemental testimony</w:t>
      </w:r>
      <w:r w:rsidR="0011391B">
        <w:rPr>
          <w:rFonts w:ascii="Times New Roman" w:hAnsi="Times New Roman"/>
        </w:rPr>
        <w:t xml:space="preserve"> on behalf of Staff</w:t>
      </w:r>
      <w:r>
        <w:rPr>
          <w:rFonts w:ascii="Times New Roman" w:hAnsi="Times New Roman"/>
        </w:rPr>
        <w:t xml:space="preserve"> </w:t>
      </w:r>
      <w:r w:rsidR="00077D61">
        <w:rPr>
          <w:rFonts w:ascii="Times New Roman" w:hAnsi="Times New Roman"/>
        </w:rPr>
        <w:t>regarding SCR at Jim Bridger on May 6, 2016.</w:t>
      </w:r>
      <w:r w:rsidR="00D844B8">
        <w:rPr>
          <w:rFonts w:ascii="Times New Roman" w:hAnsi="Times New Roman"/>
        </w:rPr>
        <w:t xml:space="preserve"> In </w:t>
      </w:r>
      <w:r w:rsidR="0011391B">
        <w:rPr>
          <w:rFonts w:ascii="Times New Roman" w:hAnsi="Times New Roman"/>
        </w:rPr>
        <w:t>his</w:t>
      </w:r>
      <w:r w:rsidR="00D844B8">
        <w:rPr>
          <w:rFonts w:ascii="Times New Roman" w:hAnsi="Times New Roman"/>
        </w:rPr>
        <w:t xml:space="preserve"> supplemental testimony, </w:t>
      </w:r>
      <w:r w:rsidR="0011391B">
        <w:rPr>
          <w:rFonts w:ascii="Times New Roman" w:hAnsi="Times New Roman"/>
        </w:rPr>
        <w:t>Mr. Twitchell</w:t>
      </w:r>
      <w:r w:rsidR="00D844B8">
        <w:rPr>
          <w:rFonts w:ascii="Times New Roman" w:hAnsi="Times New Roman"/>
        </w:rPr>
        <w:t xml:space="preserve"> </w:t>
      </w:r>
      <w:r w:rsidR="0011391B">
        <w:rPr>
          <w:rFonts w:ascii="Times New Roman" w:hAnsi="Times New Roman"/>
        </w:rPr>
        <w:t>provides</w:t>
      </w:r>
      <w:r w:rsidR="00D844B8">
        <w:rPr>
          <w:rFonts w:ascii="Times New Roman" w:hAnsi="Times New Roman"/>
        </w:rPr>
        <w:t xml:space="preserve"> detailed analysis on the project</w:t>
      </w:r>
      <w:r w:rsidR="001A7F88">
        <w:rPr>
          <w:rFonts w:ascii="Times New Roman" w:hAnsi="Times New Roman"/>
        </w:rPr>
        <w:t>ed fueling costs at Bridger</w:t>
      </w:r>
      <w:r w:rsidR="0011391B">
        <w:rPr>
          <w:rFonts w:ascii="Times New Roman" w:hAnsi="Times New Roman"/>
        </w:rPr>
        <w:t xml:space="preserve">. Mr. Twitchell’s analysis is based on </w:t>
      </w:r>
      <w:r w:rsidR="00B97C51">
        <w:rPr>
          <w:rFonts w:ascii="Times New Roman" w:hAnsi="Times New Roman"/>
        </w:rPr>
        <w:t>the SCR scenario, in which all</w:t>
      </w:r>
      <w:r w:rsidR="00893656">
        <w:rPr>
          <w:rFonts w:ascii="Times New Roman" w:hAnsi="Times New Roman"/>
        </w:rPr>
        <w:t xml:space="preserve"> four units continue to operate</w:t>
      </w:r>
      <w:r w:rsidR="00B97C51">
        <w:rPr>
          <w:rFonts w:ascii="Times New Roman" w:hAnsi="Times New Roman"/>
        </w:rPr>
        <w:t xml:space="preserve"> on coal</w:t>
      </w:r>
      <w:r w:rsidR="0011391B">
        <w:rPr>
          <w:rFonts w:ascii="Times New Roman" w:hAnsi="Times New Roman"/>
        </w:rPr>
        <w:t xml:space="preserve">, because that is the </w:t>
      </w:r>
      <w:r w:rsidR="006C2A1F">
        <w:rPr>
          <w:rFonts w:ascii="Times New Roman" w:hAnsi="Times New Roman"/>
        </w:rPr>
        <w:t>scenario</w:t>
      </w:r>
      <w:r w:rsidR="0011391B">
        <w:rPr>
          <w:rFonts w:ascii="Times New Roman" w:hAnsi="Times New Roman"/>
        </w:rPr>
        <w:t xml:space="preserve"> that Pacific Power </w:t>
      </w:r>
      <w:r w:rsidR="006C2A1F">
        <w:rPr>
          <w:rFonts w:ascii="Times New Roman" w:hAnsi="Times New Roman"/>
        </w:rPr>
        <w:t>used</w:t>
      </w:r>
      <w:r w:rsidR="004E4A57">
        <w:rPr>
          <w:rFonts w:ascii="Times New Roman" w:hAnsi="Times New Roman"/>
        </w:rPr>
        <w:t xml:space="preserve"> in </w:t>
      </w:r>
      <w:r w:rsidR="001A7F88">
        <w:rPr>
          <w:rFonts w:ascii="Times New Roman" w:hAnsi="Times New Roman"/>
        </w:rPr>
        <w:t>developing</w:t>
      </w:r>
      <w:r w:rsidR="004E4A57">
        <w:rPr>
          <w:rFonts w:ascii="Times New Roman" w:hAnsi="Times New Roman"/>
        </w:rPr>
        <w:t xml:space="preserve"> both its January and October 2013 mine plans</w:t>
      </w:r>
      <w:r w:rsidR="0011391B">
        <w:rPr>
          <w:rFonts w:ascii="Times New Roman" w:hAnsi="Times New Roman"/>
        </w:rPr>
        <w:t xml:space="preserve">. </w:t>
      </w:r>
      <w:r w:rsidR="001A7F88">
        <w:rPr>
          <w:rFonts w:ascii="Times New Roman" w:hAnsi="Times New Roman"/>
        </w:rPr>
        <w:t>In his supplemental testimony,</w:t>
      </w:r>
      <w:r w:rsidR="0011391B">
        <w:rPr>
          <w:rFonts w:ascii="Times New Roman" w:hAnsi="Times New Roman"/>
        </w:rPr>
        <w:t xml:space="preserve"> Mr. Twitchell </w:t>
      </w:r>
      <w:r w:rsidR="000F677A">
        <w:rPr>
          <w:rFonts w:ascii="Times New Roman" w:hAnsi="Times New Roman"/>
        </w:rPr>
        <w:t xml:space="preserve">explains </w:t>
      </w:r>
      <w:r w:rsidR="006C2A1F">
        <w:rPr>
          <w:rFonts w:ascii="Times New Roman" w:hAnsi="Times New Roman"/>
        </w:rPr>
        <w:t>that the Company did not evaluate how the significant changes made to the mine plan in October 2013 would affect the gas conversion scenario</w:t>
      </w:r>
      <w:r w:rsidR="0011391B">
        <w:rPr>
          <w:rFonts w:ascii="Times New Roman" w:hAnsi="Times New Roman"/>
        </w:rPr>
        <w:t>.</w:t>
      </w:r>
      <w:r w:rsidR="004E4A57">
        <w:rPr>
          <w:rStyle w:val="FootnoteReference"/>
          <w:rFonts w:ascii="Times New Roman" w:hAnsi="Times New Roman"/>
        </w:rPr>
        <w:footnoteReference w:id="9"/>
      </w:r>
      <w:r w:rsidR="006C2A1F">
        <w:rPr>
          <w:rFonts w:ascii="Times New Roman" w:hAnsi="Times New Roman"/>
        </w:rPr>
        <w:t xml:space="preserve"> </w:t>
      </w:r>
    </w:p>
    <w:p w14:paraId="11A68BE8" w14:textId="2CD2617D" w:rsidR="006C71FC" w:rsidRDefault="00A239AB" w:rsidP="00661D34">
      <w:pPr>
        <w:keepNext/>
        <w:numPr>
          <w:ilvl w:val="0"/>
          <w:numId w:val="6"/>
        </w:numPr>
        <w:spacing w:line="480" w:lineRule="auto"/>
        <w:ind w:left="0" w:hanging="720"/>
        <w:rPr>
          <w:rFonts w:ascii="Times New Roman" w:hAnsi="Times New Roman"/>
        </w:rPr>
      </w:pPr>
      <w:r>
        <w:rPr>
          <w:rFonts w:ascii="Times New Roman" w:hAnsi="Times New Roman"/>
        </w:rPr>
        <w:tab/>
      </w:r>
      <w:r w:rsidR="00E01002">
        <w:rPr>
          <w:rFonts w:ascii="Times New Roman" w:hAnsi="Times New Roman"/>
        </w:rPr>
        <w:t>Mr. Twitchell discusses</w:t>
      </w:r>
      <w:r w:rsidR="00AA7A7E">
        <w:rPr>
          <w:rFonts w:ascii="Times New Roman" w:hAnsi="Times New Roman"/>
        </w:rPr>
        <w:t xml:space="preserve"> </w:t>
      </w:r>
      <w:r w:rsidR="003822A4">
        <w:rPr>
          <w:rFonts w:ascii="Times New Roman" w:hAnsi="Times New Roman"/>
        </w:rPr>
        <w:t>the missing</w:t>
      </w:r>
      <w:r w:rsidR="00AA7A7E">
        <w:rPr>
          <w:rFonts w:ascii="Times New Roman" w:hAnsi="Times New Roman"/>
        </w:rPr>
        <w:t xml:space="preserve"> two-unit gas conversion analysis over approximately five pages in his supplemental testimony.</w:t>
      </w:r>
      <w:r w:rsidR="00AA7A7E">
        <w:rPr>
          <w:rStyle w:val="FootnoteReference"/>
          <w:rFonts w:ascii="Times New Roman" w:hAnsi="Times New Roman"/>
        </w:rPr>
        <w:footnoteReference w:id="10"/>
      </w:r>
      <w:r w:rsidR="003822A4">
        <w:rPr>
          <w:rFonts w:ascii="Times New Roman" w:hAnsi="Times New Roman"/>
        </w:rPr>
        <w:t xml:space="preserve"> </w:t>
      </w:r>
      <w:r w:rsidR="00E01002">
        <w:rPr>
          <w:rFonts w:ascii="Times New Roman" w:hAnsi="Times New Roman"/>
        </w:rPr>
        <w:t>While he ultimately concludes</w:t>
      </w:r>
      <w:r w:rsidR="003822A4">
        <w:rPr>
          <w:rFonts w:ascii="Times New Roman" w:hAnsi="Times New Roman"/>
        </w:rPr>
        <w:t xml:space="preserve"> that he </w:t>
      </w:r>
      <w:r w:rsidR="00E01002">
        <w:rPr>
          <w:rFonts w:ascii="Times New Roman" w:hAnsi="Times New Roman"/>
        </w:rPr>
        <w:t>is</w:t>
      </w:r>
      <w:r w:rsidR="003822A4">
        <w:rPr>
          <w:rFonts w:ascii="Times New Roman" w:hAnsi="Times New Roman"/>
        </w:rPr>
        <w:t xml:space="preserve"> not able to construct a full two-</w:t>
      </w:r>
      <w:r w:rsidR="003822A4" w:rsidRPr="003822A4">
        <w:rPr>
          <w:rFonts w:ascii="Times New Roman" w:hAnsi="Times New Roman"/>
        </w:rPr>
        <w:t>unit</w:t>
      </w:r>
      <w:r w:rsidR="003822A4">
        <w:rPr>
          <w:rFonts w:ascii="Times New Roman" w:hAnsi="Times New Roman"/>
        </w:rPr>
        <w:t xml:space="preserve"> </w:t>
      </w:r>
      <w:r w:rsidR="00E01002">
        <w:rPr>
          <w:rFonts w:ascii="Times New Roman" w:hAnsi="Times New Roman"/>
        </w:rPr>
        <w:t>scenario an</w:t>
      </w:r>
      <w:r w:rsidR="006C2A1F">
        <w:rPr>
          <w:rFonts w:ascii="Times New Roman" w:hAnsi="Times New Roman"/>
        </w:rPr>
        <w:t>alysis based on</w:t>
      </w:r>
      <w:r w:rsidR="00E01002">
        <w:rPr>
          <w:rFonts w:ascii="Times New Roman" w:hAnsi="Times New Roman"/>
        </w:rPr>
        <w:t xml:space="preserve"> the October 2013 mine plan, </w:t>
      </w:r>
      <w:r w:rsidR="0038773F">
        <w:rPr>
          <w:rFonts w:ascii="Times New Roman" w:hAnsi="Times New Roman"/>
        </w:rPr>
        <w:t xml:space="preserve">and that only the Company has sufficient information to model that scenario, </w:t>
      </w:r>
      <w:r w:rsidR="003822A4" w:rsidRPr="003822A4">
        <w:rPr>
          <w:rFonts w:ascii="Times New Roman" w:hAnsi="Times New Roman"/>
        </w:rPr>
        <w:t xml:space="preserve">he </w:t>
      </w:r>
      <w:r w:rsidR="00E01002">
        <w:rPr>
          <w:rFonts w:ascii="Times New Roman" w:hAnsi="Times New Roman"/>
        </w:rPr>
        <w:t>is</w:t>
      </w:r>
      <w:r w:rsidR="003822A4" w:rsidRPr="003822A4">
        <w:rPr>
          <w:rFonts w:ascii="Times New Roman" w:hAnsi="Times New Roman"/>
        </w:rPr>
        <w:t xml:space="preserve"> able to determine that</w:t>
      </w:r>
      <w:r w:rsidR="003822A4">
        <w:rPr>
          <w:rFonts w:ascii="Times New Roman" w:hAnsi="Times New Roman"/>
        </w:rPr>
        <w:t>,</w:t>
      </w:r>
      <w:r w:rsidR="003822A4" w:rsidRPr="003822A4">
        <w:rPr>
          <w:rFonts w:ascii="Times New Roman" w:hAnsi="Times New Roman"/>
        </w:rPr>
        <w:t xml:space="preserve"> “on a levelized basis, coal costs for a two-unit scenario in October 2013 </w:t>
      </w:r>
      <w:r w:rsidR="003822A4" w:rsidRPr="003822A4">
        <w:rPr>
          <w:rFonts w:ascii="Times New Roman" w:hAnsi="Times New Roman"/>
        </w:rPr>
        <w:lastRenderedPageBreak/>
        <w:t>would likely have been lower than coal costs for the two-unit January 2013 plan that the Company used in its SCR analysis.”</w:t>
      </w:r>
      <w:r w:rsidR="003822A4" w:rsidRPr="003822A4">
        <w:rPr>
          <w:rStyle w:val="FootnoteReference"/>
          <w:rFonts w:ascii="Times New Roman" w:hAnsi="Times New Roman"/>
        </w:rPr>
        <w:t xml:space="preserve"> </w:t>
      </w:r>
      <w:r w:rsidR="003822A4" w:rsidRPr="003822A4">
        <w:rPr>
          <w:rStyle w:val="FootnoteReference"/>
          <w:rFonts w:ascii="Times New Roman" w:hAnsi="Times New Roman"/>
        </w:rPr>
        <w:footnoteReference w:id="11"/>
      </w:r>
    </w:p>
    <w:p w14:paraId="71477FA5" w14:textId="1DF2D014" w:rsidR="006C2A1F" w:rsidRDefault="005D7FE9" w:rsidP="00661D34">
      <w:pPr>
        <w:keepNext/>
        <w:numPr>
          <w:ilvl w:val="0"/>
          <w:numId w:val="6"/>
        </w:numPr>
        <w:spacing w:line="480" w:lineRule="auto"/>
        <w:ind w:left="0" w:hanging="720"/>
        <w:rPr>
          <w:rFonts w:ascii="Times New Roman" w:hAnsi="Times New Roman"/>
        </w:rPr>
      </w:pPr>
      <w:r>
        <w:rPr>
          <w:rFonts w:ascii="Times New Roman" w:hAnsi="Times New Roman"/>
        </w:rPr>
        <w:tab/>
      </w:r>
      <w:r w:rsidR="00A73BCF">
        <w:rPr>
          <w:rFonts w:ascii="Times New Roman" w:hAnsi="Times New Roman"/>
        </w:rPr>
        <w:t>O</w:t>
      </w:r>
      <w:r>
        <w:rPr>
          <w:rFonts w:ascii="Times New Roman" w:hAnsi="Times New Roman"/>
        </w:rPr>
        <w:t xml:space="preserve">n behalf of Sierra Club, Dr. Jeremy </w:t>
      </w:r>
      <w:r w:rsidR="000058EB">
        <w:rPr>
          <w:rFonts w:ascii="Times New Roman" w:hAnsi="Times New Roman"/>
        </w:rPr>
        <w:t>Fis</w:t>
      </w:r>
      <w:r>
        <w:rPr>
          <w:rFonts w:ascii="Times New Roman" w:hAnsi="Times New Roman"/>
        </w:rPr>
        <w:t xml:space="preserve">her </w:t>
      </w:r>
      <w:r w:rsidR="006C2A1F">
        <w:rPr>
          <w:rFonts w:ascii="Times New Roman" w:hAnsi="Times New Roman"/>
        </w:rPr>
        <w:t xml:space="preserve">responds </w:t>
      </w:r>
      <w:r>
        <w:rPr>
          <w:rFonts w:ascii="Times New Roman" w:hAnsi="Times New Roman"/>
        </w:rPr>
        <w:t xml:space="preserve">in cross-answering testimony </w:t>
      </w:r>
      <w:r w:rsidR="006C2A1F">
        <w:rPr>
          <w:rFonts w:ascii="Times New Roman" w:hAnsi="Times New Roman"/>
        </w:rPr>
        <w:t xml:space="preserve">to Staff’s analysis of coal costs based on the October 2013 mine plan. Dr. Fisher testifies that, in contrast to Staff, he believes there is sufficient information available to non-Company parties to construct a gas conversion scenario </w:t>
      </w:r>
      <w:r w:rsidR="00C22F83">
        <w:rPr>
          <w:rFonts w:ascii="Times New Roman" w:hAnsi="Times New Roman"/>
        </w:rPr>
        <w:t xml:space="preserve">based on </w:t>
      </w:r>
      <w:r w:rsidR="006C2A1F">
        <w:rPr>
          <w:rFonts w:ascii="Times New Roman" w:hAnsi="Times New Roman"/>
        </w:rPr>
        <w:t>the October 2013 mine plan,</w:t>
      </w:r>
      <w:r w:rsidR="006C2A1F">
        <w:rPr>
          <w:rStyle w:val="FootnoteReference"/>
          <w:rFonts w:ascii="Times New Roman" w:hAnsi="Times New Roman"/>
        </w:rPr>
        <w:footnoteReference w:id="12"/>
      </w:r>
      <w:r w:rsidR="00C22F83">
        <w:rPr>
          <w:rFonts w:ascii="Times New Roman" w:hAnsi="Times New Roman"/>
        </w:rPr>
        <w:t xml:space="preserve"> and his testimony in Section III explains </w:t>
      </w:r>
      <w:r w:rsidR="00786985">
        <w:rPr>
          <w:rFonts w:ascii="Times New Roman" w:hAnsi="Times New Roman"/>
        </w:rPr>
        <w:t>his conclusions</w:t>
      </w:r>
      <w:r w:rsidR="006C2A1F">
        <w:rPr>
          <w:rFonts w:ascii="Times New Roman" w:hAnsi="Times New Roman"/>
        </w:rPr>
        <w:t>.</w:t>
      </w:r>
    </w:p>
    <w:p w14:paraId="59C88BC9" w14:textId="3E28F421" w:rsidR="007704CB" w:rsidRDefault="006C2A1F" w:rsidP="00661D34">
      <w:pPr>
        <w:keepNext/>
        <w:numPr>
          <w:ilvl w:val="0"/>
          <w:numId w:val="6"/>
        </w:numPr>
        <w:spacing w:line="480" w:lineRule="auto"/>
        <w:ind w:left="0" w:hanging="720"/>
        <w:rPr>
          <w:rFonts w:ascii="Times New Roman" w:hAnsi="Times New Roman"/>
        </w:rPr>
      </w:pPr>
      <w:r>
        <w:rPr>
          <w:rFonts w:ascii="Times New Roman" w:hAnsi="Times New Roman"/>
        </w:rPr>
        <w:tab/>
        <w:t>Dr. Fisher also testifies about problems Sierra Club encountered in obtaining discovery and locating documents from Pacific Power. Specifically, he testifies that, d</w:t>
      </w:r>
      <w:r w:rsidR="005D7FE9">
        <w:rPr>
          <w:rFonts w:ascii="Times New Roman" w:hAnsi="Times New Roman"/>
        </w:rPr>
        <w:t>espite targeted discovery</w:t>
      </w:r>
      <w:r w:rsidR="000058EB">
        <w:rPr>
          <w:rFonts w:ascii="Times New Roman" w:hAnsi="Times New Roman"/>
        </w:rPr>
        <w:t xml:space="preserve"> in March of this year and earlier</w:t>
      </w:r>
      <w:r w:rsidR="005D7FE9">
        <w:rPr>
          <w:rFonts w:ascii="Times New Roman" w:hAnsi="Times New Roman"/>
        </w:rPr>
        <w:t>, he first received access to the Company’s capital spending for the BCC mine on the day of the first hearing</w:t>
      </w:r>
      <w:r w:rsidR="000058EB">
        <w:rPr>
          <w:rFonts w:ascii="Times New Roman" w:hAnsi="Times New Roman"/>
        </w:rPr>
        <w:t>, May 3</w:t>
      </w:r>
      <w:r w:rsidR="00A73BCF">
        <w:rPr>
          <w:rFonts w:ascii="Times New Roman" w:hAnsi="Times New Roman"/>
        </w:rPr>
        <w:t>rd</w:t>
      </w:r>
      <w:r w:rsidR="005D7FE9">
        <w:rPr>
          <w:rFonts w:ascii="Times New Roman" w:hAnsi="Times New Roman"/>
        </w:rPr>
        <w:t>.</w:t>
      </w:r>
      <w:r w:rsidR="000058EB">
        <w:rPr>
          <w:rStyle w:val="FootnoteReference"/>
          <w:rFonts w:ascii="Times New Roman" w:hAnsi="Times New Roman"/>
        </w:rPr>
        <w:footnoteReference w:id="13"/>
      </w:r>
      <w:r w:rsidR="005D7FE9">
        <w:rPr>
          <w:rFonts w:ascii="Times New Roman" w:hAnsi="Times New Roman"/>
        </w:rPr>
        <w:t xml:space="preserve"> </w:t>
      </w:r>
      <w:r w:rsidR="00A73BCF">
        <w:rPr>
          <w:rFonts w:ascii="Times New Roman" w:hAnsi="Times New Roman"/>
        </w:rPr>
        <w:t xml:space="preserve">And Dr. Fisher testified that he first learned </w:t>
      </w:r>
      <w:r w:rsidR="005D7FE9">
        <w:rPr>
          <w:rFonts w:ascii="Times New Roman" w:hAnsi="Times New Roman"/>
        </w:rPr>
        <w:t>from Mr. Twitchell’s supplemental testimony</w:t>
      </w:r>
      <w:r w:rsidR="00A73BCF">
        <w:rPr>
          <w:rFonts w:ascii="Times New Roman" w:hAnsi="Times New Roman"/>
        </w:rPr>
        <w:t xml:space="preserve"> that capital spending </w:t>
      </w:r>
      <w:r w:rsidR="006B5A2A">
        <w:rPr>
          <w:rFonts w:ascii="Times New Roman" w:hAnsi="Times New Roman"/>
        </w:rPr>
        <w:t>schedules</w:t>
      </w:r>
      <w:r w:rsidR="00A73BCF">
        <w:rPr>
          <w:rFonts w:ascii="Times New Roman" w:hAnsi="Times New Roman"/>
        </w:rPr>
        <w:t xml:space="preserve"> relating to the October 2013 mine plan</w:t>
      </w:r>
      <w:r w:rsidR="006D546B">
        <w:rPr>
          <w:rFonts w:ascii="Times New Roman" w:hAnsi="Times New Roman"/>
        </w:rPr>
        <w:t xml:space="preserve"> were accessible</w:t>
      </w:r>
      <w:r w:rsidR="0009713A">
        <w:rPr>
          <w:rFonts w:ascii="Times New Roman" w:hAnsi="Times New Roman"/>
        </w:rPr>
        <w:t xml:space="preserve"> in a particular workbook</w:t>
      </w:r>
      <w:r w:rsidR="008B5D23">
        <w:rPr>
          <w:rFonts w:ascii="Times New Roman" w:hAnsi="Times New Roman"/>
        </w:rPr>
        <w:t xml:space="preserve"> that was available to the parties</w:t>
      </w:r>
      <w:r w:rsidR="005D7FE9">
        <w:rPr>
          <w:rFonts w:ascii="Times New Roman" w:hAnsi="Times New Roman"/>
        </w:rPr>
        <w:t>.</w:t>
      </w:r>
      <w:r w:rsidR="009574E3">
        <w:rPr>
          <w:rStyle w:val="FootnoteReference"/>
          <w:rFonts w:ascii="Times New Roman" w:hAnsi="Times New Roman"/>
        </w:rPr>
        <w:footnoteReference w:id="14"/>
      </w:r>
      <w:r w:rsidR="005D7FE9">
        <w:rPr>
          <w:rFonts w:ascii="Times New Roman" w:hAnsi="Times New Roman"/>
        </w:rPr>
        <w:t xml:space="preserve"> </w:t>
      </w:r>
      <w:r w:rsidR="00E3227E">
        <w:rPr>
          <w:rFonts w:ascii="Times New Roman" w:hAnsi="Times New Roman"/>
        </w:rPr>
        <w:t>Dr. Fisher’s supplemental cross-answering testimony, therefore, responds to newly available information.</w:t>
      </w:r>
    </w:p>
    <w:p w14:paraId="7CF9031C" w14:textId="6CD29A34" w:rsidR="0018230E" w:rsidRDefault="007704CB" w:rsidP="00595702">
      <w:pPr>
        <w:keepNext/>
        <w:numPr>
          <w:ilvl w:val="0"/>
          <w:numId w:val="6"/>
        </w:numPr>
        <w:spacing w:line="480" w:lineRule="auto"/>
        <w:ind w:left="0" w:right="-72" w:hanging="720"/>
        <w:rPr>
          <w:rFonts w:ascii="Times New Roman" w:hAnsi="Times New Roman"/>
        </w:rPr>
      </w:pPr>
      <w:r>
        <w:rPr>
          <w:rFonts w:ascii="Times New Roman" w:hAnsi="Times New Roman"/>
        </w:rPr>
        <w:tab/>
      </w:r>
      <w:r w:rsidR="004313CA">
        <w:rPr>
          <w:rFonts w:ascii="Times New Roman" w:hAnsi="Times New Roman"/>
        </w:rPr>
        <w:t xml:space="preserve">Dr. Fisher based his </w:t>
      </w:r>
      <w:r>
        <w:rPr>
          <w:rFonts w:ascii="Times New Roman" w:hAnsi="Times New Roman"/>
        </w:rPr>
        <w:t>initial</w:t>
      </w:r>
      <w:r w:rsidR="004313CA">
        <w:rPr>
          <w:rFonts w:ascii="Times New Roman" w:hAnsi="Times New Roman"/>
        </w:rPr>
        <w:t xml:space="preserve"> analysis in his response testimony on a July 2014 fueling plan because he believed that was </w:t>
      </w:r>
      <w:r w:rsidR="000A2113">
        <w:rPr>
          <w:rFonts w:ascii="Times New Roman" w:hAnsi="Times New Roman"/>
        </w:rPr>
        <w:t xml:space="preserve">a reasonable proxy for </w:t>
      </w:r>
      <w:r w:rsidR="004313CA">
        <w:rPr>
          <w:rFonts w:ascii="Times New Roman" w:hAnsi="Times New Roman"/>
        </w:rPr>
        <w:t>the October 2013 mine plan.</w:t>
      </w:r>
      <w:r w:rsidR="004313CA">
        <w:rPr>
          <w:rStyle w:val="FootnoteReference"/>
          <w:rFonts w:ascii="Times New Roman" w:hAnsi="Times New Roman"/>
        </w:rPr>
        <w:footnoteReference w:id="15"/>
      </w:r>
      <w:r w:rsidR="004313CA">
        <w:rPr>
          <w:rFonts w:ascii="Times New Roman" w:hAnsi="Times New Roman"/>
        </w:rPr>
        <w:t xml:space="preserve"> In his </w:t>
      </w:r>
      <w:r w:rsidR="00615F10">
        <w:rPr>
          <w:rFonts w:ascii="Times New Roman" w:hAnsi="Times New Roman"/>
        </w:rPr>
        <w:t>cross-answering</w:t>
      </w:r>
      <w:r w:rsidR="004313CA">
        <w:rPr>
          <w:rFonts w:ascii="Times New Roman" w:hAnsi="Times New Roman"/>
        </w:rPr>
        <w:t xml:space="preserve"> testimony, Dr. Fisher explains, however</w:t>
      </w:r>
      <w:r w:rsidR="0085310A">
        <w:rPr>
          <w:rFonts w:ascii="Times New Roman" w:hAnsi="Times New Roman"/>
        </w:rPr>
        <w:t>,</w:t>
      </w:r>
      <w:r w:rsidR="004313CA">
        <w:rPr>
          <w:rFonts w:ascii="Times New Roman" w:hAnsi="Times New Roman"/>
        </w:rPr>
        <w:t xml:space="preserve"> that</w:t>
      </w:r>
      <w:r w:rsidR="0085310A">
        <w:rPr>
          <w:rFonts w:ascii="Times New Roman" w:hAnsi="Times New Roman"/>
        </w:rPr>
        <w:t xml:space="preserve"> when he wrote his response testimony, he had not known that the Company had projected capital costs in plans beyond </w:t>
      </w:r>
      <w:r w:rsidR="004313CA">
        <w:rPr>
          <w:rFonts w:ascii="Times New Roman" w:hAnsi="Times New Roman"/>
        </w:rPr>
        <w:t xml:space="preserve">the </w:t>
      </w:r>
      <w:r w:rsidR="0085310A">
        <w:rPr>
          <w:rFonts w:ascii="Times New Roman" w:hAnsi="Times New Roman"/>
        </w:rPr>
        <w:t>January 2013</w:t>
      </w:r>
      <w:r w:rsidR="004313CA">
        <w:rPr>
          <w:rFonts w:ascii="Times New Roman" w:hAnsi="Times New Roman"/>
        </w:rPr>
        <w:t xml:space="preserve"> plan</w:t>
      </w:r>
      <w:r w:rsidR="0085310A">
        <w:rPr>
          <w:rFonts w:ascii="Times New Roman" w:hAnsi="Times New Roman"/>
        </w:rPr>
        <w:t xml:space="preserve">, and he had not known that capital costs associated with the October </w:t>
      </w:r>
      <w:r w:rsidR="0085310A">
        <w:rPr>
          <w:rFonts w:ascii="Times New Roman" w:hAnsi="Times New Roman"/>
        </w:rPr>
        <w:lastRenderedPageBreak/>
        <w:t>2013 mine plan were available.</w:t>
      </w:r>
      <w:r w:rsidR="0085310A">
        <w:rPr>
          <w:rStyle w:val="FootnoteReference"/>
          <w:rFonts w:ascii="Times New Roman" w:hAnsi="Times New Roman"/>
        </w:rPr>
        <w:footnoteReference w:id="16"/>
      </w:r>
      <w:r w:rsidR="008B5D23">
        <w:rPr>
          <w:rFonts w:ascii="Times New Roman" w:hAnsi="Times New Roman"/>
        </w:rPr>
        <w:t xml:space="preserve"> Dr. Fisher</w:t>
      </w:r>
      <w:r w:rsidR="00615F10">
        <w:rPr>
          <w:rFonts w:ascii="Times New Roman" w:hAnsi="Times New Roman"/>
        </w:rPr>
        <w:t xml:space="preserve">’s </w:t>
      </w:r>
      <w:r w:rsidR="008B5D23">
        <w:rPr>
          <w:rFonts w:ascii="Times New Roman" w:hAnsi="Times New Roman"/>
        </w:rPr>
        <w:t xml:space="preserve">cross-answering testimony </w:t>
      </w:r>
      <w:r w:rsidR="00827E30">
        <w:rPr>
          <w:rFonts w:ascii="Times New Roman" w:hAnsi="Times New Roman"/>
        </w:rPr>
        <w:t xml:space="preserve">in Section II </w:t>
      </w:r>
      <w:r w:rsidR="008B5D23">
        <w:rPr>
          <w:rFonts w:ascii="Times New Roman" w:hAnsi="Times New Roman"/>
        </w:rPr>
        <w:t xml:space="preserve">draws on this additional information and responds </w:t>
      </w:r>
      <w:r w:rsidR="00827E30">
        <w:rPr>
          <w:rFonts w:ascii="Times New Roman" w:hAnsi="Times New Roman"/>
        </w:rPr>
        <w:t xml:space="preserve">directly </w:t>
      </w:r>
      <w:r w:rsidR="008B5D23">
        <w:rPr>
          <w:rFonts w:ascii="Times New Roman" w:hAnsi="Times New Roman"/>
        </w:rPr>
        <w:t xml:space="preserve">to Staff’s </w:t>
      </w:r>
      <w:r w:rsidR="00827E30">
        <w:rPr>
          <w:rFonts w:ascii="Times New Roman" w:hAnsi="Times New Roman"/>
        </w:rPr>
        <w:t xml:space="preserve">supplemental </w:t>
      </w:r>
      <w:r w:rsidR="008B5D23">
        <w:rPr>
          <w:rFonts w:ascii="Times New Roman" w:hAnsi="Times New Roman"/>
        </w:rPr>
        <w:t xml:space="preserve">testimony concerning both the </w:t>
      </w:r>
      <w:r w:rsidR="00F8608F">
        <w:rPr>
          <w:rFonts w:ascii="Times New Roman" w:hAnsi="Times New Roman"/>
        </w:rPr>
        <w:t>SCR</w:t>
      </w:r>
      <w:r w:rsidR="008B5D23">
        <w:rPr>
          <w:rFonts w:ascii="Times New Roman" w:hAnsi="Times New Roman"/>
        </w:rPr>
        <w:t xml:space="preserve"> and gas conversion scenarios.</w:t>
      </w:r>
      <w:r w:rsidR="009B303A">
        <w:rPr>
          <w:rFonts w:ascii="Times New Roman" w:hAnsi="Times New Roman"/>
        </w:rPr>
        <w:t xml:space="preserve"> </w:t>
      </w:r>
      <w:r w:rsidR="00F61442">
        <w:rPr>
          <w:rFonts w:ascii="Times New Roman" w:hAnsi="Times New Roman"/>
        </w:rPr>
        <w:t>In S</w:t>
      </w:r>
      <w:r w:rsidR="00615F10">
        <w:rPr>
          <w:rFonts w:ascii="Times New Roman" w:hAnsi="Times New Roman"/>
        </w:rPr>
        <w:t xml:space="preserve">ection </w:t>
      </w:r>
      <w:r w:rsidR="00827E30">
        <w:rPr>
          <w:rFonts w:ascii="Times New Roman" w:hAnsi="Times New Roman"/>
        </w:rPr>
        <w:t xml:space="preserve">III of </w:t>
      </w:r>
      <w:r w:rsidR="00F61442">
        <w:rPr>
          <w:rFonts w:ascii="Times New Roman" w:hAnsi="Times New Roman"/>
        </w:rPr>
        <w:t xml:space="preserve">his cross-answering testimony, Dr. Fisher </w:t>
      </w:r>
      <w:r>
        <w:rPr>
          <w:rFonts w:ascii="Times New Roman" w:hAnsi="Times New Roman"/>
        </w:rPr>
        <w:t>transparently</w:t>
      </w:r>
      <w:r w:rsidR="00F61442">
        <w:rPr>
          <w:rFonts w:ascii="Times New Roman" w:hAnsi="Times New Roman"/>
        </w:rPr>
        <w:t xml:space="preserve"> </w:t>
      </w:r>
      <w:r w:rsidR="00615F10">
        <w:rPr>
          <w:rFonts w:ascii="Times New Roman" w:hAnsi="Times New Roman"/>
        </w:rPr>
        <w:t xml:space="preserve">walks the reader through the analysis and calculations </w:t>
      </w:r>
      <w:r w:rsidR="00AC0A99">
        <w:rPr>
          <w:rFonts w:ascii="Times New Roman" w:hAnsi="Times New Roman"/>
        </w:rPr>
        <w:t>supporting his te</w:t>
      </w:r>
      <w:r w:rsidR="00D52977">
        <w:rPr>
          <w:rFonts w:ascii="Times New Roman" w:hAnsi="Times New Roman"/>
        </w:rPr>
        <w:t>stimony from</w:t>
      </w:r>
      <w:r w:rsidR="00AC0A99">
        <w:rPr>
          <w:rFonts w:ascii="Times New Roman" w:hAnsi="Times New Roman"/>
        </w:rPr>
        <w:t xml:space="preserve"> </w:t>
      </w:r>
      <w:r w:rsidR="00615F10">
        <w:rPr>
          <w:rFonts w:ascii="Times New Roman" w:hAnsi="Times New Roman"/>
        </w:rPr>
        <w:t>Section II</w:t>
      </w:r>
      <w:r>
        <w:rPr>
          <w:rFonts w:ascii="Times New Roman" w:hAnsi="Times New Roman"/>
        </w:rPr>
        <w:t>. T</w:t>
      </w:r>
      <w:r w:rsidR="00615F10">
        <w:rPr>
          <w:rFonts w:ascii="Times New Roman" w:hAnsi="Times New Roman"/>
        </w:rPr>
        <w:t xml:space="preserve">he two sections are integrally </w:t>
      </w:r>
      <w:bookmarkStart w:id="0" w:name="_GoBack"/>
      <w:bookmarkEnd w:id="0"/>
      <w:r w:rsidR="00615F10">
        <w:rPr>
          <w:rFonts w:ascii="Times New Roman" w:hAnsi="Times New Roman"/>
        </w:rPr>
        <w:t>related.</w:t>
      </w:r>
    </w:p>
    <w:p w14:paraId="4967C8A0" w14:textId="7D501AD4" w:rsidR="00827E30" w:rsidRDefault="00827E30" w:rsidP="00661D34">
      <w:pPr>
        <w:keepNext/>
        <w:numPr>
          <w:ilvl w:val="0"/>
          <w:numId w:val="6"/>
        </w:numPr>
        <w:spacing w:line="480" w:lineRule="auto"/>
        <w:ind w:left="0" w:hanging="720"/>
        <w:rPr>
          <w:rFonts w:ascii="Times New Roman" w:hAnsi="Times New Roman"/>
        </w:rPr>
      </w:pPr>
      <w:r>
        <w:rPr>
          <w:rFonts w:ascii="Times New Roman" w:hAnsi="Times New Roman"/>
        </w:rPr>
        <w:tab/>
        <w:t xml:space="preserve">Section III </w:t>
      </w:r>
      <w:r w:rsidR="00D61047">
        <w:rPr>
          <w:rFonts w:ascii="Times New Roman" w:hAnsi="Times New Roman"/>
        </w:rPr>
        <w:t xml:space="preserve">contains detailed information pertaining to the October 2013 mine plan. </w:t>
      </w:r>
      <w:r w:rsidR="003C6488">
        <w:rPr>
          <w:rFonts w:ascii="Times New Roman" w:hAnsi="Times New Roman"/>
        </w:rPr>
        <w:t>As Dr. Fisher testifies, “[m]</w:t>
      </w:r>
      <w:r w:rsidR="003C6488" w:rsidRPr="003C6488">
        <w:rPr>
          <w:rFonts w:ascii="Times New Roman" w:hAnsi="Times New Roman"/>
        </w:rPr>
        <w:t>ine plans are comprised of approximately twenty different workbooks</w:t>
      </w:r>
      <w:r w:rsidR="003C6488">
        <w:rPr>
          <w:rFonts w:ascii="Times New Roman" w:hAnsi="Times New Roman"/>
        </w:rPr>
        <w:t>.”</w:t>
      </w:r>
      <w:r w:rsidR="003C6488">
        <w:rPr>
          <w:rStyle w:val="FootnoteReference"/>
          <w:rFonts w:ascii="Times New Roman" w:hAnsi="Times New Roman"/>
        </w:rPr>
        <w:footnoteReference w:id="17"/>
      </w:r>
      <w:r w:rsidR="003C6488">
        <w:rPr>
          <w:rFonts w:ascii="Times New Roman" w:hAnsi="Times New Roman"/>
        </w:rPr>
        <w:t xml:space="preserve"> </w:t>
      </w:r>
      <w:r w:rsidR="00D61047">
        <w:rPr>
          <w:rFonts w:ascii="Times New Roman" w:hAnsi="Times New Roman"/>
        </w:rPr>
        <w:t xml:space="preserve">Some of the discussion references costs. For example, in explaining the capital costs that he used in his analysis, Dr. Fisher cites an Excel file titled </w:t>
      </w:r>
      <w:r w:rsidR="00D61047" w:rsidRPr="00D61047">
        <w:rPr>
          <w:rFonts w:ascii="Times New Roman" w:hAnsi="Times New Roman"/>
          <w:i/>
        </w:rPr>
        <w:t>“14 Depr Exp 10YP”, tab “SUM” starting in cell S60. Source: Attach Sierra Club 1.6 1st SUPP CONF\C.8.f Conf\BCC Budget 10-4-2013\OPEX-CAPEX\14 Depr Exp 10YP.xlsx.</w:t>
      </w:r>
      <w:r w:rsidR="006E2D67">
        <w:rPr>
          <w:rStyle w:val="FootnoteReference"/>
          <w:rFonts w:ascii="Times New Roman" w:hAnsi="Times New Roman"/>
          <w:i/>
        </w:rPr>
        <w:footnoteReference w:id="18"/>
      </w:r>
      <w:r w:rsidR="00D61047">
        <w:rPr>
          <w:rFonts w:ascii="Times New Roman" w:hAnsi="Times New Roman"/>
        </w:rPr>
        <w:t xml:space="preserve"> </w:t>
      </w:r>
    </w:p>
    <w:p w14:paraId="057AF0E7" w14:textId="4E493C46" w:rsidR="002C1B3C" w:rsidRPr="003822A4" w:rsidRDefault="002C1B3C" w:rsidP="00661D34">
      <w:pPr>
        <w:keepNext/>
        <w:numPr>
          <w:ilvl w:val="0"/>
          <w:numId w:val="6"/>
        </w:numPr>
        <w:spacing w:line="480" w:lineRule="auto"/>
        <w:ind w:left="0" w:hanging="720"/>
        <w:rPr>
          <w:rFonts w:ascii="Times New Roman" w:hAnsi="Times New Roman"/>
        </w:rPr>
      </w:pPr>
      <w:r>
        <w:rPr>
          <w:rFonts w:ascii="Times New Roman" w:hAnsi="Times New Roman"/>
        </w:rPr>
        <w:tab/>
        <w:t xml:space="preserve">Pacific Power witness Ms. </w:t>
      </w:r>
      <w:r w:rsidR="00B619C7">
        <w:rPr>
          <w:rFonts w:ascii="Times New Roman" w:hAnsi="Times New Roman"/>
        </w:rPr>
        <w:t>Cindy</w:t>
      </w:r>
      <w:r>
        <w:rPr>
          <w:rFonts w:ascii="Times New Roman" w:hAnsi="Times New Roman"/>
        </w:rPr>
        <w:t xml:space="preserve"> Crane also responds to Staff’s supplemental testimony concerning the absence of a gas conversion</w:t>
      </w:r>
      <w:r w:rsidR="00DE5D86">
        <w:rPr>
          <w:rFonts w:ascii="Times New Roman" w:hAnsi="Times New Roman"/>
        </w:rPr>
        <w:t xml:space="preserve"> scenario</w:t>
      </w:r>
      <w:r>
        <w:rPr>
          <w:rFonts w:ascii="Times New Roman" w:hAnsi="Times New Roman"/>
        </w:rPr>
        <w:t xml:space="preserve"> </w:t>
      </w:r>
      <w:r w:rsidR="001204AE">
        <w:rPr>
          <w:rFonts w:ascii="Times New Roman" w:hAnsi="Times New Roman"/>
        </w:rPr>
        <w:t>in</w:t>
      </w:r>
      <w:r>
        <w:rPr>
          <w:rFonts w:ascii="Times New Roman" w:hAnsi="Times New Roman"/>
        </w:rPr>
        <w:t xml:space="preserve"> the October 2013 mine plan.</w:t>
      </w:r>
      <w:r w:rsidR="008E3D48">
        <w:rPr>
          <w:rFonts w:ascii="Times New Roman" w:hAnsi="Times New Roman"/>
        </w:rPr>
        <w:t xml:space="preserve"> Like Dr. Fisher, Ms</w:t>
      </w:r>
      <w:r w:rsidR="00353C42">
        <w:rPr>
          <w:rFonts w:ascii="Times New Roman" w:hAnsi="Times New Roman"/>
        </w:rPr>
        <w:t>.</w:t>
      </w:r>
      <w:r w:rsidR="008E3D48">
        <w:rPr>
          <w:rFonts w:ascii="Times New Roman" w:hAnsi="Times New Roman"/>
        </w:rPr>
        <w:t xml:space="preserve"> Crane discusses</w:t>
      </w:r>
      <w:r>
        <w:rPr>
          <w:rFonts w:ascii="Times New Roman" w:hAnsi="Times New Roman"/>
        </w:rPr>
        <w:t xml:space="preserve"> Mr. Twitchell’s </w:t>
      </w:r>
      <w:r w:rsidR="008F15F1">
        <w:rPr>
          <w:rFonts w:ascii="Times New Roman" w:hAnsi="Times New Roman"/>
        </w:rPr>
        <w:t xml:space="preserve">analysis and </w:t>
      </w:r>
      <w:r>
        <w:rPr>
          <w:rFonts w:ascii="Times New Roman" w:hAnsi="Times New Roman"/>
        </w:rPr>
        <w:t xml:space="preserve">conclusions </w:t>
      </w:r>
      <w:r w:rsidR="008F15F1">
        <w:rPr>
          <w:rFonts w:ascii="Times New Roman" w:hAnsi="Times New Roman"/>
        </w:rPr>
        <w:t>concerning the gas conversion scenario and the implications for the cost of BCC coal.</w:t>
      </w:r>
      <w:r w:rsidR="0067391D">
        <w:rPr>
          <w:rStyle w:val="FootnoteReference"/>
          <w:rFonts w:ascii="Times New Roman" w:hAnsi="Times New Roman"/>
        </w:rPr>
        <w:footnoteReference w:id="19"/>
      </w:r>
      <w:r w:rsidR="00B619C7">
        <w:rPr>
          <w:rFonts w:ascii="Times New Roman" w:hAnsi="Times New Roman"/>
        </w:rPr>
        <w:t xml:space="preserve"> </w:t>
      </w:r>
      <w:r w:rsidR="008E3D48">
        <w:rPr>
          <w:rFonts w:ascii="Times New Roman" w:hAnsi="Times New Roman"/>
        </w:rPr>
        <w:t>Ms. Crane, similar to Dr</w:t>
      </w:r>
      <w:r w:rsidR="00AA16DA">
        <w:rPr>
          <w:rFonts w:ascii="Times New Roman" w:hAnsi="Times New Roman"/>
        </w:rPr>
        <w:t>.</w:t>
      </w:r>
      <w:r w:rsidR="008E3D48">
        <w:rPr>
          <w:rFonts w:ascii="Times New Roman" w:hAnsi="Times New Roman"/>
        </w:rPr>
        <w:t xml:space="preserve"> Fisher, </w:t>
      </w:r>
      <w:r w:rsidR="000306C9">
        <w:rPr>
          <w:rFonts w:ascii="Times New Roman" w:hAnsi="Times New Roman"/>
        </w:rPr>
        <w:t xml:space="preserve">also </w:t>
      </w:r>
      <w:r w:rsidR="008E3D48" w:rsidRPr="008E3D48">
        <w:rPr>
          <w:rFonts w:ascii="Times New Roman" w:hAnsi="Times New Roman"/>
        </w:rPr>
        <w:t xml:space="preserve">quantifies her estimate of the </w:t>
      </w:r>
      <w:r w:rsidR="00DE5D86">
        <w:rPr>
          <w:rFonts w:ascii="Times New Roman" w:hAnsi="Times New Roman"/>
        </w:rPr>
        <w:t>gas conversion</w:t>
      </w:r>
      <w:r w:rsidR="008E3D48" w:rsidRPr="008E3D48">
        <w:rPr>
          <w:rFonts w:ascii="Times New Roman" w:hAnsi="Times New Roman"/>
        </w:rPr>
        <w:t xml:space="preserve"> scenario costs associated with the October 2013 mine plan.</w:t>
      </w:r>
      <w:r w:rsidR="008E3D48">
        <w:rPr>
          <w:rStyle w:val="FootnoteReference"/>
          <w:rFonts w:ascii="Times New Roman" w:hAnsi="Times New Roman"/>
        </w:rPr>
        <w:footnoteReference w:id="20"/>
      </w:r>
    </w:p>
    <w:p w14:paraId="1E4E7244" w14:textId="41D4E056" w:rsidR="007B4430" w:rsidRPr="007B4430" w:rsidRDefault="00D65A9A" w:rsidP="00661D34">
      <w:pPr>
        <w:keepNext/>
        <w:spacing w:line="480" w:lineRule="auto"/>
        <w:jc w:val="center"/>
        <w:rPr>
          <w:rFonts w:ascii="Times New Roman" w:hAnsi="Times New Roman"/>
          <w:b/>
        </w:rPr>
      </w:pPr>
      <w:r>
        <w:rPr>
          <w:rFonts w:ascii="Times New Roman" w:hAnsi="Times New Roman"/>
          <w:b/>
        </w:rPr>
        <w:t>III</w:t>
      </w:r>
      <w:r w:rsidR="00EB0C74">
        <w:rPr>
          <w:rFonts w:ascii="Times New Roman" w:hAnsi="Times New Roman"/>
          <w:b/>
        </w:rPr>
        <w:t xml:space="preserve">.  </w:t>
      </w:r>
      <w:r w:rsidR="007B4430" w:rsidRPr="007B4430">
        <w:rPr>
          <w:rFonts w:ascii="Times New Roman" w:hAnsi="Times New Roman"/>
          <w:b/>
        </w:rPr>
        <w:t>STATEMENT OF ISSUES</w:t>
      </w:r>
    </w:p>
    <w:p w14:paraId="42824A35" w14:textId="516E93C9" w:rsidR="007B4430" w:rsidRPr="007B4430" w:rsidRDefault="007B4430" w:rsidP="00661D34">
      <w:pPr>
        <w:keepNext/>
        <w:numPr>
          <w:ilvl w:val="0"/>
          <w:numId w:val="6"/>
        </w:numPr>
        <w:spacing w:line="480" w:lineRule="auto"/>
        <w:ind w:left="0" w:hanging="720"/>
        <w:rPr>
          <w:rFonts w:ascii="Times New Roman" w:hAnsi="Times New Roman"/>
        </w:rPr>
      </w:pPr>
      <w:r>
        <w:rPr>
          <w:rFonts w:ascii="Times New Roman" w:hAnsi="Times New Roman"/>
        </w:rPr>
        <w:tab/>
      </w:r>
      <w:r w:rsidR="001C70C6">
        <w:rPr>
          <w:rFonts w:ascii="Times New Roman" w:hAnsi="Times New Roman"/>
        </w:rPr>
        <w:t xml:space="preserve">Whether </w:t>
      </w:r>
      <w:r w:rsidR="006425BA">
        <w:rPr>
          <w:rFonts w:ascii="Times New Roman" w:hAnsi="Times New Roman"/>
        </w:rPr>
        <w:t>the Commission should strike Section III of Sierra Club’s cross-answering testimony</w:t>
      </w:r>
      <w:r w:rsidR="008A7C48">
        <w:rPr>
          <w:rFonts w:ascii="Times New Roman" w:hAnsi="Times New Roman"/>
        </w:rPr>
        <w:t xml:space="preserve">, which merely supports Section II and responds directly to Staff’s supplemental </w:t>
      </w:r>
      <w:r w:rsidR="008A7C48">
        <w:rPr>
          <w:rFonts w:ascii="Times New Roman" w:hAnsi="Times New Roman"/>
        </w:rPr>
        <w:lastRenderedPageBreak/>
        <w:t>testimony,</w:t>
      </w:r>
      <w:r w:rsidR="006425BA">
        <w:rPr>
          <w:rFonts w:ascii="Times New Roman" w:hAnsi="Times New Roman"/>
        </w:rPr>
        <w:t xml:space="preserve"> or, in the alternative, allow Pacific Power to rebut this </w:t>
      </w:r>
      <w:r w:rsidR="008A7C48">
        <w:rPr>
          <w:rFonts w:ascii="Times New Roman" w:hAnsi="Times New Roman"/>
        </w:rPr>
        <w:t xml:space="preserve">highly complex testimony, which can only be substantiated </w:t>
      </w:r>
      <w:r w:rsidR="00D65A9A">
        <w:rPr>
          <w:rFonts w:ascii="Times New Roman" w:hAnsi="Times New Roman"/>
        </w:rPr>
        <w:t xml:space="preserve">and challenged </w:t>
      </w:r>
      <w:r w:rsidR="008A7C48">
        <w:rPr>
          <w:rFonts w:ascii="Times New Roman" w:hAnsi="Times New Roman"/>
        </w:rPr>
        <w:t xml:space="preserve">with reference to and review of Excel worksheets, </w:t>
      </w:r>
      <w:r w:rsidR="006425BA">
        <w:rPr>
          <w:rFonts w:ascii="Times New Roman" w:hAnsi="Times New Roman"/>
        </w:rPr>
        <w:t>through live testimony at hearing.</w:t>
      </w:r>
    </w:p>
    <w:p w14:paraId="1B65B33D" w14:textId="4FAA37E2" w:rsidR="007B4430" w:rsidRPr="007B4430" w:rsidRDefault="003A14C7" w:rsidP="00661D34">
      <w:pPr>
        <w:spacing w:line="480" w:lineRule="auto"/>
        <w:jc w:val="center"/>
        <w:rPr>
          <w:rFonts w:ascii="Times New Roman" w:hAnsi="Times New Roman"/>
          <w:b/>
        </w:rPr>
      </w:pPr>
      <w:r>
        <w:rPr>
          <w:rFonts w:ascii="Times New Roman" w:hAnsi="Times New Roman"/>
          <w:b/>
        </w:rPr>
        <w:t>I</w:t>
      </w:r>
      <w:r w:rsidR="00EB0C74">
        <w:rPr>
          <w:rFonts w:ascii="Times New Roman" w:hAnsi="Times New Roman"/>
          <w:b/>
        </w:rPr>
        <w:t xml:space="preserve">V.  </w:t>
      </w:r>
      <w:r w:rsidR="007B4430" w:rsidRPr="007B4430">
        <w:rPr>
          <w:rFonts w:ascii="Times New Roman" w:hAnsi="Times New Roman"/>
          <w:b/>
        </w:rPr>
        <w:t>EVIDENCE RELIED UPON</w:t>
      </w:r>
      <w:r w:rsidR="007B4430" w:rsidRPr="007B4430">
        <w:rPr>
          <w:rFonts w:ascii="Times New Roman" w:hAnsi="Times New Roman"/>
        </w:rPr>
        <w:t xml:space="preserve"> </w:t>
      </w:r>
    </w:p>
    <w:p w14:paraId="58EA17C0" w14:textId="0DC2A3C0" w:rsidR="00EC1A7F" w:rsidRPr="004D6366" w:rsidRDefault="001C70C6" w:rsidP="004D6366">
      <w:pPr>
        <w:keepNext/>
        <w:numPr>
          <w:ilvl w:val="0"/>
          <w:numId w:val="6"/>
        </w:numPr>
        <w:spacing w:line="480" w:lineRule="auto"/>
        <w:ind w:left="0" w:hanging="720"/>
        <w:rPr>
          <w:rFonts w:ascii="Times New Roman" w:hAnsi="Times New Roman"/>
        </w:rPr>
      </w:pPr>
      <w:r>
        <w:rPr>
          <w:rFonts w:ascii="Times New Roman" w:hAnsi="Times New Roman"/>
        </w:rPr>
        <w:tab/>
        <w:t>Staff</w:t>
      </w:r>
      <w:r w:rsidR="0024084F">
        <w:rPr>
          <w:rFonts w:ascii="Times New Roman" w:hAnsi="Times New Roman"/>
        </w:rPr>
        <w:t xml:space="preserve"> primarily</w:t>
      </w:r>
      <w:r>
        <w:rPr>
          <w:rFonts w:ascii="Times New Roman" w:hAnsi="Times New Roman"/>
        </w:rPr>
        <w:t xml:space="preserve"> relies on the </w:t>
      </w:r>
      <w:r w:rsidR="00EC1A7F" w:rsidRPr="004D6366">
        <w:rPr>
          <w:rFonts w:ascii="Times New Roman" w:hAnsi="Times New Roman"/>
        </w:rPr>
        <w:t xml:space="preserve">prefiled </w:t>
      </w:r>
      <w:r w:rsidR="004D6366">
        <w:rPr>
          <w:rFonts w:ascii="Times New Roman" w:hAnsi="Times New Roman"/>
        </w:rPr>
        <w:t>supplemental</w:t>
      </w:r>
      <w:r w:rsidR="00EC1A7F" w:rsidRPr="004D6366">
        <w:rPr>
          <w:rFonts w:ascii="Times New Roman" w:hAnsi="Times New Roman"/>
        </w:rPr>
        <w:t xml:space="preserve"> testimony of Mr. Twitchell, Exhibit No. JBT-</w:t>
      </w:r>
      <w:r w:rsidR="000350C9" w:rsidRPr="004D6366">
        <w:rPr>
          <w:rFonts w:ascii="Times New Roman" w:hAnsi="Times New Roman"/>
        </w:rPr>
        <w:t>1</w:t>
      </w:r>
      <w:r w:rsidR="0024084F">
        <w:rPr>
          <w:rFonts w:ascii="Times New Roman" w:hAnsi="Times New Roman"/>
        </w:rPr>
        <w:t>9HCT, the prefiled</w:t>
      </w:r>
      <w:r w:rsidR="00140D21">
        <w:rPr>
          <w:rFonts w:ascii="Times New Roman" w:hAnsi="Times New Roman"/>
        </w:rPr>
        <w:t xml:space="preserve"> supplemental</w:t>
      </w:r>
      <w:r w:rsidR="0024084F">
        <w:rPr>
          <w:rFonts w:ascii="Times New Roman" w:hAnsi="Times New Roman"/>
        </w:rPr>
        <w:t xml:space="preserve"> cross-answering testimony of Dr. Fisher, </w:t>
      </w:r>
      <w:r w:rsidR="0024084F" w:rsidRPr="0024084F">
        <w:rPr>
          <w:rFonts w:ascii="Times New Roman" w:hAnsi="Times New Roman"/>
        </w:rPr>
        <w:t>Exhibit No. JIF-24CT</w:t>
      </w:r>
      <w:r w:rsidR="00140D21">
        <w:rPr>
          <w:rFonts w:ascii="Times New Roman" w:hAnsi="Times New Roman"/>
        </w:rPr>
        <w:t>, and the prefiled supplemental rebuttal of Ms. Crane, Exhibit</w:t>
      </w:r>
      <w:r w:rsidR="00140D21" w:rsidRPr="00140D21">
        <w:rPr>
          <w:rFonts w:ascii="Times New Roman" w:hAnsi="Times New Roman"/>
        </w:rPr>
        <w:t xml:space="preserve"> No. CAC-1CT</w:t>
      </w:r>
      <w:r w:rsidR="007704CB">
        <w:rPr>
          <w:rFonts w:ascii="Times New Roman" w:hAnsi="Times New Roman"/>
        </w:rPr>
        <w:t xml:space="preserve"> and </w:t>
      </w:r>
      <w:r w:rsidR="007704CB" w:rsidRPr="007704CB">
        <w:rPr>
          <w:rFonts w:ascii="Times New Roman" w:hAnsi="Times New Roman"/>
        </w:rPr>
        <w:t>Exh</w:t>
      </w:r>
      <w:r w:rsidR="007704CB">
        <w:rPr>
          <w:rFonts w:ascii="Times New Roman" w:hAnsi="Times New Roman"/>
        </w:rPr>
        <w:t>ibit</w:t>
      </w:r>
      <w:r w:rsidR="007704CB" w:rsidRPr="007704CB">
        <w:rPr>
          <w:rFonts w:ascii="Times New Roman" w:hAnsi="Times New Roman"/>
        </w:rPr>
        <w:t xml:space="preserve"> N</w:t>
      </w:r>
      <w:r w:rsidR="007704CB">
        <w:rPr>
          <w:rFonts w:ascii="Times New Roman" w:hAnsi="Times New Roman"/>
        </w:rPr>
        <w:t>o</w:t>
      </w:r>
      <w:r w:rsidR="007704CB" w:rsidRPr="007704CB">
        <w:rPr>
          <w:rFonts w:ascii="Times New Roman" w:hAnsi="Times New Roman"/>
        </w:rPr>
        <w:t>. CAC-3C</w:t>
      </w:r>
      <w:r w:rsidR="000350C9" w:rsidRPr="004D6366">
        <w:rPr>
          <w:rFonts w:ascii="Times New Roman" w:hAnsi="Times New Roman"/>
        </w:rPr>
        <w:t>.</w:t>
      </w:r>
    </w:p>
    <w:p w14:paraId="279E0DB3" w14:textId="0680BDCA" w:rsidR="007B4430" w:rsidRPr="007B4430" w:rsidRDefault="00EB0C74" w:rsidP="00661D34">
      <w:pPr>
        <w:widowControl w:val="0"/>
        <w:spacing w:line="480" w:lineRule="auto"/>
        <w:jc w:val="center"/>
        <w:rPr>
          <w:rFonts w:ascii="Times New Roman" w:hAnsi="Times New Roman"/>
          <w:b/>
        </w:rPr>
      </w:pPr>
      <w:r>
        <w:rPr>
          <w:rFonts w:ascii="Times New Roman" w:hAnsi="Times New Roman"/>
          <w:b/>
        </w:rPr>
        <w:t xml:space="preserve">V.  </w:t>
      </w:r>
      <w:r w:rsidR="007B4430" w:rsidRPr="007B4430">
        <w:rPr>
          <w:rFonts w:ascii="Times New Roman" w:hAnsi="Times New Roman"/>
          <w:b/>
        </w:rPr>
        <w:t>ARGUMENT</w:t>
      </w:r>
    </w:p>
    <w:p w14:paraId="7B52D3D2" w14:textId="5A1A35A1" w:rsidR="00FA0445" w:rsidRDefault="00295DF6" w:rsidP="00353C42">
      <w:pPr>
        <w:pStyle w:val="ListParagraph"/>
        <w:widowControl w:val="0"/>
        <w:numPr>
          <w:ilvl w:val="0"/>
          <w:numId w:val="12"/>
        </w:numPr>
        <w:ind w:hanging="720"/>
        <w:rPr>
          <w:rFonts w:ascii="Times New Roman" w:hAnsi="Times New Roman"/>
          <w:b/>
        </w:rPr>
      </w:pPr>
      <w:r>
        <w:rPr>
          <w:rFonts w:ascii="Times New Roman" w:hAnsi="Times New Roman"/>
          <w:b/>
        </w:rPr>
        <w:t xml:space="preserve">The Commission Should Deny </w:t>
      </w:r>
      <w:r w:rsidR="00FA0445" w:rsidRPr="00D26BC1">
        <w:rPr>
          <w:rFonts w:ascii="Times New Roman" w:hAnsi="Times New Roman"/>
          <w:b/>
        </w:rPr>
        <w:t xml:space="preserve">Pacific Power’s </w:t>
      </w:r>
      <w:r w:rsidR="00FA0445" w:rsidRPr="00FA0445">
        <w:rPr>
          <w:rFonts w:ascii="Times New Roman" w:hAnsi="Times New Roman"/>
          <w:b/>
        </w:rPr>
        <w:t xml:space="preserve">Motion </w:t>
      </w:r>
      <w:r w:rsidR="00B37D23">
        <w:rPr>
          <w:rFonts w:ascii="Times New Roman" w:hAnsi="Times New Roman"/>
          <w:b/>
        </w:rPr>
        <w:t>t</w:t>
      </w:r>
      <w:r w:rsidR="00FA0445" w:rsidRPr="00FA0445">
        <w:rPr>
          <w:rFonts w:ascii="Times New Roman" w:hAnsi="Times New Roman"/>
          <w:b/>
        </w:rPr>
        <w:t xml:space="preserve">o Strike </w:t>
      </w:r>
      <w:r w:rsidR="00FA0445" w:rsidRPr="00D26BC1">
        <w:rPr>
          <w:rFonts w:ascii="Times New Roman" w:hAnsi="Times New Roman"/>
          <w:b/>
        </w:rPr>
        <w:t xml:space="preserve">Section III </w:t>
      </w:r>
      <w:r w:rsidR="00B37D23">
        <w:rPr>
          <w:rFonts w:ascii="Times New Roman" w:hAnsi="Times New Roman"/>
          <w:b/>
        </w:rPr>
        <w:t>o</w:t>
      </w:r>
      <w:r w:rsidR="00FA0445" w:rsidRPr="00FA0445">
        <w:rPr>
          <w:rFonts w:ascii="Times New Roman" w:hAnsi="Times New Roman"/>
          <w:b/>
        </w:rPr>
        <w:t xml:space="preserve">f </w:t>
      </w:r>
      <w:r w:rsidR="00FA0445" w:rsidRPr="00D26BC1">
        <w:rPr>
          <w:rFonts w:ascii="Times New Roman" w:hAnsi="Times New Roman"/>
          <w:b/>
        </w:rPr>
        <w:t>Dr</w:t>
      </w:r>
      <w:r w:rsidR="00FA0445" w:rsidRPr="00FA0445">
        <w:rPr>
          <w:rFonts w:ascii="Times New Roman" w:hAnsi="Times New Roman"/>
          <w:b/>
        </w:rPr>
        <w:t xml:space="preserve">. </w:t>
      </w:r>
      <w:r w:rsidR="00FA0445" w:rsidRPr="00D26BC1">
        <w:rPr>
          <w:rFonts w:ascii="Times New Roman" w:hAnsi="Times New Roman"/>
          <w:b/>
        </w:rPr>
        <w:t xml:space="preserve">Fisher’s </w:t>
      </w:r>
      <w:r w:rsidR="00FA0445" w:rsidRPr="00FA0445">
        <w:rPr>
          <w:rFonts w:ascii="Times New Roman" w:hAnsi="Times New Roman"/>
          <w:b/>
        </w:rPr>
        <w:t>Supplemental Cross-Answering Testimony.</w:t>
      </w:r>
    </w:p>
    <w:p w14:paraId="1AB7C01F" w14:textId="77777777" w:rsidR="00353C42" w:rsidRPr="00353C42" w:rsidRDefault="00353C42" w:rsidP="00353C42">
      <w:pPr>
        <w:widowControl w:val="0"/>
        <w:rPr>
          <w:rFonts w:ascii="Times New Roman" w:hAnsi="Times New Roman"/>
          <w:b/>
        </w:rPr>
      </w:pPr>
    </w:p>
    <w:p w14:paraId="6AE6D4C5" w14:textId="337BBF0C" w:rsidR="00B764AE" w:rsidRDefault="007B4430" w:rsidP="00EE471E">
      <w:pPr>
        <w:widowControl w:val="0"/>
        <w:numPr>
          <w:ilvl w:val="0"/>
          <w:numId w:val="6"/>
        </w:numPr>
        <w:spacing w:line="480" w:lineRule="auto"/>
        <w:ind w:left="0" w:hanging="720"/>
        <w:rPr>
          <w:rFonts w:ascii="Times New Roman" w:hAnsi="Times New Roman"/>
        </w:rPr>
      </w:pPr>
      <w:r w:rsidRPr="007B4430">
        <w:rPr>
          <w:rFonts w:ascii="Times New Roman" w:hAnsi="Times New Roman"/>
        </w:rPr>
        <w:tab/>
      </w:r>
      <w:r w:rsidR="00B764AE">
        <w:rPr>
          <w:rFonts w:ascii="Times New Roman" w:hAnsi="Times New Roman"/>
        </w:rPr>
        <w:t xml:space="preserve">Section III of Dr. Fisher’s supplemental cross-answering testimony </w:t>
      </w:r>
      <w:r w:rsidR="00FA0445">
        <w:rPr>
          <w:rFonts w:ascii="Times New Roman" w:hAnsi="Times New Roman"/>
        </w:rPr>
        <w:t>properly responds to Staff’s supplemental testimony and adds value to the record</w:t>
      </w:r>
      <w:r w:rsidR="00B764AE">
        <w:rPr>
          <w:rFonts w:ascii="Times New Roman" w:hAnsi="Times New Roman"/>
        </w:rPr>
        <w:t xml:space="preserve">. </w:t>
      </w:r>
      <w:r w:rsidR="00A22B64">
        <w:rPr>
          <w:rFonts w:ascii="Times New Roman" w:hAnsi="Times New Roman"/>
        </w:rPr>
        <w:t xml:space="preserve">Dr. Fisher’s supplemental testimony on the </w:t>
      </w:r>
      <w:r w:rsidR="00724216">
        <w:rPr>
          <w:rFonts w:ascii="Times New Roman" w:hAnsi="Times New Roman"/>
        </w:rPr>
        <w:t xml:space="preserve">SCR and gas conversion </w:t>
      </w:r>
      <w:r w:rsidR="00A22B64">
        <w:rPr>
          <w:rFonts w:ascii="Times New Roman" w:hAnsi="Times New Roman"/>
        </w:rPr>
        <w:t>scenarios is not improper as Pacific Power claims</w:t>
      </w:r>
      <w:r w:rsidR="00A22B64">
        <w:rPr>
          <w:rStyle w:val="FootnoteReference"/>
          <w:rFonts w:ascii="Times New Roman" w:hAnsi="Times New Roman"/>
        </w:rPr>
        <w:footnoteReference w:id="21"/>
      </w:r>
      <w:r w:rsidR="00A22B64">
        <w:rPr>
          <w:rFonts w:ascii="Times New Roman" w:hAnsi="Times New Roman"/>
        </w:rPr>
        <w:t xml:space="preserve"> because it answers Staff’s supplemental testimony. </w:t>
      </w:r>
      <w:r w:rsidR="00B764AE">
        <w:rPr>
          <w:rFonts w:ascii="Times New Roman" w:hAnsi="Times New Roman"/>
        </w:rPr>
        <w:t>T</w:t>
      </w:r>
      <w:r w:rsidR="00A22B64">
        <w:rPr>
          <w:rFonts w:ascii="Times New Roman" w:hAnsi="Times New Roman"/>
        </w:rPr>
        <w:t>he bulk of Staff’s analysis rests on the</w:t>
      </w:r>
      <w:r w:rsidR="00FE5EBD">
        <w:rPr>
          <w:rFonts w:ascii="Times New Roman" w:hAnsi="Times New Roman"/>
        </w:rPr>
        <w:t xml:space="preserve"> SCR scenario, in which all four Bridger units continue to operate on coal</w:t>
      </w:r>
      <w:r w:rsidR="00A22B64">
        <w:rPr>
          <w:rFonts w:ascii="Times New Roman" w:hAnsi="Times New Roman"/>
        </w:rPr>
        <w:t xml:space="preserve">, </w:t>
      </w:r>
      <w:r w:rsidR="00B764AE">
        <w:rPr>
          <w:rFonts w:ascii="Times New Roman" w:hAnsi="Times New Roman"/>
        </w:rPr>
        <w:t>but Staff witness Mr. Twitchell</w:t>
      </w:r>
      <w:r w:rsidR="00A22B64">
        <w:rPr>
          <w:rFonts w:ascii="Times New Roman" w:hAnsi="Times New Roman"/>
        </w:rPr>
        <w:t xml:space="preserve"> spends five pages in supplemental testimony testifying about the two-unit scenario alone. </w:t>
      </w:r>
      <w:r w:rsidR="00B764AE">
        <w:rPr>
          <w:rFonts w:ascii="Times New Roman" w:hAnsi="Times New Roman"/>
        </w:rPr>
        <w:t>Mr. Twitchell’s analysis in Staff’s</w:t>
      </w:r>
      <w:r w:rsidR="00A22B64">
        <w:rPr>
          <w:rFonts w:ascii="Times New Roman" w:hAnsi="Times New Roman"/>
        </w:rPr>
        <w:t xml:space="preserve"> supplemental testimony is based on the October 2013 mine plan. Accordingly, Dr. Fisher’s testimony analyzing coal costs under </w:t>
      </w:r>
      <w:r w:rsidR="00B764AE">
        <w:rPr>
          <w:rFonts w:ascii="Times New Roman" w:hAnsi="Times New Roman"/>
        </w:rPr>
        <w:t>both</w:t>
      </w:r>
      <w:r w:rsidR="00A22B64">
        <w:rPr>
          <w:rFonts w:ascii="Times New Roman" w:hAnsi="Times New Roman"/>
        </w:rPr>
        <w:t xml:space="preserve"> </w:t>
      </w:r>
      <w:r w:rsidR="0086547C">
        <w:rPr>
          <w:rFonts w:ascii="Times New Roman" w:hAnsi="Times New Roman"/>
        </w:rPr>
        <w:t xml:space="preserve">the SCR and </w:t>
      </w:r>
      <w:r w:rsidR="00A22B64">
        <w:rPr>
          <w:rFonts w:ascii="Times New Roman" w:hAnsi="Times New Roman"/>
        </w:rPr>
        <w:t>gas conversion scenarios and based on the October 2013 mine plan falls squarely within the scope of Mr. Twitchell’s testimony.</w:t>
      </w:r>
      <w:r w:rsidR="00CB11B3">
        <w:rPr>
          <w:rFonts w:ascii="Times New Roman" w:hAnsi="Times New Roman"/>
        </w:rPr>
        <w:t xml:space="preserve"> Because Section III contains the detailed analysis and assumptions underlying the more </w:t>
      </w:r>
      <w:r w:rsidR="00CB11B3">
        <w:rPr>
          <w:rFonts w:ascii="Times New Roman" w:hAnsi="Times New Roman"/>
        </w:rPr>
        <w:lastRenderedPageBreak/>
        <w:t xml:space="preserve">narrative testimony in Section II, the Section III analysis is integral to understanding Section II. Because the Section III testimony covers the same subjects as Section II, it does not make sense to strike Section III. </w:t>
      </w:r>
    </w:p>
    <w:p w14:paraId="639E4CFD" w14:textId="688A8932" w:rsidR="00EE471E" w:rsidRDefault="00B764AE" w:rsidP="00EE471E">
      <w:pPr>
        <w:widowControl w:val="0"/>
        <w:numPr>
          <w:ilvl w:val="0"/>
          <w:numId w:val="6"/>
        </w:numPr>
        <w:spacing w:line="480" w:lineRule="auto"/>
        <w:ind w:left="0" w:hanging="720"/>
        <w:rPr>
          <w:rFonts w:ascii="Times New Roman" w:hAnsi="Times New Roman"/>
        </w:rPr>
      </w:pPr>
      <w:r>
        <w:rPr>
          <w:rFonts w:ascii="Times New Roman" w:hAnsi="Times New Roman"/>
        </w:rPr>
        <w:tab/>
        <w:t>Nor should Dr. Fisher’s testimony be stricken because, as Pacific Power argues, it is “all-new.”</w:t>
      </w:r>
      <w:r>
        <w:rPr>
          <w:rStyle w:val="FootnoteReference"/>
          <w:rFonts w:ascii="Times New Roman" w:hAnsi="Times New Roman"/>
        </w:rPr>
        <w:footnoteReference w:id="22"/>
      </w:r>
      <w:r>
        <w:rPr>
          <w:rFonts w:ascii="Times New Roman" w:hAnsi="Times New Roman"/>
        </w:rPr>
        <w:t xml:space="preserve"> When Staff presented</w:t>
      </w:r>
      <w:r w:rsidR="00A94EDA">
        <w:rPr>
          <w:rFonts w:ascii="Times New Roman" w:hAnsi="Times New Roman"/>
        </w:rPr>
        <w:t xml:space="preserve"> its</w:t>
      </w:r>
      <w:r>
        <w:rPr>
          <w:rFonts w:ascii="Times New Roman" w:hAnsi="Times New Roman"/>
        </w:rPr>
        <w:t xml:space="preserve"> updated analysis based on the October 2013 mine plan</w:t>
      </w:r>
      <w:r w:rsidR="00A94EDA">
        <w:rPr>
          <w:rFonts w:ascii="Times New Roman" w:hAnsi="Times New Roman"/>
        </w:rPr>
        <w:t xml:space="preserve"> in supplemental testimony</w:t>
      </w:r>
      <w:r>
        <w:rPr>
          <w:rFonts w:ascii="Times New Roman" w:hAnsi="Times New Roman"/>
        </w:rPr>
        <w:t>, it was entirely appropriate that t</w:t>
      </w:r>
      <w:r w:rsidR="00A94EDA">
        <w:rPr>
          <w:rFonts w:ascii="Times New Roman" w:hAnsi="Times New Roman"/>
        </w:rPr>
        <w:t>his would elicit updated analyse</w:t>
      </w:r>
      <w:r>
        <w:rPr>
          <w:rFonts w:ascii="Times New Roman" w:hAnsi="Times New Roman"/>
        </w:rPr>
        <w:t>s in response based on the October 2013 mine plan—which it did. Not only Sierra Club but also Pacific Power filed testimony that provides new analysis that is directly responsive to Staff’s analysis and conclusions based on the October 2013 mine plan.</w:t>
      </w:r>
    </w:p>
    <w:p w14:paraId="68D91285" w14:textId="61B8CEEB" w:rsidR="00554352" w:rsidRDefault="00B764AE" w:rsidP="00661D34">
      <w:pPr>
        <w:widowControl w:val="0"/>
        <w:numPr>
          <w:ilvl w:val="0"/>
          <w:numId w:val="6"/>
        </w:numPr>
        <w:spacing w:line="480" w:lineRule="auto"/>
        <w:ind w:left="0" w:hanging="720"/>
        <w:rPr>
          <w:rFonts w:ascii="Times New Roman" w:hAnsi="Times New Roman"/>
        </w:rPr>
      </w:pPr>
      <w:r>
        <w:rPr>
          <w:rFonts w:ascii="Times New Roman" w:hAnsi="Times New Roman"/>
        </w:rPr>
        <w:tab/>
      </w:r>
      <w:r w:rsidR="00CB11B3">
        <w:rPr>
          <w:rFonts w:ascii="Times New Roman" w:hAnsi="Times New Roman"/>
        </w:rPr>
        <w:t xml:space="preserve">While Staff and Sierra Club have pursued different analytical paths and have reached some conflicting conclusions, Staff believes that Dr. Fisher’s supplemental cross-answering testimony in Section III </w:t>
      </w:r>
      <w:r w:rsidR="00C15BE0">
        <w:rPr>
          <w:rFonts w:ascii="Times New Roman" w:hAnsi="Times New Roman"/>
        </w:rPr>
        <w:t>adds value to</w:t>
      </w:r>
      <w:r w:rsidR="00CB11B3">
        <w:rPr>
          <w:rFonts w:ascii="Times New Roman" w:hAnsi="Times New Roman"/>
        </w:rPr>
        <w:t xml:space="preserve"> the record</w:t>
      </w:r>
      <w:r w:rsidR="00C15BE0">
        <w:rPr>
          <w:rFonts w:ascii="Times New Roman" w:hAnsi="Times New Roman"/>
        </w:rPr>
        <w:t xml:space="preserve"> and, </w:t>
      </w:r>
      <w:r w:rsidR="00295DF6">
        <w:rPr>
          <w:rFonts w:ascii="Times New Roman" w:hAnsi="Times New Roman"/>
        </w:rPr>
        <w:t>therefore</w:t>
      </w:r>
      <w:r w:rsidR="00C15BE0">
        <w:rPr>
          <w:rFonts w:ascii="Times New Roman" w:hAnsi="Times New Roman"/>
        </w:rPr>
        <w:t xml:space="preserve">, should </w:t>
      </w:r>
      <w:r w:rsidR="00AF0E82">
        <w:rPr>
          <w:rFonts w:ascii="Times New Roman" w:hAnsi="Times New Roman"/>
        </w:rPr>
        <w:t>stand</w:t>
      </w:r>
      <w:r w:rsidR="00CB11B3">
        <w:rPr>
          <w:rFonts w:ascii="Times New Roman" w:hAnsi="Times New Roman"/>
        </w:rPr>
        <w:t>.</w:t>
      </w:r>
      <w:r w:rsidR="00C15BE0">
        <w:rPr>
          <w:rFonts w:ascii="Times New Roman" w:hAnsi="Times New Roman"/>
        </w:rPr>
        <w:t xml:space="preserve"> Section III provides necessary </w:t>
      </w:r>
      <w:r w:rsidR="006B4DCC">
        <w:rPr>
          <w:rFonts w:ascii="Times New Roman" w:hAnsi="Times New Roman"/>
        </w:rPr>
        <w:t xml:space="preserve">transparent and </w:t>
      </w:r>
      <w:r w:rsidR="00C15BE0">
        <w:rPr>
          <w:rFonts w:ascii="Times New Roman" w:hAnsi="Times New Roman"/>
        </w:rPr>
        <w:t xml:space="preserve">detailed support for Section II, in which Dr. Fisher analyzes Staff’s conclusions and discusses his own conclusions concerning coal costs under the two-unit versus the four-unit scenarios. Striking Section III is akin to deleting workpapers supporting </w:t>
      </w:r>
      <w:r w:rsidR="00AF0E82">
        <w:rPr>
          <w:rFonts w:ascii="Times New Roman" w:hAnsi="Times New Roman"/>
        </w:rPr>
        <w:t>Dr. Fisher’s</w:t>
      </w:r>
      <w:r w:rsidR="00C15BE0">
        <w:rPr>
          <w:rFonts w:ascii="Times New Roman" w:hAnsi="Times New Roman"/>
        </w:rPr>
        <w:t xml:space="preserve"> conclusions.</w:t>
      </w:r>
    </w:p>
    <w:p w14:paraId="25BE3CC6" w14:textId="7EBA50B6" w:rsidR="00A94EDA" w:rsidRDefault="00A94EDA" w:rsidP="00353C42">
      <w:pPr>
        <w:numPr>
          <w:ilvl w:val="0"/>
          <w:numId w:val="6"/>
        </w:numPr>
        <w:spacing w:line="480" w:lineRule="auto"/>
        <w:ind w:left="0" w:hanging="720"/>
        <w:rPr>
          <w:rFonts w:ascii="Times New Roman" w:hAnsi="Times New Roman"/>
        </w:rPr>
      </w:pPr>
      <w:r>
        <w:rPr>
          <w:rFonts w:ascii="Times New Roman" w:hAnsi="Times New Roman"/>
        </w:rPr>
        <w:tab/>
        <w:t xml:space="preserve">Finally, </w:t>
      </w:r>
      <w:r w:rsidR="00B51D61">
        <w:rPr>
          <w:rFonts w:ascii="Times New Roman" w:hAnsi="Times New Roman"/>
        </w:rPr>
        <w:t xml:space="preserve">it is not only valuable but appropriate to have Dr. Fisher’s supplemental analysis in the record. Based on </w:t>
      </w:r>
      <w:r w:rsidR="00E3227E">
        <w:rPr>
          <w:rFonts w:ascii="Times New Roman" w:hAnsi="Times New Roman"/>
        </w:rPr>
        <w:t xml:space="preserve">Dr. Fisher’s </w:t>
      </w:r>
      <w:r w:rsidR="00B51D61">
        <w:rPr>
          <w:rFonts w:ascii="Times New Roman" w:hAnsi="Times New Roman"/>
        </w:rPr>
        <w:t>testimony, Sierra Club</w:t>
      </w:r>
      <w:r w:rsidR="00E3227E">
        <w:rPr>
          <w:rFonts w:ascii="Times New Roman" w:hAnsi="Times New Roman"/>
        </w:rPr>
        <w:t xml:space="preserve"> apparently</w:t>
      </w:r>
      <w:r w:rsidR="00B51D61">
        <w:rPr>
          <w:rFonts w:ascii="Times New Roman" w:hAnsi="Times New Roman"/>
        </w:rPr>
        <w:t xml:space="preserve"> faced some of the same problems obtaining timely and complete discovery from Pacific Power that Staff described in its motion for leave to file supplemental testimony. It appears that the Company doled out discovery piecemeal, which required Sierra Club to perform analytical work</w:t>
      </w:r>
      <w:r w:rsidR="00D84CF5">
        <w:rPr>
          <w:rFonts w:ascii="Times New Roman" w:hAnsi="Times New Roman"/>
        </w:rPr>
        <w:t>-</w:t>
      </w:r>
      <w:r w:rsidR="00B51D61">
        <w:rPr>
          <w:rFonts w:ascii="Times New Roman" w:hAnsi="Times New Roman"/>
        </w:rPr>
        <w:t>arounds.</w:t>
      </w:r>
      <w:r w:rsidR="00271B9B">
        <w:rPr>
          <w:rFonts w:ascii="Times New Roman" w:hAnsi="Times New Roman"/>
        </w:rPr>
        <w:t xml:space="preserve"> Sierra Club should not be penalized for </w:t>
      </w:r>
      <w:r w:rsidR="00BF3332">
        <w:rPr>
          <w:rFonts w:ascii="Times New Roman" w:hAnsi="Times New Roman"/>
        </w:rPr>
        <w:t xml:space="preserve">the way in which </w:t>
      </w:r>
      <w:r w:rsidR="00271B9B">
        <w:rPr>
          <w:rFonts w:ascii="Times New Roman" w:hAnsi="Times New Roman"/>
        </w:rPr>
        <w:t>Pacific Power</w:t>
      </w:r>
      <w:r w:rsidR="00BF3332">
        <w:rPr>
          <w:rFonts w:ascii="Times New Roman" w:hAnsi="Times New Roman"/>
        </w:rPr>
        <w:t xml:space="preserve"> managed</w:t>
      </w:r>
      <w:r w:rsidR="00271B9B">
        <w:rPr>
          <w:rFonts w:ascii="Times New Roman" w:hAnsi="Times New Roman"/>
        </w:rPr>
        <w:t xml:space="preserve"> </w:t>
      </w:r>
      <w:r w:rsidR="00BF3332">
        <w:rPr>
          <w:rFonts w:ascii="Times New Roman" w:hAnsi="Times New Roman"/>
        </w:rPr>
        <w:lastRenderedPageBreak/>
        <w:t>the</w:t>
      </w:r>
      <w:r w:rsidR="00271B9B">
        <w:rPr>
          <w:rFonts w:ascii="Times New Roman" w:hAnsi="Times New Roman"/>
        </w:rPr>
        <w:t xml:space="preserve"> discovery </w:t>
      </w:r>
      <w:r w:rsidR="00BF3332">
        <w:rPr>
          <w:rFonts w:ascii="Times New Roman" w:hAnsi="Times New Roman"/>
        </w:rPr>
        <w:t xml:space="preserve">process, and Dr. Fisher’s analysis </w:t>
      </w:r>
      <w:r w:rsidR="00271B9B">
        <w:rPr>
          <w:rFonts w:ascii="Times New Roman" w:hAnsi="Times New Roman"/>
        </w:rPr>
        <w:t xml:space="preserve">incorporating </w:t>
      </w:r>
      <w:r w:rsidR="00BF3332">
        <w:rPr>
          <w:rFonts w:ascii="Times New Roman" w:hAnsi="Times New Roman"/>
        </w:rPr>
        <w:t>all of the information Sierra Club now has should remain in the record</w:t>
      </w:r>
      <w:r w:rsidR="00271B9B">
        <w:rPr>
          <w:rFonts w:ascii="Times New Roman" w:hAnsi="Times New Roman"/>
        </w:rPr>
        <w:t xml:space="preserve">. </w:t>
      </w:r>
    </w:p>
    <w:p w14:paraId="671193A5" w14:textId="13FD9F3D" w:rsidR="00FA0445" w:rsidRDefault="00295DF6" w:rsidP="00353C42">
      <w:pPr>
        <w:pStyle w:val="ListParagraph"/>
        <w:widowControl w:val="0"/>
        <w:numPr>
          <w:ilvl w:val="0"/>
          <w:numId w:val="12"/>
        </w:numPr>
        <w:ind w:hanging="720"/>
        <w:rPr>
          <w:rFonts w:ascii="Times New Roman" w:hAnsi="Times New Roman"/>
          <w:b/>
        </w:rPr>
      </w:pPr>
      <w:r>
        <w:rPr>
          <w:rFonts w:ascii="Times New Roman" w:hAnsi="Times New Roman"/>
          <w:b/>
        </w:rPr>
        <w:t xml:space="preserve">The Commission Should Also Deny </w:t>
      </w:r>
      <w:r w:rsidR="00FA0445" w:rsidRPr="00D26BC1">
        <w:rPr>
          <w:rFonts w:ascii="Times New Roman" w:hAnsi="Times New Roman"/>
          <w:b/>
        </w:rPr>
        <w:t xml:space="preserve">Pacific Power’s </w:t>
      </w:r>
      <w:r w:rsidR="00B37D23" w:rsidRPr="00B37D23">
        <w:rPr>
          <w:rFonts w:ascii="Times New Roman" w:hAnsi="Times New Roman"/>
          <w:b/>
        </w:rPr>
        <w:t xml:space="preserve">Alternative Motion </w:t>
      </w:r>
      <w:r w:rsidR="00B37D23">
        <w:rPr>
          <w:rFonts w:ascii="Times New Roman" w:hAnsi="Times New Roman"/>
          <w:b/>
        </w:rPr>
        <w:t>f</w:t>
      </w:r>
      <w:r w:rsidR="00B37D23" w:rsidRPr="00B37D23">
        <w:rPr>
          <w:rFonts w:ascii="Times New Roman" w:hAnsi="Times New Roman"/>
          <w:b/>
        </w:rPr>
        <w:t>or Live Rebuttal Testimony.</w:t>
      </w:r>
    </w:p>
    <w:p w14:paraId="5C823078" w14:textId="77777777" w:rsidR="00353C42" w:rsidRPr="00353C42" w:rsidRDefault="00353C42" w:rsidP="00353C42">
      <w:pPr>
        <w:widowControl w:val="0"/>
        <w:rPr>
          <w:rFonts w:ascii="Times New Roman" w:hAnsi="Times New Roman"/>
          <w:b/>
        </w:rPr>
      </w:pPr>
    </w:p>
    <w:p w14:paraId="2C33654E" w14:textId="257A4DCD" w:rsidR="0045457A" w:rsidRDefault="0045457A" w:rsidP="00661D34">
      <w:pPr>
        <w:widowControl w:val="0"/>
        <w:numPr>
          <w:ilvl w:val="0"/>
          <w:numId w:val="6"/>
        </w:numPr>
        <w:spacing w:line="480" w:lineRule="auto"/>
        <w:ind w:left="0" w:hanging="720"/>
        <w:rPr>
          <w:rFonts w:ascii="Times New Roman" w:hAnsi="Times New Roman"/>
        </w:rPr>
      </w:pPr>
      <w:r>
        <w:rPr>
          <w:rFonts w:ascii="Times New Roman" w:hAnsi="Times New Roman"/>
        </w:rPr>
        <w:tab/>
        <w:t xml:space="preserve">Live direct testimony on </w:t>
      </w:r>
      <w:r w:rsidR="00F54217">
        <w:rPr>
          <w:rFonts w:ascii="Times New Roman" w:hAnsi="Times New Roman"/>
        </w:rPr>
        <w:t>coal costs under different scenarios</w:t>
      </w:r>
      <w:r>
        <w:rPr>
          <w:rFonts w:ascii="Times New Roman" w:hAnsi="Times New Roman"/>
        </w:rPr>
        <w:t xml:space="preserve"> is impractical</w:t>
      </w:r>
      <w:r w:rsidR="00FA0445">
        <w:rPr>
          <w:rFonts w:ascii="Times New Roman" w:hAnsi="Times New Roman"/>
        </w:rPr>
        <w:t xml:space="preserve">, </w:t>
      </w:r>
      <w:r>
        <w:rPr>
          <w:rFonts w:ascii="Times New Roman" w:hAnsi="Times New Roman"/>
        </w:rPr>
        <w:t xml:space="preserve">unfair </w:t>
      </w:r>
      <w:r w:rsidR="00FA0445">
        <w:rPr>
          <w:rFonts w:ascii="Times New Roman" w:hAnsi="Times New Roman"/>
        </w:rPr>
        <w:t>to other parties,</w:t>
      </w:r>
      <w:r>
        <w:rPr>
          <w:rFonts w:ascii="Times New Roman" w:hAnsi="Times New Roman"/>
        </w:rPr>
        <w:t xml:space="preserve"> and </w:t>
      </w:r>
      <w:r w:rsidR="00FA0445">
        <w:rPr>
          <w:rFonts w:ascii="Times New Roman" w:hAnsi="Times New Roman"/>
        </w:rPr>
        <w:t>will not add value to the record</w:t>
      </w:r>
      <w:r>
        <w:rPr>
          <w:rFonts w:ascii="Times New Roman" w:hAnsi="Times New Roman"/>
        </w:rPr>
        <w:t>.</w:t>
      </w:r>
      <w:r w:rsidR="00F54217">
        <w:rPr>
          <w:rFonts w:ascii="Times New Roman" w:hAnsi="Times New Roman"/>
        </w:rPr>
        <w:t xml:space="preserve"> Mine plans are incredibly complex documents that require rigorous time-intensive review. The score of workbooks that comprise a mine plan translates into hundreds of worksheets and thousands of cells. Testimony that rebuts Section III of Dr. Fisher’s cross-answering testimony would require the support of calculations and references to Excel worksheets in order to be effective. </w:t>
      </w:r>
      <w:r w:rsidR="00E97D99">
        <w:rPr>
          <w:rFonts w:ascii="Times New Roman" w:hAnsi="Times New Roman"/>
        </w:rPr>
        <w:t>To analyze the testimony on coal costs that the Company proposes providing live at hearing and to cross examine on this testimony, the other parties would need to have access to the calculations and workpapers supporting the Company’s testimony, which of course is completely impractical for hearing. Without the opportunity to review supporting documents, however, i</w:t>
      </w:r>
      <w:r w:rsidR="00F54217">
        <w:rPr>
          <w:rFonts w:ascii="Times New Roman" w:hAnsi="Times New Roman"/>
        </w:rPr>
        <w:t>t would be impossible to cross examine Ms. Crane on assertions she likely would make about the Company’s calculations and mine plan inputs. And it would therefore be unfair to the other parties to have to cross examine a witness on such testimony</w:t>
      </w:r>
      <w:r w:rsidR="00B5053A">
        <w:rPr>
          <w:rFonts w:ascii="Times New Roman" w:hAnsi="Times New Roman"/>
        </w:rPr>
        <w:t>—especially without an opportunity to review her analysis</w:t>
      </w:r>
      <w:r w:rsidR="005F017C">
        <w:rPr>
          <w:rFonts w:ascii="Times New Roman" w:hAnsi="Times New Roman"/>
        </w:rPr>
        <w:t xml:space="preserve"> or time to prepare for cross examination</w:t>
      </w:r>
      <w:r w:rsidR="00F54217">
        <w:rPr>
          <w:rFonts w:ascii="Times New Roman" w:hAnsi="Times New Roman"/>
        </w:rPr>
        <w:t xml:space="preserve">. </w:t>
      </w:r>
      <w:r w:rsidR="002B5FDD">
        <w:rPr>
          <w:rFonts w:ascii="Times New Roman" w:hAnsi="Times New Roman"/>
        </w:rPr>
        <w:t xml:space="preserve">Such unsupported live testimony, which could not be appropriately vetted </w:t>
      </w:r>
      <w:r w:rsidR="005F017C">
        <w:rPr>
          <w:rFonts w:ascii="Times New Roman" w:hAnsi="Times New Roman"/>
        </w:rPr>
        <w:t xml:space="preserve">by review, data requests, or </w:t>
      </w:r>
      <w:r w:rsidR="002B5FDD">
        <w:rPr>
          <w:rFonts w:ascii="Times New Roman" w:hAnsi="Times New Roman"/>
        </w:rPr>
        <w:t xml:space="preserve">cross examination, would only expend hearing time without </w:t>
      </w:r>
      <w:r w:rsidR="007A6AD9">
        <w:rPr>
          <w:rFonts w:ascii="Times New Roman" w:hAnsi="Times New Roman"/>
        </w:rPr>
        <w:t>contributing</w:t>
      </w:r>
      <w:r w:rsidR="005F017C">
        <w:rPr>
          <w:rFonts w:ascii="Times New Roman" w:hAnsi="Times New Roman"/>
        </w:rPr>
        <w:t xml:space="preserve"> credible testimony to</w:t>
      </w:r>
      <w:r w:rsidR="002B5FDD">
        <w:rPr>
          <w:rFonts w:ascii="Times New Roman" w:hAnsi="Times New Roman"/>
        </w:rPr>
        <w:t xml:space="preserve"> the record.</w:t>
      </w:r>
    </w:p>
    <w:p w14:paraId="5D56613F" w14:textId="6B0E8347" w:rsidR="005F017C" w:rsidRPr="006753C7" w:rsidRDefault="00983AA4" w:rsidP="006753C7">
      <w:pPr>
        <w:widowControl w:val="0"/>
        <w:numPr>
          <w:ilvl w:val="0"/>
          <w:numId w:val="6"/>
        </w:numPr>
        <w:spacing w:line="480" w:lineRule="auto"/>
        <w:ind w:left="0" w:hanging="720"/>
        <w:rPr>
          <w:rFonts w:ascii="Times New Roman" w:hAnsi="Times New Roman"/>
        </w:rPr>
      </w:pPr>
      <w:r w:rsidRPr="005F017C">
        <w:rPr>
          <w:rFonts w:ascii="Times New Roman" w:hAnsi="Times New Roman"/>
        </w:rPr>
        <w:tab/>
      </w:r>
      <w:r w:rsidR="005F017C" w:rsidRPr="005F017C">
        <w:rPr>
          <w:rFonts w:ascii="Times New Roman" w:hAnsi="Times New Roman"/>
        </w:rPr>
        <w:t xml:space="preserve">Importantly, </w:t>
      </w:r>
      <w:r w:rsidRPr="005F017C">
        <w:rPr>
          <w:rFonts w:ascii="Times New Roman" w:hAnsi="Times New Roman"/>
        </w:rPr>
        <w:t xml:space="preserve">Ms. </w:t>
      </w:r>
      <w:r>
        <w:rPr>
          <w:rFonts w:ascii="Times New Roman" w:hAnsi="Times New Roman"/>
        </w:rPr>
        <w:t xml:space="preserve">Crane has already </w:t>
      </w:r>
      <w:r w:rsidR="005F017C" w:rsidRPr="005F017C">
        <w:rPr>
          <w:rFonts w:ascii="Times New Roman" w:hAnsi="Times New Roman"/>
        </w:rPr>
        <w:t xml:space="preserve">addressed the topic of </w:t>
      </w:r>
      <w:r w:rsidR="005F017C">
        <w:rPr>
          <w:rFonts w:ascii="Times New Roman" w:hAnsi="Times New Roman"/>
        </w:rPr>
        <w:t xml:space="preserve">coal costs under </w:t>
      </w:r>
      <w:r w:rsidR="005F017C" w:rsidRPr="005F017C">
        <w:rPr>
          <w:rFonts w:ascii="Times New Roman" w:hAnsi="Times New Roman"/>
        </w:rPr>
        <w:t>a two-unit scenario based on the October 2013 mine plan</w:t>
      </w:r>
      <w:r>
        <w:rPr>
          <w:rFonts w:ascii="Times New Roman" w:hAnsi="Times New Roman"/>
        </w:rPr>
        <w:t xml:space="preserve">. </w:t>
      </w:r>
      <w:r w:rsidR="005F017C">
        <w:rPr>
          <w:rFonts w:ascii="Times New Roman" w:hAnsi="Times New Roman"/>
        </w:rPr>
        <w:t xml:space="preserve">Like Dr. Fisher, Ms. Crane responded to Staff’s assumptions about how </w:t>
      </w:r>
      <w:r w:rsidR="000F11CE">
        <w:rPr>
          <w:rFonts w:ascii="Times New Roman" w:hAnsi="Times New Roman"/>
        </w:rPr>
        <w:t>coal costs would change under a</w:t>
      </w:r>
      <w:r w:rsidR="000F11CE" w:rsidRPr="000F11CE">
        <w:rPr>
          <w:rFonts w:ascii="Times New Roman" w:hAnsi="Times New Roman"/>
        </w:rPr>
        <w:t xml:space="preserve"> two-unit scenario based on </w:t>
      </w:r>
      <w:r w:rsidR="000F11CE" w:rsidRPr="000F11CE">
        <w:rPr>
          <w:rFonts w:ascii="Times New Roman" w:hAnsi="Times New Roman"/>
        </w:rPr>
        <w:lastRenderedPageBreak/>
        <w:t>the October 2013 mine plan</w:t>
      </w:r>
      <w:r w:rsidR="000F11CE">
        <w:rPr>
          <w:rFonts w:ascii="Times New Roman" w:hAnsi="Times New Roman"/>
        </w:rPr>
        <w:t>.</w:t>
      </w:r>
      <w:r w:rsidR="000F11CE">
        <w:rPr>
          <w:rStyle w:val="FootnoteReference"/>
          <w:rFonts w:ascii="Times New Roman" w:hAnsi="Times New Roman"/>
        </w:rPr>
        <w:footnoteReference w:id="23"/>
      </w:r>
      <w:r w:rsidR="000F11CE">
        <w:rPr>
          <w:rFonts w:ascii="Times New Roman" w:hAnsi="Times New Roman"/>
        </w:rPr>
        <w:t xml:space="preserve"> And, like Dr. Fisher, </w:t>
      </w:r>
      <w:r w:rsidR="000F11CE" w:rsidRPr="000F11CE">
        <w:rPr>
          <w:rFonts w:ascii="Times New Roman" w:hAnsi="Times New Roman"/>
        </w:rPr>
        <w:t>Ms. Crane</w:t>
      </w:r>
      <w:r w:rsidR="000F11CE">
        <w:rPr>
          <w:rFonts w:ascii="Times New Roman" w:hAnsi="Times New Roman"/>
        </w:rPr>
        <w:t xml:space="preserve"> performed the analysis that Staff acknowledged it could not do—she quantified the impact of </w:t>
      </w:r>
      <w:r w:rsidR="000F11CE" w:rsidRPr="000F11CE">
        <w:rPr>
          <w:rFonts w:ascii="Times New Roman" w:hAnsi="Times New Roman"/>
        </w:rPr>
        <w:t>the October 2013 mine plan</w:t>
      </w:r>
      <w:r w:rsidR="000F11CE">
        <w:rPr>
          <w:rFonts w:ascii="Times New Roman" w:hAnsi="Times New Roman"/>
        </w:rPr>
        <w:t xml:space="preserve"> on Bridger operating under</w:t>
      </w:r>
      <w:r w:rsidR="006753C7">
        <w:rPr>
          <w:rFonts w:ascii="Times New Roman" w:hAnsi="Times New Roman"/>
        </w:rPr>
        <w:t xml:space="preserve"> a</w:t>
      </w:r>
      <w:r w:rsidR="000F11CE">
        <w:rPr>
          <w:rFonts w:ascii="Times New Roman" w:hAnsi="Times New Roman"/>
        </w:rPr>
        <w:t xml:space="preserve"> </w:t>
      </w:r>
      <w:r w:rsidR="000F11CE" w:rsidRPr="000F11CE">
        <w:rPr>
          <w:rFonts w:ascii="Times New Roman" w:hAnsi="Times New Roman"/>
        </w:rPr>
        <w:t>two-unit scenario</w:t>
      </w:r>
      <w:r w:rsidR="000F11CE">
        <w:rPr>
          <w:rFonts w:ascii="Times New Roman" w:hAnsi="Times New Roman"/>
        </w:rPr>
        <w:t>.</w:t>
      </w:r>
      <w:r w:rsidR="000F11CE">
        <w:rPr>
          <w:rStyle w:val="FootnoteReference"/>
          <w:rFonts w:ascii="Times New Roman" w:hAnsi="Times New Roman"/>
        </w:rPr>
        <w:footnoteReference w:id="24"/>
      </w:r>
      <w:r w:rsidR="000F11CE">
        <w:rPr>
          <w:rFonts w:ascii="Times New Roman" w:hAnsi="Times New Roman"/>
        </w:rPr>
        <w:t xml:space="preserve"> </w:t>
      </w:r>
      <w:r w:rsidR="000F11CE" w:rsidRPr="000F11CE">
        <w:rPr>
          <w:rFonts w:ascii="Times New Roman" w:hAnsi="Times New Roman"/>
        </w:rPr>
        <w:t>Ms. Crane</w:t>
      </w:r>
      <w:r w:rsidR="000F11CE">
        <w:rPr>
          <w:rFonts w:ascii="Times New Roman" w:hAnsi="Times New Roman"/>
        </w:rPr>
        <w:t>, therefore, has already respo</w:t>
      </w:r>
      <w:r w:rsidR="000B6F70">
        <w:rPr>
          <w:rFonts w:ascii="Times New Roman" w:hAnsi="Times New Roman"/>
        </w:rPr>
        <w:t>nded to the issue in question.</w:t>
      </w:r>
      <w:r w:rsidR="006753C7">
        <w:rPr>
          <w:rFonts w:ascii="Times New Roman" w:hAnsi="Times New Roman"/>
        </w:rPr>
        <w:t xml:space="preserve"> In addition, Pacific Power has already conducted discovery on Dr. Fisher’s cross-answering testimony and has had the opportunity to prepare cross examination in advance of hearing. </w:t>
      </w:r>
      <w:r w:rsidR="006753C7" w:rsidRPr="006753C7">
        <w:rPr>
          <w:rFonts w:ascii="Times New Roman" w:hAnsi="Times New Roman"/>
        </w:rPr>
        <w:t xml:space="preserve">If Ms. Crane is granted leave to provide live supplemental testimony, none of the other parties will have these same opportunities. </w:t>
      </w:r>
      <w:r w:rsidR="002F4D32">
        <w:rPr>
          <w:rFonts w:ascii="Times New Roman" w:hAnsi="Times New Roman"/>
        </w:rPr>
        <w:t>Under a typical rate case procedural schedule, the company addresses any cross-answering testimony through cross examination and on brief.</w:t>
      </w:r>
    </w:p>
    <w:p w14:paraId="719C66CC" w14:textId="4AA716DB" w:rsidR="00983AA4" w:rsidRDefault="00983AA4" w:rsidP="00661D34">
      <w:pPr>
        <w:widowControl w:val="0"/>
        <w:numPr>
          <w:ilvl w:val="0"/>
          <w:numId w:val="6"/>
        </w:numPr>
        <w:spacing w:line="480" w:lineRule="auto"/>
        <w:ind w:left="0" w:hanging="720"/>
        <w:rPr>
          <w:rFonts w:ascii="Times New Roman" w:hAnsi="Times New Roman"/>
        </w:rPr>
      </w:pPr>
      <w:r w:rsidRPr="000B6F70">
        <w:rPr>
          <w:rFonts w:ascii="Times New Roman" w:hAnsi="Times New Roman"/>
        </w:rPr>
        <w:t xml:space="preserve"> </w:t>
      </w:r>
      <w:r w:rsidR="005F017C" w:rsidRPr="000B6F70">
        <w:rPr>
          <w:rFonts w:ascii="Times New Roman" w:hAnsi="Times New Roman"/>
        </w:rPr>
        <w:tab/>
      </w:r>
      <w:r w:rsidR="007A29E2">
        <w:rPr>
          <w:rFonts w:ascii="Times New Roman" w:hAnsi="Times New Roman"/>
        </w:rPr>
        <w:t xml:space="preserve">If </w:t>
      </w:r>
      <w:r w:rsidR="000B71FA">
        <w:rPr>
          <w:rFonts w:ascii="Times New Roman" w:hAnsi="Times New Roman"/>
        </w:rPr>
        <w:t xml:space="preserve">Pacific Power wishes to supplement </w:t>
      </w:r>
      <w:r w:rsidR="000B6F70" w:rsidRPr="000B6F70">
        <w:rPr>
          <w:rFonts w:ascii="Times New Roman" w:hAnsi="Times New Roman"/>
        </w:rPr>
        <w:t xml:space="preserve">its </w:t>
      </w:r>
      <w:r w:rsidR="000B71FA">
        <w:rPr>
          <w:rFonts w:ascii="Times New Roman" w:hAnsi="Times New Roman"/>
        </w:rPr>
        <w:t>testimony</w:t>
      </w:r>
      <w:r w:rsidR="007A29E2">
        <w:rPr>
          <w:rFonts w:ascii="Times New Roman" w:hAnsi="Times New Roman"/>
        </w:rPr>
        <w:t xml:space="preserve">, and the Commission believes </w:t>
      </w:r>
      <w:r w:rsidR="000B6F70" w:rsidRPr="000B6F70">
        <w:rPr>
          <w:rFonts w:ascii="Times New Roman" w:hAnsi="Times New Roman"/>
        </w:rPr>
        <w:t>such testimony would facilitate its review</w:t>
      </w:r>
      <w:r w:rsidR="007A29E2">
        <w:rPr>
          <w:rFonts w:ascii="Times New Roman" w:hAnsi="Times New Roman"/>
        </w:rPr>
        <w:t xml:space="preserve">, Staff would not object to </w:t>
      </w:r>
      <w:r w:rsidR="000B71FA">
        <w:rPr>
          <w:rFonts w:ascii="Times New Roman" w:hAnsi="Times New Roman"/>
        </w:rPr>
        <w:t>allowing Ms. Crane to file brief written testimony</w:t>
      </w:r>
      <w:r w:rsidR="004822CB">
        <w:rPr>
          <w:rFonts w:ascii="Times New Roman" w:hAnsi="Times New Roman"/>
        </w:rPr>
        <w:t>.</w:t>
      </w:r>
      <w:r w:rsidR="000B6F70" w:rsidRPr="000B6F70">
        <w:rPr>
          <w:rFonts w:ascii="Times New Roman" w:hAnsi="Times New Roman"/>
        </w:rPr>
        <w:t xml:space="preserve"> Procedural due process to the other parties and the practical realities of the issue in question, however, would </w:t>
      </w:r>
      <w:r w:rsidR="000B6F70">
        <w:rPr>
          <w:rFonts w:ascii="Times New Roman" w:hAnsi="Times New Roman"/>
        </w:rPr>
        <w:t>require</w:t>
      </w:r>
      <w:r w:rsidR="000B71FA">
        <w:rPr>
          <w:rFonts w:ascii="Times New Roman" w:hAnsi="Times New Roman"/>
        </w:rPr>
        <w:t xml:space="preserve"> an opportunity for the other parties to </w:t>
      </w:r>
      <w:r w:rsidR="000B6F70">
        <w:rPr>
          <w:rFonts w:ascii="Times New Roman" w:hAnsi="Times New Roman"/>
        </w:rPr>
        <w:t xml:space="preserve">review the </w:t>
      </w:r>
      <w:r w:rsidR="000B6F70" w:rsidRPr="000B6F70">
        <w:rPr>
          <w:rFonts w:ascii="Times New Roman" w:hAnsi="Times New Roman"/>
        </w:rPr>
        <w:t>additional testimony</w:t>
      </w:r>
      <w:r w:rsidR="000B6F70">
        <w:rPr>
          <w:rFonts w:ascii="Times New Roman" w:hAnsi="Times New Roman"/>
        </w:rPr>
        <w:t>, for one round of discovery</w:t>
      </w:r>
      <w:r w:rsidR="005E1A63">
        <w:rPr>
          <w:rFonts w:ascii="Times New Roman" w:hAnsi="Times New Roman"/>
        </w:rPr>
        <w:t>,</w:t>
      </w:r>
      <w:r w:rsidR="000B6F70">
        <w:rPr>
          <w:rFonts w:ascii="Times New Roman" w:hAnsi="Times New Roman"/>
        </w:rPr>
        <w:t xml:space="preserve"> and </w:t>
      </w:r>
      <w:r w:rsidR="005E1A63">
        <w:rPr>
          <w:rFonts w:ascii="Times New Roman" w:hAnsi="Times New Roman"/>
        </w:rPr>
        <w:t xml:space="preserve">for </w:t>
      </w:r>
      <w:r w:rsidR="000B6F70">
        <w:rPr>
          <w:rFonts w:ascii="Times New Roman" w:hAnsi="Times New Roman"/>
        </w:rPr>
        <w:t xml:space="preserve">time to prepare cross-examination to properly vet the Company’s </w:t>
      </w:r>
      <w:r w:rsidR="00852DB0">
        <w:rPr>
          <w:rFonts w:ascii="Times New Roman" w:hAnsi="Times New Roman"/>
        </w:rPr>
        <w:t xml:space="preserve">additional </w:t>
      </w:r>
      <w:r w:rsidR="000B6F70">
        <w:rPr>
          <w:rFonts w:ascii="Times New Roman" w:hAnsi="Times New Roman"/>
        </w:rPr>
        <w:t xml:space="preserve">supplemental </w:t>
      </w:r>
      <w:r w:rsidR="00852DB0">
        <w:rPr>
          <w:rFonts w:ascii="Times New Roman" w:hAnsi="Times New Roman"/>
        </w:rPr>
        <w:t>testimony</w:t>
      </w:r>
      <w:r w:rsidR="000B6F70">
        <w:rPr>
          <w:rFonts w:ascii="Times New Roman" w:hAnsi="Times New Roman"/>
        </w:rPr>
        <w:t xml:space="preserve">. </w:t>
      </w:r>
      <w:r w:rsidR="005E1A63">
        <w:rPr>
          <w:rFonts w:ascii="Times New Roman" w:hAnsi="Times New Roman"/>
        </w:rPr>
        <w:t>There is a reason why the Commission does not typically allow direct testimony in complex rate proceedings—prewritten testimony, discovery, and cross-examination provide important procedural safeguards that are necessary to properly vet the technical testimony of expert witnesses. Without these procedural safeguards, addition</w:t>
      </w:r>
      <w:r w:rsidR="006968DA">
        <w:rPr>
          <w:rFonts w:ascii="Times New Roman" w:hAnsi="Times New Roman"/>
        </w:rPr>
        <w:t>al</w:t>
      </w:r>
      <w:r w:rsidR="005E1A63">
        <w:rPr>
          <w:rFonts w:ascii="Times New Roman" w:hAnsi="Times New Roman"/>
        </w:rPr>
        <w:t xml:space="preserve"> testimony from the Company could not be deemed as credible as the rest of the testimony in this case. Therefore, </w:t>
      </w:r>
      <w:r w:rsidR="004822CB">
        <w:rPr>
          <w:rFonts w:ascii="Times New Roman" w:hAnsi="Times New Roman"/>
        </w:rPr>
        <w:t>the Company’s alternative request for l</w:t>
      </w:r>
      <w:r w:rsidR="004822CB" w:rsidRPr="004822CB">
        <w:rPr>
          <w:rFonts w:ascii="Times New Roman" w:hAnsi="Times New Roman"/>
        </w:rPr>
        <w:t>ive direct testimony</w:t>
      </w:r>
      <w:r w:rsidR="005E1A63">
        <w:rPr>
          <w:rFonts w:ascii="Times New Roman" w:hAnsi="Times New Roman"/>
        </w:rPr>
        <w:t xml:space="preserve"> would not </w:t>
      </w:r>
      <w:r w:rsidR="004822CB">
        <w:rPr>
          <w:rFonts w:ascii="Times New Roman" w:hAnsi="Times New Roman"/>
        </w:rPr>
        <w:t>benefit the record or</w:t>
      </w:r>
      <w:r w:rsidR="006968DA">
        <w:rPr>
          <w:rFonts w:ascii="Times New Roman" w:hAnsi="Times New Roman"/>
        </w:rPr>
        <w:t xml:space="preserve"> aid</w:t>
      </w:r>
      <w:r w:rsidR="004822CB">
        <w:rPr>
          <w:rFonts w:ascii="Times New Roman" w:hAnsi="Times New Roman"/>
        </w:rPr>
        <w:t xml:space="preserve"> </w:t>
      </w:r>
      <w:r w:rsidR="005E1A63">
        <w:rPr>
          <w:rFonts w:ascii="Times New Roman" w:hAnsi="Times New Roman"/>
        </w:rPr>
        <w:t>the Commission</w:t>
      </w:r>
      <w:r w:rsidR="004822CB">
        <w:rPr>
          <w:rFonts w:ascii="Times New Roman" w:hAnsi="Times New Roman"/>
        </w:rPr>
        <w:t>’</w:t>
      </w:r>
      <w:r w:rsidR="005E1A63">
        <w:rPr>
          <w:rFonts w:ascii="Times New Roman" w:hAnsi="Times New Roman"/>
        </w:rPr>
        <w:t xml:space="preserve">s review. </w:t>
      </w:r>
    </w:p>
    <w:p w14:paraId="54AC428D" w14:textId="60078564" w:rsidR="007B4430" w:rsidRPr="003F0AB4" w:rsidRDefault="00EB0C74" w:rsidP="00661D34">
      <w:pPr>
        <w:keepNext/>
        <w:widowControl w:val="0"/>
        <w:spacing w:line="480" w:lineRule="auto"/>
        <w:jc w:val="center"/>
        <w:rPr>
          <w:rFonts w:ascii="Times New Roman" w:hAnsi="Times New Roman"/>
        </w:rPr>
      </w:pPr>
      <w:r w:rsidRPr="003F0AB4">
        <w:rPr>
          <w:rFonts w:ascii="Times New Roman" w:hAnsi="Times New Roman"/>
          <w:b/>
        </w:rPr>
        <w:lastRenderedPageBreak/>
        <w:t xml:space="preserve">VI.  </w:t>
      </w:r>
      <w:r w:rsidR="007B4430" w:rsidRPr="003F0AB4">
        <w:rPr>
          <w:rFonts w:ascii="Times New Roman" w:hAnsi="Times New Roman"/>
          <w:b/>
        </w:rPr>
        <w:t>CONCLUSION</w:t>
      </w:r>
    </w:p>
    <w:p w14:paraId="68B72C11" w14:textId="6B444F1B" w:rsidR="006911A3" w:rsidRPr="00661D34" w:rsidRDefault="007B4430" w:rsidP="00661D34">
      <w:pPr>
        <w:keepNext/>
        <w:numPr>
          <w:ilvl w:val="0"/>
          <w:numId w:val="6"/>
        </w:numPr>
        <w:spacing w:line="480" w:lineRule="auto"/>
        <w:ind w:left="0" w:hanging="720"/>
        <w:rPr>
          <w:rFonts w:ascii="Times New Roman" w:hAnsi="Times New Roman"/>
        </w:rPr>
      </w:pPr>
      <w:r w:rsidRPr="00661D34">
        <w:rPr>
          <w:rFonts w:ascii="Times New Roman" w:hAnsi="Times New Roman"/>
        </w:rPr>
        <w:tab/>
      </w:r>
      <w:r w:rsidR="000D1573">
        <w:rPr>
          <w:rFonts w:ascii="Times New Roman" w:hAnsi="Times New Roman"/>
        </w:rPr>
        <w:t xml:space="preserve">The Commission should deny both of Pacific Power’s motions. The Sierra Club cross-answering testimony in Section III is within the scope of Staff’s supplemental testimony and adds value to the record, and the Commission should not strike it. Live testimony on the detailed and mine-plan based analysis </w:t>
      </w:r>
      <w:r w:rsidR="00EA4A2A">
        <w:rPr>
          <w:rFonts w:ascii="Times New Roman" w:hAnsi="Times New Roman"/>
        </w:rPr>
        <w:t xml:space="preserve">in Section III </w:t>
      </w:r>
      <w:r w:rsidR="000D1573">
        <w:rPr>
          <w:rFonts w:ascii="Times New Roman" w:hAnsi="Times New Roman"/>
        </w:rPr>
        <w:t xml:space="preserve">would be impossible to rebut on cross </w:t>
      </w:r>
      <w:r w:rsidR="00EA4A2A">
        <w:rPr>
          <w:rFonts w:ascii="Times New Roman" w:hAnsi="Times New Roman"/>
        </w:rPr>
        <w:t xml:space="preserve">and, without supporting documents, would be </w:t>
      </w:r>
      <w:r w:rsidR="000D1573">
        <w:rPr>
          <w:rFonts w:ascii="Times New Roman" w:hAnsi="Times New Roman"/>
        </w:rPr>
        <w:t>of limited usefulness to the Commission.</w:t>
      </w:r>
      <w:r w:rsidR="00EA4A2A">
        <w:rPr>
          <w:rFonts w:ascii="Times New Roman" w:hAnsi="Times New Roman"/>
        </w:rPr>
        <w:t xml:space="preserve"> To the extent that supplemental testimony by the Company is necessary, </w:t>
      </w:r>
      <w:r w:rsidR="00057036">
        <w:rPr>
          <w:rFonts w:ascii="Times New Roman" w:hAnsi="Times New Roman"/>
        </w:rPr>
        <w:t>p</w:t>
      </w:r>
      <w:r w:rsidR="00355CD7" w:rsidRPr="00355CD7">
        <w:rPr>
          <w:rFonts w:ascii="Times New Roman" w:hAnsi="Times New Roman"/>
        </w:rPr>
        <w:t xml:space="preserve">rocedural due process </w:t>
      </w:r>
      <w:r w:rsidR="00355CD7">
        <w:rPr>
          <w:rFonts w:ascii="Times New Roman" w:hAnsi="Times New Roman"/>
        </w:rPr>
        <w:t>require</w:t>
      </w:r>
      <w:r w:rsidR="00057036">
        <w:rPr>
          <w:rFonts w:ascii="Times New Roman" w:hAnsi="Times New Roman"/>
        </w:rPr>
        <w:t>s</w:t>
      </w:r>
      <w:r w:rsidR="00355CD7">
        <w:rPr>
          <w:rFonts w:ascii="Times New Roman" w:hAnsi="Times New Roman"/>
        </w:rPr>
        <w:t xml:space="preserve"> </w:t>
      </w:r>
      <w:r w:rsidR="00EA4A2A">
        <w:rPr>
          <w:rFonts w:ascii="Times New Roman" w:hAnsi="Times New Roman"/>
        </w:rPr>
        <w:t xml:space="preserve">that testimony </w:t>
      </w:r>
      <w:r w:rsidR="00355CD7">
        <w:rPr>
          <w:rFonts w:ascii="Times New Roman" w:hAnsi="Times New Roman"/>
        </w:rPr>
        <w:t xml:space="preserve">to </w:t>
      </w:r>
      <w:r w:rsidR="00EA4A2A">
        <w:rPr>
          <w:rFonts w:ascii="Times New Roman" w:hAnsi="Times New Roman"/>
        </w:rPr>
        <w:t>be in writing.</w:t>
      </w:r>
    </w:p>
    <w:p w14:paraId="56227C17" w14:textId="345E563B" w:rsidR="006911A3" w:rsidRPr="003215A3" w:rsidRDefault="006911A3" w:rsidP="00EC44C8">
      <w:pPr>
        <w:pStyle w:val="BodyTextIndent2"/>
        <w:ind w:left="720"/>
        <w:rPr>
          <w:rFonts w:ascii="Times New Roman" w:hAnsi="Times New Roman"/>
        </w:rPr>
      </w:pPr>
      <w:r w:rsidRPr="003215A3">
        <w:rPr>
          <w:rFonts w:ascii="Times New Roman" w:hAnsi="Times New Roman"/>
        </w:rPr>
        <w:t>Dated</w:t>
      </w:r>
      <w:r w:rsidR="00F821BD" w:rsidRPr="003215A3">
        <w:rPr>
          <w:rFonts w:ascii="Times New Roman" w:hAnsi="Times New Roman"/>
        </w:rPr>
        <w:t xml:space="preserve"> this </w:t>
      </w:r>
      <w:r w:rsidR="00EA4A2A">
        <w:rPr>
          <w:rFonts w:ascii="Times New Roman" w:hAnsi="Times New Roman"/>
        </w:rPr>
        <w:t>26</w:t>
      </w:r>
      <w:r w:rsidR="00AB2756">
        <w:rPr>
          <w:rFonts w:ascii="Times New Roman" w:hAnsi="Times New Roman"/>
        </w:rPr>
        <w:t>th</w:t>
      </w:r>
      <w:r w:rsidR="00695741">
        <w:rPr>
          <w:rFonts w:ascii="Times New Roman" w:hAnsi="Times New Roman"/>
        </w:rPr>
        <w:t xml:space="preserve"> </w:t>
      </w:r>
      <w:r w:rsidR="00F821BD" w:rsidRPr="003215A3">
        <w:rPr>
          <w:rFonts w:ascii="Times New Roman" w:hAnsi="Times New Roman"/>
        </w:rPr>
        <w:t xml:space="preserve">day of </w:t>
      </w:r>
      <w:r w:rsidR="00EA4A2A">
        <w:rPr>
          <w:rFonts w:ascii="Times New Roman" w:hAnsi="Times New Roman"/>
        </w:rPr>
        <w:t>May</w:t>
      </w:r>
      <w:r w:rsidR="00EC44C8">
        <w:rPr>
          <w:rFonts w:ascii="Times New Roman" w:hAnsi="Times New Roman"/>
        </w:rPr>
        <w:t xml:space="preserve"> </w:t>
      </w:r>
      <w:r w:rsidR="00F821BD" w:rsidRPr="003215A3">
        <w:rPr>
          <w:rFonts w:ascii="Times New Roman" w:hAnsi="Times New Roman"/>
        </w:rPr>
        <w:t>20</w:t>
      </w:r>
      <w:r w:rsidR="00DE5C2A" w:rsidRPr="003215A3">
        <w:rPr>
          <w:rFonts w:ascii="Times New Roman" w:hAnsi="Times New Roman"/>
        </w:rPr>
        <w:t>1</w:t>
      </w:r>
      <w:r w:rsidR="001823E0">
        <w:rPr>
          <w:rFonts w:ascii="Times New Roman" w:hAnsi="Times New Roman"/>
        </w:rPr>
        <w:t>6</w:t>
      </w:r>
      <w:r w:rsidR="00F821BD" w:rsidRPr="003215A3">
        <w:rPr>
          <w:rFonts w:ascii="Times New Roman" w:hAnsi="Times New Roman"/>
        </w:rPr>
        <w:t>.</w:t>
      </w:r>
      <w:r w:rsidRPr="003215A3">
        <w:rPr>
          <w:rFonts w:ascii="Times New Roman" w:hAnsi="Times New Roman"/>
        </w:rPr>
        <w:t xml:space="preserve">  </w:t>
      </w:r>
    </w:p>
    <w:p w14:paraId="03FF5820" w14:textId="77777777" w:rsidR="006911A3" w:rsidRPr="003215A3" w:rsidRDefault="006911A3" w:rsidP="00EC44C8">
      <w:pPr>
        <w:pStyle w:val="BodyTextIndent2"/>
        <w:rPr>
          <w:rFonts w:ascii="Times New Roman" w:hAnsi="Times New Roman"/>
        </w:rPr>
      </w:pPr>
    </w:p>
    <w:p w14:paraId="75E467F6" w14:textId="77777777" w:rsidR="003215A3" w:rsidRPr="003215A3" w:rsidRDefault="003215A3" w:rsidP="00EC44C8">
      <w:pPr>
        <w:ind w:left="720"/>
        <w:rPr>
          <w:rFonts w:ascii="Times New Roman" w:hAnsi="Times New Roman"/>
        </w:rPr>
      </w:pP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t xml:space="preserve">Respectfully submitted, </w:t>
      </w:r>
    </w:p>
    <w:p w14:paraId="56754C3D" w14:textId="77777777" w:rsidR="003215A3" w:rsidRPr="003215A3" w:rsidRDefault="003215A3" w:rsidP="00EC44C8">
      <w:pPr>
        <w:pStyle w:val="BodyTextIndent2"/>
        <w:rPr>
          <w:rFonts w:ascii="Times New Roman" w:hAnsi="Times New Roman"/>
        </w:rPr>
      </w:pPr>
    </w:p>
    <w:p w14:paraId="6CFAB45F" w14:textId="77777777" w:rsidR="003215A3" w:rsidRPr="003215A3" w:rsidRDefault="003215A3" w:rsidP="00EC44C8">
      <w:pPr>
        <w:ind w:left="5040"/>
        <w:jc w:val="both"/>
        <w:rPr>
          <w:rFonts w:ascii="Times New Roman" w:hAnsi="Times New Roman"/>
        </w:rPr>
      </w:pPr>
      <w:r w:rsidRPr="003215A3">
        <w:rPr>
          <w:rFonts w:ascii="Times New Roman" w:hAnsi="Times New Roman"/>
        </w:rPr>
        <w:t xml:space="preserve">ROBERT </w:t>
      </w:r>
      <w:r w:rsidR="00236FE4">
        <w:rPr>
          <w:rFonts w:ascii="Times New Roman" w:hAnsi="Times New Roman"/>
        </w:rPr>
        <w:t>W. FERGUSON</w:t>
      </w:r>
      <w:r w:rsidRPr="003215A3">
        <w:rPr>
          <w:rFonts w:ascii="Times New Roman" w:hAnsi="Times New Roman"/>
        </w:rPr>
        <w:t xml:space="preserve"> </w:t>
      </w:r>
    </w:p>
    <w:p w14:paraId="68E69626" w14:textId="77777777" w:rsidR="003215A3" w:rsidRPr="003215A3" w:rsidRDefault="003215A3" w:rsidP="00EC44C8">
      <w:pPr>
        <w:ind w:firstLine="5040"/>
        <w:jc w:val="both"/>
        <w:rPr>
          <w:rFonts w:ascii="Times New Roman" w:hAnsi="Times New Roman"/>
        </w:rPr>
      </w:pPr>
      <w:r w:rsidRPr="003215A3">
        <w:rPr>
          <w:rFonts w:ascii="Times New Roman" w:hAnsi="Times New Roman"/>
        </w:rPr>
        <w:t>Attorney General</w:t>
      </w:r>
    </w:p>
    <w:p w14:paraId="711B1089" w14:textId="77777777" w:rsidR="003215A3" w:rsidRDefault="003215A3" w:rsidP="00EC44C8">
      <w:pPr>
        <w:jc w:val="both"/>
        <w:rPr>
          <w:rFonts w:ascii="Times New Roman" w:hAnsi="Times New Roman"/>
        </w:rPr>
      </w:pPr>
    </w:p>
    <w:p w14:paraId="0FD45694" w14:textId="77777777" w:rsidR="00661D34" w:rsidRDefault="00661D34" w:rsidP="00EC44C8">
      <w:pPr>
        <w:jc w:val="both"/>
        <w:rPr>
          <w:rFonts w:ascii="Times New Roman" w:hAnsi="Times New Roman"/>
        </w:rPr>
      </w:pPr>
    </w:p>
    <w:p w14:paraId="365644B7" w14:textId="5D44C1BD" w:rsidR="003215A3" w:rsidRPr="003215A3" w:rsidRDefault="003215A3" w:rsidP="00EC44C8">
      <w:pPr>
        <w:ind w:left="1440" w:firstLine="3600"/>
        <w:jc w:val="both"/>
        <w:rPr>
          <w:rFonts w:ascii="Times New Roman" w:hAnsi="Times New Roman"/>
        </w:rPr>
      </w:pPr>
      <w:r w:rsidRPr="003215A3">
        <w:rPr>
          <w:rFonts w:ascii="Times New Roman" w:hAnsi="Times New Roman"/>
        </w:rPr>
        <w:t>______________________________</w:t>
      </w:r>
      <w:r w:rsidR="00661D34">
        <w:rPr>
          <w:rFonts w:ascii="Times New Roman" w:hAnsi="Times New Roman"/>
        </w:rPr>
        <w:t>__</w:t>
      </w:r>
    </w:p>
    <w:p w14:paraId="2696FE84" w14:textId="2323F0C5" w:rsidR="003215A3" w:rsidRPr="003215A3" w:rsidRDefault="005B5541" w:rsidP="00EC44C8">
      <w:pPr>
        <w:ind w:firstLine="5040"/>
        <w:jc w:val="both"/>
        <w:rPr>
          <w:rFonts w:ascii="Times New Roman" w:hAnsi="Times New Roman"/>
        </w:rPr>
      </w:pPr>
      <w:r>
        <w:rPr>
          <w:rFonts w:ascii="Times New Roman" w:hAnsi="Times New Roman"/>
        </w:rPr>
        <w:t>JENNIFER CAMERON-RULKOWSKI</w:t>
      </w:r>
    </w:p>
    <w:p w14:paraId="09AEE639" w14:textId="77777777" w:rsidR="003215A3" w:rsidRPr="003215A3" w:rsidRDefault="003215A3" w:rsidP="00EC44C8">
      <w:pPr>
        <w:ind w:left="1440" w:firstLine="3600"/>
        <w:jc w:val="both"/>
        <w:rPr>
          <w:rFonts w:ascii="Times New Roman" w:hAnsi="Times New Roman"/>
        </w:rPr>
      </w:pPr>
      <w:r w:rsidRPr="003215A3">
        <w:rPr>
          <w:rFonts w:ascii="Times New Roman" w:hAnsi="Times New Roman"/>
        </w:rPr>
        <w:t>Assistant Attorney General</w:t>
      </w:r>
    </w:p>
    <w:p w14:paraId="15C2CB23" w14:textId="77777777" w:rsidR="003215A3" w:rsidRPr="003215A3" w:rsidRDefault="003215A3" w:rsidP="00EC44C8">
      <w:pPr>
        <w:ind w:left="2160" w:firstLine="2880"/>
        <w:jc w:val="both"/>
        <w:rPr>
          <w:rFonts w:ascii="Times New Roman" w:hAnsi="Times New Roman"/>
        </w:rPr>
      </w:pPr>
      <w:r w:rsidRPr="003215A3">
        <w:rPr>
          <w:rFonts w:ascii="Times New Roman" w:hAnsi="Times New Roman"/>
        </w:rPr>
        <w:t xml:space="preserve">Counsel for </w:t>
      </w:r>
      <w:smartTag w:uri="urn:schemas-microsoft-com:office:smarttags" w:element="place">
        <w:smartTag w:uri="urn:schemas-microsoft-com:office:smarttags" w:element="PostalCode">
          <w:r w:rsidRPr="003215A3">
            <w:rPr>
              <w:rFonts w:ascii="Times New Roman" w:hAnsi="Times New Roman"/>
            </w:rPr>
            <w:t>Washington</w:t>
          </w:r>
        </w:smartTag>
      </w:smartTag>
      <w:r w:rsidRPr="003215A3">
        <w:rPr>
          <w:rFonts w:ascii="Times New Roman" w:hAnsi="Times New Roman"/>
        </w:rPr>
        <w:t xml:space="preserve"> Utilities and</w:t>
      </w:r>
    </w:p>
    <w:p w14:paraId="6CF7BA8E" w14:textId="77777777" w:rsidR="006911A3" w:rsidRPr="00EC44C8" w:rsidRDefault="00EC44C8" w:rsidP="00EC44C8">
      <w:pPr>
        <w:ind w:left="2880" w:firstLine="2160"/>
        <w:jc w:val="both"/>
        <w:rPr>
          <w:rFonts w:ascii="Times New Roman" w:hAnsi="Times New Roman"/>
        </w:rPr>
      </w:pPr>
      <w:r>
        <w:rPr>
          <w:rFonts w:ascii="Times New Roman" w:hAnsi="Times New Roman"/>
        </w:rPr>
        <w:t>Transportation Commission Staff</w:t>
      </w:r>
    </w:p>
    <w:sectPr w:rsidR="006911A3" w:rsidRPr="00EC44C8" w:rsidSect="00F821BD">
      <w:footerReference w:type="default" r:id="rId11"/>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10893" w14:textId="77777777" w:rsidR="002F4D32" w:rsidRDefault="002F4D32">
      <w:r>
        <w:separator/>
      </w:r>
    </w:p>
  </w:endnote>
  <w:endnote w:type="continuationSeparator" w:id="0">
    <w:p w14:paraId="493CF585" w14:textId="77777777" w:rsidR="002F4D32" w:rsidRDefault="002F4D32">
      <w:r>
        <w:continuationSeparator/>
      </w:r>
    </w:p>
  </w:endnote>
  <w:endnote w:type="continuationNotice" w:id="1">
    <w:p w14:paraId="1E4371E5" w14:textId="77777777" w:rsidR="002F4D32" w:rsidRDefault="002F4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9E252" w14:textId="77777777" w:rsidR="002F4D32" w:rsidRDefault="002F4D32">
    <w:pPr>
      <w:pStyle w:val="Footer"/>
      <w:rPr>
        <w:rFonts w:ascii="Times New Roman" w:hAnsi="Times New Roman"/>
        <w:sz w:val="20"/>
        <w:szCs w:val="20"/>
      </w:rPr>
    </w:pPr>
    <w:r>
      <w:rPr>
        <w:rFonts w:ascii="Times New Roman" w:hAnsi="Times New Roman"/>
        <w:sz w:val="20"/>
        <w:szCs w:val="20"/>
      </w:rPr>
      <w:t>STAFF OPPOSITION TO PACIFIC POWER’S</w:t>
    </w:r>
  </w:p>
  <w:p w14:paraId="33431986" w14:textId="172CEB43" w:rsidR="002F4D32" w:rsidRPr="00F821BD" w:rsidRDefault="002F4D32">
    <w:pPr>
      <w:pStyle w:val="Footer"/>
      <w:rPr>
        <w:rFonts w:ascii="Times New Roman" w:hAnsi="Times New Roman"/>
        <w:sz w:val="20"/>
        <w:szCs w:val="20"/>
      </w:rPr>
    </w:pPr>
    <w:r>
      <w:rPr>
        <w:rFonts w:ascii="Times New Roman" w:hAnsi="Times New Roman"/>
        <w:sz w:val="20"/>
        <w:szCs w:val="20"/>
      </w:rPr>
      <w:t xml:space="preserve">MOTION TO STRIKE OR FOR LIVE REBUTTAL - </w:t>
    </w:r>
    <w:r w:rsidRPr="007844A5">
      <w:rPr>
        <w:rStyle w:val="PageNumber"/>
        <w:rFonts w:ascii="Times New Roman" w:hAnsi="Times New Roman"/>
        <w:sz w:val="20"/>
        <w:szCs w:val="20"/>
      </w:rPr>
      <w:fldChar w:fldCharType="begin"/>
    </w:r>
    <w:r w:rsidRPr="007844A5">
      <w:rPr>
        <w:rStyle w:val="PageNumber"/>
        <w:rFonts w:ascii="Times New Roman" w:hAnsi="Times New Roman"/>
        <w:sz w:val="20"/>
        <w:szCs w:val="20"/>
      </w:rPr>
      <w:instrText xml:space="preserve"> PAGE </w:instrText>
    </w:r>
    <w:r w:rsidRPr="007844A5">
      <w:rPr>
        <w:rStyle w:val="PageNumber"/>
        <w:rFonts w:ascii="Times New Roman" w:hAnsi="Times New Roman"/>
        <w:sz w:val="20"/>
        <w:szCs w:val="20"/>
      </w:rPr>
      <w:fldChar w:fldCharType="separate"/>
    </w:r>
    <w:r w:rsidR="00595702">
      <w:rPr>
        <w:rStyle w:val="PageNumber"/>
        <w:rFonts w:ascii="Times New Roman" w:hAnsi="Times New Roman"/>
        <w:noProof/>
        <w:sz w:val="20"/>
        <w:szCs w:val="20"/>
      </w:rPr>
      <w:t>10</w:t>
    </w:r>
    <w:r w:rsidRPr="007844A5">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5497B" w14:textId="77777777" w:rsidR="002F4D32" w:rsidRDefault="002F4D32">
      <w:r>
        <w:separator/>
      </w:r>
    </w:p>
  </w:footnote>
  <w:footnote w:type="continuationSeparator" w:id="0">
    <w:p w14:paraId="6242ED51" w14:textId="77777777" w:rsidR="002F4D32" w:rsidRDefault="002F4D32">
      <w:r>
        <w:continuationSeparator/>
      </w:r>
    </w:p>
  </w:footnote>
  <w:footnote w:type="continuationNotice" w:id="1">
    <w:p w14:paraId="0EA7D910" w14:textId="77777777" w:rsidR="002F4D32" w:rsidRDefault="002F4D32"/>
  </w:footnote>
  <w:footnote w:id="2">
    <w:p w14:paraId="4EC91DD5" w14:textId="6C7F0B5E" w:rsidR="002F4D32" w:rsidRDefault="002F4D32">
      <w:pPr>
        <w:pStyle w:val="FootnoteText"/>
      </w:pPr>
      <w:r>
        <w:rPr>
          <w:rStyle w:val="FootnoteReference"/>
        </w:rPr>
        <w:footnoteRef/>
      </w:r>
      <w:r>
        <w:t xml:space="preserve"> Order 08.</w:t>
      </w:r>
    </w:p>
  </w:footnote>
  <w:footnote w:id="3">
    <w:p w14:paraId="4C204CDA" w14:textId="53424736" w:rsidR="002F4D32" w:rsidRPr="00DA7F9F" w:rsidRDefault="002F4D32">
      <w:pPr>
        <w:pStyle w:val="FootnoteText"/>
      </w:pPr>
      <w:r>
        <w:rPr>
          <w:rStyle w:val="FootnoteReference"/>
        </w:rPr>
        <w:footnoteRef/>
      </w:r>
      <w:r>
        <w:t xml:space="preserve"> Order 09, 2, ¶ </w:t>
      </w:r>
      <w:r w:rsidRPr="00DA7F9F">
        <w:t>7 (“Other parties would also be permitted to file cross-answering testimony and exhibits on May 13, 2016, regarding Staff’s supplemental testimony and exhibits”</w:t>
      </w:r>
      <w:r>
        <w:t>); Appendix A (procedural schedule).</w:t>
      </w:r>
    </w:p>
  </w:footnote>
  <w:footnote w:id="4">
    <w:p w14:paraId="6E1F9E7B" w14:textId="7F20045D" w:rsidR="002F4D32" w:rsidRDefault="002F4D32">
      <w:pPr>
        <w:pStyle w:val="FootnoteText"/>
      </w:pPr>
      <w:r>
        <w:rPr>
          <w:rStyle w:val="FootnoteReference"/>
        </w:rPr>
        <w:footnoteRef/>
      </w:r>
      <w:r>
        <w:t xml:space="preserve"> Twitchell, Exh. No. JBT-19HCT 7:15-17.</w:t>
      </w:r>
    </w:p>
  </w:footnote>
  <w:footnote w:id="5">
    <w:p w14:paraId="70503C6F" w14:textId="6274FA2B" w:rsidR="002F4D32" w:rsidRPr="00077D61" w:rsidRDefault="002F4D32">
      <w:pPr>
        <w:pStyle w:val="FootnoteText"/>
      </w:pPr>
      <w:r>
        <w:rPr>
          <w:rStyle w:val="FootnoteReference"/>
        </w:rPr>
        <w:footnoteRef/>
      </w:r>
      <w:r>
        <w:t xml:space="preserve"> </w:t>
      </w:r>
      <w:r>
        <w:rPr>
          <w:i/>
        </w:rPr>
        <w:t xml:space="preserve">See </w:t>
      </w:r>
      <w:r>
        <w:t>Twitchell, Exh. No. JBT-19HCT 6:1-19.</w:t>
      </w:r>
    </w:p>
  </w:footnote>
  <w:footnote w:id="6">
    <w:p w14:paraId="3575BA1C" w14:textId="1B9537F4" w:rsidR="002F4D32" w:rsidRDefault="002F4D32" w:rsidP="007A5260">
      <w:pPr>
        <w:pStyle w:val="FootnoteText"/>
      </w:pPr>
      <w:r>
        <w:rPr>
          <w:rStyle w:val="FootnoteReference"/>
        </w:rPr>
        <w:footnoteRef/>
      </w:r>
      <w:r>
        <w:t xml:space="preserve"> Twitchell, Exh. No. JBT-1CT 17:21</w:t>
      </w:r>
      <w:r w:rsidR="00C068A3">
        <w:t xml:space="preserve"> – </w:t>
      </w:r>
      <w:r>
        <w:t>18:3.</w:t>
      </w:r>
    </w:p>
  </w:footnote>
  <w:footnote w:id="7">
    <w:p w14:paraId="2E0A03D6" w14:textId="77777777" w:rsidR="002F4D32" w:rsidRDefault="002F4D32" w:rsidP="007A5260">
      <w:pPr>
        <w:pStyle w:val="FootnoteText"/>
      </w:pPr>
      <w:r>
        <w:rPr>
          <w:rStyle w:val="FootnoteReference"/>
        </w:rPr>
        <w:footnoteRef/>
      </w:r>
      <w:r>
        <w:t xml:space="preserve"> Twitchell, Exh. No. JBT-28HCT 20:15-18.</w:t>
      </w:r>
    </w:p>
  </w:footnote>
  <w:footnote w:id="8">
    <w:p w14:paraId="764A94A3" w14:textId="77777777" w:rsidR="002F4D32" w:rsidRDefault="002F4D32" w:rsidP="00AA16DA">
      <w:pPr>
        <w:pStyle w:val="FootnoteText"/>
      </w:pPr>
      <w:r>
        <w:rPr>
          <w:rStyle w:val="FootnoteReference"/>
        </w:rPr>
        <w:footnoteRef/>
      </w:r>
      <w:r>
        <w:t xml:space="preserve"> </w:t>
      </w:r>
      <w:r w:rsidRPr="004D2D62">
        <w:t>Twitchell, Exh. No. JBT-28HCT 20:1</w:t>
      </w:r>
      <w:r>
        <w:t>8-21</w:t>
      </w:r>
      <w:r w:rsidRPr="004D2D62">
        <w:t>.</w:t>
      </w:r>
    </w:p>
  </w:footnote>
  <w:footnote w:id="9">
    <w:p w14:paraId="274D3DB2" w14:textId="677C7CAF" w:rsidR="002F4D32" w:rsidRDefault="002F4D32">
      <w:pPr>
        <w:pStyle w:val="FootnoteText"/>
      </w:pPr>
      <w:r>
        <w:rPr>
          <w:rStyle w:val="FootnoteReference"/>
        </w:rPr>
        <w:footnoteRef/>
      </w:r>
      <w:r>
        <w:t xml:space="preserve"> Twitchell, Exh. No. JBT-19HCT 20:15-21.</w:t>
      </w:r>
    </w:p>
  </w:footnote>
  <w:footnote w:id="10">
    <w:p w14:paraId="4464EDAE" w14:textId="3CAE2075" w:rsidR="002F4D32" w:rsidRDefault="002F4D32">
      <w:pPr>
        <w:pStyle w:val="FootnoteText"/>
      </w:pPr>
      <w:r>
        <w:rPr>
          <w:rStyle w:val="FootnoteReference"/>
        </w:rPr>
        <w:footnoteRef/>
      </w:r>
      <w:r>
        <w:t xml:space="preserve"> Twitchell, Exh. No. JBT-19HCT 20:9 – 26:2.</w:t>
      </w:r>
    </w:p>
  </w:footnote>
  <w:footnote w:id="11">
    <w:p w14:paraId="655F4779" w14:textId="77777777" w:rsidR="002F4D32" w:rsidRDefault="002F4D32" w:rsidP="003822A4">
      <w:pPr>
        <w:pStyle w:val="FootnoteText"/>
      </w:pPr>
      <w:r>
        <w:rPr>
          <w:rStyle w:val="FootnoteReference"/>
        </w:rPr>
        <w:footnoteRef/>
      </w:r>
      <w:r>
        <w:t xml:space="preserve"> Twitchell, Exh. No. JBT-19HCT 24:10-13.</w:t>
      </w:r>
    </w:p>
  </w:footnote>
  <w:footnote w:id="12">
    <w:p w14:paraId="25BD622D" w14:textId="77777777" w:rsidR="002F4D32" w:rsidRDefault="002F4D32" w:rsidP="006C2A1F">
      <w:pPr>
        <w:pStyle w:val="FootnoteText"/>
      </w:pPr>
      <w:r>
        <w:rPr>
          <w:rStyle w:val="FootnoteReference"/>
        </w:rPr>
        <w:footnoteRef/>
      </w:r>
      <w:r>
        <w:t xml:space="preserve"> Fisher, Exh. No. JIF-24CT 9:8-19.</w:t>
      </w:r>
    </w:p>
  </w:footnote>
  <w:footnote w:id="13">
    <w:p w14:paraId="3B8B39B6" w14:textId="5C2A51F3" w:rsidR="002F4D32" w:rsidRDefault="002F4D32">
      <w:pPr>
        <w:pStyle w:val="FootnoteText"/>
      </w:pPr>
      <w:r>
        <w:rPr>
          <w:rStyle w:val="FootnoteReference"/>
        </w:rPr>
        <w:footnoteRef/>
      </w:r>
      <w:r>
        <w:t xml:space="preserve"> Fisher, Exh. No. JIF-24CT 10:15 – 11:18.</w:t>
      </w:r>
    </w:p>
  </w:footnote>
  <w:footnote w:id="14">
    <w:p w14:paraId="405321E2" w14:textId="06D64410" w:rsidR="002F4D32" w:rsidRPr="009574E3" w:rsidRDefault="002F4D32">
      <w:pPr>
        <w:pStyle w:val="FootnoteText"/>
      </w:pPr>
      <w:r>
        <w:rPr>
          <w:rStyle w:val="FootnoteReference"/>
        </w:rPr>
        <w:footnoteRef/>
      </w:r>
      <w:r>
        <w:t xml:space="preserve"> Fisher, Exh. No. JIF-24CT 10:8-14; 11:19 – 12:2.</w:t>
      </w:r>
    </w:p>
  </w:footnote>
  <w:footnote w:id="15">
    <w:p w14:paraId="10DAA2D2" w14:textId="401A1BC3" w:rsidR="002F4D32" w:rsidRPr="004313CA" w:rsidRDefault="002F4D32">
      <w:pPr>
        <w:pStyle w:val="FootnoteText"/>
      </w:pPr>
      <w:r>
        <w:rPr>
          <w:rStyle w:val="FootnoteReference"/>
        </w:rPr>
        <w:footnoteRef/>
      </w:r>
      <w:r>
        <w:t xml:space="preserve"> </w:t>
      </w:r>
      <w:r>
        <w:rPr>
          <w:i/>
        </w:rPr>
        <w:t xml:space="preserve">See </w:t>
      </w:r>
      <w:r>
        <w:t>Fisher, Exh. No. JIF-24CT 5:14-17.</w:t>
      </w:r>
    </w:p>
  </w:footnote>
  <w:footnote w:id="16">
    <w:p w14:paraId="51648BBD" w14:textId="7AC0B58A" w:rsidR="002F4D32" w:rsidRDefault="002F4D32">
      <w:pPr>
        <w:pStyle w:val="FootnoteText"/>
      </w:pPr>
      <w:r>
        <w:rPr>
          <w:rStyle w:val="FootnoteReference"/>
        </w:rPr>
        <w:footnoteRef/>
      </w:r>
      <w:r>
        <w:t xml:space="preserve"> Fisher, Exh. No. JIF-24CT 10:1-14.</w:t>
      </w:r>
    </w:p>
  </w:footnote>
  <w:footnote w:id="17">
    <w:p w14:paraId="05222E88" w14:textId="32911572" w:rsidR="002F4D32" w:rsidRDefault="002F4D32">
      <w:pPr>
        <w:pStyle w:val="FootnoteText"/>
      </w:pPr>
      <w:r>
        <w:rPr>
          <w:rStyle w:val="FootnoteReference"/>
        </w:rPr>
        <w:footnoteRef/>
      </w:r>
      <w:r>
        <w:t xml:space="preserve"> Fisher, Exh. No. JIF-24CT 10:19.</w:t>
      </w:r>
    </w:p>
  </w:footnote>
  <w:footnote w:id="18">
    <w:p w14:paraId="07CC37DE" w14:textId="68B58F08" w:rsidR="002F4D32" w:rsidRDefault="002F4D32">
      <w:pPr>
        <w:pStyle w:val="FootnoteText"/>
      </w:pPr>
      <w:r>
        <w:rPr>
          <w:rStyle w:val="FootnoteReference"/>
        </w:rPr>
        <w:footnoteRef/>
      </w:r>
      <w:r>
        <w:t xml:space="preserve"> Fisher, Exh. No. JIF-24CT 13, n.30.</w:t>
      </w:r>
    </w:p>
  </w:footnote>
  <w:footnote w:id="19">
    <w:p w14:paraId="1DFC9324" w14:textId="35E41EFC" w:rsidR="002F4D32" w:rsidRDefault="002F4D32">
      <w:pPr>
        <w:pStyle w:val="FootnoteText"/>
      </w:pPr>
      <w:r>
        <w:rPr>
          <w:rStyle w:val="FootnoteReference"/>
        </w:rPr>
        <w:footnoteRef/>
      </w:r>
      <w:r>
        <w:t xml:space="preserve"> Crane, Exh. No. CAC-1CT 11:7 – 13:16.</w:t>
      </w:r>
    </w:p>
  </w:footnote>
  <w:footnote w:id="20">
    <w:p w14:paraId="53D20E87" w14:textId="369BB4F9" w:rsidR="002F4D32" w:rsidRDefault="002F4D32">
      <w:pPr>
        <w:pStyle w:val="FootnoteText"/>
      </w:pPr>
      <w:r>
        <w:rPr>
          <w:rStyle w:val="FootnoteReference"/>
        </w:rPr>
        <w:footnoteRef/>
      </w:r>
      <w:r>
        <w:t xml:space="preserve"> </w:t>
      </w:r>
      <w:r>
        <w:rPr>
          <w:i/>
        </w:rPr>
        <w:t xml:space="preserve">See </w:t>
      </w:r>
      <w:r>
        <w:t>Crane, Exh, No. CAC-3C.</w:t>
      </w:r>
    </w:p>
  </w:footnote>
  <w:footnote w:id="21">
    <w:p w14:paraId="5E13EBC9" w14:textId="785C82D1" w:rsidR="002F4D32" w:rsidRDefault="002F4D32">
      <w:pPr>
        <w:pStyle w:val="FootnoteText"/>
      </w:pPr>
      <w:r>
        <w:rPr>
          <w:rStyle w:val="FootnoteReference"/>
        </w:rPr>
        <w:footnoteRef/>
      </w:r>
      <w:r>
        <w:t xml:space="preserve"> Motion at ¶ 6.</w:t>
      </w:r>
    </w:p>
  </w:footnote>
  <w:footnote w:id="22">
    <w:p w14:paraId="14238E95" w14:textId="6290D642" w:rsidR="002F4D32" w:rsidRDefault="002F4D32">
      <w:pPr>
        <w:pStyle w:val="FootnoteText"/>
      </w:pPr>
      <w:r>
        <w:rPr>
          <w:rStyle w:val="FootnoteReference"/>
        </w:rPr>
        <w:footnoteRef/>
      </w:r>
      <w:r>
        <w:t xml:space="preserve"> Motion at ¶ 6.</w:t>
      </w:r>
    </w:p>
  </w:footnote>
  <w:footnote w:id="23">
    <w:p w14:paraId="459F5D81" w14:textId="0058DA46" w:rsidR="002F4D32" w:rsidRDefault="002F4D32">
      <w:pPr>
        <w:pStyle w:val="FootnoteText"/>
      </w:pPr>
      <w:r>
        <w:rPr>
          <w:rStyle w:val="FootnoteReference"/>
        </w:rPr>
        <w:footnoteRef/>
      </w:r>
      <w:r>
        <w:t xml:space="preserve"> Crane, Exh. No. CAC-1CT 11:7-12:5. </w:t>
      </w:r>
    </w:p>
  </w:footnote>
  <w:footnote w:id="24">
    <w:p w14:paraId="57C453B5" w14:textId="59D78ACB" w:rsidR="002F4D32" w:rsidRDefault="002F4D32">
      <w:pPr>
        <w:pStyle w:val="FootnoteText"/>
      </w:pPr>
      <w:r>
        <w:rPr>
          <w:rStyle w:val="FootnoteReference"/>
        </w:rPr>
        <w:footnoteRef/>
      </w:r>
      <w:r>
        <w:t xml:space="preserve"> </w:t>
      </w:r>
      <w:r w:rsidRPr="000F11CE">
        <w:t xml:space="preserve">Crane, Exh. No. CAC-1CT </w:t>
      </w:r>
      <w:r>
        <w:t xml:space="preserve">12:6-13:1; </w:t>
      </w:r>
      <w:r w:rsidRPr="000F11CE">
        <w:t>Exh. No. CAC-</w:t>
      </w:r>
      <w:r>
        <w:t>3C</w:t>
      </w:r>
      <w:r w:rsidRPr="000F11CE">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581F"/>
    <w:multiLevelType w:val="hybridMultilevel"/>
    <w:tmpl w:val="023862A4"/>
    <w:lvl w:ilvl="0" w:tplc="772067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BA4CBD"/>
    <w:multiLevelType w:val="hybridMultilevel"/>
    <w:tmpl w:val="CC5CA188"/>
    <w:lvl w:ilvl="0" w:tplc="C56655F4">
      <w:start w:val="1"/>
      <w:numFmt w:val="upperRoman"/>
      <w:lvlText w:val="%1."/>
      <w:lvlJc w:val="left"/>
      <w:pPr>
        <w:ind w:left="1142" w:hanging="720"/>
      </w:pPr>
      <w:rPr>
        <w:rFonts w:ascii="Palatino Linotype" w:hAnsi="Palatino Linotype" w:hint="default"/>
        <w:b w:val="0"/>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2" w15:restartNumberingAfterBreak="0">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 w15:restartNumberingAfterBreak="0">
    <w:nsid w:val="40F07C60"/>
    <w:multiLevelType w:val="hybridMultilevel"/>
    <w:tmpl w:val="68EED976"/>
    <w:lvl w:ilvl="0" w:tplc="1D9C3BE8">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6F0673"/>
    <w:multiLevelType w:val="hybridMultilevel"/>
    <w:tmpl w:val="136A502A"/>
    <w:lvl w:ilvl="0" w:tplc="E84A0B7A">
      <w:start w:val="1"/>
      <w:numFmt w:val="decimal"/>
      <w:lvlText w:val="%1"/>
      <w:lvlJc w:val="left"/>
      <w:pPr>
        <w:ind w:left="1440" w:hanging="360"/>
      </w:pPr>
      <w:rPr>
        <w:rFonts w:ascii="Times New Roman" w:hAnsi="Times New Roman" w:hint="default"/>
        <w:b w:val="0"/>
        <w:i/>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24F70C5"/>
    <w:multiLevelType w:val="hybridMultilevel"/>
    <w:tmpl w:val="3FE0C2CE"/>
    <w:lvl w:ilvl="0" w:tplc="A876221E">
      <w:start w:val="1"/>
      <w:numFmt w:val="upperRoman"/>
      <w:lvlText w:val="%1."/>
      <w:lvlJc w:val="left"/>
      <w:pPr>
        <w:ind w:left="1142" w:hanging="720"/>
      </w:pPr>
      <w:rPr>
        <w:rFonts w:ascii="Palatino Linotype" w:hAnsi="Palatino Linotype" w:hint="default"/>
        <w:b w:val="0"/>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7" w15:restartNumberingAfterBreak="0">
    <w:nsid w:val="582C5096"/>
    <w:multiLevelType w:val="hybridMultilevel"/>
    <w:tmpl w:val="F70ACF62"/>
    <w:lvl w:ilvl="0" w:tplc="8CA070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770AD3"/>
    <w:multiLevelType w:val="hybridMultilevel"/>
    <w:tmpl w:val="E98E70DC"/>
    <w:lvl w:ilvl="0" w:tplc="6CC43AD2">
      <w:start w:val="1"/>
      <w:numFmt w:val="upperRoman"/>
      <w:lvlText w:val="%1."/>
      <w:lvlJc w:val="left"/>
      <w:pPr>
        <w:ind w:left="1080" w:hanging="720"/>
      </w:pPr>
      <w:rPr>
        <w:rFonts w:ascii="Palatino Linotype" w:hAnsi="Palatino Linotype"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907C13"/>
    <w:multiLevelType w:val="hybridMultilevel"/>
    <w:tmpl w:val="84565FCE"/>
    <w:lvl w:ilvl="0" w:tplc="2902A8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942CF1"/>
    <w:multiLevelType w:val="hybridMultilevel"/>
    <w:tmpl w:val="5D1C58FA"/>
    <w:lvl w:ilvl="0" w:tplc="C7A6C962">
      <w:start w:val="1"/>
      <w:numFmt w:val="upperRoman"/>
      <w:lvlText w:val="%1."/>
      <w:lvlJc w:val="left"/>
      <w:pPr>
        <w:ind w:left="1142" w:hanging="720"/>
      </w:pPr>
      <w:rPr>
        <w:rFonts w:ascii="Palatino Linotype" w:hAnsi="Palatino Linotype" w:hint="default"/>
        <w:b w:val="0"/>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1" w15:restartNumberingAfterBreak="0">
    <w:nsid w:val="7BBB16F8"/>
    <w:multiLevelType w:val="hybridMultilevel"/>
    <w:tmpl w:val="28B64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7"/>
  </w:num>
  <w:num w:numId="6">
    <w:abstractNumId w:val="5"/>
  </w:num>
  <w:num w:numId="7">
    <w:abstractNumId w:val="9"/>
  </w:num>
  <w:num w:numId="8">
    <w:abstractNumId w:val="8"/>
  </w:num>
  <w:num w:numId="9">
    <w:abstractNumId w:val="6"/>
  </w:num>
  <w:num w:numId="10">
    <w:abstractNumId w:val="1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embedSystemFonts/>
  <w:proofState w:spelling="clean" w:grammar="clean"/>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efaultTabStop w:val="720"/>
  <w:drawingGridHorizontalSpacing w:val="87"/>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32B"/>
    <w:rsid w:val="000058EB"/>
    <w:rsid w:val="00007FAE"/>
    <w:rsid w:val="000306C9"/>
    <w:rsid w:val="000350C9"/>
    <w:rsid w:val="00037972"/>
    <w:rsid w:val="00040A57"/>
    <w:rsid w:val="00044BD6"/>
    <w:rsid w:val="00056144"/>
    <w:rsid w:val="00057036"/>
    <w:rsid w:val="00062BEC"/>
    <w:rsid w:val="00062E5A"/>
    <w:rsid w:val="00063637"/>
    <w:rsid w:val="00066706"/>
    <w:rsid w:val="00067CA2"/>
    <w:rsid w:val="00072583"/>
    <w:rsid w:val="0007332A"/>
    <w:rsid w:val="00073BCB"/>
    <w:rsid w:val="00074ED5"/>
    <w:rsid w:val="00077D61"/>
    <w:rsid w:val="00080CB3"/>
    <w:rsid w:val="00092718"/>
    <w:rsid w:val="0009713A"/>
    <w:rsid w:val="000A2113"/>
    <w:rsid w:val="000B6F70"/>
    <w:rsid w:val="000B71FA"/>
    <w:rsid w:val="000C084B"/>
    <w:rsid w:val="000D1573"/>
    <w:rsid w:val="000E4611"/>
    <w:rsid w:val="000E4BB5"/>
    <w:rsid w:val="000F11CE"/>
    <w:rsid w:val="000F677A"/>
    <w:rsid w:val="000F7FE2"/>
    <w:rsid w:val="0011391B"/>
    <w:rsid w:val="001204AE"/>
    <w:rsid w:val="001242E1"/>
    <w:rsid w:val="001354E8"/>
    <w:rsid w:val="001401C8"/>
    <w:rsid w:val="00140D21"/>
    <w:rsid w:val="001528A8"/>
    <w:rsid w:val="001713F9"/>
    <w:rsid w:val="00173E6D"/>
    <w:rsid w:val="0018230E"/>
    <w:rsid w:val="001823E0"/>
    <w:rsid w:val="00183DCA"/>
    <w:rsid w:val="0019032F"/>
    <w:rsid w:val="0019035C"/>
    <w:rsid w:val="001914CD"/>
    <w:rsid w:val="001A260E"/>
    <w:rsid w:val="001A7F88"/>
    <w:rsid w:val="001C51D5"/>
    <w:rsid w:val="001C70C6"/>
    <w:rsid w:val="001D48B3"/>
    <w:rsid w:val="001D50C1"/>
    <w:rsid w:val="001E2201"/>
    <w:rsid w:val="00205754"/>
    <w:rsid w:val="0023029F"/>
    <w:rsid w:val="00236AC2"/>
    <w:rsid w:val="00236FE4"/>
    <w:rsid w:val="0024084F"/>
    <w:rsid w:val="00246472"/>
    <w:rsid w:val="00251F5D"/>
    <w:rsid w:val="00263FE9"/>
    <w:rsid w:val="00265954"/>
    <w:rsid w:val="00265DAE"/>
    <w:rsid w:val="00270586"/>
    <w:rsid w:val="00271B9B"/>
    <w:rsid w:val="002814FD"/>
    <w:rsid w:val="00283F32"/>
    <w:rsid w:val="00287BD5"/>
    <w:rsid w:val="00290ECA"/>
    <w:rsid w:val="00291BA1"/>
    <w:rsid w:val="00295DF6"/>
    <w:rsid w:val="002B29F9"/>
    <w:rsid w:val="002B5FDD"/>
    <w:rsid w:val="002B655B"/>
    <w:rsid w:val="002C1B3C"/>
    <w:rsid w:val="002C487F"/>
    <w:rsid w:val="002E08A6"/>
    <w:rsid w:val="002E4769"/>
    <w:rsid w:val="002F4D32"/>
    <w:rsid w:val="00300223"/>
    <w:rsid w:val="00307775"/>
    <w:rsid w:val="00310410"/>
    <w:rsid w:val="00310BCD"/>
    <w:rsid w:val="003177DE"/>
    <w:rsid w:val="003206E1"/>
    <w:rsid w:val="003215A3"/>
    <w:rsid w:val="00335B66"/>
    <w:rsid w:val="00341210"/>
    <w:rsid w:val="00341BE7"/>
    <w:rsid w:val="003472B5"/>
    <w:rsid w:val="00353C42"/>
    <w:rsid w:val="003542B4"/>
    <w:rsid w:val="00355CD7"/>
    <w:rsid w:val="00356B22"/>
    <w:rsid w:val="00361252"/>
    <w:rsid w:val="00361862"/>
    <w:rsid w:val="00361F3E"/>
    <w:rsid w:val="00363EE8"/>
    <w:rsid w:val="003752B7"/>
    <w:rsid w:val="003822A4"/>
    <w:rsid w:val="003867F2"/>
    <w:rsid w:val="0038773F"/>
    <w:rsid w:val="00387EA7"/>
    <w:rsid w:val="0039112C"/>
    <w:rsid w:val="00394531"/>
    <w:rsid w:val="003A14C7"/>
    <w:rsid w:val="003A16A5"/>
    <w:rsid w:val="003A77E3"/>
    <w:rsid w:val="003B3AD0"/>
    <w:rsid w:val="003C608D"/>
    <w:rsid w:val="003C6488"/>
    <w:rsid w:val="003D0CF1"/>
    <w:rsid w:val="003E3D4D"/>
    <w:rsid w:val="003E4D7C"/>
    <w:rsid w:val="003F0AB4"/>
    <w:rsid w:val="003F6EB5"/>
    <w:rsid w:val="004030D1"/>
    <w:rsid w:val="00422068"/>
    <w:rsid w:val="00423236"/>
    <w:rsid w:val="004313CA"/>
    <w:rsid w:val="00445C3A"/>
    <w:rsid w:val="0045457A"/>
    <w:rsid w:val="00470F80"/>
    <w:rsid w:val="004729F6"/>
    <w:rsid w:val="00477888"/>
    <w:rsid w:val="004822CB"/>
    <w:rsid w:val="00495E3B"/>
    <w:rsid w:val="00496AED"/>
    <w:rsid w:val="004A3D93"/>
    <w:rsid w:val="004A7836"/>
    <w:rsid w:val="004C5943"/>
    <w:rsid w:val="004D2D62"/>
    <w:rsid w:val="004D6366"/>
    <w:rsid w:val="004E4A57"/>
    <w:rsid w:val="004E5AE8"/>
    <w:rsid w:val="004E674B"/>
    <w:rsid w:val="0051199F"/>
    <w:rsid w:val="005350F0"/>
    <w:rsid w:val="00550CC2"/>
    <w:rsid w:val="00551E0A"/>
    <w:rsid w:val="00554352"/>
    <w:rsid w:val="00560384"/>
    <w:rsid w:val="005635AB"/>
    <w:rsid w:val="005650BA"/>
    <w:rsid w:val="005766E6"/>
    <w:rsid w:val="005769D7"/>
    <w:rsid w:val="0058278A"/>
    <w:rsid w:val="00584380"/>
    <w:rsid w:val="00595702"/>
    <w:rsid w:val="00596EB5"/>
    <w:rsid w:val="005A0F0A"/>
    <w:rsid w:val="005A640B"/>
    <w:rsid w:val="005B3F0D"/>
    <w:rsid w:val="005B5541"/>
    <w:rsid w:val="005B6B38"/>
    <w:rsid w:val="005B76E1"/>
    <w:rsid w:val="005D54B9"/>
    <w:rsid w:val="005D7FE9"/>
    <w:rsid w:val="005E1A63"/>
    <w:rsid w:val="005E668D"/>
    <w:rsid w:val="005F017C"/>
    <w:rsid w:val="00610252"/>
    <w:rsid w:val="00614D53"/>
    <w:rsid w:val="00615F10"/>
    <w:rsid w:val="00623D73"/>
    <w:rsid w:val="0062729A"/>
    <w:rsid w:val="00631572"/>
    <w:rsid w:val="0063761F"/>
    <w:rsid w:val="006425BA"/>
    <w:rsid w:val="00642ACB"/>
    <w:rsid w:val="00654F48"/>
    <w:rsid w:val="0065705C"/>
    <w:rsid w:val="00661D34"/>
    <w:rsid w:val="00662DAD"/>
    <w:rsid w:val="00665E4C"/>
    <w:rsid w:val="0067391D"/>
    <w:rsid w:val="00673940"/>
    <w:rsid w:val="006753C7"/>
    <w:rsid w:val="006911A3"/>
    <w:rsid w:val="00695741"/>
    <w:rsid w:val="006968DA"/>
    <w:rsid w:val="00697B2C"/>
    <w:rsid w:val="006A0DF4"/>
    <w:rsid w:val="006A5CB4"/>
    <w:rsid w:val="006B0836"/>
    <w:rsid w:val="006B2594"/>
    <w:rsid w:val="006B4DCC"/>
    <w:rsid w:val="006B5A2A"/>
    <w:rsid w:val="006C07DD"/>
    <w:rsid w:val="006C2A1F"/>
    <w:rsid w:val="006C2F8B"/>
    <w:rsid w:val="006C71FC"/>
    <w:rsid w:val="006D546B"/>
    <w:rsid w:val="006E0C0B"/>
    <w:rsid w:val="006E2D67"/>
    <w:rsid w:val="006F4161"/>
    <w:rsid w:val="00711A2C"/>
    <w:rsid w:val="00714EAD"/>
    <w:rsid w:val="00724216"/>
    <w:rsid w:val="0073054F"/>
    <w:rsid w:val="0075161A"/>
    <w:rsid w:val="00756D78"/>
    <w:rsid w:val="007704CB"/>
    <w:rsid w:val="007844A5"/>
    <w:rsid w:val="00786985"/>
    <w:rsid w:val="007A167A"/>
    <w:rsid w:val="007A29E2"/>
    <w:rsid w:val="007A3957"/>
    <w:rsid w:val="007A5260"/>
    <w:rsid w:val="007A6AD9"/>
    <w:rsid w:val="007B3B20"/>
    <w:rsid w:val="007B4430"/>
    <w:rsid w:val="007B5F34"/>
    <w:rsid w:val="007C308F"/>
    <w:rsid w:val="007D1C27"/>
    <w:rsid w:val="007F6E45"/>
    <w:rsid w:val="007F72CF"/>
    <w:rsid w:val="00801B0F"/>
    <w:rsid w:val="0080481A"/>
    <w:rsid w:val="00812FB8"/>
    <w:rsid w:val="008145D9"/>
    <w:rsid w:val="00824612"/>
    <w:rsid w:val="00827E30"/>
    <w:rsid w:val="00830EC2"/>
    <w:rsid w:val="00842B1F"/>
    <w:rsid w:val="00852DB0"/>
    <w:rsid w:val="0085310A"/>
    <w:rsid w:val="008621F4"/>
    <w:rsid w:val="00864726"/>
    <w:rsid w:val="00864ECE"/>
    <w:rsid w:val="0086547C"/>
    <w:rsid w:val="00866421"/>
    <w:rsid w:val="00883714"/>
    <w:rsid w:val="00883D07"/>
    <w:rsid w:val="008904C5"/>
    <w:rsid w:val="008915E5"/>
    <w:rsid w:val="00893656"/>
    <w:rsid w:val="00895BC5"/>
    <w:rsid w:val="008A4CAA"/>
    <w:rsid w:val="008A5279"/>
    <w:rsid w:val="008A7C48"/>
    <w:rsid w:val="008B2684"/>
    <w:rsid w:val="008B5D23"/>
    <w:rsid w:val="008C137A"/>
    <w:rsid w:val="008E3D48"/>
    <w:rsid w:val="008F0B02"/>
    <w:rsid w:val="008F15F1"/>
    <w:rsid w:val="00901F94"/>
    <w:rsid w:val="009116EA"/>
    <w:rsid w:val="00913767"/>
    <w:rsid w:val="00924CD0"/>
    <w:rsid w:val="0093328C"/>
    <w:rsid w:val="009354B6"/>
    <w:rsid w:val="009365D8"/>
    <w:rsid w:val="00955E58"/>
    <w:rsid w:val="009574E3"/>
    <w:rsid w:val="0097063C"/>
    <w:rsid w:val="00973DFC"/>
    <w:rsid w:val="0097402C"/>
    <w:rsid w:val="009773EF"/>
    <w:rsid w:val="0098300F"/>
    <w:rsid w:val="00983AA4"/>
    <w:rsid w:val="009847B7"/>
    <w:rsid w:val="00991E85"/>
    <w:rsid w:val="009A038A"/>
    <w:rsid w:val="009B0227"/>
    <w:rsid w:val="009B303A"/>
    <w:rsid w:val="009C41A0"/>
    <w:rsid w:val="009E06F4"/>
    <w:rsid w:val="009E2FAE"/>
    <w:rsid w:val="009E7363"/>
    <w:rsid w:val="009F3378"/>
    <w:rsid w:val="00A03D23"/>
    <w:rsid w:val="00A06386"/>
    <w:rsid w:val="00A11F1E"/>
    <w:rsid w:val="00A22B64"/>
    <w:rsid w:val="00A237FE"/>
    <w:rsid w:val="00A239AB"/>
    <w:rsid w:val="00A25D3F"/>
    <w:rsid w:val="00A45542"/>
    <w:rsid w:val="00A467AD"/>
    <w:rsid w:val="00A61CD5"/>
    <w:rsid w:val="00A623DC"/>
    <w:rsid w:val="00A661F2"/>
    <w:rsid w:val="00A67601"/>
    <w:rsid w:val="00A73BCF"/>
    <w:rsid w:val="00A8045C"/>
    <w:rsid w:val="00A820C5"/>
    <w:rsid w:val="00A87DDD"/>
    <w:rsid w:val="00A94EDA"/>
    <w:rsid w:val="00AA16DA"/>
    <w:rsid w:val="00AA2849"/>
    <w:rsid w:val="00AA7A7E"/>
    <w:rsid w:val="00AB1FBC"/>
    <w:rsid w:val="00AB2756"/>
    <w:rsid w:val="00AB2D29"/>
    <w:rsid w:val="00AB616A"/>
    <w:rsid w:val="00AC0106"/>
    <w:rsid w:val="00AC0A99"/>
    <w:rsid w:val="00AF0E82"/>
    <w:rsid w:val="00AF40BA"/>
    <w:rsid w:val="00B15F39"/>
    <w:rsid w:val="00B22AB7"/>
    <w:rsid w:val="00B37D23"/>
    <w:rsid w:val="00B4126B"/>
    <w:rsid w:val="00B5053A"/>
    <w:rsid w:val="00B51D61"/>
    <w:rsid w:val="00B57EAA"/>
    <w:rsid w:val="00B619C7"/>
    <w:rsid w:val="00B764AE"/>
    <w:rsid w:val="00B80614"/>
    <w:rsid w:val="00B8075D"/>
    <w:rsid w:val="00B80C7E"/>
    <w:rsid w:val="00B97C51"/>
    <w:rsid w:val="00BA0FDD"/>
    <w:rsid w:val="00BA2545"/>
    <w:rsid w:val="00BA290D"/>
    <w:rsid w:val="00BA6624"/>
    <w:rsid w:val="00BA7470"/>
    <w:rsid w:val="00BB2C23"/>
    <w:rsid w:val="00BB7C89"/>
    <w:rsid w:val="00BD5DA6"/>
    <w:rsid w:val="00BD63EE"/>
    <w:rsid w:val="00BD6A66"/>
    <w:rsid w:val="00BF3332"/>
    <w:rsid w:val="00C0360F"/>
    <w:rsid w:val="00C068A3"/>
    <w:rsid w:val="00C15BE0"/>
    <w:rsid w:val="00C16953"/>
    <w:rsid w:val="00C16D03"/>
    <w:rsid w:val="00C20D9D"/>
    <w:rsid w:val="00C22119"/>
    <w:rsid w:val="00C22F83"/>
    <w:rsid w:val="00C5017F"/>
    <w:rsid w:val="00C7251D"/>
    <w:rsid w:val="00C82EB9"/>
    <w:rsid w:val="00C8352E"/>
    <w:rsid w:val="00C85498"/>
    <w:rsid w:val="00C951C9"/>
    <w:rsid w:val="00CA3AC3"/>
    <w:rsid w:val="00CB11B3"/>
    <w:rsid w:val="00CB2CAA"/>
    <w:rsid w:val="00CB3CB4"/>
    <w:rsid w:val="00CB6EC8"/>
    <w:rsid w:val="00CD7BF5"/>
    <w:rsid w:val="00CE6C92"/>
    <w:rsid w:val="00CF7DC0"/>
    <w:rsid w:val="00D12221"/>
    <w:rsid w:val="00D26BC1"/>
    <w:rsid w:val="00D346D4"/>
    <w:rsid w:val="00D46698"/>
    <w:rsid w:val="00D52977"/>
    <w:rsid w:val="00D61047"/>
    <w:rsid w:val="00D62A3B"/>
    <w:rsid w:val="00D65A9A"/>
    <w:rsid w:val="00D7194B"/>
    <w:rsid w:val="00D8378C"/>
    <w:rsid w:val="00D844B8"/>
    <w:rsid w:val="00D84CF5"/>
    <w:rsid w:val="00D87D32"/>
    <w:rsid w:val="00D90214"/>
    <w:rsid w:val="00DA7F9F"/>
    <w:rsid w:val="00DC6162"/>
    <w:rsid w:val="00DD6A51"/>
    <w:rsid w:val="00DE5C2A"/>
    <w:rsid w:val="00DE5D86"/>
    <w:rsid w:val="00DF0F57"/>
    <w:rsid w:val="00DF24F6"/>
    <w:rsid w:val="00E01002"/>
    <w:rsid w:val="00E1240F"/>
    <w:rsid w:val="00E14D53"/>
    <w:rsid w:val="00E16B30"/>
    <w:rsid w:val="00E22586"/>
    <w:rsid w:val="00E3227E"/>
    <w:rsid w:val="00E3232B"/>
    <w:rsid w:val="00E5419F"/>
    <w:rsid w:val="00E64130"/>
    <w:rsid w:val="00E6781C"/>
    <w:rsid w:val="00E746AC"/>
    <w:rsid w:val="00E84710"/>
    <w:rsid w:val="00E9132A"/>
    <w:rsid w:val="00E947FD"/>
    <w:rsid w:val="00E97D99"/>
    <w:rsid w:val="00EA317C"/>
    <w:rsid w:val="00EA4A2A"/>
    <w:rsid w:val="00EB0C74"/>
    <w:rsid w:val="00EC1A7F"/>
    <w:rsid w:val="00EC44C8"/>
    <w:rsid w:val="00ED240D"/>
    <w:rsid w:val="00EE471E"/>
    <w:rsid w:val="00F22EA4"/>
    <w:rsid w:val="00F25538"/>
    <w:rsid w:val="00F3330E"/>
    <w:rsid w:val="00F41789"/>
    <w:rsid w:val="00F431BC"/>
    <w:rsid w:val="00F43A2D"/>
    <w:rsid w:val="00F54217"/>
    <w:rsid w:val="00F61442"/>
    <w:rsid w:val="00F740A1"/>
    <w:rsid w:val="00F80B0E"/>
    <w:rsid w:val="00F821BD"/>
    <w:rsid w:val="00F82464"/>
    <w:rsid w:val="00F8608F"/>
    <w:rsid w:val="00F91287"/>
    <w:rsid w:val="00F926FF"/>
    <w:rsid w:val="00F96684"/>
    <w:rsid w:val="00FA0445"/>
    <w:rsid w:val="00FB6AB0"/>
    <w:rsid w:val="00FC56A8"/>
    <w:rsid w:val="00FD6B99"/>
    <w:rsid w:val="00FE5EBD"/>
    <w:rsid w:val="00FE6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4:docId w14:val="7E0B66EE"/>
  <w15:docId w15:val="{0EA42B49-62C9-4F46-8CC6-36A43DDA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74"/>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style>
  <w:style w:type="paragraph" w:styleId="Header">
    <w:name w:val="header"/>
    <w:basedOn w:val="Normal"/>
    <w:link w:val="HeaderChar"/>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BalloonText">
    <w:name w:val="Balloon Text"/>
    <w:basedOn w:val="Normal"/>
    <w:link w:val="BalloonTextChar"/>
    <w:semiHidden/>
    <w:unhideWhenUsed/>
    <w:rsid w:val="00551E0A"/>
    <w:rPr>
      <w:rFonts w:ascii="Segoe UI" w:hAnsi="Segoe UI" w:cs="Segoe UI"/>
      <w:sz w:val="18"/>
      <w:szCs w:val="18"/>
    </w:rPr>
  </w:style>
  <w:style w:type="character" w:customStyle="1" w:styleId="BalloonTextChar">
    <w:name w:val="Balloon Text Char"/>
    <w:basedOn w:val="DefaultParagraphFont"/>
    <w:link w:val="BalloonText"/>
    <w:semiHidden/>
    <w:rsid w:val="00551E0A"/>
    <w:rPr>
      <w:rFonts w:ascii="Segoe UI" w:hAnsi="Segoe UI" w:cs="Segoe UI"/>
      <w:sz w:val="18"/>
      <w:szCs w:val="18"/>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n,f,ft Char"/>
    <w:basedOn w:val="Normal"/>
    <w:link w:val="FootnoteTextChar"/>
    <w:uiPriority w:val="99"/>
    <w:qFormat/>
    <w:rsid w:val="007B4430"/>
    <w:rPr>
      <w:rFonts w:ascii="Times New Roman" w:hAnsi="Times New Roman"/>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fn Char1"/>
    <w:basedOn w:val="DefaultParagraphFont"/>
    <w:link w:val="FootnoteText"/>
    <w:uiPriority w:val="99"/>
    <w:rsid w:val="007B4430"/>
  </w:style>
  <w:style w:type="character" w:styleId="FootnoteReference">
    <w:name w:val="footnote reference"/>
    <w:aliases w:val="Style 3,o,fr,Style 13,Style 12,Style 15,Style 17,Style 9,o1,fr1,o2,fr2,o3,fr3,Style 18,(NECG) Footnote Reference,Style 20,Style 7,Style 8,Style 19,Style 28,Style 11,Style 16,Styl,Style 6,Style 24,Style 30,Style 39"/>
    <w:uiPriority w:val="99"/>
    <w:qFormat/>
    <w:rsid w:val="007B4430"/>
    <w:rPr>
      <w:vertAlign w:val="superscript"/>
    </w:rPr>
  </w:style>
  <w:style w:type="paragraph" w:customStyle="1" w:styleId="Answer">
    <w:name w:val="Answer"/>
    <w:basedOn w:val="Normal"/>
    <w:link w:val="AnswerChar1"/>
    <w:qFormat/>
    <w:rsid w:val="003F6EB5"/>
    <w:pPr>
      <w:spacing w:line="480" w:lineRule="auto"/>
      <w:ind w:left="720" w:hanging="720"/>
      <w:jc w:val="both"/>
    </w:pPr>
    <w:rPr>
      <w:rFonts w:ascii="Times New Roman" w:hAnsi="Times New Roman"/>
    </w:rPr>
  </w:style>
  <w:style w:type="character" w:customStyle="1" w:styleId="AnswerChar1">
    <w:name w:val="Answer Char1"/>
    <w:basedOn w:val="DefaultParagraphFont"/>
    <w:link w:val="Answer"/>
    <w:rsid w:val="003F6EB5"/>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f Char"/>
    <w:basedOn w:val="DefaultParagraphFont"/>
    <w:uiPriority w:val="99"/>
    <w:rsid w:val="003F6EB5"/>
    <w:rPr>
      <w:sz w:val="20"/>
      <w:szCs w:val="20"/>
    </w:rPr>
  </w:style>
  <w:style w:type="paragraph" w:customStyle="1" w:styleId="Default">
    <w:name w:val="Default"/>
    <w:rsid w:val="003F6EB5"/>
    <w:pPr>
      <w:autoSpaceDE w:val="0"/>
      <w:autoSpaceDN w:val="0"/>
      <w:adjustRightInd w:val="0"/>
    </w:pPr>
    <w:rPr>
      <w:color w:val="000000"/>
      <w:sz w:val="24"/>
      <w:szCs w:val="24"/>
    </w:rPr>
  </w:style>
  <w:style w:type="character" w:customStyle="1" w:styleId="HeaderChar">
    <w:name w:val="Header Char"/>
    <w:basedOn w:val="DefaultParagraphFont"/>
    <w:link w:val="Header"/>
    <w:rsid w:val="003F6EB5"/>
    <w:rPr>
      <w:rFonts w:ascii="Palatino Linotype" w:hAnsi="Palatino Linotype"/>
      <w:sz w:val="24"/>
      <w:szCs w:val="24"/>
    </w:rPr>
  </w:style>
  <w:style w:type="paragraph" w:customStyle="1" w:styleId="Question">
    <w:name w:val="Question"/>
    <w:basedOn w:val="Normal"/>
    <w:link w:val="QuestionChar"/>
    <w:rsid w:val="004A3D93"/>
    <w:pPr>
      <w:spacing w:line="480" w:lineRule="auto"/>
      <w:ind w:left="720" w:hanging="720"/>
      <w:jc w:val="both"/>
    </w:pPr>
    <w:rPr>
      <w:rFonts w:ascii="Times New Roman" w:hAnsi="Times New Roman"/>
      <w:b/>
      <w:bCs/>
      <w:szCs w:val="20"/>
    </w:rPr>
  </w:style>
  <w:style w:type="character" w:customStyle="1" w:styleId="QuestionChar">
    <w:name w:val="Question Char"/>
    <w:basedOn w:val="DefaultParagraphFont"/>
    <w:link w:val="Question"/>
    <w:rsid w:val="004A3D93"/>
    <w:rPr>
      <w:b/>
      <w:bCs/>
      <w:sz w:val="24"/>
    </w:rPr>
  </w:style>
  <w:style w:type="paragraph" w:styleId="ListParagraph">
    <w:name w:val="List Paragraph"/>
    <w:basedOn w:val="Normal"/>
    <w:uiPriority w:val="34"/>
    <w:qFormat/>
    <w:rsid w:val="00EB0C74"/>
    <w:pPr>
      <w:ind w:left="720"/>
      <w:contextualSpacing/>
    </w:pPr>
  </w:style>
  <w:style w:type="paragraph" w:styleId="BodyText">
    <w:name w:val="Body Text"/>
    <w:basedOn w:val="Normal"/>
    <w:link w:val="BodyTextChar"/>
    <w:semiHidden/>
    <w:unhideWhenUsed/>
    <w:rsid w:val="00924CD0"/>
    <w:pPr>
      <w:spacing w:after="120"/>
    </w:pPr>
  </w:style>
  <w:style w:type="character" w:customStyle="1" w:styleId="BodyTextChar">
    <w:name w:val="Body Text Char"/>
    <w:basedOn w:val="DefaultParagraphFont"/>
    <w:link w:val="BodyText"/>
    <w:semiHidden/>
    <w:rsid w:val="00924CD0"/>
    <w:rPr>
      <w:rFonts w:ascii="Palatino Linotype" w:hAnsi="Palatino Linotype"/>
      <w:sz w:val="24"/>
      <w:szCs w:val="24"/>
    </w:rPr>
  </w:style>
  <w:style w:type="character" w:styleId="CommentReference">
    <w:name w:val="annotation reference"/>
    <w:basedOn w:val="DefaultParagraphFont"/>
    <w:semiHidden/>
    <w:unhideWhenUsed/>
    <w:rsid w:val="008F0B02"/>
    <w:rPr>
      <w:sz w:val="16"/>
      <w:szCs w:val="16"/>
    </w:rPr>
  </w:style>
  <w:style w:type="paragraph" w:styleId="CommentText">
    <w:name w:val="annotation text"/>
    <w:basedOn w:val="Normal"/>
    <w:link w:val="CommentTextChar"/>
    <w:semiHidden/>
    <w:unhideWhenUsed/>
    <w:rsid w:val="008F0B02"/>
    <w:rPr>
      <w:sz w:val="20"/>
      <w:szCs w:val="20"/>
    </w:rPr>
  </w:style>
  <w:style w:type="character" w:customStyle="1" w:styleId="CommentTextChar">
    <w:name w:val="Comment Text Char"/>
    <w:basedOn w:val="DefaultParagraphFont"/>
    <w:link w:val="CommentText"/>
    <w:semiHidden/>
    <w:rsid w:val="008F0B02"/>
    <w:rPr>
      <w:rFonts w:ascii="Palatino Linotype" w:hAnsi="Palatino Linotype"/>
    </w:rPr>
  </w:style>
  <w:style w:type="paragraph" w:styleId="CommentSubject">
    <w:name w:val="annotation subject"/>
    <w:basedOn w:val="CommentText"/>
    <w:next w:val="CommentText"/>
    <w:link w:val="CommentSubjectChar"/>
    <w:semiHidden/>
    <w:unhideWhenUsed/>
    <w:rsid w:val="008F0B02"/>
    <w:rPr>
      <w:b/>
      <w:bCs/>
    </w:rPr>
  </w:style>
  <w:style w:type="character" w:customStyle="1" w:styleId="CommentSubjectChar">
    <w:name w:val="Comment Subject Char"/>
    <w:basedOn w:val="CommentTextChar"/>
    <w:link w:val="CommentSubject"/>
    <w:semiHidden/>
    <w:rsid w:val="008F0B02"/>
    <w:rPr>
      <w:rFonts w:ascii="Palatino Linotype" w:hAnsi="Palatino Linotype"/>
      <w:b/>
      <w:bCs/>
    </w:rPr>
  </w:style>
  <w:style w:type="paragraph" w:styleId="Revision">
    <w:name w:val="Revision"/>
    <w:hidden/>
    <w:uiPriority w:val="99"/>
    <w:semiHidden/>
    <w:rsid w:val="00361252"/>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2015-11-25T08:00:00+00:00</OpenedDate>
    <Date1 xmlns="dc463f71-b30c-4ab2-9473-d307f9d35888">2016-05-26T21:41:18+00:00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A7FE04B-24C6-464E-A4E1-466A0C4613EB}"/>
</file>

<file path=customXml/itemProps2.xml><?xml version="1.0" encoding="utf-8"?>
<ds:datastoreItem xmlns:ds="http://schemas.openxmlformats.org/officeDocument/2006/customXml" ds:itemID="{9C8063DF-2344-4FDC-8D32-869BFD4F3503}"/>
</file>

<file path=customXml/itemProps3.xml><?xml version="1.0" encoding="utf-8"?>
<ds:datastoreItem xmlns:ds="http://schemas.openxmlformats.org/officeDocument/2006/customXml" ds:itemID="{C9933D03-BECF-4D1F-A720-C48B7A48BB42}"/>
</file>

<file path=customXml/itemProps4.xml><?xml version="1.0" encoding="utf-8"?>
<ds:datastoreItem xmlns:ds="http://schemas.openxmlformats.org/officeDocument/2006/customXml" ds:itemID="{280A4AFA-1E83-44BA-A122-AFEE94A14C35}"/>
</file>

<file path=customXml/itemProps5.xml><?xml version="1.0" encoding="utf-8"?>
<ds:datastoreItem xmlns:ds="http://schemas.openxmlformats.org/officeDocument/2006/customXml" ds:itemID="{8D378962-9572-4E2B-AF99-D641E7B38D75}"/>
</file>

<file path=docProps/app.xml><?xml version="1.0" encoding="utf-8"?>
<Properties xmlns="http://schemas.openxmlformats.org/officeDocument/2006/extended-properties" xmlns:vt="http://schemas.openxmlformats.org/officeDocument/2006/docPropsVTypes">
  <Template>Normal.dotm</Template>
  <TotalTime>595</TotalTime>
  <Pages>10</Pages>
  <Words>2454</Words>
  <Characters>13659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UE-152253 - Staff Opposition to Pac Pwr Mtn to Strike Sierra Testimony 5-26-16</vt:lpstr>
    </vt:vector>
  </TitlesOfParts>
  <Company>WUTC</Company>
  <LinksUpToDate>false</LinksUpToDate>
  <CharactersWithSpaces>16081</CharactersWithSpaces>
  <SharedDoc>false</SharedDoc>
  <HLinks>
    <vt:vector size="6" baseType="variant">
      <vt:variant>
        <vt:i4>6815830</vt:i4>
      </vt:variant>
      <vt:variant>
        <vt:i4>0</vt:i4>
      </vt:variant>
      <vt:variant>
        <vt:i4>0</vt:i4>
      </vt:variant>
      <vt:variant>
        <vt:i4>5</vt:i4>
      </vt:variant>
      <vt:variant>
        <vt:lpwstr>mailto:*****@utc.wa.gov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UE-152253 - Staff Opposition to Pac Pwr Mtn to Strike Sierra Testimony 5-26-16</dc:title>
  <dc:subject/>
  <dc:creator>SSmith</dc:creator>
  <cp:keywords/>
  <dc:description/>
  <cp:lastModifiedBy>Gross, Krista (UTC)</cp:lastModifiedBy>
  <cp:revision>118</cp:revision>
  <cp:lastPrinted>2016-04-25T23:18:00Z</cp:lastPrinted>
  <dcterms:created xsi:type="dcterms:W3CDTF">2016-05-24T23:00:00Z</dcterms:created>
  <dcterms:modified xsi:type="dcterms:W3CDTF">2016-05-26T20:40:00Z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