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Exhibit </w:t>
      </w:r>
      <w:r w:rsidR="00EA5286">
        <w:rPr>
          <w:b/>
          <w:bCs/>
        </w:rPr>
        <w:t xml:space="preserve">No. </w:t>
      </w:r>
      <w:r w:rsidR="00E76C8A">
        <w:rPr>
          <w:b/>
          <w:bCs/>
        </w:rPr>
        <w:t xml:space="preserve">___ </w:t>
      </w:r>
      <w:r w:rsidR="00CC63ED">
        <w:rPr>
          <w:b/>
          <w:bCs/>
        </w:rPr>
        <w:t>(</w:t>
      </w:r>
      <w:r w:rsidR="003C5F0F">
        <w:rPr>
          <w:b/>
          <w:bCs/>
        </w:rPr>
        <w:t>TES-</w:t>
      </w:r>
      <w:r w:rsidR="007B245D">
        <w:rPr>
          <w:b/>
          <w:bCs/>
        </w:rPr>
        <w:t>3</w:t>
      </w:r>
      <w:r>
        <w:rPr>
          <w:b/>
          <w:bCs/>
        </w:rPr>
        <w:t>T</w:t>
      </w:r>
      <w:r w:rsidR="003C5F0F">
        <w:rPr>
          <w:b/>
          <w:bCs/>
        </w:rPr>
        <w:t>)</w:t>
      </w:r>
      <w:r>
        <w:rPr>
          <w:b/>
          <w:bCs/>
        </w:rPr>
        <w:t xml:space="preserve"> </w:t>
      </w:r>
    </w:p>
    <w:p w:rsidR="00C3471C" w:rsidRDefault="00FB2A42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Docket UE-</w:t>
      </w:r>
      <w:r w:rsidR="007B245D">
        <w:rPr>
          <w:b/>
          <w:bCs/>
        </w:rPr>
        <w:t>111048/UG-</w:t>
      </w:r>
      <w:r>
        <w:rPr>
          <w:b/>
          <w:bCs/>
        </w:rPr>
        <w:t>1</w:t>
      </w:r>
      <w:r w:rsidR="007B245D">
        <w:rPr>
          <w:b/>
          <w:bCs/>
        </w:rPr>
        <w:t>11</w:t>
      </w:r>
      <w:r>
        <w:rPr>
          <w:b/>
          <w:bCs/>
        </w:rPr>
        <w:t>049</w:t>
      </w: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Witness: </w:t>
      </w:r>
      <w:r w:rsidR="001C7B44">
        <w:rPr>
          <w:b/>
          <w:bCs/>
        </w:rPr>
        <w:t xml:space="preserve">Thomas E. </w:t>
      </w:r>
      <w:r w:rsidR="00E76C8A">
        <w:rPr>
          <w:b/>
          <w:bCs/>
        </w:rPr>
        <w:t>Schooley</w:t>
      </w:r>
      <w:r>
        <w:rPr>
          <w:b/>
          <w:bCs/>
        </w:rPr>
        <w:t xml:space="preserve"> </w:t>
      </w: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FB2A42" w:rsidRPr="00FB2A42" w:rsidRDefault="00FB2A42" w:rsidP="00FB2A42">
      <w:pPr>
        <w:tabs>
          <w:tab w:val="center" w:pos="4680"/>
        </w:tabs>
        <w:ind w:right="-108" w:hanging="180"/>
        <w:jc w:val="both"/>
        <w:rPr>
          <w:b/>
        </w:rPr>
      </w:pPr>
      <w:r w:rsidRPr="00FB2A42">
        <w:rPr>
          <w:b/>
        </w:rPr>
        <w:t>BEFORE THE WASHINGTON UTILITIES AND TRANSPORTATION COMMISSION</w:t>
      </w:r>
    </w:p>
    <w:p w:rsidR="00FB2A42" w:rsidRPr="00FB2A42" w:rsidRDefault="00FB2A42" w:rsidP="00FB2A42">
      <w:pPr>
        <w:jc w:val="both"/>
        <w:rPr>
          <w:b/>
        </w:rPr>
      </w:pPr>
    </w:p>
    <w:p w:rsidR="00FB2A42" w:rsidRPr="00FB2A42" w:rsidRDefault="00FB2A42" w:rsidP="00FB2A42">
      <w:pPr>
        <w:jc w:val="both"/>
        <w:rPr>
          <w:b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B2A42" w:rsidRPr="00FB2A42" w:rsidTr="00045A65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B2A42" w:rsidRPr="00FB2A42" w:rsidRDefault="00FB2A42" w:rsidP="00045A65">
            <w:pPr>
              <w:rPr>
                <w:b/>
              </w:rPr>
            </w:pPr>
          </w:p>
          <w:p w:rsidR="00FB2A42" w:rsidRPr="00FB2A42" w:rsidRDefault="00FB2A42" w:rsidP="00045A65">
            <w:pPr>
              <w:rPr>
                <w:b/>
              </w:rPr>
            </w:pPr>
            <w:r w:rsidRPr="00FB2A42">
              <w:rPr>
                <w:b/>
              </w:rPr>
              <w:t xml:space="preserve">WASHINGTON UTILITIES AND TRANSPORTATION COMMISSION, </w:t>
            </w:r>
          </w:p>
          <w:p w:rsidR="00FB2A42" w:rsidRPr="00FB2A42" w:rsidRDefault="00FB2A42" w:rsidP="00045A65">
            <w:pPr>
              <w:rPr>
                <w:b/>
              </w:rPr>
            </w:pPr>
          </w:p>
          <w:p w:rsidR="00FB2A42" w:rsidRPr="00FB2A42" w:rsidRDefault="00FB2A42" w:rsidP="00045A65">
            <w:pPr>
              <w:rPr>
                <w:b/>
              </w:rPr>
            </w:pPr>
            <w:r w:rsidRPr="00FB2A42">
              <w:rPr>
                <w:b/>
              </w:rPr>
              <w:tab/>
            </w:r>
            <w:r w:rsidRPr="00FB2A42">
              <w:rPr>
                <w:b/>
              </w:rPr>
              <w:tab/>
              <w:t>Complainant,</w:t>
            </w:r>
          </w:p>
          <w:p w:rsidR="00FB2A42" w:rsidRPr="00FB2A42" w:rsidRDefault="00FB2A42" w:rsidP="00045A65">
            <w:pPr>
              <w:rPr>
                <w:b/>
              </w:rPr>
            </w:pPr>
          </w:p>
          <w:p w:rsidR="00FB2A42" w:rsidRPr="00FB2A42" w:rsidRDefault="00FB2A42" w:rsidP="00045A65">
            <w:pPr>
              <w:rPr>
                <w:b/>
              </w:rPr>
            </w:pPr>
            <w:r w:rsidRPr="00FB2A42">
              <w:rPr>
                <w:b/>
              </w:rPr>
              <w:tab/>
              <w:t>v.</w:t>
            </w:r>
          </w:p>
          <w:p w:rsidR="00FB2A42" w:rsidRPr="00FB2A42" w:rsidRDefault="00FB2A42" w:rsidP="00045A65">
            <w:pPr>
              <w:rPr>
                <w:b/>
              </w:rPr>
            </w:pPr>
          </w:p>
          <w:p w:rsidR="00FB2A42" w:rsidRPr="00FB2A42" w:rsidRDefault="00FB2A42" w:rsidP="00045A65">
            <w:pPr>
              <w:rPr>
                <w:b/>
              </w:rPr>
            </w:pPr>
            <w:r w:rsidRPr="00FB2A42">
              <w:rPr>
                <w:b/>
              </w:rPr>
              <w:t>P</w:t>
            </w:r>
            <w:r w:rsidR="007B245D">
              <w:rPr>
                <w:b/>
              </w:rPr>
              <w:t>UGET SOUND ENERGY</w:t>
            </w:r>
            <w:r w:rsidRPr="00FB2A42">
              <w:rPr>
                <w:b/>
              </w:rPr>
              <w:t xml:space="preserve">, </w:t>
            </w:r>
            <w:r w:rsidR="008E5669">
              <w:rPr>
                <w:b/>
              </w:rPr>
              <w:t xml:space="preserve"> Inc.</w:t>
            </w:r>
          </w:p>
          <w:p w:rsidR="00FB2A42" w:rsidRPr="00FB2A42" w:rsidRDefault="00FB2A42" w:rsidP="00045A65">
            <w:pPr>
              <w:rPr>
                <w:b/>
              </w:rPr>
            </w:pPr>
          </w:p>
          <w:p w:rsidR="00FB2A42" w:rsidRPr="00FB2A42" w:rsidRDefault="00FB2A42" w:rsidP="00045A65">
            <w:pPr>
              <w:spacing w:after="19"/>
              <w:rPr>
                <w:b/>
              </w:rPr>
            </w:pPr>
            <w:r w:rsidRPr="00FB2A42">
              <w:rPr>
                <w:b/>
              </w:rPr>
              <w:tab/>
            </w:r>
            <w:r w:rsidRPr="00FB2A42">
              <w:rPr>
                <w:b/>
              </w:rPr>
              <w:tab/>
              <w:t>Respondent.</w:t>
            </w:r>
          </w:p>
          <w:p w:rsidR="00FB2A42" w:rsidRPr="00FB2A42" w:rsidRDefault="00FB2A42" w:rsidP="00045A65">
            <w:pPr>
              <w:spacing w:after="19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B245D" w:rsidRDefault="00FB2A42" w:rsidP="00045A65">
            <w:pPr>
              <w:ind w:firstLine="720"/>
              <w:rPr>
                <w:b/>
              </w:rPr>
            </w:pPr>
            <w:r w:rsidRPr="00FB2A42">
              <w:rPr>
                <w:b/>
              </w:rPr>
              <w:t>DOCKET UE-1</w:t>
            </w:r>
            <w:r w:rsidR="007B245D">
              <w:rPr>
                <w:b/>
              </w:rPr>
              <w:t>11</w:t>
            </w:r>
            <w:r w:rsidRPr="00FB2A42">
              <w:rPr>
                <w:b/>
              </w:rPr>
              <w:t>04</w:t>
            </w:r>
            <w:r w:rsidR="007B245D">
              <w:rPr>
                <w:b/>
              </w:rPr>
              <w:t>8</w:t>
            </w:r>
          </w:p>
          <w:p w:rsidR="00FB2A42" w:rsidRPr="00FB2A42" w:rsidRDefault="007B245D" w:rsidP="00045A65">
            <w:pPr>
              <w:ind w:firstLine="720"/>
              <w:rPr>
                <w:b/>
              </w:rPr>
            </w:pPr>
            <w:r>
              <w:rPr>
                <w:b/>
              </w:rPr>
              <w:t>DOCKET UG-111049</w:t>
            </w:r>
            <w:r w:rsidR="00FB2A42" w:rsidRPr="00FB2A42">
              <w:rPr>
                <w:b/>
              </w:rPr>
              <w:t xml:space="preserve"> </w:t>
            </w:r>
          </w:p>
          <w:p w:rsidR="00FB2A42" w:rsidRPr="00FB2A42" w:rsidRDefault="00FB2A42" w:rsidP="00045A65">
            <w:pPr>
              <w:rPr>
                <w:b/>
              </w:rPr>
            </w:pPr>
          </w:p>
          <w:p w:rsidR="00FB2A42" w:rsidRPr="00FB2A42" w:rsidRDefault="007B245D" w:rsidP="00FB2A42">
            <w:pPr>
              <w:spacing w:after="19"/>
              <w:ind w:left="720"/>
              <w:rPr>
                <w:b/>
              </w:rPr>
            </w:pPr>
            <w:r>
              <w:rPr>
                <w:b/>
              </w:rPr>
              <w:t>(Consolidated)</w:t>
            </w:r>
          </w:p>
        </w:tc>
      </w:tr>
    </w:tbl>
    <w:p w:rsidR="00C3471C" w:rsidRDefault="00C3471C" w:rsidP="00C3471C">
      <w:pPr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C3471C" w:rsidRDefault="00591985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CROSS-ANSWERING </w:t>
      </w:r>
      <w:r w:rsidR="00C3471C">
        <w:rPr>
          <w:b/>
          <w:bCs/>
        </w:rPr>
        <w:t>TESTIMONY OF</w:t>
      </w:r>
    </w:p>
    <w:p w:rsidR="00C3471C" w:rsidRDefault="00C3471C" w:rsidP="00C3471C">
      <w:pPr>
        <w:jc w:val="center"/>
        <w:rPr>
          <w:b/>
          <w:bCs/>
        </w:rPr>
      </w:pPr>
    </w:p>
    <w:p w:rsidR="00C3471C" w:rsidRDefault="003C5F0F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Thomas E. Schooley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STAFF OF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WASHINGTON</w:t>
          </w:r>
        </w:smartTag>
      </w:smartTag>
      <w:r>
        <w:rPr>
          <w:b/>
          <w:bCs/>
        </w:rPr>
        <w:t xml:space="preserve"> UTILITIES AND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TRANSPORTATION COMMISSION</w:t>
      </w:r>
    </w:p>
    <w:p w:rsidR="00C3471C" w:rsidRDefault="00C3471C" w:rsidP="00C3471C">
      <w:pPr>
        <w:jc w:val="center"/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C3471C" w:rsidRPr="003C5F0F" w:rsidRDefault="008E5669" w:rsidP="003C5F0F">
      <w:pPr>
        <w:jc w:val="center"/>
        <w:rPr>
          <w:b/>
          <w:bCs/>
          <w:i/>
        </w:rPr>
      </w:pPr>
      <w:r>
        <w:rPr>
          <w:b/>
          <w:bCs/>
          <w:i/>
        </w:rPr>
        <w:t>Disposition of Federal Incentives for Wind Projects</w:t>
      </w:r>
    </w:p>
    <w:p w:rsidR="00C3471C" w:rsidRDefault="00C3471C" w:rsidP="00C3471C">
      <w:pPr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C3471C" w:rsidRDefault="008E5669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January 17, 2012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rPr>
          <w:b/>
          <w:bCs/>
        </w:rPr>
      </w:pPr>
    </w:p>
    <w:p w:rsidR="00C3471C" w:rsidRDefault="00C3471C" w:rsidP="00C3471C">
      <w:pPr>
        <w:tabs>
          <w:tab w:val="center" w:pos="4680"/>
        </w:tabs>
        <w:sectPr w:rsidR="00C3471C" w:rsidSect="00C3471C">
          <w:footerReference w:type="default" r:id="rId9"/>
          <w:pgSz w:w="12240" w:h="15840" w:code="1"/>
          <w:pgMar w:top="1440" w:right="1440" w:bottom="1440" w:left="1872" w:header="720" w:footer="720" w:gutter="0"/>
          <w:cols w:space="720"/>
          <w:titlePg/>
          <w:docGrid w:linePitch="360"/>
        </w:sectPr>
      </w:pPr>
    </w:p>
    <w:p w:rsidR="007604DF" w:rsidRDefault="007604DF" w:rsidP="007604DF">
      <w:pPr>
        <w:pStyle w:val="Heading3"/>
        <w:keepNext w:val="0"/>
        <w:widowControl w:val="0"/>
      </w:pPr>
      <w:r>
        <w:lastRenderedPageBreak/>
        <w:t>TABLE OF CONTENTS</w:t>
      </w:r>
    </w:p>
    <w:p w:rsidR="007604DF" w:rsidRDefault="007604DF" w:rsidP="007604DF"/>
    <w:p w:rsidR="007604DF" w:rsidRPr="005B3D61" w:rsidRDefault="007604DF" w:rsidP="007604DF">
      <w:pPr>
        <w:pStyle w:val="Heading3"/>
        <w:tabs>
          <w:tab w:val="left" w:pos="720"/>
          <w:tab w:val="left" w:pos="1440"/>
          <w:tab w:val="left" w:pos="2160"/>
          <w:tab w:val="right" w:leader="dot" w:pos="9000"/>
        </w:tabs>
        <w:spacing w:line="240" w:lineRule="auto"/>
        <w:jc w:val="left"/>
        <w:rPr>
          <w:b w:val="0"/>
        </w:rPr>
      </w:pPr>
      <w:r w:rsidRPr="005B3D61">
        <w:rPr>
          <w:b w:val="0"/>
        </w:rPr>
        <w:t xml:space="preserve">I. </w:t>
      </w:r>
      <w:r>
        <w:rPr>
          <w:b w:val="0"/>
        </w:rPr>
        <w:tab/>
      </w:r>
      <w:r w:rsidRPr="005B3D61">
        <w:rPr>
          <w:b w:val="0"/>
        </w:rPr>
        <w:t>INTRODUCTION</w:t>
      </w:r>
      <w:r>
        <w:rPr>
          <w:b w:val="0"/>
        </w:rPr>
        <w:t xml:space="preserve"> </w:t>
      </w:r>
      <w:r w:rsidR="009667D7">
        <w:rPr>
          <w:b w:val="0"/>
        </w:rPr>
        <w:t>AND SCOPE OF TESTIMONY</w:t>
      </w:r>
      <w:r>
        <w:rPr>
          <w:b w:val="0"/>
        </w:rPr>
        <w:tab/>
        <w:t>1</w:t>
      </w:r>
    </w:p>
    <w:p w:rsidR="007604DF" w:rsidRPr="005B3D61" w:rsidRDefault="007604DF" w:rsidP="007604DF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right" w:leader="dot" w:pos="9000"/>
        </w:tabs>
        <w:spacing w:line="240" w:lineRule="auto"/>
        <w:jc w:val="left"/>
        <w:rPr>
          <w:b w:val="0"/>
        </w:rPr>
      </w:pPr>
    </w:p>
    <w:p w:rsidR="007604DF" w:rsidRPr="005B3D61" w:rsidRDefault="007604DF" w:rsidP="007604DF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right" w:leader="dot" w:pos="9000"/>
        </w:tabs>
        <w:spacing w:line="240" w:lineRule="auto"/>
        <w:rPr>
          <w:caps/>
        </w:rPr>
      </w:pPr>
      <w:r w:rsidRPr="005B3D61">
        <w:rPr>
          <w:caps/>
        </w:rPr>
        <w:t>II.</w:t>
      </w:r>
      <w:r w:rsidRPr="005B3D61">
        <w:rPr>
          <w:caps/>
        </w:rPr>
        <w:tab/>
      </w:r>
      <w:r w:rsidR="008E5669">
        <w:rPr>
          <w:caps/>
        </w:rPr>
        <w:t>Treasury Grant</w:t>
      </w:r>
      <w:r w:rsidR="00111376">
        <w:rPr>
          <w:caps/>
        </w:rPr>
        <w:t>s</w:t>
      </w:r>
      <w:r>
        <w:rPr>
          <w:caps/>
        </w:rPr>
        <w:t xml:space="preserve"> </w:t>
      </w:r>
      <w:r>
        <w:rPr>
          <w:caps/>
        </w:rPr>
        <w:tab/>
        <w:t>2</w:t>
      </w:r>
    </w:p>
    <w:p w:rsidR="007604DF" w:rsidRPr="005B3D61" w:rsidRDefault="007604DF" w:rsidP="007604DF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right" w:leader="dot" w:pos="9000"/>
        </w:tabs>
        <w:spacing w:line="240" w:lineRule="auto"/>
        <w:rPr>
          <w:caps/>
        </w:rPr>
      </w:pPr>
    </w:p>
    <w:p w:rsidR="007604DF" w:rsidRPr="005B3D61" w:rsidRDefault="007604DF" w:rsidP="008E5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leader="dot" w:pos="9000"/>
        </w:tabs>
        <w:ind w:left="720" w:hanging="720"/>
      </w:pPr>
    </w:p>
    <w:p w:rsidR="007604DF" w:rsidRPr="005B3D61" w:rsidRDefault="007604DF" w:rsidP="007604DF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right" w:leader="dot" w:pos="9000"/>
        </w:tabs>
        <w:spacing w:line="240" w:lineRule="auto"/>
      </w:pPr>
    </w:p>
    <w:p w:rsidR="007604DF" w:rsidRPr="005B3D61" w:rsidRDefault="007604DF" w:rsidP="007604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leader="dot" w:pos="9000"/>
        </w:tabs>
        <w:rPr>
          <w:color w:val="1F497D"/>
        </w:rPr>
      </w:pPr>
    </w:p>
    <w:p w:rsidR="005150BA" w:rsidRPr="00FB6F77" w:rsidRDefault="005150BA" w:rsidP="00FB6F77"/>
    <w:p w:rsidR="00FB6F77" w:rsidRDefault="00FB6F77" w:rsidP="00FB6F77">
      <w:pPr>
        <w:pStyle w:val="Heading3"/>
        <w:keepNext w:val="0"/>
        <w:widowControl w:val="0"/>
        <w:jc w:val="left"/>
      </w:pPr>
    </w:p>
    <w:p w:rsidR="00FB6F77" w:rsidRDefault="00FB6F77" w:rsidP="00C3471C">
      <w:pPr>
        <w:pStyle w:val="Heading3"/>
        <w:jc w:val="left"/>
        <w:sectPr w:rsidR="00FB6F77" w:rsidSect="007604DF">
          <w:footerReference w:type="default" r:id="rId10"/>
          <w:pgSz w:w="12240" w:h="15840" w:code="1"/>
          <w:pgMar w:top="1440" w:right="1440" w:bottom="1440" w:left="1872" w:header="720" w:footer="720" w:gutter="0"/>
          <w:pgNumType w:fmt="lowerRoman" w:start="1"/>
          <w:cols w:space="720"/>
          <w:docGrid w:linePitch="360"/>
        </w:sectPr>
      </w:pPr>
    </w:p>
    <w:p w:rsidR="00FB6F77" w:rsidRDefault="00FB6F77" w:rsidP="00FB6F77">
      <w:pPr>
        <w:pStyle w:val="Heading3"/>
      </w:pPr>
      <w:r>
        <w:lastRenderedPageBreak/>
        <w:t>I.  INTRODUCTION</w:t>
      </w:r>
      <w:r w:rsidR="009667D7">
        <w:t xml:space="preserve"> AND SCOPE OF TESTIMONY</w:t>
      </w:r>
    </w:p>
    <w:p w:rsidR="00FB6F77" w:rsidRDefault="00FB6F77" w:rsidP="00C3471C">
      <w:pPr>
        <w:pStyle w:val="Heading3"/>
        <w:jc w:val="left"/>
      </w:pPr>
    </w:p>
    <w:p w:rsidR="00C3471C" w:rsidRDefault="00C3471C" w:rsidP="00C3471C">
      <w:pPr>
        <w:pStyle w:val="Heading3"/>
        <w:jc w:val="left"/>
        <w:rPr>
          <w:b w:val="0"/>
          <w:bCs w:val="0"/>
        </w:rPr>
      </w:pPr>
      <w:r>
        <w:t>Q.</w:t>
      </w:r>
      <w:r>
        <w:tab/>
        <w:t>Please state your name</w:t>
      </w:r>
      <w:r w:rsidR="00712C9A">
        <w:t xml:space="preserve">, </w:t>
      </w:r>
      <w:r>
        <w:t>business address</w:t>
      </w:r>
      <w:r w:rsidR="00712C9A">
        <w:t>, and position of employment</w:t>
      </w:r>
      <w:r>
        <w:t>.</w:t>
      </w:r>
      <w:r>
        <w:rPr>
          <w:b w:val="0"/>
          <w:bCs w:val="0"/>
        </w:rPr>
        <w:t xml:space="preserve">  </w:t>
      </w:r>
    </w:p>
    <w:p w:rsidR="00C3471C" w:rsidRDefault="00C3471C" w:rsidP="00C3471C">
      <w:pPr>
        <w:pStyle w:val="BodyTextIndent"/>
      </w:pPr>
      <w:r>
        <w:t>A.</w:t>
      </w:r>
      <w:r>
        <w:tab/>
      </w:r>
      <w:r w:rsidR="00E76C8A">
        <w:t>My name is</w:t>
      </w:r>
      <w:r>
        <w:t xml:space="preserve"> </w:t>
      </w:r>
      <w:r w:rsidR="00F9110B">
        <w:t>Thomas E. Schooley</w:t>
      </w:r>
      <w:r>
        <w:t xml:space="preserve">.  My business address is </w:t>
      </w:r>
      <w:r w:rsidR="001C7B44">
        <w:t xml:space="preserve">The Richard Hemstad Building, </w:t>
      </w:r>
      <w:r>
        <w:t xml:space="preserve">1300 S. Evergreen Park Drive S.W., P.O. Box 47250, </w:t>
      </w:r>
      <w:smartTag w:uri="urn:schemas-microsoft-com:office:smarttags" w:element="City">
        <w:r>
          <w:t>Olympia</w:t>
        </w:r>
      </w:smartTag>
      <w:r>
        <w:t xml:space="preserve">, </w:t>
      </w:r>
      <w:smartTag w:uri="urn:schemas-microsoft-com:office:smarttags" w:element="State">
        <w:r>
          <w:t>WA</w:t>
        </w:r>
      </w:smartTag>
      <w:r>
        <w:t xml:space="preserve">  </w:t>
      </w:r>
      <w:smartTag w:uri="urn:schemas-microsoft-com:office:smarttags" w:element="PostalCode">
        <w:r>
          <w:t>98504</w:t>
        </w:r>
      </w:smartTag>
      <w:r>
        <w:t xml:space="preserve">.  </w:t>
      </w:r>
      <w:r w:rsidR="00712C9A">
        <w:t>I am employed by the Washington Utilities and Transportation Commission as the Interim Assistant Director in the Energy Section of the Regulatory Services Division.</w:t>
      </w:r>
    </w:p>
    <w:p w:rsidR="00C3471C" w:rsidRDefault="00C3471C" w:rsidP="00C3471C">
      <w:pPr>
        <w:spacing w:line="480" w:lineRule="auto"/>
        <w:ind w:left="720" w:hanging="720"/>
      </w:pPr>
    </w:p>
    <w:p w:rsidR="00C3471C" w:rsidRDefault="00C3471C" w:rsidP="00C3471C">
      <w:pPr>
        <w:pStyle w:val="Heading1"/>
      </w:pPr>
      <w:r>
        <w:t>Q.</w:t>
      </w:r>
      <w:r>
        <w:tab/>
      </w:r>
      <w:r w:rsidR="00911547">
        <w:t>A</w:t>
      </w:r>
      <w:r>
        <w:t xml:space="preserve">re you </w:t>
      </w:r>
      <w:r w:rsidR="00911547">
        <w:t xml:space="preserve">the same Thomas E. Schooley </w:t>
      </w:r>
      <w:r w:rsidR="0039298A">
        <w:t>who</w:t>
      </w:r>
      <w:r w:rsidR="00911547">
        <w:t xml:space="preserve"> submitted </w:t>
      </w:r>
      <w:r w:rsidR="00712C9A">
        <w:t xml:space="preserve">response </w:t>
      </w:r>
      <w:r w:rsidR="00911547">
        <w:t xml:space="preserve">testimony on </w:t>
      </w:r>
      <w:r w:rsidR="0039298A">
        <w:t xml:space="preserve">behalf of Staff on </w:t>
      </w:r>
      <w:r w:rsidR="008E5669">
        <w:t>December 7</w:t>
      </w:r>
      <w:r w:rsidR="00911547">
        <w:t>, 201</w:t>
      </w:r>
      <w:r w:rsidR="00454C33">
        <w:t>1</w:t>
      </w:r>
      <w:r w:rsidR="00A20618">
        <w:t>,</w:t>
      </w:r>
      <w:r w:rsidR="003E7C5A">
        <w:t xml:space="preserve"> in this docket</w:t>
      </w:r>
      <w:r>
        <w:t xml:space="preserve">?  </w:t>
      </w:r>
    </w:p>
    <w:p w:rsidR="00C3471C" w:rsidRDefault="00C3471C" w:rsidP="00C3471C">
      <w:pPr>
        <w:spacing w:line="480" w:lineRule="auto"/>
        <w:ind w:left="720" w:hanging="720"/>
      </w:pPr>
      <w:r>
        <w:t>A.</w:t>
      </w:r>
      <w:r>
        <w:tab/>
      </w:r>
      <w:r w:rsidR="00911547">
        <w:t>Yes</w:t>
      </w:r>
      <w:r w:rsidR="00F9110B">
        <w:t>.</w:t>
      </w:r>
      <w:r>
        <w:t xml:space="preserve"> </w:t>
      </w:r>
      <w:r w:rsidR="00712C9A">
        <w:t xml:space="preserve"> </w:t>
      </w:r>
    </w:p>
    <w:p w:rsidR="00C3471C" w:rsidRDefault="00C3471C" w:rsidP="00C3471C">
      <w:pPr>
        <w:spacing w:line="480" w:lineRule="auto"/>
        <w:ind w:left="720" w:hanging="720"/>
      </w:pPr>
    </w:p>
    <w:p w:rsidR="00DE6831" w:rsidRPr="00DE6831" w:rsidRDefault="00B16725" w:rsidP="00DE6831">
      <w:pPr>
        <w:pStyle w:val="BodyTextIndent"/>
        <w:rPr>
          <w:b/>
        </w:rPr>
      </w:pPr>
      <w:r w:rsidRPr="00DE6831">
        <w:rPr>
          <w:b/>
        </w:rPr>
        <w:t>Q.</w:t>
      </w:r>
      <w:r w:rsidRPr="00DE6831">
        <w:rPr>
          <w:b/>
        </w:rPr>
        <w:tab/>
        <w:t xml:space="preserve">What is the </w:t>
      </w:r>
      <w:r w:rsidR="00FF2BFC">
        <w:rPr>
          <w:b/>
        </w:rPr>
        <w:t>purpose</w:t>
      </w:r>
      <w:r w:rsidRPr="00DE6831">
        <w:rPr>
          <w:b/>
        </w:rPr>
        <w:t xml:space="preserve"> of your </w:t>
      </w:r>
      <w:r w:rsidR="00911547" w:rsidRPr="00DE6831">
        <w:rPr>
          <w:b/>
        </w:rPr>
        <w:t xml:space="preserve">cross-answering </w:t>
      </w:r>
      <w:r w:rsidRPr="00DE6831">
        <w:rPr>
          <w:b/>
        </w:rPr>
        <w:t>testimony</w:t>
      </w:r>
      <w:r w:rsidR="00A20618">
        <w:rPr>
          <w:b/>
        </w:rPr>
        <w:t>?</w:t>
      </w:r>
    </w:p>
    <w:p w:rsidR="002A1DEC" w:rsidRDefault="00A20618" w:rsidP="002A1DEC">
      <w:pPr>
        <w:pStyle w:val="BodyTextIndent"/>
      </w:pPr>
      <w:r>
        <w:t>A.</w:t>
      </w:r>
      <w:r>
        <w:tab/>
      </w:r>
      <w:r w:rsidR="00712C9A">
        <w:t xml:space="preserve">I </w:t>
      </w:r>
      <w:r w:rsidR="0097197B">
        <w:t>respond to Public Counsel</w:t>
      </w:r>
      <w:r w:rsidR="002A1DEC">
        <w:t>’s</w:t>
      </w:r>
      <w:r w:rsidR="0097197B">
        <w:t xml:space="preserve"> </w:t>
      </w:r>
      <w:r w:rsidR="00021EE0" w:rsidRPr="00DE6831">
        <w:t xml:space="preserve">witness </w:t>
      </w:r>
      <w:r w:rsidR="002A1DEC">
        <w:t>Ms</w:t>
      </w:r>
      <w:r w:rsidR="008E5669">
        <w:t xml:space="preserve">. </w:t>
      </w:r>
      <w:r w:rsidR="00712C9A">
        <w:t xml:space="preserve">Andrea </w:t>
      </w:r>
      <w:r w:rsidR="008E5669">
        <w:t>Crane</w:t>
      </w:r>
      <w:r w:rsidR="002A1DEC">
        <w:t xml:space="preserve"> </w:t>
      </w:r>
      <w:r w:rsidR="002C159E">
        <w:t>concerning</w:t>
      </w:r>
      <w:r w:rsidR="00021EE0" w:rsidRPr="00DE6831">
        <w:t xml:space="preserve"> </w:t>
      </w:r>
      <w:r w:rsidR="002A1DEC">
        <w:t xml:space="preserve">the Treasury Grant for the Lower Snake River Wind </w:t>
      </w:r>
      <w:r w:rsidR="00712C9A">
        <w:t xml:space="preserve">Project </w:t>
      </w:r>
      <w:r w:rsidR="00E66CCE">
        <w:t>Phase 1 (</w:t>
      </w:r>
      <w:r w:rsidR="00712C9A">
        <w:t>“</w:t>
      </w:r>
      <w:r w:rsidR="00E66CCE">
        <w:t>LSR Phase 1</w:t>
      </w:r>
      <w:r w:rsidR="00712C9A">
        <w:t>”</w:t>
      </w:r>
      <w:r w:rsidR="00E66CCE">
        <w:t>)</w:t>
      </w:r>
      <w:r w:rsidR="002A1DEC">
        <w:t>.</w:t>
      </w:r>
    </w:p>
    <w:p w:rsidR="002A1DEC" w:rsidRDefault="002A1DEC" w:rsidP="002A1DEC">
      <w:pPr>
        <w:pStyle w:val="BodyTextIndent"/>
      </w:pPr>
    </w:p>
    <w:p w:rsidR="002A1DEC" w:rsidRPr="00583903" w:rsidRDefault="002A1DEC" w:rsidP="002A1DEC">
      <w:pPr>
        <w:pStyle w:val="BodyTextIndent"/>
        <w:rPr>
          <w:b/>
        </w:rPr>
      </w:pPr>
      <w:r w:rsidRPr="00583903">
        <w:rPr>
          <w:b/>
        </w:rPr>
        <w:t>Q.</w:t>
      </w:r>
      <w:r w:rsidRPr="00583903">
        <w:rPr>
          <w:b/>
        </w:rPr>
        <w:tab/>
      </w:r>
      <w:r w:rsidR="00FF2BFC">
        <w:rPr>
          <w:b/>
        </w:rPr>
        <w:t>Please explain</w:t>
      </w:r>
      <w:r w:rsidR="00E66CCE" w:rsidRPr="00583903">
        <w:rPr>
          <w:b/>
        </w:rPr>
        <w:t xml:space="preserve"> Ms</w:t>
      </w:r>
      <w:r w:rsidR="00025004">
        <w:rPr>
          <w:b/>
        </w:rPr>
        <w:t>.</w:t>
      </w:r>
      <w:r w:rsidR="00E66CCE" w:rsidRPr="00583903">
        <w:rPr>
          <w:b/>
        </w:rPr>
        <w:t xml:space="preserve"> Crane</w:t>
      </w:r>
      <w:r w:rsidR="00FF2BFC">
        <w:rPr>
          <w:b/>
        </w:rPr>
        <w:t>’s</w:t>
      </w:r>
      <w:r w:rsidR="00E66CCE" w:rsidRPr="00583903">
        <w:rPr>
          <w:b/>
        </w:rPr>
        <w:t xml:space="preserve"> testi</w:t>
      </w:r>
      <w:r w:rsidR="00FF2BFC">
        <w:rPr>
          <w:b/>
        </w:rPr>
        <w:t>mony</w:t>
      </w:r>
      <w:r w:rsidR="00025004">
        <w:rPr>
          <w:b/>
        </w:rPr>
        <w:t xml:space="preserve"> on th</w:t>
      </w:r>
      <w:r w:rsidR="00C704A8">
        <w:rPr>
          <w:b/>
        </w:rPr>
        <w:t>e</w:t>
      </w:r>
      <w:r w:rsidR="00025004">
        <w:rPr>
          <w:b/>
        </w:rPr>
        <w:t xml:space="preserve"> subject of Treasury Grants</w:t>
      </w:r>
      <w:r w:rsidR="00E66CCE" w:rsidRPr="00583903">
        <w:rPr>
          <w:b/>
        </w:rPr>
        <w:t>?</w:t>
      </w:r>
    </w:p>
    <w:p w:rsidR="00E66CCE" w:rsidRDefault="00E66CCE" w:rsidP="002A1DEC">
      <w:pPr>
        <w:pStyle w:val="BodyTextIndent"/>
      </w:pPr>
      <w:r>
        <w:t>A.</w:t>
      </w:r>
      <w:r>
        <w:tab/>
      </w:r>
      <w:r w:rsidR="00712C9A">
        <w:t xml:space="preserve">At page </w:t>
      </w:r>
      <w:r w:rsidR="00C704A8">
        <w:t>35</w:t>
      </w:r>
      <w:r w:rsidR="00712C9A">
        <w:t xml:space="preserve">, line </w:t>
      </w:r>
      <w:r w:rsidR="00C704A8">
        <w:t>6</w:t>
      </w:r>
      <w:r w:rsidR="00712C9A">
        <w:t xml:space="preserve"> of Exhibit No. </w:t>
      </w:r>
      <w:r w:rsidR="00FF2BFC">
        <w:t xml:space="preserve">__ </w:t>
      </w:r>
      <w:r w:rsidR="00712C9A">
        <w:t xml:space="preserve">(ACC-1T), </w:t>
      </w:r>
      <w:r>
        <w:t xml:space="preserve">Ms. Crane </w:t>
      </w:r>
      <w:r w:rsidR="00C704A8">
        <w:t xml:space="preserve">provides her understanding </w:t>
      </w:r>
      <w:r>
        <w:t xml:space="preserve">that PSE </w:t>
      </w:r>
      <w:r w:rsidR="00391B28">
        <w:t xml:space="preserve">should </w:t>
      </w:r>
      <w:r>
        <w:t xml:space="preserve">file </w:t>
      </w:r>
      <w:r w:rsidR="00FF2BFC">
        <w:t xml:space="preserve">revisions to </w:t>
      </w:r>
      <w:r>
        <w:t xml:space="preserve">Schedule 95A within 60 days of receiving </w:t>
      </w:r>
      <w:r w:rsidR="00583903">
        <w:t>Treasury</w:t>
      </w:r>
      <w:r>
        <w:t xml:space="preserve"> Grant </w:t>
      </w:r>
      <w:r w:rsidR="00FF2BFC">
        <w:t xml:space="preserve">monies </w:t>
      </w:r>
      <w:r>
        <w:t xml:space="preserve">for LSR Phase 1.  </w:t>
      </w:r>
      <w:r w:rsidR="00712C9A">
        <w:t xml:space="preserve">She </w:t>
      </w:r>
      <w:r w:rsidR="00ED2FB9">
        <w:t xml:space="preserve">then </w:t>
      </w:r>
      <w:r>
        <w:t>recommends that the C</w:t>
      </w:r>
      <w:r w:rsidR="00583903">
        <w:t xml:space="preserve">ompany be required </w:t>
      </w:r>
      <w:r w:rsidR="00ED2FB9">
        <w:t xml:space="preserve">in that filing </w:t>
      </w:r>
      <w:r w:rsidR="00583903">
        <w:t>to support its proposed amortization schedule</w:t>
      </w:r>
      <w:r w:rsidR="00712C9A">
        <w:t xml:space="preserve"> and that the Commission </w:t>
      </w:r>
      <w:r w:rsidR="00FF2BFC">
        <w:t xml:space="preserve">should </w:t>
      </w:r>
      <w:r w:rsidR="00583903">
        <w:t xml:space="preserve">allow other parties the opportunity to recommend </w:t>
      </w:r>
      <w:r w:rsidR="00583903">
        <w:lastRenderedPageBreak/>
        <w:t>alternative amortization period</w:t>
      </w:r>
      <w:r w:rsidR="00ED2FB9">
        <w:t>s</w:t>
      </w:r>
      <w:r w:rsidR="00712C9A">
        <w:t xml:space="preserve"> and </w:t>
      </w:r>
      <w:r w:rsidR="00583903">
        <w:t>other ratemaking adjustments related to the Treasury Grants.</w:t>
      </w:r>
    </w:p>
    <w:p w:rsidR="00583903" w:rsidRDefault="00583903" w:rsidP="002A1DEC">
      <w:pPr>
        <w:pStyle w:val="BodyTextIndent"/>
      </w:pPr>
    </w:p>
    <w:p w:rsidR="00583903" w:rsidRPr="00583903" w:rsidRDefault="00583903" w:rsidP="002A1DEC">
      <w:pPr>
        <w:pStyle w:val="BodyTextIndent"/>
        <w:rPr>
          <w:b/>
        </w:rPr>
      </w:pPr>
      <w:r w:rsidRPr="00583903">
        <w:rPr>
          <w:b/>
        </w:rPr>
        <w:t>Q.</w:t>
      </w:r>
      <w:r w:rsidRPr="00583903">
        <w:rPr>
          <w:b/>
        </w:rPr>
        <w:tab/>
        <w:t>Does Staff disagree with these proposals?</w:t>
      </w:r>
    </w:p>
    <w:p w:rsidR="00C704A8" w:rsidRDefault="00583903" w:rsidP="002A1DEC">
      <w:pPr>
        <w:pStyle w:val="BodyTextIndent"/>
      </w:pPr>
      <w:r>
        <w:t>A.</w:t>
      </w:r>
      <w:r>
        <w:tab/>
        <w:t>Staff does not disagre</w:t>
      </w:r>
      <w:r w:rsidR="00AF6AB3">
        <w:t xml:space="preserve">e with </w:t>
      </w:r>
      <w:r w:rsidR="00712C9A">
        <w:t>her recommendation</w:t>
      </w:r>
      <w:r w:rsidR="00AF6AB3">
        <w:t xml:space="preserve">, but we </w:t>
      </w:r>
      <w:r w:rsidR="00712C9A">
        <w:t xml:space="preserve">want to make it clear that, in the context of the Schedule 95A filing, </w:t>
      </w:r>
      <w:r w:rsidR="00280A38">
        <w:t xml:space="preserve">the parties should also have the opportunity </w:t>
      </w:r>
      <w:r w:rsidR="00712C9A">
        <w:t xml:space="preserve">to </w:t>
      </w:r>
      <w:r w:rsidR="0028334D">
        <w:t>propose alternative</w:t>
      </w:r>
      <w:r w:rsidR="00280A38">
        <w:t>s</w:t>
      </w:r>
      <w:r w:rsidR="0028334D">
        <w:t xml:space="preserve"> </w:t>
      </w:r>
      <w:r w:rsidR="00712C9A">
        <w:t xml:space="preserve">to Schedule 95A </w:t>
      </w:r>
      <w:r w:rsidR="00ED2FB9">
        <w:t xml:space="preserve">itself </w:t>
      </w:r>
      <w:r w:rsidR="0045562A">
        <w:t>for</w:t>
      </w:r>
      <w:r w:rsidR="00556CE0">
        <w:t xml:space="preserve"> </w:t>
      </w:r>
      <w:r w:rsidR="00280A38">
        <w:t xml:space="preserve">treating </w:t>
      </w:r>
      <w:r w:rsidR="00556CE0">
        <w:t xml:space="preserve">Treasury Grant monies. </w:t>
      </w:r>
      <w:r w:rsidR="00280A38">
        <w:t xml:space="preserve"> Ms. Crane’s testimony may not contemplate such an </w:t>
      </w:r>
      <w:r w:rsidR="00ED2FB9">
        <w:t xml:space="preserve">expanded </w:t>
      </w:r>
      <w:r w:rsidR="00280A38">
        <w:t>opportunity.</w:t>
      </w:r>
      <w:r w:rsidR="00391B28">
        <w:t xml:space="preserve"> </w:t>
      </w:r>
    </w:p>
    <w:p w:rsidR="00280A38" w:rsidRDefault="00391B28" w:rsidP="002A1DEC">
      <w:pPr>
        <w:pStyle w:val="BodyTextIndent"/>
      </w:pPr>
      <w:r>
        <w:t xml:space="preserve"> </w:t>
      </w:r>
    </w:p>
    <w:p w:rsidR="00280A38" w:rsidRDefault="00280A38" w:rsidP="00280A38">
      <w:pPr>
        <w:spacing w:line="480" w:lineRule="auto"/>
        <w:rPr>
          <w:b/>
        </w:rPr>
      </w:pPr>
      <w:r w:rsidRPr="009F60D7">
        <w:rPr>
          <w:b/>
        </w:rPr>
        <w:t>Q.</w:t>
      </w:r>
      <w:r w:rsidRPr="009F60D7">
        <w:rPr>
          <w:b/>
        </w:rPr>
        <w:tab/>
      </w:r>
      <w:r>
        <w:rPr>
          <w:b/>
        </w:rPr>
        <w:t xml:space="preserve">How does Schedule 95A </w:t>
      </w:r>
      <w:r w:rsidR="00FF2BFC">
        <w:rPr>
          <w:b/>
        </w:rPr>
        <w:t xml:space="preserve">currently </w:t>
      </w:r>
      <w:r>
        <w:rPr>
          <w:b/>
        </w:rPr>
        <w:t>treat Treasury Grants?</w:t>
      </w:r>
    </w:p>
    <w:p w:rsidR="00280A38" w:rsidRDefault="00280A38" w:rsidP="00996064">
      <w:pPr>
        <w:spacing w:line="480" w:lineRule="auto"/>
        <w:ind w:left="720" w:hanging="720"/>
      </w:pPr>
      <w:r>
        <w:t>A.</w:t>
      </w:r>
      <w:r>
        <w:tab/>
      </w:r>
      <w:r w:rsidRPr="001F43B2">
        <w:rPr>
          <w:rStyle w:val="Heading3Char"/>
          <w:b w:val="0"/>
        </w:rPr>
        <w:t xml:space="preserve">Treasury grants are one of the credits passed back to customers through Schedule 95A. </w:t>
      </w:r>
      <w:r>
        <w:rPr>
          <w:rStyle w:val="Heading3Char"/>
          <w:b w:val="0"/>
        </w:rPr>
        <w:t xml:space="preserve"> </w:t>
      </w:r>
      <w:r w:rsidR="00391B28">
        <w:rPr>
          <w:rStyle w:val="Heading3Char"/>
          <w:b w:val="0"/>
        </w:rPr>
        <w:t>Once the grant is received</w:t>
      </w:r>
      <w:r w:rsidR="00ED2FB9">
        <w:rPr>
          <w:rStyle w:val="Heading3Char"/>
          <w:b w:val="0"/>
        </w:rPr>
        <w:t>,</w:t>
      </w:r>
      <w:r w:rsidR="00391B28">
        <w:rPr>
          <w:rStyle w:val="Heading3Char"/>
          <w:b w:val="0"/>
        </w:rPr>
        <w:t xml:space="preserve"> PSE sets up a regulatory liability</w:t>
      </w:r>
      <w:r w:rsidR="00FF2BFC">
        <w:rPr>
          <w:rStyle w:val="Heading3Char"/>
          <w:b w:val="0"/>
        </w:rPr>
        <w:t>, which is then</w:t>
      </w:r>
      <w:r w:rsidR="00391B28">
        <w:rPr>
          <w:rStyle w:val="Heading3Char"/>
          <w:b w:val="0"/>
        </w:rPr>
        <w:t xml:space="preserve"> amortize</w:t>
      </w:r>
      <w:r w:rsidR="00FF2BFC">
        <w:rPr>
          <w:rStyle w:val="Heading3Char"/>
          <w:b w:val="0"/>
        </w:rPr>
        <w:t>d</w:t>
      </w:r>
      <w:r w:rsidR="00391B28">
        <w:rPr>
          <w:rStyle w:val="Heading3Char"/>
          <w:b w:val="0"/>
        </w:rPr>
        <w:t xml:space="preserve"> to customers in the form of a bill credit.  </w:t>
      </w:r>
      <w:r>
        <w:rPr>
          <w:rStyle w:val="Heading3Char"/>
          <w:b w:val="0"/>
        </w:rPr>
        <w:t xml:space="preserve">Staff </w:t>
      </w:r>
      <w:r w:rsidR="00391B28">
        <w:rPr>
          <w:rStyle w:val="Heading3Char"/>
          <w:b w:val="0"/>
        </w:rPr>
        <w:t>will</w:t>
      </w:r>
      <w:r>
        <w:rPr>
          <w:rStyle w:val="Heading3Char"/>
          <w:b w:val="0"/>
        </w:rPr>
        <w:t xml:space="preserve"> offer an alternative treatment for the benefit of the customers</w:t>
      </w:r>
      <w:r w:rsidR="00ED2FB9">
        <w:rPr>
          <w:rStyle w:val="Heading3Char"/>
          <w:b w:val="0"/>
        </w:rPr>
        <w:t>, as I outline later in this testimony</w:t>
      </w:r>
      <w:r>
        <w:rPr>
          <w:rStyle w:val="Heading3Char"/>
          <w:b w:val="0"/>
        </w:rPr>
        <w:t>.</w:t>
      </w:r>
    </w:p>
    <w:p w:rsidR="0045562A" w:rsidRDefault="0045562A" w:rsidP="002A1DEC">
      <w:pPr>
        <w:pStyle w:val="BodyTextIndent"/>
      </w:pPr>
    </w:p>
    <w:p w:rsidR="00025004" w:rsidRPr="009F60D7" w:rsidRDefault="0045562A" w:rsidP="002A1DEC">
      <w:pPr>
        <w:pStyle w:val="BodyTextIndent"/>
        <w:rPr>
          <w:b/>
        </w:rPr>
      </w:pPr>
      <w:r w:rsidRPr="009F60D7">
        <w:rPr>
          <w:b/>
        </w:rPr>
        <w:t>Q.</w:t>
      </w:r>
      <w:r w:rsidRPr="009F60D7">
        <w:rPr>
          <w:b/>
        </w:rPr>
        <w:tab/>
      </w:r>
      <w:r w:rsidR="00025004" w:rsidRPr="009F60D7">
        <w:rPr>
          <w:b/>
        </w:rPr>
        <w:t>How does the Treasury Grant differ from production tax credits</w:t>
      </w:r>
      <w:r w:rsidR="009F60D7" w:rsidRPr="009F60D7">
        <w:rPr>
          <w:b/>
        </w:rPr>
        <w:t xml:space="preserve"> (</w:t>
      </w:r>
      <w:r w:rsidR="00280A38">
        <w:rPr>
          <w:b/>
        </w:rPr>
        <w:t>“</w:t>
      </w:r>
      <w:r w:rsidR="009F60D7" w:rsidRPr="009F60D7">
        <w:rPr>
          <w:b/>
        </w:rPr>
        <w:t>PTC</w:t>
      </w:r>
      <w:r w:rsidR="00280A38">
        <w:rPr>
          <w:b/>
        </w:rPr>
        <w:t>”</w:t>
      </w:r>
      <w:r w:rsidR="009F60D7" w:rsidRPr="009F60D7">
        <w:rPr>
          <w:b/>
        </w:rPr>
        <w:t>)</w:t>
      </w:r>
      <w:r w:rsidR="00025004" w:rsidRPr="009F60D7">
        <w:rPr>
          <w:b/>
        </w:rPr>
        <w:t xml:space="preserve"> or renewable energy credits</w:t>
      </w:r>
      <w:r w:rsidR="009F60D7" w:rsidRPr="009F60D7">
        <w:rPr>
          <w:b/>
        </w:rPr>
        <w:t xml:space="preserve"> (</w:t>
      </w:r>
      <w:r w:rsidR="00280A38">
        <w:rPr>
          <w:b/>
        </w:rPr>
        <w:t>“</w:t>
      </w:r>
      <w:r w:rsidR="009F60D7" w:rsidRPr="009F60D7">
        <w:rPr>
          <w:b/>
        </w:rPr>
        <w:t>REC</w:t>
      </w:r>
      <w:r w:rsidR="00280A38">
        <w:rPr>
          <w:b/>
        </w:rPr>
        <w:t>”</w:t>
      </w:r>
      <w:r w:rsidR="009F60D7" w:rsidRPr="009F60D7">
        <w:rPr>
          <w:b/>
        </w:rPr>
        <w:t>)</w:t>
      </w:r>
      <w:r w:rsidR="00025004" w:rsidRPr="009F60D7">
        <w:rPr>
          <w:b/>
        </w:rPr>
        <w:t>?</w:t>
      </w:r>
    </w:p>
    <w:p w:rsidR="00ED2FB9" w:rsidRDefault="00025004" w:rsidP="00996064">
      <w:pPr>
        <w:pStyle w:val="BodyTextIndent"/>
      </w:pPr>
      <w:r>
        <w:t>A</w:t>
      </w:r>
      <w:r w:rsidR="00556CE0">
        <w:t>.</w:t>
      </w:r>
      <w:r>
        <w:tab/>
        <w:t>P</w:t>
      </w:r>
      <w:r w:rsidR="009F60D7">
        <w:t>TC</w:t>
      </w:r>
      <w:r>
        <w:t>s accumulate with every megawatt-hour of generation by a wind turbine.  The tax credit is used to reduce the taxes of the utility, but that only occur</w:t>
      </w:r>
      <w:r w:rsidR="00A00E0E">
        <w:t>s</w:t>
      </w:r>
      <w:r>
        <w:t xml:space="preserve"> if and when the utility has taxable income.  </w:t>
      </w:r>
    </w:p>
    <w:p w:rsidR="00A00E0E" w:rsidRDefault="00025004" w:rsidP="00996064">
      <w:pPr>
        <w:pStyle w:val="BodyTextIndent"/>
        <w:ind w:firstLine="720"/>
      </w:pPr>
      <w:r>
        <w:t>R</w:t>
      </w:r>
      <w:r w:rsidR="009F60D7">
        <w:t>EC</w:t>
      </w:r>
      <w:r>
        <w:t xml:space="preserve">s are also created as the </w:t>
      </w:r>
      <w:r w:rsidR="00391B28">
        <w:t xml:space="preserve">facility </w:t>
      </w:r>
      <w:r>
        <w:t xml:space="preserve">generates electricity.  These have </w:t>
      </w:r>
      <w:r w:rsidR="009F60D7">
        <w:t xml:space="preserve">regulatory </w:t>
      </w:r>
      <w:r>
        <w:t xml:space="preserve">value </w:t>
      </w:r>
      <w:r w:rsidR="009F60D7">
        <w:t>to the extent they are used to meet state renewable portfolio standards</w:t>
      </w:r>
      <w:r w:rsidR="00A00E0E">
        <w:t>,</w:t>
      </w:r>
      <w:r w:rsidR="009F60D7">
        <w:t xml:space="preserve"> or monetary value </w:t>
      </w:r>
      <w:r>
        <w:t>when they are sold</w:t>
      </w:r>
      <w:r w:rsidR="009F60D7">
        <w:t xml:space="preserve"> to outside parties.  Both PTCs and </w:t>
      </w:r>
      <w:r w:rsidR="009F60D7">
        <w:lastRenderedPageBreak/>
        <w:t xml:space="preserve">RECs are related </w:t>
      </w:r>
      <w:r w:rsidR="00FF2BFC">
        <w:t xml:space="preserve">directly </w:t>
      </w:r>
      <w:r w:rsidR="009F60D7">
        <w:t xml:space="preserve">to the electricity produced by </w:t>
      </w:r>
      <w:r w:rsidR="00A00E0E">
        <w:t xml:space="preserve">the </w:t>
      </w:r>
      <w:r w:rsidR="009F60D7">
        <w:t>wind turbines</w:t>
      </w:r>
      <w:r w:rsidR="00391B28">
        <w:t xml:space="preserve"> on a regular basis</w:t>
      </w:r>
      <w:r w:rsidR="009F60D7">
        <w:t xml:space="preserve">.  </w:t>
      </w:r>
    </w:p>
    <w:p w:rsidR="00A00E0E" w:rsidRPr="000C0818" w:rsidRDefault="00280A38" w:rsidP="00A00E0E">
      <w:pPr>
        <w:pStyle w:val="BodyTextIndent"/>
        <w:ind w:firstLine="0"/>
      </w:pPr>
      <w:r>
        <w:tab/>
        <w:t>In contrast, t</w:t>
      </w:r>
      <w:r w:rsidR="00A00E0E">
        <w:t xml:space="preserve">he </w:t>
      </w:r>
      <w:r>
        <w:t>T</w:t>
      </w:r>
      <w:r w:rsidR="00A00E0E">
        <w:t xml:space="preserve">reasury </w:t>
      </w:r>
      <w:r>
        <w:t>G</w:t>
      </w:r>
      <w:r w:rsidR="00A00E0E">
        <w:t xml:space="preserve">rant is a lump sum </w:t>
      </w:r>
      <w:r w:rsidR="00391B28">
        <w:t>PSE receive</w:t>
      </w:r>
      <w:r w:rsidR="00615630">
        <w:t>s</w:t>
      </w:r>
      <w:r w:rsidR="00391B28">
        <w:t xml:space="preserve"> upon </w:t>
      </w:r>
      <w:r w:rsidR="00A00E0E">
        <w:t>the completion of construction</w:t>
      </w:r>
      <w:r w:rsidR="00391B28">
        <w:t xml:space="preserve"> and when the facility is transferred to plant accounts</w:t>
      </w:r>
      <w:r w:rsidR="00A00E0E">
        <w:t xml:space="preserve">.  </w:t>
      </w:r>
      <w:r>
        <w:t>It</w:t>
      </w:r>
      <w:r w:rsidR="009F60D7">
        <w:t xml:space="preserve"> is inherently related to the asset itself and reduces the </w:t>
      </w:r>
      <w:r w:rsidR="00615630">
        <w:t>capitalized</w:t>
      </w:r>
      <w:r w:rsidR="00391B28">
        <w:t xml:space="preserve"> </w:t>
      </w:r>
      <w:r w:rsidR="009F60D7">
        <w:t>cost of the asset by a known</w:t>
      </w:r>
      <w:r>
        <w:t>,</w:t>
      </w:r>
      <w:r w:rsidR="009F60D7">
        <w:t xml:space="preserve"> fixed amount.</w:t>
      </w:r>
      <w:r w:rsidR="00A00E0E">
        <w:t xml:space="preserve">  The dollar value of the grant </w:t>
      </w:r>
      <w:r w:rsidR="00354D9C">
        <w:t xml:space="preserve">does not </w:t>
      </w:r>
      <w:r w:rsidR="00A00E0E">
        <w:t>vary with the output of the plant.</w:t>
      </w:r>
    </w:p>
    <w:p w:rsidR="000C0818" w:rsidRDefault="000C0818" w:rsidP="00C32E23">
      <w:pPr>
        <w:pStyle w:val="BodyTextIndent"/>
      </w:pPr>
    </w:p>
    <w:p w:rsidR="009E4CD8" w:rsidRPr="00FB6F80" w:rsidRDefault="00FB6F80" w:rsidP="00C32E23">
      <w:pPr>
        <w:pStyle w:val="BodyTextIndent"/>
        <w:rPr>
          <w:b/>
        </w:rPr>
      </w:pPr>
      <w:r w:rsidRPr="00FB6F80">
        <w:rPr>
          <w:b/>
        </w:rPr>
        <w:t>Q.</w:t>
      </w:r>
      <w:r w:rsidRPr="00FB6F80">
        <w:rPr>
          <w:b/>
        </w:rPr>
        <w:tab/>
        <w:t xml:space="preserve">What is Staff’s understanding of the status of the </w:t>
      </w:r>
      <w:r w:rsidR="00280A38">
        <w:rPr>
          <w:b/>
        </w:rPr>
        <w:t>T</w:t>
      </w:r>
      <w:r w:rsidRPr="00FB6F80">
        <w:rPr>
          <w:b/>
        </w:rPr>
        <w:t xml:space="preserve">reasury </w:t>
      </w:r>
      <w:r w:rsidR="00280A38">
        <w:rPr>
          <w:b/>
        </w:rPr>
        <w:t>G</w:t>
      </w:r>
      <w:r w:rsidRPr="00FB6F80">
        <w:rPr>
          <w:b/>
        </w:rPr>
        <w:t>rant for LSR Phase 1?</w:t>
      </w:r>
    </w:p>
    <w:p w:rsidR="00FB6F80" w:rsidRDefault="00FB6F80" w:rsidP="00C32E23">
      <w:pPr>
        <w:pStyle w:val="BodyTextIndent"/>
      </w:pPr>
      <w:r>
        <w:t>A.</w:t>
      </w:r>
      <w:r>
        <w:tab/>
        <w:t xml:space="preserve">Staff understands that LSR Phase 1 will be in service in February 2012.  PSE will then file for the </w:t>
      </w:r>
      <w:r w:rsidR="00280A38">
        <w:t>T</w:t>
      </w:r>
      <w:r>
        <w:t xml:space="preserve">reasury </w:t>
      </w:r>
      <w:r w:rsidR="00280A38">
        <w:t>G</w:t>
      </w:r>
      <w:r>
        <w:t>rant and</w:t>
      </w:r>
      <w:r w:rsidR="00280A38">
        <w:t>,</w:t>
      </w:r>
      <w:r>
        <w:t xml:space="preserve"> after a period of review by the </w:t>
      </w:r>
      <w:r w:rsidR="00280A38">
        <w:t xml:space="preserve">US </w:t>
      </w:r>
      <w:r>
        <w:t>Treasury Department</w:t>
      </w:r>
      <w:r w:rsidR="00280A38">
        <w:t>,</w:t>
      </w:r>
      <w:r>
        <w:t xml:space="preserve"> the grant could be received in the </w:t>
      </w:r>
      <w:r w:rsidR="00DF7F47">
        <w:t>S</w:t>
      </w:r>
      <w:r>
        <w:t>ummer</w:t>
      </w:r>
      <w:r w:rsidR="00DF7F47">
        <w:t xml:space="preserve"> 2012</w:t>
      </w:r>
      <w:r>
        <w:t xml:space="preserve">.  The amount of the grant </w:t>
      </w:r>
      <w:r w:rsidR="00A85909">
        <w:t>may</w:t>
      </w:r>
      <w:r>
        <w:t xml:space="preserve"> be in the </w:t>
      </w:r>
      <w:r w:rsidR="00C90D26">
        <w:t xml:space="preserve">range of </w:t>
      </w:r>
      <w:r>
        <w:t>$200 million.</w:t>
      </w:r>
      <w:r w:rsidR="00A85909">
        <w:rPr>
          <w:rStyle w:val="FootnoteReference"/>
        </w:rPr>
        <w:footnoteReference w:id="1"/>
      </w:r>
      <w:r>
        <w:t xml:space="preserve"> </w:t>
      </w:r>
    </w:p>
    <w:p w:rsidR="00E506B7" w:rsidRDefault="00E506B7" w:rsidP="00E506B7">
      <w:pPr>
        <w:spacing w:line="480" w:lineRule="auto"/>
        <w:rPr>
          <w:rStyle w:val="Heading3Char"/>
        </w:rPr>
      </w:pPr>
    </w:p>
    <w:p w:rsidR="00E506B7" w:rsidRPr="00FB6F80" w:rsidRDefault="00E506B7" w:rsidP="00615630">
      <w:pPr>
        <w:spacing w:line="480" w:lineRule="auto"/>
        <w:ind w:left="720" w:hanging="720"/>
        <w:rPr>
          <w:rStyle w:val="Heading3Char"/>
        </w:rPr>
      </w:pPr>
      <w:r w:rsidRPr="00FB6F80">
        <w:rPr>
          <w:rStyle w:val="Heading3Char"/>
        </w:rPr>
        <w:t>Q.</w:t>
      </w:r>
      <w:r w:rsidRPr="00FB6F80">
        <w:rPr>
          <w:rStyle w:val="Heading3Char"/>
        </w:rPr>
        <w:tab/>
        <w:t xml:space="preserve">Has there been a recent change in the rules on how state utility commissions may treat </w:t>
      </w:r>
      <w:r w:rsidR="00280A38">
        <w:rPr>
          <w:rStyle w:val="Heading3Char"/>
        </w:rPr>
        <w:t>T</w:t>
      </w:r>
      <w:r w:rsidRPr="00FB6F80">
        <w:rPr>
          <w:rStyle w:val="Heading3Char"/>
        </w:rPr>
        <w:t xml:space="preserve">reasury </w:t>
      </w:r>
      <w:r w:rsidR="00280A38">
        <w:rPr>
          <w:rStyle w:val="Heading3Char"/>
        </w:rPr>
        <w:t>G</w:t>
      </w:r>
      <w:r w:rsidRPr="00FB6F80">
        <w:rPr>
          <w:rStyle w:val="Heading3Char"/>
        </w:rPr>
        <w:t>rants for renewable energy production?</w:t>
      </w:r>
    </w:p>
    <w:p w:rsidR="00E506B7" w:rsidRPr="001F43B2" w:rsidRDefault="00E506B7" w:rsidP="00615630">
      <w:pPr>
        <w:spacing w:line="480" w:lineRule="auto"/>
        <w:ind w:left="720" w:hanging="720"/>
        <w:rPr>
          <w:rStyle w:val="Heading3Char"/>
          <w:b w:val="0"/>
        </w:rPr>
      </w:pPr>
      <w:r>
        <w:rPr>
          <w:rStyle w:val="Heading3Char"/>
          <w:b w:val="0"/>
        </w:rPr>
        <w:t>A.</w:t>
      </w:r>
      <w:r>
        <w:rPr>
          <w:rStyle w:val="Heading3Char"/>
          <w:b w:val="0"/>
        </w:rPr>
        <w:tab/>
      </w:r>
      <w:r w:rsidR="00ED2FB9">
        <w:rPr>
          <w:rStyle w:val="Heading3Char"/>
          <w:b w:val="0"/>
        </w:rPr>
        <w:t xml:space="preserve">Staff </w:t>
      </w:r>
      <w:r w:rsidR="003F581E">
        <w:rPr>
          <w:rStyle w:val="Heading3Char"/>
          <w:b w:val="0"/>
        </w:rPr>
        <w:t xml:space="preserve">understands </w:t>
      </w:r>
      <w:r w:rsidR="00ED2FB9">
        <w:rPr>
          <w:rStyle w:val="Heading3Char"/>
          <w:b w:val="0"/>
        </w:rPr>
        <w:t xml:space="preserve">that </w:t>
      </w:r>
      <w:r w:rsidR="00DF7F47">
        <w:rPr>
          <w:rStyle w:val="Heading3Char"/>
          <w:b w:val="0"/>
        </w:rPr>
        <w:t>on</w:t>
      </w:r>
      <w:r>
        <w:rPr>
          <w:rStyle w:val="Heading3Char"/>
          <w:b w:val="0"/>
        </w:rPr>
        <w:t xml:space="preserve"> December </w:t>
      </w:r>
      <w:r w:rsidR="00DF7F47">
        <w:rPr>
          <w:rStyle w:val="Heading3Char"/>
          <w:b w:val="0"/>
        </w:rPr>
        <w:t xml:space="preserve">31, </w:t>
      </w:r>
      <w:r>
        <w:rPr>
          <w:rStyle w:val="Heading3Char"/>
          <w:b w:val="0"/>
        </w:rPr>
        <w:t xml:space="preserve">2011, </w:t>
      </w:r>
      <w:r w:rsidR="00ED2FB9">
        <w:rPr>
          <w:rStyle w:val="Heading3Char"/>
          <w:b w:val="0"/>
        </w:rPr>
        <w:t>President Obama signed</w:t>
      </w:r>
      <w:r>
        <w:rPr>
          <w:rStyle w:val="Heading3Char"/>
          <w:b w:val="0"/>
        </w:rPr>
        <w:t xml:space="preserve"> an amendment to the </w:t>
      </w:r>
      <w:r w:rsidR="00DF7F47">
        <w:rPr>
          <w:rStyle w:val="Heading3Char"/>
          <w:b w:val="0"/>
        </w:rPr>
        <w:t xml:space="preserve">American Recovery and Reinvestment Act of 2009 </w:t>
      </w:r>
      <w:r>
        <w:rPr>
          <w:rStyle w:val="Heading3Char"/>
          <w:b w:val="0"/>
        </w:rPr>
        <w:t>allow</w:t>
      </w:r>
      <w:r w:rsidR="00DF7F47">
        <w:rPr>
          <w:rStyle w:val="Heading3Char"/>
          <w:b w:val="0"/>
        </w:rPr>
        <w:t>ing</w:t>
      </w:r>
      <w:r>
        <w:rPr>
          <w:rStyle w:val="Heading3Char"/>
          <w:b w:val="0"/>
        </w:rPr>
        <w:t xml:space="preserve"> state public utility commissions more </w:t>
      </w:r>
      <w:r w:rsidR="00391B28">
        <w:rPr>
          <w:rStyle w:val="Heading3Char"/>
          <w:b w:val="0"/>
        </w:rPr>
        <w:t>options for passing the benefits</w:t>
      </w:r>
      <w:r w:rsidR="00615630">
        <w:rPr>
          <w:rStyle w:val="Heading3Char"/>
          <w:b w:val="0"/>
        </w:rPr>
        <w:t xml:space="preserve"> </w:t>
      </w:r>
      <w:r w:rsidR="00391B28">
        <w:rPr>
          <w:rStyle w:val="Heading3Char"/>
          <w:b w:val="0"/>
        </w:rPr>
        <w:t>of these</w:t>
      </w:r>
      <w:r>
        <w:rPr>
          <w:rStyle w:val="Heading3Char"/>
          <w:b w:val="0"/>
        </w:rPr>
        <w:t xml:space="preserve"> </w:t>
      </w:r>
      <w:r w:rsidR="00ED2FB9">
        <w:rPr>
          <w:rStyle w:val="Heading3Char"/>
          <w:b w:val="0"/>
        </w:rPr>
        <w:t>T</w:t>
      </w:r>
      <w:r>
        <w:rPr>
          <w:rStyle w:val="Heading3Char"/>
          <w:b w:val="0"/>
        </w:rPr>
        <w:t xml:space="preserve">reasury </w:t>
      </w:r>
      <w:r w:rsidR="00ED2FB9">
        <w:rPr>
          <w:rStyle w:val="Heading3Char"/>
          <w:b w:val="0"/>
        </w:rPr>
        <w:t>G</w:t>
      </w:r>
      <w:r>
        <w:rPr>
          <w:rStyle w:val="Heading3Char"/>
          <w:b w:val="0"/>
        </w:rPr>
        <w:t>rants</w:t>
      </w:r>
      <w:r w:rsidR="00615630">
        <w:rPr>
          <w:rStyle w:val="Heading3Char"/>
          <w:b w:val="0"/>
        </w:rPr>
        <w:t xml:space="preserve"> to ratepayers</w:t>
      </w:r>
      <w:r>
        <w:rPr>
          <w:rStyle w:val="Heading3Char"/>
          <w:b w:val="0"/>
        </w:rPr>
        <w:t>.</w:t>
      </w:r>
      <w:r w:rsidR="00DF7F47">
        <w:rPr>
          <w:rStyle w:val="FootnoteReference"/>
          <w:bCs/>
        </w:rPr>
        <w:footnoteReference w:id="2"/>
      </w:r>
      <w:r>
        <w:rPr>
          <w:rStyle w:val="Heading3Char"/>
          <w:b w:val="0"/>
        </w:rPr>
        <w:t xml:space="preserve"> </w:t>
      </w:r>
      <w:r w:rsidR="00391B28">
        <w:rPr>
          <w:rStyle w:val="Heading3Char"/>
          <w:b w:val="0"/>
        </w:rPr>
        <w:t xml:space="preserve"> The Commission is no longer bound by the </w:t>
      </w:r>
      <w:r w:rsidR="00A46064">
        <w:rPr>
          <w:rStyle w:val="Heading3Char"/>
          <w:b w:val="0"/>
        </w:rPr>
        <w:t xml:space="preserve">previous </w:t>
      </w:r>
      <w:r w:rsidR="00391B28">
        <w:rPr>
          <w:rStyle w:val="Heading3Char"/>
          <w:b w:val="0"/>
        </w:rPr>
        <w:t xml:space="preserve">methodology embedded in Schedule 95A for returning these benefits to ratepayers. </w:t>
      </w:r>
      <w:r w:rsidR="00A46064">
        <w:rPr>
          <w:rStyle w:val="Heading3Char"/>
          <w:b w:val="0"/>
        </w:rPr>
        <w:lastRenderedPageBreak/>
        <w:t xml:space="preserve">Therefore, the Commission should consider </w:t>
      </w:r>
      <w:r w:rsidR="00ED2FB9">
        <w:rPr>
          <w:rStyle w:val="Heading3Char"/>
          <w:b w:val="0"/>
        </w:rPr>
        <w:t xml:space="preserve">alternatives </w:t>
      </w:r>
      <w:r w:rsidR="00354D9C">
        <w:rPr>
          <w:rStyle w:val="Heading3Char"/>
          <w:b w:val="0"/>
        </w:rPr>
        <w:t xml:space="preserve">to Schedule 95A </w:t>
      </w:r>
      <w:r w:rsidR="00A46064">
        <w:rPr>
          <w:rStyle w:val="Heading3Char"/>
          <w:b w:val="0"/>
        </w:rPr>
        <w:t xml:space="preserve">for returning the benefits of the Treasury </w:t>
      </w:r>
      <w:r w:rsidR="00ED2FB9">
        <w:rPr>
          <w:rStyle w:val="Heading3Char"/>
          <w:b w:val="0"/>
        </w:rPr>
        <w:t>G</w:t>
      </w:r>
      <w:r w:rsidR="00A46064">
        <w:rPr>
          <w:rStyle w:val="Heading3Char"/>
          <w:b w:val="0"/>
        </w:rPr>
        <w:t>rant to ratepayers</w:t>
      </w:r>
      <w:r w:rsidR="00ED2FB9">
        <w:rPr>
          <w:rStyle w:val="Heading3Char"/>
          <w:b w:val="0"/>
        </w:rPr>
        <w:t>, once received by PSE</w:t>
      </w:r>
      <w:r w:rsidR="00A46064">
        <w:rPr>
          <w:rStyle w:val="Heading3Char"/>
          <w:b w:val="0"/>
        </w:rPr>
        <w:t>.</w:t>
      </w:r>
      <w:r w:rsidR="00391B28">
        <w:rPr>
          <w:rStyle w:val="Heading3Char"/>
          <w:b w:val="0"/>
        </w:rPr>
        <w:t xml:space="preserve"> </w:t>
      </w:r>
    </w:p>
    <w:p w:rsidR="00E506B7" w:rsidRDefault="00E506B7" w:rsidP="00C32E23">
      <w:pPr>
        <w:pStyle w:val="BodyTextIndent"/>
      </w:pPr>
    </w:p>
    <w:p w:rsidR="00280A38" w:rsidRDefault="00280A38" w:rsidP="00C32E23">
      <w:pPr>
        <w:pStyle w:val="BodyTextIndent"/>
        <w:rPr>
          <w:b/>
        </w:rPr>
      </w:pPr>
      <w:r>
        <w:rPr>
          <w:b/>
        </w:rPr>
        <w:t>Q.</w:t>
      </w:r>
      <w:r>
        <w:rPr>
          <w:b/>
        </w:rPr>
        <w:tab/>
        <w:t xml:space="preserve">What alternative ratemaking treatment to Schedule 95A does this change </w:t>
      </w:r>
      <w:r w:rsidR="00615630">
        <w:rPr>
          <w:b/>
        </w:rPr>
        <w:t>allow</w:t>
      </w:r>
      <w:r>
        <w:rPr>
          <w:b/>
        </w:rPr>
        <w:t xml:space="preserve"> the Commission to consider?</w:t>
      </w:r>
    </w:p>
    <w:p w:rsidR="00280A38" w:rsidRPr="00615630" w:rsidRDefault="00280A38" w:rsidP="00C32E23">
      <w:pPr>
        <w:pStyle w:val="BodyTextIndent"/>
      </w:pPr>
      <w:r>
        <w:t>A.</w:t>
      </w:r>
      <w:r>
        <w:tab/>
      </w:r>
      <w:r w:rsidR="00A46064">
        <w:t xml:space="preserve">The Commission is now able to apply the entire amount of the grant as a direct offset to the total investment of LSR </w:t>
      </w:r>
      <w:r w:rsidR="00ED2FB9">
        <w:t xml:space="preserve">Phase 1 </w:t>
      </w:r>
      <w:r w:rsidR="00A46064">
        <w:t xml:space="preserve">that will be included in rate base.  Therefore, the first year cost of the project could be reduced by the </w:t>
      </w:r>
      <w:r w:rsidR="00354D9C">
        <w:t xml:space="preserve">grant, now </w:t>
      </w:r>
      <w:r w:rsidR="00A46064">
        <w:t xml:space="preserve">estimated </w:t>
      </w:r>
      <w:r w:rsidR="00354D9C">
        <w:t xml:space="preserve">at </w:t>
      </w:r>
      <w:r w:rsidR="00A46064">
        <w:t>$200 million.  Staff’s preliminary assessment is that this is preferable to what is prescribed by the current Schedule 95A.</w:t>
      </w:r>
      <w:r w:rsidR="00ED2FB9">
        <w:t xml:space="preserve">  Staff will further evaluate this option for Commission consideration in the Schedule 95A filing to come.</w:t>
      </w:r>
    </w:p>
    <w:p w:rsidR="00280A38" w:rsidRDefault="00280A38" w:rsidP="00C32E23">
      <w:pPr>
        <w:pStyle w:val="BodyTextIndent"/>
        <w:rPr>
          <w:b/>
        </w:rPr>
      </w:pPr>
    </w:p>
    <w:p w:rsidR="00FB6F80" w:rsidRDefault="00FB6F80" w:rsidP="00C32E23">
      <w:pPr>
        <w:pStyle w:val="BodyTextIndent"/>
        <w:rPr>
          <w:b/>
        </w:rPr>
      </w:pPr>
      <w:r w:rsidRPr="00FB6F80">
        <w:rPr>
          <w:b/>
        </w:rPr>
        <w:t>Q.</w:t>
      </w:r>
      <w:r w:rsidRPr="00FB6F80">
        <w:rPr>
          <w:b/>
        </w:rPr>
        <w:tab/>
        <w:t xml:space="preserve">What </w:t>
      </w:r>
      <w:r w:rsidR="00E506B7">
        <w:rPr>
          <w:b/>
        </w:rPr>
        <w:t>does Staff propose the Commission do in this rate case</w:t>
      </w:r>
      <w:r w:rsidR="008F6A67">
        <w:rPr>
          <w:b/>
        </w:rPr>
        <w:t xml:space="preserve"> to keep all options, such as rate base reduction, “on the table”</w:t>
      </w:r>
      <w:r w:rsidR="00E506B7">
        <w:rPr>
          <w:b/>
        </w:rPr>
        <w:t>?</w:t>
      </w:r>
    </w:p>
    <w:p w:rsidR="002C159E" w:rsidRDefault="00E506B7" w:rsidP="0028334D">
      <w:pPr>
        <w:pStyle w:val="BodyTextIndent"/>
      </w:pPr>
      <w:r w:rsidRPr="00E506B7">
        <w:t>A.</w:t>
      </w:r>
      <w:r w:rsidRPr="00E506B7">
        <w:tab/>
        <w:t>Staff proposes that</w:t>
      </w:r>
      <w:r>
        <w:t xml:space="preserve"> </w:t>
      </w:r>
      <w:r w:rsidR="00354D9C">
        <w:t xml:space="preserve">the Commission, in this docket, order </w:t>
      </w:r>
      <w:r>
        <w:t>PSE</w:t>
      </w:r>
      <w:r w:rsidR="00354D9C">
        <w:t>,</w:t>
      </w:r>
      <w:r>
        <w:t xml:space="preserve"> upon receipt of the grant</w:t>
      </w:r>
      <w:r w:rsidR="008F6A67">
        <w:t xml:space="preserve"> monies</w:t>
      </w:r>
      <w:r w:rsidR="00354D9C">
        <w:t>,</w:t>
      </w:r>
      <w:r>
        <w:t xml:space="preserve"> to defer the Treasury Grant as a regulatory liability with interest accruing at the Company’s</w:t>
      </w:r>
      <w:r w:rsidR="008F6A67">
        <w:t xml:space="preserve"> authorized </w:t>
      </w:r>
      <w:r>
        <w:t xml:space="preserve">rate of return.  </w:t>
      </w:r>
      <w:r w:rsidR="008F6A67">
        <w:t xml:space="preserve">This will allow </w:t>
      </w:r>
      <w:r w:rsidR="0028334D">
        <w:t xml:space="preserve">all possible ratemaking treatments </w:t>
      </w:r>
      <w:r w:rsidR="008F6A67">
        <w:t xml:space="preserve">to </w:t>
      </w:r>
      <w:r w:rsidR="0028334D">
        <w:t>be available for the treatment of the Treasury Grant.</w:t>
      </w:r>
    </w:p>
    <w:p w:rsidR="0028334D" w:rsidRPr="002C159E" w:rsidRDefault="0028334D" w:rsidP="0028334D">
      <w:pPr>
        <w:pStyle w:val="BodyTextIndent"/>
        <w:rPr>
          <w:b/>
        </w:rPr>
      </w:pPr>
    </w:p>
    <w:p w:rsidR="00C3471C" w:rsidRDefault="00C3471C" w:rsidP="00C3471C">
      <w:pPr>
        <w:pStyle w:val="BodyTextIndent"/>
        <w:numPr>
          <w:ilvl w:val="0"/>
          <w:numId w:val="1"/>
        </w:numPr>
        <w:ind w:hanging="720"/>
        <w:rPr>
          <w:b/>
          <w:bCs/>
        </w:rPr>
      </w:pPr>
      <w:r>
        <w:rPr>
          <w:b/>
          <w:bCs/>
        </w:rPr>
        <w:t>Does this conclude your testimony?</w:t>
      </w:r>
    </w:p>
    <w:p w:rsidR="00C3471C" w:rsidRDefault="00C3471C" w:rsidP="00C3471C">
      <w:pPr>
        <w:pStyle w:val="BodyTextIndent"/>
      </w:pPr>
      <w:r>
        <w:t>A.</w:t>
      </w:r>
      <w:r>
        <w:tab/>
        <w:t xml:space="preserve">Yes.  </w:t>
      </w:r>
    </w:p>
    <w:p w:rsidR="0089150B" w:rsidRDefault="0089150B"/>
    <w:sectPr w:rsidR="0089150B" w:rsidSect="00153ECA">
      <w:footerReference w:type="default" r:id="rId11"/>
      <w:pgSz w:w="12240" w:h="15840" w:code="1"/>
      <w:pgMar w:top="1440" w:right="1440" w:bottom="1440" w:left="1872" w:header="720" w:footer="72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C4" w:rsidRDefault="006F07C4" w:rsidP="00C3471C">
      <w:r>
        <w:separator/>
      </w:r>
    </w:p>
  </w:endnote>
  <w:endnote w:type="continuationSeparator" w:id="0">
    <w:p w:rsidR="006F07C4" w:rsidRDefault="006F07C4" w:rsidP="00C3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B7" w:rsidRPr="00DC40BC" w:rsidRDefault="00C006B7">
    <w:pPr>
      <w:pStyle w:val="Footer"/>
      <w:rPr>
        <w:sz w:val="20"/>
        <w:szCs w:val="20"/>
      </w:rPr>
    </w:pPr>
  </w:p>
  <w:p w:rsidR="00C006B7" w:rsidRPr="00DC40BC" w:rsidRDefault="00C006B7">
    <w:pPr>
      <w:pStyle w:val="Footer"/>
      <w:rPr>
        <w:sz w:val="20"/>
        <w:szCs w:val="20"/>
      </w:rPr>
    </w:pPr>
    <w:r w:rsidRPr="00DC40BC">
      <w:rPr>
        <w:sz w:val="20"/>
        <w:szCs w:val="20"/>
      </w:rPr>
      <w:t xml:space="preserve">TESTIMONY OF (WITNESS NAME) </w:t>
    </w:r>
    <w:r w:rsidRPr="00DC40BC">
      <w:rPr>
        <w:sz w:val="20"/>
        <w:szCs w:val="20"/>
      </w:rPr>
      <w:tab/>
    </w:r>
    <w:r w:rsidRPr="00DC40BC">
      <w:rPr>
        <w:sz w:val="20"/>
        <w:szCs w:val="20"/>
      </w:rPr>
      <w:tab/>
      <w:t>Exhibit ___T (**-1T)</w:t>
    </w:r>
  </w:p>
  <w:p w:rsidR="00C006B7" w:rsidRPr="00DC40BC" w:rsidRDefault="00C006B7" w:rsidP="00153ECA">
    <w:pPr>
      <w:pStyle w:val="Footer"/>
      <w:rPr>
        <w:sz w:val="20"/>
        <w:szCs w:val="20"/>
        <w:lang w:val="fr-FR"/>
      </w:rPr>
    </w:pPr>
    <w:r w:rsidRPr="00DC40BC">
      <w:rPr>
        <w:sz w:val="20"/>
        <w:szCs w:val="20"/>
      </w:rPr>
      <w:t>Docket</w:t>
    </w:r>
    <w:r w:rsidRPr="00DC40BC">
      <w:rPr>
        <w:sz w:val="20"/>
        <w:szCs w:val="20"/>
        <w:lang w:val="fr-FR"/>
      </w:rPr>
      <w:t xml:space="preserve"> **-******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 w:rsidR="00A62D46" w:rsidRPr="00DC40BC">
      <w:rPr>
        <w:rStyle w:val="PageNumber"/>
        <w:sz w:val="20"/>
        <w:szCs w:val="20"/>
      </w:rPr>
      <w:fldChar w:fldCharType="begin"/>
    </w:r>
    <w:r w:rsidRPr="00DC40BC">
      <w:rPr>
        <w:rStyle w:val="PageNumber"/>
        <w:sz w:val="20"/>
        <w:szCs w:val="20"/>
        <w:lang w:val="fr-FR"/>
      </w:rPr>
      <w:instrText xml:space="preserve"> PAGE </w:instrText>
    </w:r>
    <w:r w:rsidR="00A62D46" w:rsidRPr="00DC40B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  <w:lang w:val="fr-FR"/>
      </w:rPr>
      <w:t>1</w:t>
    </w:r>
    <w:r w:rsidR="00A62D46" w:rsidRPr="00DC40BC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B7" w:rsidRPr="00DC40BC" w:rsidRDefault="00C006B7">
    <w:pPr>
      <w:pStyle w:val="Footer"/>
      <w:rPr>
        <w:sz w:val="20"/>
        <w:szCs w:val="20"/>
      </w:rPr>
    </w:pPr>
  </w:p>
  <w:p w:rsidR="00C006B7" w:rsidRPr="00DC40BC" w:rsidRDefault="00C006B7">
    <w:pPr>
      <w:pStyle w:val="Footer"/>
      <w:rPr>
        <w:sz w:val="20"/>
        <w:szCs w:val="20"/>
      </w:rPr>
    </w:pPr>
    <w:r>
      <w:rPr>
        <w:sz w:val="20"/>
        <w:szCs w:val="20"/>
      </w:rPr>
      <w:t xml:space="preserve">CROSS-ANSWERING </w:t>
    </w:r>
    <w:r w:rsidRPr="00DC40BC">
      <w:rPr>
        <w:sz w:val="20"/>
        <w:szCs w:val="20"/>
      </w:rPr>
      <w:t>TESTIMONY O</w:t>
    </w:r>
    <w:r>
      <w:rPr>
        <w:sz w:val="20"/>
        <w:szCs w:val="20"/>
      </w:rPr>
      <w:t xml:space="preserve">F THOMAS E. SCHOOLEY </w:t>
    </w:r>
    <w:r>
      <w:rPr>
        <w:sz w:val="20"/>
        <w:szCs w:val="20"/>
      </w:rPr>
      <w:tab/>
      <w:t>Exhibit No. ____ (TES-</w:t>
    </w:r>
    <w:r w:rsidR="003F581E">
      <w:rPr>
        <w:sz w:val="20"/>
        <w:szCs w:val="20"/>
      </w:rPr>
      <w:t>3T</w:t>
    </w:r>
    <w:r>
      <w:rPr>
        <w:sz w:val="20"/>
        <w:szCs w:val="20"/>
      </w:rPr>
      <w:t>)</w:t>
    </w:r>
  </w:p>
  <w:p w:rsidR="00C006B7" w:rsidRPr="00DC40BC" w:rsidRDefault="00C006B7" w:rsidP="00153ECA">
    <w:pPr>
      <w:pStyle w:val="Footer"/>
      <w:rPr>
        <w:sz w:val="20"/>
        <w:szCs w:val="20"/>
        <w:lang w:val="fr-FR"/>
      </w:rPr>
    </w:pPr>
    <w:r w:rsidRPr="00DC40BC">
      <w:rPr>
        <w:sz w:val="20"/>
        <w:szCs w:val="20"/>
      </w:rPr>
      <w:t>Docket</w:t>
    </w:r>
    <w:r w:rsidR="00454C33">
      <w:rPr>
        <w:sz w:val="20"/>
        <w:szCs w:val="20"/>
      </w:rPr>
      <w:t>s</w:t>
    </w:r>
    <w:r>
      <w:rPr>
        <w:sz w:val="20"/>
        <w:szCs w:val="20"/>
        <w:lang w:val="fr-FR"/>
      </w:rPr>
      <w:t xml:space="preserve"> </w:t>
    </w:r>
    <w:proofErr w:type="spellStart"/>
    <w:r>
      <w:rPr>
        <w:sz w:val="20"/>
        <w:szCs w:val="20"/>
        <w:lang w:val="fr-FR"/>
      </w:rPr>
      <w:t>UE-</w:t>
    </w:r>
    <w:r w:rsidR="003F581E">
      <w:rPr>
        <w:sz w:val="20"/>
        <w:szCs w:val="20"/>
        <w:lang w:val="fr-FR"/>
      </w:rPr>
      <w:t>111048</w:t>
    </w:r>
    <w:proofErr w:type="spellEnd"/>
    <w:r w:rsidR="003F581E">
      <w:rPr>
        <w:sz w:val="20"/>
        <w:szCs w:val="20"/>
        <w:lang w:val="fr-FR"/>
      </w:rPr>
      <w:t>/</w:t>
    </w:r>
    <w:proofErr w:type="spellStart"/>
    <w:r w:rsidR="003F581E">
      <w:rPr>
        <w:sz w:val="20"/>
        <w:szCs w:val="20"/>
        <w:lang w:val="fr-FR"/>
      </w:rPr>
      <w:t>UG</w:t>
    </w:r>
    <w:proofErr w:type="spellEnd"/>
    <w:r w:rsidR="003F581E">
      <w:rPr>
        <w:sz w:val="20"/>
        <w:szCs w:val="20"/>
        <w:lang w:val="fr-FR"/>
      </w:rPr>
      <w:t>-111049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 w:rsidR="00A62D46" w:rsidRPr="00DC40BC">
      <w:rPr>
        <w:rStyle w:val="PageNumber"/>
        <w:sz w:val="20"/>
        <w:szCs w:val="20"/>
      </w:rPr>
      <w:fldChar w:fldCharType="begin"/>
    </w:r>
    <w:r w:rsidRPr="00DC40BC">
      <w:rPr>
        <w:rStyle w:val="PageNumber"/>
        <w:sz w:val="20"/>
        <w:szCs w:val="20"/>
        <w:lang w:val="fr-FR"/>
      </w:rPr>
      <w:instrText xml:space="preserve"> PAGE </w:instrText>
    </w:r>
    <w:r w:rsidR="00A62D46" w:rsidRPr="00DC40BC">
      <w:rPr>
        <w:rStyle w:val="PageNumber"/>
        <w:sz w:val="20"/>
        <w:szCs w:val="20"/>
      </w:rPr>
      <w:fldChar w:fldCharType="separate"/>
    </w:r>
    <w:r w:rsidR="00454C33">
      <w:rPr>
        <w:rStyle w:val="PageNumber"/>
        <w:noProof/>
        <w:sz w:val="20"/>
        <w:szCs w:val="20"/>
        <w:lang w:val="fr-FR"/>
      </w:rPr>
      <w:t>i</w:t>
    </w:r>
    <w:r w:rsidR="00A62D46" w:rsidRPr="00DC40BC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B7" w:rsidRPr="00361428" w:rsidRDefault="00C006B7">
    <w:pPr>
      <w:pStyle w:val="Footer"/>
      <w:rPr>
        <w:sz w:val="20"/>
        <w:szCs w:val="20"/>
      </w:rPr>
    </w:pPr>
  </w:p>
  <w:p w:rsidR="00C006B7" w:rsidRPr="00361428" w:rsidRDefault="00454C33">
    <w:pPr>
      <w:pStyle w:val="Footer"/>
      <w:rPr>
        <w:sz w:val="20"/>
        <w:szCs w:val="20"/>
      </w:rPr>
    </w:pPr>
    <w:r>
      <w:rPr>
        <w:sz w:val="20"/>
        <w:szCs w:val="20"/>
      </w:rPr>
      <w:t xml:space="preserve">CROSS-ANSWERING </w:t>
    </w:r>
    <w:r w:rsidR="00C006B7" w:rsidRPr="00361428">
      <w:rPr>
        <w:sz w:val="20"/>
        <w:szCs w:val="20"/>
      </w:rPr>
      <w:t>TESTIMONY OF THOMAS E. SCHOOLEY</w:t>
    </w:r>
    <w:r w:rsidR="00C006B7" w:rsidRPr="00361428">
      <w:rPr>
        <w:sz w:val="20"/>
        <w:szCs w:val="20"/>
      </w:rPr>
      <w:tab/>
      <w:t xml:space="preserve">Exhibit No. </w:t>
    </w:r>
    <w:r w:rsidR="00C006B7">
      <w:rPr>
        <w:sz w:val="20"/>
        <w:szCs w:val="20"/>
      </w:rPr>
      <w:t>___ (</w:t>
    </w:r>
    <w:r w:rsidR="00C006B7" w:rsidRPr="00361428">
      <w:rPr>
        <w:sz w:val="20"/>
        <w:szCs w:val="20"/>
      </w:rPr>
      <w:t>TES-</w:t>
    </w:r>
    <w:r w:rsidR="00547BC0">
      <w:rPr>
        <w:sz w:val="20"/>
        <w:szCs w:val="20"/>
      </w:rPr>
      <w:t>3</w:t>
    </w:r>
    <w:r w:rsidR="00C006B7" w:rsidRPr="00361428">
      <w:rPr>
        <w:sz w:val="20"/>
        <w:szCs w:val="20"/>
      </w:rPr>
      <w:t>T</w:t>
    </w:r>
    <w:r w:rsidR="00C006B7">
      <w:rPr>
        <w:sz w:val="20"/>
        <w:szCs w:val="20"/>
      </w:rPr>
      <w:t>)</w:t>
    </w:r>
  </w:p>
  <w:p w:rsidR="00C006B7" w:rsidRPr="00361428" w:rsidRDefault="00C006B7" w:rsidP="00EF5A6D">
    <w:pPr>
      <w:pStyle w:val="Footer"/>
      <w:rPr>
        <w:sz w:val="20"/>
        <w:szCs w:val="20"/>
      </w:rPr>
    </w:pPr>
    <w:r w:rsidRPr="00361428">
      <w:rPr>
        <w:sz w:val="20"/>
        <w:szCs w:val="20"/>
      </w:rPr>
      <w:t>Docket</w:t>
    </w:r>
    <w:r w:rsidRPr="00361428">
      <w:rPr>
        <w:sz w:val="20"/>
        <w:szCs w:val="20"/>
        <w:lang w:val="fr-FR"/>
      </w:rPr>
      <w:t xml:space="preserve"> No. UE-</w:t>
    </w:r>
    <w:r w:rsidR="00547BC0">
      <w:rPr>
        <w:sz w:val="20"/>
        <w:szCs w:val="20"/>
        <w:lang w:val="fr-FR"/>
      </w:rPr>
      <w:t>111048/UG-111049</w:t>
    </w:r>
    <w:r w:rsidRPr="00361428">
      <w:rPr>
        <w:sz w:val="20"/>
        <w:szCs w:val="20"/>
        <w:lang w:val="fr-FR"/>
      </w:rPr>
      <w:tab/>
    </w:r>
    <w:r w:rsidRPr="00361428">
      <w:rPr>
        <w:sz w:val="20"/>
        <w:szCs w:val="20"/>
        <w:lang w:val="fr-FR"/>
      </w:rPr>
      <w:tab/>
      <w:t xml:space="preserve">Page </w:t>
    </w:r>
    <w:r w:rsidR="00A62D46" w:rsidRPr="00361428">
      <w:rPr>
        <w:rStyle w:val="PageNumber"/>
        <w:sz w:val="20"/>
        <w:szCs w:val="20"/>
      </w:rPr>
      <w:fldChar w:fldCharType="begin"/>
    </w:r>
    <w:r w:rsidRPr="00361428">
      <w:rPr>
        <w:rStyle w:val="PageNumber"/>
        <w:sz w:val="20"/>
        <w:szCs w:val="20"/>
        <w:lang w:val="fr-FR"/>
      </w:rPr>
      <w:instrText xml:space="preserve"> PAGE </w:instrText>
    </w:r>
    <w:r w:rsidR="00A62D46" w:rsidRPr="00361428">
      <w:rPr>
        <w:rStyle w:val="PageNumber"/>
        <w:sz w:val="20"/>
        <w:szCs w:val="20"/>
      </w:rPr>
      <w:fldChar w:fldCharType="separate"/>
    </w:r>
    <w:r w:rsidR="00454C33">
      <w:rPr>
        <w:rStyle w:val="PageNumber"/>
        <w:noProof/>
        <w:sz w:val="20"/>
        <w:szCs w:val="20"/>
        <w:lang w:val="fr-FR"/>
      </w:rPr>
      <w:t>4</w:t>
    </w:r>
    <w:r w:rsidR="00A62D46" w:rsidRPr="00361428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C4" w:rsidRDefault="006F07C4" w:rsidP="00C3471C">
      <w:r>
        <w:separator/>
      </w:r>
    </w:p>
  </w:footnote>
  <w:footnote w:type="continuationSeparator" w:id="0">
    <w:p w:rsidR="006F07C4" w:rsidRDefault="006F07C4" w:rsidP="00C3471C">
      <w:r>
        <w:continuationSeparator/>
      </w:r>
    </w:p>
  </w:footnote>
  <w:footnote w:id="1">
    <w:p w:rsidR="00A85909" w:rsidRDefault="00A85909">
      <w:pPr>
        <w:pStyle w:val="FootnoteText"/>
      </w:pPr>
      <w:r>
        <w:rPr>
          <w:rStyle w:val="FootnoteReference"/>
        </w:rPr>
        <w:footnoteRef/>
      </w:r>
      <w:r>
        <w:t xml:space="preserve"> PSE Response to Public Counsel Data Request No. 272.</w:t>
      </w:r>
    </w:p>
  </w:footnote>
  <w:footnote w:id="2">
    <w:p w:rsidR="00DF7F47" w:rsidRDefault="00DF7F47">
      <w:pPr>
        <w:pStyle w:val="FootnoteText"/>
      </w:pPr>
      <w:r>
        <w:rPr>
          <w:rStyle w:val="FootnoteReference"/>
        </w:rPr>
        <w:footnoteRef/>
      </w:r>
      <w:r>
        <w:t xml:space="preserve"> The amendment occurred through Section 109</w:t>
      </w:r>
      <w:r w:rsidR="00FD50DD">
        <w:t>6</w:t>
      </w:r>
      <w:r>
        <w:t xml:space="preserve"> of the National Defense</w:t>
      </w:r>
      <w:r w:rsidR="00354D9C">
        <w:t xml:space="preserve"> Authorization Act </w:t>
      </w:r>
      <w:r w:rsidR="00FD50DD">
        <w:t xml:space="preserve">for Fiscal Year </w:t>
      </w:r>
      <w:bookmarkStart w:id="0" w:name="_GoBack"/>
      <w:bookmarkEnd w:id="0"/>
      <w:r w:rsidR="00354D9C">
        <w:t>2012</w:t>
      </w:r>
      <w:r w:rsidR="00FD50DD">
        <w:t xml:space="preserve">, </w:t>
      </w:r>
      <w:r w:rsidR="00354D9C">
        <w:t>H.R. 1540</w:t>
      </w:r>
      <w:r w:rsidR="000C152E">
        <w:t>, 112</w:t>
      </w:r>
      <w:r w:rsidR="000C152E" w:rsidRPr="000971C4">
        <w:rPr>
          <w:vertAlign w:val="superscript"/>
        </w:rPr>
        <w:t>th</w:t>
      </w:r>
      <w:r w:rsidR="000C152E">
        <w:t xml:space="preserve"> Congress, 1st Session.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E52"/>
    <w:multiLevelType w:val="hybridMultilevel"/>
    <w:tmpl w:val="8F3A1430"/>
    <w:lvl w:ilvl="0" w:tplc="E83AA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22789"/>
    <w:multiLevelType w:val="hybridMultilevel"/>
    <w:tmpl w:val="96E40F56"/>
    <w:lvl w:ilvl="0" w:tplc="C66C9F80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64165"/>
    <w:multiLevelType w:val="hybridMultilevel"/>
    <w:tmpl w:val="1660B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4736A8"/>
    <w:multiLevelType w:val="hybridMultilevel"/>
    <w:tmpl w:val="AC9C8886"/>
    <w:lvl w:ilvl="0" w:tplc="89065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C81199"/>
    <w:multiLevelType w:val="hybridMultilevel"/>
    <w:tmpl w:val="B522594E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A0EAD"/>
    <w:multiLevelType w:val="hybridMultilevel"/>
    <w:tmpl w:val="75B88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B13FC3"/>
    <w:multiLevelType w:val="hybridMultilevel"/>
    <w:tmpl w:val="28327F50"/>
    <w:lvl w:ilvl="0" w:tplc="E85CA46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205062"/>
    <w:multiLevelType w:val="hybridMultilevel"/>
    <w:tmpl w:val="FAD0A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20917C9"/>
    <w:multiLevelType w:val="hybridMultilevel"/>
    <w:tmpl w:val="088AE594"/>
    <w:lvl w:ilvl="0" w:tplc="063807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1C"/>
    <w:rsid w:val="00006546"/>
    <w:rsid w:val="00012A78"/>
    <w:rsid w:val="0001777B"/>
    <w:rsid w:val="0001779B"/>
    <w:rsid w:val="00021C97"/>
    <w:rsid w:val="00021EE0"/>
    <w:rsid w:val="00025004"/>
    <w:rsid w:val="00026DFF"/>
    <w:rsid w:val="00041C75"/>
    <w:rsid w:val="00045A65"/>
    <w:rsid w:val="000500A4"/>
    <w:rsid w:val="000526AD"/>
    <w:rsid w:val="00052F38"/>
    <w:rsid w:val="00062185"/>
    <w:rsid w:val="000634F9"/>
    <w:rsid w:val="00065C55"/>
    <w:rsid w:val="00083D95"/>
    <w:rsid w:val="00083E12"/>
    <w:rsid w:val="00091F34"/>
    <w:rsid w:val="000936EB"/>
    <w:rsid w:val="00095D1B"/>
    <w:rsid w:val="000971C4"/>
    <w:rsid w:val="00097E49"/>
    <w:rsid w:val="000B1DAE"/>
    <w:rsid w:val="000B45AB"/>
    <w:rsid w:val="000B78E3"/>
    <w:rsid w:val="000C0818"/>
    <w:rsid w:val="000C152E"/>
    <w:rsid w:val="000C4E79"/>
    <w:rsid w:val="000C6862"/>
    <w:rsid w:val="000D7CD2"/>
    <w:rsid w:val="000E6EFA"/>
    <w:rsid w:val="000F6447"/>
    <w:rsid w:val="00107A7F"/>
    <w:rsid w:val="00111376"/>
    <w:rsid w:val="001217DD"/>
    <w:rsid w:val="001253FE"/>
    <w:rsid w:val="00132C64"/>
    <w:rsid w:val="00136F29"/>
    <w:rsid w:val="001532EB"/>
    <w:rsid w:val="00153ECA"/>
    <w:rsid w:val="001663B0"/>
    <w:rsid w:val="001753AD"/>
    <w:rsid w:val="00177FC6"/>
    <w:rsid w:val="001822A4"/>
    <w:rsid w:val="00184A3B"/>
    <w:rsid w:val="00186138"/>
    <w:rsid w:val="00186784"/>
    <w:rsid w:val="00190A7E"/>
    <w:rsid w:val="001913B5"/>
    <w:rsid w:val="001919F1"/>
    <w:rsid w:val="00195572"/>
    <w:rsid w:val="00195C4D"/>
    <w:rsid w:val="001A041D"/>
    <w:rsid w:val="001A1155"/>
    <w:rsid w:val="001B0D48"/>
    <w:rsid w:val="001C52BB"/>
    <w:rsid w:val="001C5ABF"/>
    <w:rsid w:val="001C5ACC"/>
    <w:rsid w:val="001C7B44"/>
    <w:rsid w:val="001D1A05"/>
    <w:rsid w:val="001E021F"/>
    <w:rsid w:val="001E4F33"/>
    <w:rsid w:val="001F057C"/>
    <w:rsid w:val="001F2CDD"/>
    <w:rsid w:val="001F43B2"/>
    <w:rsid w:val="001F480F"/>
    <w:rsid w:val="00207378"/>
    <w:rsid w:val="00213B4E"/>
    <w:rsid w:val="002248FE"/>
    <w:rsid w:val="002254C1"/>
    <w:rsid w:val="002273F4"/>
    <w:rsid w:val="00233960"/>
    <w:rsid w:val="00235C33"/>
    <w:rsid w:val="00242475"/>
    <w:rsid w:val="00250D4D"/>
    <w:rsid w:val="002576FB"/>
    <w:rsid w:val="002642D5"/>
    <w:rsid w:val="0027398C"/>
    <w:rsid w:val="00280A38"/>
    <w:rsid w:val="002813E0"/>
    <w:rsid w:val="00283276"/>
    <w:rsid w:val="0028334D"/>
    <w:rsid w:val="002929A4"/>
    <w:rsid w:val="002A1DEC"/>
    <w:rsid w:val="002A3DF9"/>
    <w:rsid w:val="002B3A2B"/>
    <w:rsid w:val="002B69B5"/>
    <w:rsid w:val="002C159E"/>
    <w:rsid w:val="002C15BD"/>
    <w:rsid w:val="002C4BC8"/>
    <w:rsid w:val="002C5600"/>
    <w:rsid w:val="002E2BC0"/>
    <w:rsid w:val="002E2D7E"/>
    <w:rsid w:val="00311392"/>
    <w:rsid w:val="00317303"/>
    <w:rsid w:val="00324A0E"/>
    <w:rsid w:val="00334768"/>
    <w:rsid w:val="003348AD"/>
    <w:rsid w:val="00335741"/>
    <w:rsid w:val="00342790"/>
    <w:rsid w:val="00343B61"/>
    <w:rsid w:val="0034595D"/>
    <w:rsid w:val="00351203"/>
    <w:rsid w:val="00354D9C"/>
    <w:rsid w:val="0036092A"/>
    <w:rsid w:val="00361428"/>
    <w:rsid w:val="00361C98"/>
    <w:rsid w:val="00361D1E"/>
    <w:rsid w:val="00387B46"/>
    <w:rsid w:val="00391B28"/>
    <w:rsid w:val="0039298A"/>
    <w:rsid w:val="00394E7D"/>
    <w:rsid w:val="00395CD8"/>
    <w:rsid w:val="00396D7D"/>
    <w:rsid w:val="003A3151"/>
    <w:rsid w:val="003A5C9C"/>
    <w:rsid w:val="003A64F3"/>
    <w:rsid w:val="003A6633"/>
    <w:rsid w:val="003B094F"/>
    <w:rsid w:val="003B566C"/>
    <w:rsid w:val="003C449C"/>
    <w:rsid w:val="003C5F0F"/>
    <w:rsid w:val="003C75B1"/>
    <w:rsid w:val="003D4346"/>
    <w:rsid w:val="003E7C5A"/>
    <w:rsid w:val="003F144C"/>
    <w:rsid w:val="003F4BEF"/>
    <w:rsid w:val="003F581E"/>
    <w:rsid w:val="004021D8"/>
    <w:rsid w:val="0041077F"/>
    <w:rsid w:val="00414EDE"/>
    <w:rsid w:val="00420DFA"/>
    <w:rsid w:val="00421D2A"/>
    <w:rsid w:val="00423B9A"/>
    <w:rsid w:val="00431779"/>
    <w:rsid w:val="00435DD7"/>
    <w:rsid w:val="00436237"/>
    <w:rsid w:val="00443AF2"/>
    <w:rsid w:val="00452AA9"/>
    <w:rsid w:val="00454C33"/>
    <w:rsid w:val="0045562A"/>
    <w:rsid w:val="00473369"/>
    <w:rsid w:val="004753B1"/>
    <w:rsid w:val="0047625B"/>
    <w:rsid w:val="004828CF"/>
    <w:rsid w:val="00493D41"/>
    <w:rsid w:val="00495D6C"/>
    <w:rsid w:val="00496C2B"/>
    <w:rsid w:val="004A032B"/>
    <w:rsid w:val="004A35AA"/>
    <w:rsid w:val="004A3F57"/>
    <w:rsid w:val="004B55C5"/>
    <w:rsid w:val="004C28BD"/>
    <w:rsid w:val="004C5754"/>
    <w:rsid w:val="004D0941"/>
    <w:rsid w:val="004D1BEC"/>
    <w:rsid w:val="004D42C5"/>
    <w:rsid w:val="004E46C8"/>
    <w:rsid w:val="004E659D"/>
    <w:rsid w:val="004F0155"/>
    <w:rsid w:val="004F3468"/>
    <w:rsid w:val="004F4837"/>
    <w:rsid w:val="004F7BD8"/>
    <w:rsid w:val="00500B69"/>
    <w:rsid w:val="00504A14"/>
    <w:rsid w:val="00505BBD"/>
    <w:rsid w:val="005141DA"/>
    <w:rsid w:val="005150BA"/>
    <w:rsid w:val="005253F6"/>
    <w:rsid w:val="005337CC"/>
    <w:rsid w:val="00542394"/>
    <w:rsid w:val="0054310E"/>
    <w:rsid w:val="00547BC0"/>
    <w:rsid w:val="00552C9C"/>
    <w:rsid w:val="00556CE0"/>
    <w:rsid w:val="0057208C"/>
    <w:rsid w:val="0058126B"/>
    <w:rsid w:val="00583903"/>
    <w:rsid w:val="00584A97"/>
    <w:rsid w:val="005867B7"/>
    <w:rsid w:val="0058795B"/>
    <w:rsid w:val="00591985"/>
    <w:rsid w:val="005A5165"/>
    <w:rsid w:val="005C64FE"/>
    <w:rsid w:val="005C6B62"/>
    <w:rsid w:val="005D30A9"/>
    <w:rsid w:val="005D4A15"/>
    <w:rsid w:val="005D51D0"/>
    <w:rsid w:val="005D626C"/>
    <w:rsid w:val="005E2FAF"/>
    <w:rsid w:val="005F136D"/>
    <w:rsid w:val="005F589A"/>
    <w:rsid w:val="00601923"/>
    <w:rsid w:val="006024D1"/>
    <w:rsid w:val="00615272"/>
    <w:rsid w:val="00615630"/>
    <w:rsid w:val="0061654D"/>
    <w:rsid w:val="00623987"/>
    <w:rsid w:val="00624DD1"/>
    <w:rsid w:val="00626DF7"/>
    <w:rsid w:val="0063116C"/>
    <w:rsid w:val="00632499"/>
    <w:rsid w:val="00633EB2"/>
    <w:rsid w:val="006348F4"/>
    <w:rsid w:val="00636974"/>
    <w:rsid w:val="006408E1"/>
    <w:rsid w:val="006450AA"/>
    <w:rsid w:val="0065130E"/>
    <w:rsid w:val="00676651"/>
    <w:rsid w:val="006878F7"/>
    <w:rsid w:val="00687A61"/>
    <w:rsid w:val="00690287"/>
    <w:rsid w:val="006A72E3"/>
    <w:rsid w:val="006B0266"/>
    <w:rsid w:val="006B0E7A"/>
    <w:rsid w:val="006B691A"/>
    <w:rsid w:val="006C4EBB"/>
    <w:rsid w:val="006C635C"/>
    <w:rsid w:val="006E304F"/>
    <w:rsid w:val="006E5A89"/>
    <w:rsid w:val="006E7C5D"/>
    <w:rsid w:val="006F07C4"/>
    <w:rsid w:val="006F317A"/>
    <w:rsid w:val="007072ED"/>
    <w:rsid w:val="00712C9A"/>
    <w:rsid w:val="00726CFF"/>
    <w:rsid w:val="007276C3"/>
    <w:rsid w:val="00735CD7"/>
    <w:rsid w:val="00740C16"/>
    <w:rsid w:val="007442B8"/>
    <w:rsid w:val="00744447"/>
    <w:rsid w:val="007505FF"/>
    <w:rsid w:val="0075308D"/>
    <w:rsid w:val="007604DF"/>
    <w:rsid w:val="00767846"/>
    <w:rsid w:val="00774FA1"/>
    <w:rsid w:val="0077697A"/>
    <w:rsid w:val="00781CC3"/>
    <w:rsid w:val="00790FEE"/>
    <w:rsid w:val="00791D8C"/>
    <w:rsid w:val="007954EB"/>
    <w:rsid w:val="007A6466"/>
    <w:rsid w:val="007B016E"/>
    <w:rsid w:val="007B03FD"/>
    <w:rsid w:val="007B245D"/>
    <w:rsid w:val="007B4011"/>
    <w:rsid w:val="007C007D"/>
    <w:rsid w:val="007C099F"/>
    <w:rsid w:val="007C1817"/>
    <w:rsid w:val="007C6CB8"/>
    <w:rsid w:val="007C7F2A"/>
    <w:rsid w:val="007D08E1"/>
    <w:rsid w:val="007D3C1E"/>
    <w:rsid w:val="007D7513"/>
    <w:rsid w:val="007E539D"/>
    <w:rsid w:val="007F16CA"/>
    <w:rsid w:val="00800FAA"/>
    <w:rsid w:val="00801C0B"/>
    <w:rsid w:val="00804A0F"/>
    <w:rsid w:val="00807754"/>
    <w:rsid w:val="00810969"/>
    <w:rsid w:val="0081374F"/>
    <w:rsid w:val="008172A4"/>
    <w:rsid w:val="00830345"/>
    <w:rsid w:val="008303F8"/>
    <w:rsid w:val="0084124F"/>
    <w:rsid w:val="00842481"/>
    <w:rsid w:val="00844230"/>
    <w:rsid w:val="00844F5B"/>
    <w:rsid w:val="00847726"/>
    <w:rsid w:val="00857041"/>
    <w:rsid w:val="008819EE"/>
    <w:rsid w:val="008853E7"/>
    <w:rsid w:val="00890C1C"/>
    <w:rsid w:val="0089150B"/>
    <w:rsid w:val="008A49E2"/>
    <w:rsid w:val="008C3FCC"/>
    <w:rsid w:val="008C47E7"/>
    <w:rsid w:val="008D3D95"/>
    <w:rsid w:val="008E00E7"/>
    <w:rsid w:val="008E1068"/>
    <w:rsid w:val="008E5669"/>
    <w:rsid w:val="008E5BDA"/>
    <w:rsid w:val="008E6FF7"/>
    <w:rsid w:val="008F6A67"/>
    <w:rsid w:val="00906957"/>
    <w:rsid w:val="00910412"/>
    <w:rsid w:val="00911547"/>
    <w:rsid w:val="00917AFD"/>
    <w:rsid w:val="00920E51"/>
    <w:rsid w:val="009255B6"/>
    <w:rsid w:val="00926C75"/>
    <w:rsid w:val="00940D8D"/>
    <w:rsid w:val="00946D51"/>
    <w:rsid w:val="00951137"/>
    <w:rsid w:val="00952099"/>
    <w:rsid w:val="00962729"/>
    <w:rsid w:val="00962CC1"/>
    <w:rsid w:val="009667D7"/>
    <w:rsid w:val="00970720"/>
    <w:rsid w:val="009712C4"/>
    <w:rsid w:val="00971920"/>
    <w:rsid w:val="0097197B"/>
    <w:rsid w:val="00975895"/>
    <w:rsid w:val="00975C07"/>
    <w:rsid w:val="009773BC"/>
    <w:rsid w:val="00983AF8"/>
    <w:rsid w:val="009948A0"/>
    <w:rsid w:val="00996064"/>
    <w:rsid w:val="009A2862"/>
    <w:rsid w:val="009A4537"/>
    <w:rsid w:val="009A4758"/>
    <w:rsid w:val="009C3540"/>
    <w:rsid w:val="009D19F5"/>
    <w:rsid w:val="009E4CD8"/>
    <w:rsid w:val="009F60D7"/>
    <w:rsid w:val="009F6692"/>
    <w:rsid w:val="00A00636"/>
    <w:rsid w:val="00A00E0E"/>
    <w:rsid w:val="00A15DBB"/>
    <w:rsid w:val="00A20618"/>
    <w:rsid w:val="00A25C67"/>
    <w:rsid w:val="00A33DB5"/>
    <w:rsid w:val="00A42081"/>
    <w:rsid w:val="00A42D23"/>
    <w:rsid w:val="00A45EBB"/>
    <w:rsid w:val="00A46064"/>
    <w:rsid w:val="00A5328A"/>
    <w:rsid w:val="00A548A4"/>
    <w:rsid w:val="00A5798B"/>
    <w:rsid w:val="00A62755"/>
    <w:rsid w:val="00A62D46"/>
    <w:rsid w:val="00A65B5B"/>
    <w:rsid w:val="00A664BB"/>
    <w:rsid w:val="00A704AB"/>
    <w:rsid w:val="00A73D19"/>
    <w:rsid w:val="00A7568B"/>
    <w:rsid w:val="00A76400"/>
    <w:rsid w:val="00A82383"/>
    <w:rsid w:val="00A85909"/>
    <w:rsid w:val="00A967C1"/>
    <w:rsid w:val="00AB76D9"/>
    <w:rsid w:val="00AD13A9"/>
    <w:rsid w:val="00AE1715"/>
    <w:rsid w:val="00AE2A91"/>
    <w:rsid w:val="00AE39B2"/>
    <w:rsid w:val="00AE4478"/>
    <w:rsid w:val="00AE685A"/>
    <w:rsid w:val="00AE7A1B"/>
    <w:rsid w:val="00AF6AB3"/>
    <w:rsid w:val="00B03E83"/>
    <w:rsid w:val="00B16725"/>
    <w:rsid w:val="00B2403A"/>
    <w:rsid w:val="00B24BD7"/>
    <w:rsid w:val="00B24D73"/>
    <w:rsid w:val="00B2563D"/>
    <w:rsid w:val="00B30906"/>
    <w:rsid w:val="00B33C5B"/>
    <w:rsid w:val="00B46F71"/>
    <w:rsid w:val="00B51515"/>
    <w:rsid w:val="00B52356"/>
    <w:rsid w:val="00B60793"/>
    <w:rsid w:val="00B6163D"/>
    <w:rsid w:val="00B85D0A"/>
    <w:rsid w:val="00B87049"/>
    <w:rsid w:val="00B9168F"/>
    <w:rsid w:val="00B91CC2"/>
    <w:rsid w:val="00BA1FA1"/>
    <w:rsid w:val="00BA58FD"/>
    <w:rsid w:val="00BD1B7B"/>
    <w:rsid w:val="00BD301A"/>
    <w:rsid w:val="00BE4AC8"/>
    <w:rsid w:val="00BE5DFA"/>
    <w:rsid w:val="00BF73C0"/>
    <w:rsid w:val="00BF7F21"/>
    <w:rsid w:val="00C006B7"/>
    <w:rsid w:val="00C054F8"/>
    <w:rsid w:val="00C114B9"/>
    <w:rsid w:val="00C124F9"/>
    <w:rsid w:val="00C1375B"/>
    <w:rsid w:val="00C234C2"/>
    <w:rsid w:val="00C27AD8"/>
    <w:rsid w:val="00C32E23"/>
    <w:rsid w:val="00C3471C"/>
    <w:rsid w:val="00C408EE"/>
    <w:rsid w:val="00C455A4"/>
    <w:rsid w:val="00C47FCB"/>
    <w:rsid w:val="00C64EBD"/>
    <w:rsid w:val="00C66D22"/>
    <w:rsid w:val="00C704A8"/>
    <w:rsid w:val="00C87BE6"/>
    <w:rsid w:val="00C90D26"/>
    <w:rsid w:val="00C91EB4"/>
    <w:rsid w:val="00C931FD"/>
    <w:rsid w:val="00C94B9A"/>
    <w:rsid w:val="00CA6703"/>
    <w:rsid w:val="00CA6AA4"/>
    <w:rsid w:val="00CB0380"/>
    <w:rsid w:val="00CB062F"/>
    <w:rsid w:val="00CB203D"/>
    <w:rsid w:val="00CC63ED"/>
    <w:rsid w:val="00CD4065"/>
    <w:rsid w:val="00CD4414"/>
    <w:rsid w:val="00CE76F9"/>
    <w:rsid w:val="00D04012"/>
    <w:rsid w:val="00D12BEE"/>
    <w:rsid w:val="00D21789"/>
    <w:rsid w:val="00D25451"/>
    <w:rsid w:val="00D25F57"/>
    <w:rsid w:val="00D315F8"/>
    <w:rsid w:val="00D4066A"/>
    <w:rsid w:val="00D4141B"/>
    <w:rsid w:val="00D4461E"/>
    <w:rsid w:val="00D529BA"/>
    <w:rsid w:val="00D54977"/>
    <w:rsid w:val="00D57270"/>
    <w:rsid w:val="00D6102D"/>
    <w:rsid w:val="00D63690"/>
    <w:rsid w:val="00D63806"/>
    <w:rsid w:val="00D64D1E"/>
    <w:rsid w:val="00D658BF"/>
    <w:rsid w:val="00D746D9"/>
    <w:rsid w:val="00D855A0"/>
    <w:rsid w:val="00D8685A"/>
    <w:rsid w:val="00D90AB1"/>
    <w:rsid w:val="00D93E33"/>
    <w:rsid w:val="00D96559"/>
    <w:rsid w:val="00DA1B6E"/>
    <w:rsid w:val="00DA7405"/>
    <w:rsid w:val="00DB6DA6"/>
    <w:rsid w:val="00DC40BC"/>
    <w:rsid w:val="00DC5157"/>
    <w:rsid w:val="00DC566D"/>
    <w:rsid w:val="00DD10CB"/>
    <w:rsid w:val="00DD2B2C"/>
    <w:rsid w:val="00DD441B"/>
    <w:rsid w:val="00DD6E85"/>
    <w:rsid w:val="00DD6FF1"/>
    <w:rsid w:val="00DE22BA"/>
    <w:rsid w:val="00DE6831"/>
    <w:rsid w:val="00DE7A86"/>
    <w:rsid w:val="00DF0DA3"/>
    <w:rsid w:val="00DF567B"/>
    <w:rsid w:val="00DF7F47"/>
    <w:rsid w:val="00E23290"/>
    <w:rsid w:val="00E34B63"/>
    <w:rsid w:val="00E35FAD"/>
    <w:rsid w:val="00E44EE1"/>
    <w:rsid w:val="00E506B7"/>
    <w:rsid w:val="00E62CF6"/>
    <w:rsid w:val="00E64487"/>
    <w:rsid w:val="00E66CCE"/>
    <w:rsid w:val="00E76C8A"/>
    <w:rsid w:val="00E8209C"/>
    <w:rsid w:val="00E83CB8"/>
    <w:rsid w:val="00E87BCB"/>
    <w:rsid w:val="00E92297"/>
    <w:rsid w:val="00EA1CF2"/>
    <w:rsid w:val="00EA20D4"/>
    <w:rsid w:val="00EA5286"/>
    <w:rsid w:val="00EB3910"/>
    <w:rsid w:val="00EB5CE0"/>
    <w:rsid w:val="00EB7CDA"/>
    <w:rsid w:val="00EC32AE"/>
    <w:rsid w:val="00ED0B3C"/>
    <w:rsid w:val="00ED2FB9"/>
    <w:rsid w:val="00ED373B"/>
    <w:rsid w:val="00EE19FF"/>
    <w:rsid w:val="00EE1D57"/>
    <w:rsid w:val="00EF4CD7"/>
    <w:rsid w:val="00EF5A6D"/>
    <w:rsid w:val="00F00F1A"/>
    <w:rsid w:val="00F0772E"/>
    <w:rsid w:val="00F12CFA"/>
    <w:rsid w:val="00F17247"/>
    <w:rsid w:val="00F20A46"/>
    <w:rsid w:val="00F20AAF"/>
    <w:rsid w:val="00F27CBA"/>
    <w:rsid w:val="00F43FD5"/>
    <w:rsid w:val="00F53A0A"/>
    <w:rsid w:val="00F54589"/>
    <w:rsid w:val="00F6045B"/>
    <w:rsid w:val="00F65579"/>
    <w:rsid w:val="00F65ED2"/>
    <w:rsid w:val="00F716F9"/>
    <w:rsid w:val="00F723EF"/>
    <w:rsid w:val="00F7493B"/>
    <w:rsid w:val="00F74FD5"/>
    <w:rsid w:val="00F75ABC"/>
    <w:rsid w:val="00F81CE7"/>
    <w:rsid w:val="00F83D36"/>
    <w:rsid w:val="00F9110B"/>
    <w:rsid w:val="00F94F02"/>
    <w:rsid w:val="00F97C6B"/>
    <w:rsid w:val="00FB2A42"/>
    <w:rsid w:val="00FB69B9"/>
    <w:rsid w:val="00FB6F77"/>
    <w:rsid w:val="00FB6F80"/>
    <w:rsid w:val="00FC1084"/>
    <w:rsid w:val="00FC3A19"/>
    <w:rsid w:val="00FD377A"/>
    <w:rsid w:val="00FD50DD"/>
    <w:rsid w:val="00FD75F4"/>
    <w:rsid w:val="00FE5F77"/>
    <w:rsid w:val="00FE62F0"/>
    <w:rsid w:val="00FE73D6"/>
    <w:rsid w:val="00FF2BFC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1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71C"/>
    <w:pPr>
      <w:keepNext/>
      <w:spacing w:line="480" w:lineRule="auto"/>
      <w:ind w:left="720" w:hanging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A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471C"/>
    <w:pPr>
      <w:keepNext/>
      <w:spacing w:line="480" w:lineRule="auto"/>
      <w:ind w:left="720" w:hanging="7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71C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C3471C"/>
    <w:rPr>
      <w:rFonts w:eastAsia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C3471C"/>
    <w:pPr>
      <w:spacing w:line="480" w:lineRule="auto"/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C3471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C347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471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3471C"/>
  </w:style>
  <w:style w:type="character" w:styleId="LineNumber">
    <w:name w:val="line number"/>
    <w:basedOn w:val="DefaultParagraphFont"/>
    <w:uiPriority w:val="99"/>
    <w:semiHidden/>
    <w:unhideWhenUsed/>
    <w:rsid w:val="00C3471C"/>
  </w:style>
  <w:style w:type="paragraph" w:styleId="Header">
    <w:name w:val="header"/>
    <w:basedOn w:val="Normal"/>
    <w:link w:val="HeaderChar"/>
    <w:uiPriority w:val="99"/>
    <w:unhideWhenUsed/>
    <w:rsid w:val="00C34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71C"/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F5A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5A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5A6D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rsid w:val="00EF5A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5A6D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F5A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5A6D"/>
    <w:rPr>
      <w:rFonts w:eastAsia="Times New Roman"/>
    </w:rPr>
  </w:style>
  <w:style w:type="character" w:styleId="FootnoteReference">
    <w:name w:val="footnote reference"/>
    <w:basedOn w:val="DefaultParagraphFont"/>
    <w:semiHidden/>
    <w:rsid w:val="00EF5A6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F5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A6D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EF5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D8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75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1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71C"/>
    <w:pPr>
      <w:keepNext/>
      <w:spacing w:line="480" w:lineRule="auto"/>
      <w:ind w:left="720" w:hanging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A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471C"/>
    <w:pPr>
      <w:keepNext/>
      <w:spacing w:line="480" w:lineRule="auto"/>
      <w:ind w:left="720" w:hanging="7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71C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C3471C"/>
    <w:rPr>
      <w:rFonts w:eastAsia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C3471C"/>
    <w:pPr>
      <w:spacing w:line="480" w:lineRule="auto"/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C3471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C347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471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3471C"/>
  </w:style>
  <w:style w:type="character" w:styleId="LineNumber">
    <w:name w:val="line number"/>
    <w:basedOn w:val="DefaultParagraphFont"/>
    <w:uiPriority w:val="99"/>
    <w:semiHidden/>
    <w:unhideWhenUsed/>
    <w:rsid w:val="00C3471C"/>
  </w:style>
  <w:style w:type="paragraph" w:styleId="Header">
    <w:name w:val="header"/>
    <w:basedOn w:val="Normal"/>
    <w:link w:val="HeaderChar"/>
    <w:uiPriority w:val="99"/>
    <w:unhideWhenUsed/>
    <w:rsid w:val="00C34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71C"/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F5A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5A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5A6D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rsid w:val="00EF5A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5A6D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F5A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5A6D"/>
    <w:rPr>
      <w:rFonts w:eastAsia="Times New Roman"/>
    </w:rPr>
  </w:style>
  <w:style w:type="character" w:styleId="FootnoteReference">
    <w:name w:val="footnote reference"/>
    <w:basedOn w:val="DefaultParagraphFont"/>
    <w:semiHidden/>
    <w:rsid w:val="00EF5A6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F5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A6D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EF5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D8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75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1327D3-3109-4F6A-AC4D-1C20BA56B1E4}"/>
</file>

<file path=customXml/itemProps2.xml><?xml version="1.0" encoding="utf-8"?>
<ds:datastoreItem xmlns:ds="http://schemas.openxmlformats.org/officeDocument/2006/customXml" ds:itemID="{7BDF6740-D982-4E93-8D4B-82A4C1517547}"/>
</file>

<file path=customXml/itemProps3.xml><?xml version="1.0" encoding="utf-8"?>
<ds:datastoreItem xmlns:ds="http://schemas.openxmlformats.org/officeDocument/2006/customXml" ds:itemID="{55E22052-9969-49DA-A30D-100BEA2CC3B3}"/>
</file>

<file path=customXml/itemProps4.xml><?xml version="1.0" encoding="utf-8"?>
<ds:datastoreItem xmlns:ds="http://schemas.openxmlformats.org/officeDocument/2006/customXml" ds:itemID="{E1FA9AB3-4C4C-4E84-85B7-25721D988A9B}"/>
</file>

<file path=customXml/itemProps5.xml><?xml version="1.0" encoding="utf-8"?>
<ds:datastoreItem xmlns:ds="http://schemas.openxmlformats.org/officeDocument/2006/customXml" ds:itemID="{5299F72A-0F65-4956-B1C4-22D83F527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cp:lastPrinted>2010-11-05T20:51:00Z</cp:lastPrinted>
  <dcterms:created xsi:type="dcterms:W3CDTF">2012-01-17T16:44:00Z</dcterms:created>
  <dcterms:modified xsi:type="dcterms:W3CDTF">2012-01-17T16:47:00Z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