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5A" w:rsidRPr="000F025A" w:rsidRDefault="000F025A" w:rsidP="000F025A">
      <w:pPr>
        <w:tabs>
          <w:tab w:val="clear" w:pos="-1440"/>
          <w:tab w:val="center" w:pos="4680"/>
        </w:tabs>
        <w:spacing w:line="240" w:lineRule="auto"/>
        <w:ind w:left="0" w:right="-252" w:hanging="360"/>
        <w:jc w:val="both"/>
        <w:rPr>
          <w:b/>
          <w:bCs/>
        </w:rPr>
      </w:pPr>
      <w:r w:rsidRPr="000F025A">
        <w:rPr>
          <w:b/>
          <w:bCs/>
        </w:rPr>
        <w:tab/>
      </w:r>
      <w:r w:rsidRPr="000F025A">
        <w:rPr>
          <w:b/>
          <w:bCs/>
        </w:rPr>
        <w:tab/>
      </w:r>
      <w:r w:rsidRPr="000F025A">
        <w:rPr>
          <w:b/>
          <w:bCs/>
        </w:rPr>
        <w:tab/>
      </w:r>
      <w:r w:rsidRPr="000F025A">
        <w:rPr>
          <w:b/>
          <w:bCs/>
        </w:rPr>
        <w:tab/>
        <w:t>Exhibit No. ___ (</w:t>
      </w:r>
      <w:r>
        <w:rPr>
          <w:b/>
          <w:bCs/>
        </w:rPr>
        <w:t>DJR</w:t>
      </w:r>
      <w:r w:rsidRPr="000F025A">
        <w:rPr>
          <w:b/>
          <w:bCs/>
        </w:rPr>
        <w:t xml:space="preserve">-3T) </w:t>
      </w:r>
    </w:p>
    <w:p w:rsidR="000F025A" w:rsidRPr="000F025A" w:rsidRDefault="000F025A" w:rsidP="000F025A">
      <w:pPr>
        <w:tabs>
          <w:tab w:val="clear" w:pos="-1440"/>
          <w:tab w:val="center" w:pos="4680"/>
        </w:tabs>
        <w:spacing w:line="240" w:lineRule="auto"/>
        <w:ind w:left="0" w:right="-252" w:hanging="360"/>
        <w:jc w:val="both"/>
        <w:rPr>
          <w:b/>
          <w:bCs/>
        </w:rPr>
      </w:pPr>
      <w:r w:rsidRPr="000F025A">
        <w:rPr>
          <w:b/>
          <w:bCs/>
        </w:rPr>
        <w:tab/>
      </w:r>
      <w:r w:rsidRPr="000F025A">
        <w:rPr>
          <w:b/>
          <w:bCs/>
        </w:rPr>
        <w:tab/>
      </w:r>
      <w:r w:rsidRPr="000F025A">
        <w:rPr>
          <w:b/>
          <w:bCs/>
        </w:rPr>
        <w:tab/>
      </w:r>
      <w:r w:rsidRPr="000F025A">
        <w:rPr>
          <w:b/>
          <w:bCs/>
        </w:rPr>
        <w:tab/>
        <w:t>Docket UE-111048/UG-111049</w:t>
      </w:r>
    </w:p>
    <w:p w:rsidR="000F025A" w:rsidRPr="000F025A" w:rsidRDefault="000F025A" w:rsidP="000F025A">
      <w:pPr>
        <w:tabs>
          <w:tab w:val="clear" w:pos="-1440"/>
          <w:tab w:val="center" w:pos="4680"/>
        </w:tabs>
        <w:spacing w:line="240" w:lineRule="auto"/>
        <w:ind w:left="0" w:right="-252" w:hanging="360"/>
        <w:jc w:val="both"/>
        <w:rPr>
          <w:b/>
          <w:bCs/>
        </w:rPr>
      </w:pPr>
      <w:r w:rsidRPr="000F025A">
        <w:rPr>
          <w:b/>
          <w:bCs/>
        </w:rPr>
        <w:tab/>
      </w:r>
      <w:r w:rsidRPr="000F025A">
        <w:rPr>
          <w:b/>
          <w:bCs/>
        </w:rPr>
        <w:tab/>
      </w:r>
      <w:r w:rsidRPr="000F025A">
        <w:rPr>
          <w:b/>
          <w:bCs/>
        </w:rPr>
        <w:tab/>
      </w:r>
      <w:r w:rsidRPr="000F025A">
        <w:rPr>
          <w:b/>
          <w:bCs/>
        </w:rPr>
        <w:tab/>
        <w:t xml:space="preserve">Witness: </w:t>
      </w:r>
      <w:r>
        <w:rPr>
          <w:b/>
          <w:bCs/>
        </w:rPr>
        <w:t xml:space="preserve"> Deborah J. Reynolds</w:t>
      </w:r>
      <w:r w:rsidRPr="000F025A">
        <w:rPr>
          <w:b/>
          <w:bCs/>
        </w:rPr>
        <w:t xml:space="preserve"> </w:t>
      </w: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108" w:hanging="180"/>
        <w:jc w:val="both"/>
        <w:rPr>
          <w:b/>
        </w:rPr>
      </w:pPr>
      <w:r w:rsidRPr="000F025A">
        <w:rPr>
          <w:b/>
        </w:rPr>
        <w:t>BEFORE THE WASHINGTON UTILITIES AND TRANSPORTATION COMMISSION</w:t>
      </w:r>
    </w:p>
    <w:p w:rsidR="000F025A" w:rsidRPr="000F025A" w:rsidRDefault="000F025A" w:rsidP="000F025A">
      <w:pPr>
        <w:tabs>
          <w:tab w:val="clear" w:pos="-1440"/>
        </w:tabs>
        <w:spacing w:line="240" w:lineRule="auto"/>
        <w:ind w:left="0" w:firstLine="0"/>
        <w:jc w:val="both"/>
        <w:rPr>
          <w:b/>
        </w:rPr>
      </w:pPr>
    </w:p>
    <w:p w:rsidR="000F025A" w:rsidRPr="000F025A" w:rsidRDefault="000F025A" w:rsidP="000F025A">
      <w:pPr>
        <w:tabs>
          <w:tab w:val="clear" w:pos="-1440"/>
        </w:tabs>
        <w:spacing w:line="240" w:lineRule="auto"/>
        <w:ind w:left="0" w:firstLine="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F025A" w:rsidRPr="000F025A" w:rsidTr="00593813">
        <w:tc>
          <w:tcPr>
            <w:tcW w:w="4590" w:type="dxa"/>
            <w:tcBorders>
              <w:top w:val="single" w:sz="6" w:space="0" w:color="FFFFFF"/>
              <w:left w:val="single" w:sz="6" w:space="0" w:color="FFFFFF"/>
              <w:bottom w:val="single" w:sz="7" w:space="0" w:color="000000"/>
              <w:right w:val="single" w:sz="6" w:space="0" w:color="FFFFFF"/>
            </w:tcBorders>
          </w:tcPr>
          <w:p w:rsidR="000F025A" w:rsidRPr="000F025A" w:rsidRDefault="000F025A" w:rsidP="000F025A">
            <w:pPr>
              <w:tabs>
                <w:tab w:val="clear" w:pos="-1440"/>
              </w:tabs>
              <w:spacing w:line="240" w:lineRule="auto"/>
              <w:ind w:left="0" w:firstLine="0"/>
              <w:rPr>
                <w:b/>
              </w:rPr>
            </w:pPr>
            <w:r w:rsidRPr="000F025A">
              <w:rPr>
                <w:b/>
              </w:rPr>
              <w:t xml:space="preserve">WASHINGTON UTILITIES AND TRANSPORTATION COMMISSION, </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line="240" w:lineRule="auto"/>
              <w:ind w:left="0" w:firstLine="0"/>
              <w:rPr>
                <w:b/>
              </w:rPr>
            </w:pPr>
            <w:r w:rsidRPr="000F025A">
              <w:rPr>
                <w:b/>
              </w:rPr>
              <w:tab/>
            </w:r>
            <w:r w:rsidRPr="000F025A">
              <w:rPr>
                <w:b/>
              </w:rPr>
              <w:tab/>
              <w:t>Complainant,</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line="240" w:lineRule="auto"/>
              <w:ind w:left="0" w:firstLine="0"/>
              <w:rPr>
                <w:b/>
              </w:rPr>
            </w:pPr>
            <w:r w:rsidRPr="000F025A">
              <w:rPr>
                <w:b/>
              </w:rPr>
              <w:tab/>
              <w:t>v.</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line="240" w:lineRule="auto"/>
              <w:ind w:left="0" w:firstLine="0"/>
              <w:rPr>
                <w:b/>
              </w:rPr>
            </w:pPr>
            <w:r w:rsidRPr="000F025A">
              <w:rPr>
                <w:b/>
              </w:rPr>
              <w:t>PUGET SOUND ENERGY,  Inc.</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after="19" w:line="240" w:lineRule="auto"/>
              <w:ind w:left="0" w:firstLine="0"/>
              <w:rPr>
                <w:b/>
              </w:rPr>
            </w:pPr>
            <w:r w:rsidRPr="000F025A">
              <w:rPr>
                <w:b/>
              </w:rPr>
              <w:tab/>
            </w:r>
            <w:r w:rsidRPr="000F025A">
              <w:rPr>
                <w:b/>
              </w:rPr>
              <w:tab/>
              <w:t>Respondent.</w:t>
            </w:r>
          </w:p>
          <w:p w:rsidR="000F025A" w:rsidRPr="000F025A" w:rsidRDefault="000F025A" w:rsidP="000F025A">
            <w:pPr>
              <w:tabs>
                <w:tab w:val="clear" w:pos="-1440"/>
              </w:tabs>
              <w:spacing w:after="19" w:line="240" w:lineRule="auto"/>
              <w:ind w:left="0" w:firstLine="0"/>
              <w:rPr>
                <w:b/>
              </w:rPr>
            </w:pPr>
          </w:p>
        </w:tc>
        <w:tc>
          <w:tcPr>
            <w:tcW w:w="4590" w:type="dxa"/>
            <w:tcBorders>
              <w:top w:val="single" w:sz="6" w:space="0" w:color="FFFFFF"/>
              <w:left w:val="single" w:sz="7" w:space="0" w:color="000000"/>
              <w:bottom w:val="single" w:sz="6" w:space="0" w:color="FFFFFF"/>
              <w:right w:val="single" w:sz="6" w:space="0" w:color="FFFFFF"/>
            </w:tcBorders>
          </w:tcPr>
          <w:p w:rsidR="000F025A" w:rsidRPr="000F025A" w:rsidRDefault="000F025A" w:rsidP="000F025A">
            <w:pPr>
              <w:tabs>
                <w:tab w:val="clear" w:pos="-1440"/>
              </w:tabs>
              <w:spacing w:line="240" w:lineRule="auto"/>
              <w:ind w:left="0" w:firstLine="720"/>
              <w:rPr>
                <w:b/>
              </w:rPr>
            </w:pPr>
            <w:r w:rsidRPr="000F025A">
              <w:rPr>
                <w:b/>
              </w:rPr>
              <w:t>DOCKET UE-111048</w:t>
            </w:r>
          </w:p>
          <w:p w:rsidR="000F025A" w:rsidRPr="000F025A" w:rsidRDefault="000F025A" w:rsidP="000F025A">
            <w:pPr>
              <w:tabs>
                <w:tab w:val="clear" w:pos="-1440"/>
              </w:tabs>
              <w:spacing w:line="240" w:lineRule="auto"/>
              <w:ind w:left="0" w:firstLine="720"/>
              <w:rPr>
                <w:b/>
              </w:rPr>
            </w:pPr>
            <w:r w:rsidRPr="000F025A">
              <w:rPr>
                <w:b/>
              </w:rPr>
              <w:t xml:space="preserve">DOCKET UG-111049 </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after="19" w:line="240" w:lineRule="auto"/>
              <w:ind w:firstLine="0"/>
              <w:rPr>
                <w:b/>
              </w:rPr>
            </w:pPr>
            <w:r w:rsidRPr="000F025A">
              <w:rPr>
                <w:b/>
              </w:rPr>
              <w:t>(Consolidated)</w:t>
            </w:r>
          </w:p>
        </w:tc>
      </w:tr>
    </w:tbl>
    <w:p w:rsidR="000F025A" w:rsidRPr="000F025A" w:rsidRDefault="000F025A" w:rsidP="000F025A">
      <w:pPr>
        <w:tabs>
          <w:tab w:val="clear" w:pos="-1440"/>
        </w:tabs>
        <w:spacing w:line="240" w:lineRule="auto"/>
        <w:ind w:left="0" w:firstLine="0"/>
        <w:rPr>
          <w:b/>
          <w:bCs/>
        </w:rPr>
      </w:pPr>
    </w:p>
    <w:p w:rsidR="000F025A" w:rsidRDefault="000F025A" w:rsidP="000F025A">
      <w:pPr>
        <w:tabs>
          <w:tab w:val="clear" w:pos="-1440"/>
        </w:tabs>
        <w:spacing w:line="240" w:lineRule="auto"/>
        <w:ind w:left="0" w:firstLine="0"/>
        <w:rPr>
          <w:b/>
          <w:bCs/>
        </w:rPr>
      </w:pPr>
    </w:p>
    <w:p w:rsidR="00503B1B" w:rsidRDefault="00503B1B" w:rsidP="000F025A">
      <w:pPr>
        <w:tabs>
          <w:tab w:val="clear" w:pos="-1440"/>
        </w:tabs>
        <w:spacing w:line="240" w:lineRule="auto"/>
        <w:ind w:left="0" w:firstLine="0"/>
        <w:rPr>
          <w:b/>
          <w:bCs/>
        </w:rPr>
      </w:pPr>
    </w:p>
    <w:p w:rsidR="00503B1B" w:rsidRPr="000F025A" w:rsidRDefault="00503B1B" w:rsidP="000F025A">
      <w:pPr>
        <w:tabs>
          <w:tab w:val="clear" w:pos="-1440"/>
        </w:tabs>
        <w:spacing w:line="240" w:lineRule="auto"/>
        <w:ind w:left="0" w:firstLine="0"/>
        <w:rPr>
          <w:b/>
          <w:bCs/>
        </w:rPr>
      </w:pPr>
    </w:p>
    <w:p w:rsidR="000F025A" w:rsidRPr="000F025A" w:rsidRDefault="000F025A" w:rsidP="000F025A">
      <w:pPr>
        <w:tabs>
          <w:tab w:val="clear" w:pos="-1440"/>
          <w:tab w:val="center" w:pos="4680"/>
        </w:tabs>
        <w:spacing w:line="240" w:lineRule="auto"/>
        <w:ind w:left="0" w:firstLine="0"/>
        <w:jc w:val="center"/>
        <w:rPr>
          <w:b/>
          <w:bCs/>
        </w:rPr>
      </w:pPr>
      <w:r w:rsidRPr="000F025A">
        <w:rPr>
          <w:b/>
          <w:bCs/>
        </w:rPr>
        <w:t>CROSS-ANSWERING TESTIMONY OF</w:t>
      </w:r>
    </w:p>
    <w:p w:rsidR="000F025A" w:rsidRPr="000F025A" w:rsidRDefault="000F025A" w:rsidP="000F025A">
      <w:pPr>
        <w:tabs>
          <w:tab w:val="clear" w:pos="-1440"/>
        </w:tabs>
        <w:spacing w:line="240" w:lineRule="auto"/>
        <w:ind w:left="0" w:firstLine="0"/>
        <w:jc w:val="center"/>
        <w:rPr>
          <w:b/>
          <w:bCs/>
        </w:rPr>
      </w:pPr>
    </w:p>
    <w:p w:rsidR="000F025A" w:rsidRPr="000F025A" w:rsidRDefault="000F025A" w:rsidP="000F025A">
      <w:pPr>
        <w:tabs>
          <w:tab w:val="clear" w:pos="-1440"/>
          <w:tab w:val="center" w:pos="4680"/>
        </w:tabs>
        <w:spacing w:line="240" w:lineRule="auto"/>
        <w:ind w:left="0" w:firstLine="0"/>
        <w:jc w:val="center"/>
        <w:rPr>
          <w:b/>
          <w:bCs/>
        </w:rPr>
      </w:pPr>
      <w:r>
        <w:rPr>
          <w:b/>
          <w:bCs/>
        </w:rPr>
        <w:t>Deborah J. Reynolds</w:t>
      </w:r>
    </w:p>
    <w:p w:rsidR="000F025A" w:rsidRPr="000F025A" w:rsidRDefault="000F025A" w:rsidP="000F025A">
      <w:pPr>
        <w:tabs>
          <w:tab w:val="clear" w:pos="-1440"/>
          <w:tab w:val="center" w:pos="4680"/>
        </w:tabs>
        <w:spacing w:line="240" w:lineRule="auto"/>
        <w:ind w:left="0" w:firstLine="0"/>
        <w:jc w:val="center"/>
        <w:rPr>
          <w:b/>
          <w:bCs/>
        </w:rPr>
      </w:pPr>
    </w:p>
    <w:p w:rsidR="000F025A" w:rsidRPr="000F025A" w:rsidRDefault="000F025A" w:rsidP="000F025A">
      <w:pPr>
        <w:tabs>
          <w:tab w:val="clear" w:pos="-1440"/>
          <w:tab w:val="center" w:pos="4680"/>
        </w:tabs>
        <w:spacing w:line="240" w:lineRule="auto"/>
        <w:ind w:left="0" w:firstLine="0"/>
        <w:jc w:val="center"/>
        <w:rPr>
          <w:b/>
          <w:bCs/>
        </w:rPr>
      </w:pPr>
      <w:r w:rsidRPr="000F025A">
        <w:rPr>
          <w:b/>
          <w:bCs/>
        </w:rPr>
        <w:t>STAFF OF</w:t>
      </w:r>
    </w:p>
    <w:p w:rsidR="000F025A" w:rsidRPr="000F025A" w:rsidRDefault="000F025A" w:rsidP="000F025A">
      <w:pPr>
        <w:tabs>
          <w:tab w:val="clear" w:pos="-1440"/>
          <w:tab w:val="center" w:pos="4680"/>
        </w:tabs>
        <w:spacing w:line="240" w:lineRule="auto"/>
        <w:ind w:left="0" w:firstLine="0"/>
        <w:jc w:val="center"/>
        <w:rPr>
          <w:b/>
          <w:bCs/>
        </w:rPr>
      </w:pPr>
      <w:smartTag w:uri="urn:schemas-microsoft-com:office:smarttags" w:element="place">
        <w:smartTag w:uri="urn:schemas-microsoft-com:office:smarttags" w:element="State">
          <w:r w:rsidRPr="000F025A">
            <w:rPr>
              <w:b/>
              <w:bCs/>
            </w:rPr>
            <w:t>WASHINGTON</w:t>
          </w:r>
        </w:smartTag>
      </w:smartTag>
      <w:r w:rsidRPr="000F025A">
        <w:rPr>
          <w:b/>
          <w:bCs/>
        </w:rPr>
        <w:t xml:space="preserve"> UTILITIES AND</w:t>
      </w:r>
    </w:p>
    <w:p w:rsidR="000F025A" w:rsidRPr="000F025A" w:rsidRDefault="000F025A" w:rsidP="000F025A">
      <w:pPr>
        <w:tabs>
          <w:tab w:val="clear" w:pos="-1440"/>
          <w:tab w:val="center" w:pos="4680"/>
        </w:tabs>
        <w:spacing w:line="240" w:lineRule="auto"/>
        <w:ind w:left="0" w:firstLine="0"/>
        <w:jc w:val="center"/>
        <w:rPr>
          <w:b/>
          <w:bCs/>
        </w:rPr>
      </w:pPr>
      <w:r w:rsidRPr="000F025A">
        <w:rPr>
          <w:b/>
          <w:bCs/>
        </w:rPr>
        <w:t>TRANSPORTATION COMMISSION</w:t>
      </w:r>
    </w:p>
    <w:p w:rsidR="000F025A" w:rsidRPr="000F025A" w:rsidRDefault="000F025A" w:rsidP="000F025A">
      <w:pPr>
        <w:tabs>
          <w:tab w:val="clear" w:pos="-1440"/>
        </w:tabs>
        <w:spacing w:line="240" w:lineRule="auto"/>
        <w:ind w:left="0" w:firstLine="0"/>
        <w:jc w:val="center"/>
        <w:rPr>
          <w:b/>
          <w:bCs/>
        </w:rPr>
      </w:pPr>
    </w:p>
    <w:p w:rsidR="000F025A" w:rsidRPr="000F025A" w:rsidRDefault="000F025A" w:rsidP="000F025A">
      <w:pPr>
        <w:tabs>
          <w:tab w:val="clear" w:pos="-1440"/>
        </w:tabs>
        <w:spacing w:line="240" w:lineRule="auto"/>
        <w:ind w:left="0" w:firstLine="0"/>
        <w:rPr>
          <w:b/>
          <w:bCs/>
        </w:rPr>
      </w:pPr>
    </w:p>
    <w:p w:rsidR="000F025A" w:rsidRPr="000F025A" w:rsidRDefault="00CC0444" w:rsidP="000F025A">
      <w:pPr>
        <w:tabs>
          <w:tab w:val="clear" w:pos="-1440"/>
        </w:tabs>
        <w:spacing w:line="240" w:lineRule="auto"/>
        <w:ind w:left="0" w:firstLine="0"/>
        <w:jc w:val="center"/>
        <w:rPr>
          <w:b/>
          <w:bCs/>
          <w:i/>
        </w:rPr>
      </w:pPr>
      <w:r>
        <w:rPr>
          <w:b/>
          <w:bCs/>
          <w:i/>
        </w:rPr>
        <w:t>Responding to the Decoupling Proposal of the NW Energy Coalition</w:t>
      </w:r>
    </w:p>
    <w:p w:rsidR="000F025A" w:rsidRPr="000F025A" w:rsidRDefault="000F025A" w:rsidP="000F025A">
      <w:pPr>
        <w:tabs>
          <w:tab w:val="clear" w:pos="-1440"/>
        </w:tabs>
        <w:spacing w:line="240" w:lineRule="auto"/>
        <w:ind w:left="0" w:firstLine="0"/>
        <w:rPr>
          <w:b/>
          <w:bCs/>
        </w:rPr>
      </w:pPr>
    </w:p>
    <w:p w:rsidR="000F025A" w:rsidRPr="000F025A" w:rsidRDefault="000F025A" w:rsidP="000F025A">
      <w:pPr>
        <w:tabs>
          <w:tab w:val="clear" w:pos="-1440"/>
        </w:tabs>
        <w:spacing w:line="240" w:lineRule="auto"/>
        <w:ind w:left="0" w:firstLine="0"/>
        <w:rPr>
          <w:b/>
          <w:bCs/>
        </w:rPr>
      </w:pPr>
    </w:p>
    <w:p w:rsidR="000F025A" w:rsidRPr="000F025A" w:rsidRDefault="000F025A" w:rsidP="000F025A">
      <w:pPr>
        <w:tabs>
          <w:tab w:val="clear" w:pos="-1440"/>
          <w:tab w:val="center" w:pos="4680"/>
        </w:tabs>
        <w:spacing w:line="240" w:lineRule="auto"/>
        <w:ind w:left="0" w:firstLine="0"/>
        <w:jc w:val="center"/>
        <w:rPr>
          <w:b/>
          <w:bCs/>
        </w:rPr>
      </w:pPr>
      <w:r w:rsidRPr="000F025A">
        <w:rPr>
          <w:b/>
          <w:bCs/>
        </w:rPr>
        <w:t>January 17, 2012</w:t>
      </w:r>
    </w:p>
    <w:p w:rsidR="000F025A" w:rsidRDefault="000F025A" w:rsidP="000F025A">
      <w:pPr>
        <w:spacing w:line="240" w:lineRule="auto"/>
        <w:ind w:left="0" w:firstLine="0"/>
      </w:pPr>
    </w:p>
    <w:p w:rsidR="000F025A" w:rsidRDefault="000F025A" w:rsidP="000F025A">
      <w:pPr>
        <w:ind w:left="0" w:firstLine="0"/>
      </w:pPr>
    </w:p>
    <w:p w:rsidR="000F025A" w:rsidRPr="000F025A" w:rsidRDefault="000F025A" w:rsidP="000F025A">
      <w:pPr>
        <w:ind w:left="0" w:firstLine="0"/>
        <w:sectPr w:rsidR="000F025A" w:rsidRPr="000F025A" w:rsidSect="000F025A">
          <w:footerReference w:type="default" r:id="rId9"/>
          <w:pgSz w:w="12240" w:h="15840"/>
          <w:pgMar w:top="1440" w:right="1440" w:bottom="1440" w:left="1872" w:header="720" w:footer="720" w:gutter="0"/>
          <w:cols w:space="720"/>
          <w:docGrid w:linePitch="360"/>
        </w:sectPr>
      </w:pPr>
    </w:p>
    <w:p w:rsidR="000704BF" w:rsidRDefault="000704BF" w:rsidP="000F025A">
      <w:pPr>
        <w:pStyle w:val="TOC1"/>
      </w:pPr>
      <w:r w:rsidRPr="000F025A">
        <w:lastRenderedPageBreak/>
        <w:t>TABLE OF CONTENTS</w:t>
      </w:r>
    </w:p>
    <w:p w:rsidR="000F025A" w:rsidRDefault="000F025A" w:rsidP="000F025A">
      <w:pPr>
        <w:spacing w:line="240" w:lineRule="auto"/>
      </w:pPr>
    </w:p>
    <w:p w:rsidR="000F025A" w:rsidRDefault="000F025A" w:rsidP="000F025A">
      <w:pPr>
        <w:tabs>
          <w:tab w:val="left" w:pos="720"/>
          <w:tab w:val="left" w:pos="1440"/>
          <w:tab w:val="left" w:pos="2160"/>
          <w:tab w:val="left" w:pos="2880"/>
          <w:tab w:val="right" w:leader="dot" w:pos="8820"/>
        </w:tabs>
        <w:spacing w:line="240" w:lineRule="auto"/>
        <w:ind w:left="0" w:firstLine="0"/>
      </w:pPr>
      <w:r>
        <w:t>I.</w:t>
      </w:r>
      <w:r>
        <w:tab/>
        <w:t xml:space="preserve">INTRODUCTION AND PURPOSE OF TESTIMONY </w:t>
      </w:r>
      <w:r>
        <w:tab/>
        <w:t>1</w:t>
      </w:r>
    </w:p>
    <w:p w:rsidR="000F025A" w:rsidRDefault="000F025A" w:rsidP="000F025A">
      <w:pPr>
        <w:tabs>
          <w:tab w:val="left" w:pos="720"/>
          <w:tab w:val="left" w:pos="1440"/>
          <w:tab w:val="left" w:pos="2160"/>
          <w:tab w:val="left" w:pos="2880"/>
          <w:tab w:val="right" w:leader="dot" w:pos="8820"/>
        </w:tabs>
        <w:spacing w:line="240" w:lineRule="auto"/>
        <w:ind w:left="0" w:firstLine="0"/>
      </w:pPr>
    </w:p>
    <w:p w:rsidR="000F025A" w:rsidRDefault="000F025A" w:rsidP="000F025A">
      <w:pPr>
        <w:tabs>
          <w:tab w:val="left" w:pos="720"/>
          <w:tab w:val="left" w:pos="1440"/>
          <w:tab w:val="left" w:pos="2160"/>
          <w:tab w:val="left" w:pos="2880"/>
          <w:tab w:val="right" w:leader="dot" w:pos="8820"/>
        </w:tabs>
        <w:spacing w:line="240" w:lineRule="auto"/>
        <w:ind w:left="0" w:firstLine="0"/>
      </w:pPr>
      <w:r>
        <w:t>II.</w:t>
      </w:r>
      <w:r>
        <w:tab/>
        <w:t xml:space="preserve">NWEC’S DECOUPLING PROPOSAL </w:t>
      </w:r>
      <w:r>
        <w:tab/>
      </w:r>
      <w:r w:rsidR="00A91CF2">
        <w:t>2</w:t>
      </w:r>
    </w:p>
    <w:p w:rsidR="00503B1B" w:rsidRDefault="00503B1B" w:rsidP="000F025A">
      <w:pPr>
        <w:tabs>
          <w:tab w:val="left" w:pos="720"/>
          <w:tab w:val="left" w:pos="1440"/>
          <w:tab w:val="left" w:pos="2160"/>
          <w:tab w:val="left" w:pos="2880"/>
          <w:tab w:val="right" w:leader="dot" w:pos="8820"/>
        </w:tabs>
        <w:spacing w:line="240" w:lineRule="auto"/>
        <w:ind w:left="0" w:firstLine="0"/>
      </w:pPr>
    </w:p>
    <w:p w:rsidR="00503B1B" w:rsidRDefault="00503B1B" w:rsidP="000F025A">
      <w:pPr>
        <w:tabs>
          <w:tab w:val="left" w:pos="720"/>
          <w:tab w:val="left" w:pos="1440"/>
          <w:tab w:val="left" w:pos="2160"/>
          <w:tab w:val="left" w:pos="2880"/>
          <w:tab w:val="right" w:leader="dot" w:pos="8820"/>
        </w:tabs>
        <w:spacing w:line="240" w:lineRule="auto"/>
        <w:ind w:left="0" w:firstLine="0"/>
      </w:pPr>
      <w:r>
        <w:tab/>
        <w:t>A.</w:t>
      </w:r>
      <w:r>
        <w:tab/>
        <w:t xml:space="preserve">NWEC’s Proposal is Not Applied to All Customer Classes </w:t>
      </w:r>
      <w:r>
        <w:tab/>
      </w:r>
      <w:r w:rsidR="00A91CF2">
        <w:t>4</w:t>
      </w:r>
    </w:p>
    <w:p w:rsidR="00503B1B" w:rsidRDefault="00503B1B" w:rsidP="000F025A">
      <w:pPr>
        <w:tabs>
          <w:tab w:val="left" w:pos="720"/>
          <w:tab w:val="left" w:pos="1440"/>
          <w:tab w:val="left" w:pos="2160"/>
          <w:tab w:val="left" w:pos="2880"/>
          <w:tab w:val="right" w:leader="dot" w:pos="8820"/>
        </w:tabs>
        <w:spacing w:line="240" w:lineRule="auto"/>
        <w:ind w:left="0" w:firstLine="0"/>
      </w:pPr>
    </w:p>
    <w:p w:rsidR="00503B1B" w:rsidRDefault="00503B1B" w:rsidP="000F025A">
      <w:pPr>
        <w:tabs>
          <w:tab w:val="left" w:pos="720"/>
          <w:tab w:val="left" w:pos="1440"/>
          <w:tab w:val="left" w:pos="2160"/>
          <w:tab w:val="left" w:pos="2880"/>
          <w:tab w:val="right" w:leader="dot" w:pos="8820"/>
        </w:tabs>
        <w:spacing w:line="240" w:lineRule="auto"/>
        <w:ind w:left="0" w:firstLine="0"/>
      </w:pPr>
      <w:r>
        <w:tab/>
        <w:t>B.</w:t>
      </w:r>
      <w:r>
        <w:tab/>
        <w:t xml:space="preserve">NWEC’s Proposal Excludes the Impact of Decoupling on the </w:t>
      </w:r>
    </w:p>
    <w:p w:rsidR="00503B1B" w:rsidRDefault="00503B1B" w:rsidP="000F025A">
      <w:pPr>
        <w:tabs>
          <w:tab w:val="left" w:pos="720"/>
          <w:tab w:val="left" w:pos="1440"/>
          <w:tab w:val="left" w:pos="2160"/>
          <w:tab w:val="left" w:pos="2880"/>
          <w:tab w:val="right" w:leader="dot" w:pos="8820"/>
        </w:tabs>
        <w:spacing w:line="240" w:lineRule="auto"/>
        <w:ind w:left="0" w:firstLine="0"/>
      </w:pPr>
      <w:r>
        <w:tab/>
      </w:r>
      <w:r>
        <w:tab/>
        <w:t xml:space="preserve">Rate of Return </w:t>
      </w:r>
      <w:r>
        <w:tab/>
      </w:r>
      <w:r w:rsidR="00A91CF2">
        <w:t>6</w:t>
      </w:r>
    </w:p>
    <w:p w:rsidR="00A91CF2" w:rsidRDefault="00A91CF2" w:rsidP="000F025A">
      <w:pPr>
        <w:tabs>
          <w:tab w:val="left" w:pos="720"/>
          <w:tab w:val="left" w:pos="1440"/>
          <w:tab w:val="left" w:pos="2160"/>
          <w:tab w:val="left" w:pos="2880"/>
          <w:tab w:val="right" w:leader="dot" w:pos="8820"/>
        </w:tabs>
        <w:spacing w:line="240" w:lineRule="auto"/>
        <w:ind w:left="0" w:firstLine="0"/>
      </w:pPr>
    </w:p>
    <w:p w:rsidR="00503B1B" w:rsidRDefault="00503B1B" w:rsidP="000F025A">
      <w:pPr>
        <w:tabs>
          <w:tab w:val="left" w:pos="720"/>
          <w:tab w:val="left" w:pos="1440"/>
          <w:tab w:val="left" w:pos="2160"/>
          <w:tab w:val="left" w:pos="2880"/>
          <w:tab w:val="right" w:leader="dot" w:pos="8820"/>
        </w:tabs>
        <w:spacing w:line="240" w:lineRule="auto"/>
        <w:ind w:left="0" w:firstLine="0"/>
      </w:pPr>
      <w:r>
        <w:tab/>
        <w:t>C.</w:t>
      </w:r>
      <w:r>
        <w:tab/>
        <w:t>NWEC’s Proposal Does Not Condition Recovery on Conservation</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Achievement </w:t>
      </w:r>
      <w:r>
        <w:tab/>
      </w:r>
      <w:r w:rsidR="000D275A">
        <w:t>10</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r>
        <w:tab/>
        <w:t>D.</w:t>
      </w:r>
      <w:r>
        <w:tab/>
        <w:t xml:space="preserve">NWEC’s Proposal Does Not Identify Comparable Conservation </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Benefits to Low-Income Customers </w:t>
      </w:r>
      <w:r>
        <w:tab/>
      </w:r>
      <w:r w:rsidR="000D275A">
        <w:t>11</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r>
        <w:tab/>
        <w:t>E.</w:t>
      </w:r>
      <w:r>
        <w:tab/>
        <w:t xml:space="preserve">NWEC’s Proposal Does Not Describe Incremental Conservation </w:t>
      </w:r>
      <w:r>
        <w:tab/>
      </w:r>
      <w:r w:rsidR="000D275A">
        <w:t>12</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r>
        <w:tab/>
        <w:t>F.</w:t>
      </w:r>
      <w:r>
        <w:tab/>
        <w:t xml:space="preserve">NWEC’s Proposal Does Not Account for the Net Benefits of </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Off-System Sales and Costs Avoided Due to the Utility’s </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Conservation Efforts </w:t>
      </w:r>
      <w:r>
        <w:tab/>
      </w:r>
      <w:r w:rsidR="000D275A">
        <w:t>13</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r>
        <w:t>III.</w:t>
      </w:r>
      <w:r>
        <w:tab/>
        <w:t xml:space="preserve">THE ENERGY PROJECT LOW INCOME PROPOSAL </w:t>
      </w:r>
      <w:r>
        <w:tab/>
      </w:r>
      <w:r w:rsidR="000D275A">
        <w:t>18</w:t>
      </w:r>
    </w:p>
    <w:p w:rsidR="00503B1B" w:rsidRDefault="00503B1B" w:rsidP="00503B1B">
      <w:pPr>
        <w:tabs>
          <w:tab w:val="left" w:pos="720"/>
          <w:tab w:val="left" w:pos="1440"/>
          <w:tab w:val="left" w:pos="2160"/>
          <w:tab w:val="right" w:leader="dot" w:pos="8820"/>
        </w:tabs>
        <w:spacing w:line="240" w:lineRule="auto"/>
        <w:ind w:left="0" w:firstLine="0"/>
      </w:pPr>
    </w:p>
    <w:p w:rsidR="000704BF" w:rsidRDefault="000704BF" w:rsidP="00503B1B">
      <w:pPr>
        <w:ind w:left="0" w:firstLine="0"/>
      </w:pPr>
    </w:p>
    <w:p w:rsidR="000F025A" w:rsidRDefault="000F025A" w:rsidP="000F025A"/>
    <w:p w:rsidR="000F025A" w:rsidRDefault="000F025A" w:rsidP="000F025A">
      <w:pPr>
        <w:ind w:left="0" w:firstLine="0"/>
        <w:sectPr w:rsidR="000F025A" w:rsidSect="00503B1B">
          <w:footerReference w:type="default" r:id="rId10"/>
          <w:pgSz w:w="12240" w:h="15840"/>
          <w:pgMar w:top="1440" w:right="1440" w:bottom="1440" w:left="1872" w:header="720" w:footer="720" w:gutter="0"/>
          <w:pgNumType w:fmt="lowerRoman" w:start="1"/>
          <w:cols w:space="720"/>
          <w:docGrid w:linePitch="360"/>
        </w:sectPr>
      </w:pPr>
    </w:p>
    <w:p w:rsidR="00CD54E2" w:rsidRPr="002F09C6" w:rsidRDefault="00CD54E2" w:rsidP="00617FB7">
      <w:pPr>
        <w:pStyle w:val="Heading1"/>
        <w:keepNext w:val="0"/>
        <w:keepLines w:val="0"/>
        <w:numPr>
          <w:ilvl w:val="0"/>
          <w:numId w:val="1"/>
        </w:numPr>
        <w:spacing w:before="0"/>
        <w:ind w:left="0" w:firstLine="0"/>
        <w:jc w:val="center"/>
        <w:rPr>
          <w:rFonts w:ascii="Times New Roman" w:hAnsi="Times New Roman" w:cs="Times New Roman"/>
          <w:color w:val="auto"/>
          <w:sz w:val="24"/>
          <w:szCs w:val="24"/>
        </w:rPr>
      </w:pPr>
      <w:bookmarkStart w:id="0" w:name="_Toc314559020"/>
      <w:r w:rsidRPr="002F09C6">
        <w:rPr>
          <w:rFonts w:ascii="Times New Roman" w:hAnsi="Times New Roman" w:cs="Times New Roman"/>
          <w:color w:val="auto"/>
          <w:sz w:val="24"/>
          <w:szCs w:val="24"/>
        </w:rPr>
        <w:lastRenderedPageBreak/>
        <w:t>INTRODUCTION AND PURPOSE OF TESTIMONY</w:t>
      </w:r>
      <w:bookmarkEnd w:id="0"/>
    </w:p>
    <w:p w:rsidR="002F09C6" w:rsidRPr="002F09C6" w:rsidRDefault="002F09C6" w:rsidP="002F09C6"/>
    <w:p w:rsidR="00CD54E2" w:rsidRPr="00CD54E2" w:rsidRDefault="00CD54E2" w:rsidP="00C411A1">
      <w:pPr>
        <w:pStyle w:val="Heading3"/>
      </w:pPr>
      <w:r w:rsidRPr="00CD54E2">
        <w:t>Q.</w:t>
      </w:r>
      <w:r w:rsidRPr="00CD54E2">
        <w:tab/>
        <w:t>Please state your na</w:t>
      </w:r>
      <w:r>
        <w:t xml:space="preserve">me, </w:t>
      </w:r>
      <w:r w:rsidRPr="00CD54E2">
        <w:t>business address</w:t>
      </w:r>
      <w:r>
        <w:t>, and position of employment</w:t>
      </w:r>
      <w:r w:rsidRPr="00CD54E2">
        <w:t>.</w:t>
      </w:r>
    </w:p>
    <w:p w:rsidR="00CD54E2" w:rsidRDefault="00CD54E2" w:rsidP="00CD54E2">
      <w:r>
        <w:t>A.</w:t>
      </w:r>
      <w:r>
        <w:tab/>
        <w:t xml:space="preserve">My name is Deborah </w:t>
      </w:r>
      <w:r w:rsidR="00EC45FD">
        <w:t>J</w:t>
      </w:r>
      <w:r>
        <w:t xml:space="preserve">. Reynolds.  My business address is the Richard Hemstad Building, 1300 S. Evergreen Park Dr. SW, Olympia, Washington 98504.  I am employed </w:t>
      </w:r>
      <w:r w:rsidR="002F09C6">
        <w:t xml:space="preserve">by the Washington Utilities and Transportation Commission </w:t>
      </w:r>
      <w:r>
        <w:t>as a Regulatory Analyst.</w:t>
      </w:r>
    </w:p>
    <w:p w:rsidR="00CD54E2" w:rsidRDefault="00CD54E2" w:rsidP="00CD54E2"/>
    <w:p w:rsidR="00CD54E2" w:rsidRPr="00CD54E2" w:rsidRDefault="00CD54E2" w:rsidP="00CB7FAC">
      <w:pPr>
        <w:pStyle w:val="Heading3"/>
      </w:pPr>
      <w:r w:rsidRPr="00CD54E2">
        <w:t>Q.</w:t>
      </w:r>
      <w:r w:rsidRPr="00CD54E2">
        <w:tab/>
        <w:t>Have you previously filed testimony in this proceeding?</w:t>
      </w:r>
    </w:p>
    <w:p w:rsidR="00CD54E2" w:rsidRDefault="00CD54E2" w:rsidP="00CD54E2">
      <w:r>
        <w:t>A.</w:t>
      </w:r>
      <w:r>
        <w:tab/>
        <w:t xml:space="preserve">Yes.  On December 7, 2011, I filed testimony on behalf of Commission Staff with regard </w:t>
      </w:r>
      <w:r w:rsidR="008E585B">
        <w:t xml:space="preserve">to electric rate </w:t>
      </w:r>
      <w:r w:rsidR="008324B6">
        <w:t>spread</w:t>
      </w:r>
      <w:r>
        <w:t xml:space="preserve"> and design, and the proposal of Puget Sound Energy, Inc. (“PSE” or the “Company”) for a Conservation Savings Adjustment.  </w:t>
      </w:r>
      <w:r w:rsidR="0076172D">
        <w:t xml:space="preserve">On the same day, </w:t>
      </w:r>
      <w:r>
        <w:t xml:space="preserve">Staff </w:t>
      </w:r>
      <w:r w:rsidR="0076172D">
        <w:t xml:space="preserve">filed its </w:t>
      </w:r>
      <w:r>
        <w:t>response to the Commission’s Bench Request on decoupling.</w:t>
      </w:r>
    </w:p>
    <w:p w:rsidR="00CD54E2" w:rsidRPr="008E585B" w:rsidRDefault="00CD54E2" w:rsidP="00CD54E2">
      <w:pPr>
        <w:rPr>
          <w:b/>
        </w:rPr>
      </w:pPr>
    </w:p>
    <w:p w:rsidR="00CD54E2" w:rsidRPr="008E585B" w:rsidRDefault="00CD54E2" w:rsidP="00CB7FAC">
      <w:pPr>
        <w:pStyle w:val="Heading3"/>
      </w:pPr>
      <w:r w:rsidRPr="008E585B">
        <w:t>Q.</w:t>
      </w:r>
      <w:r w:rsidRPr="008E585B">
        <w:tab/>
        <w:t>What is the purpose of your cross-answering testimony in this proceeding?</w:t>
      </w:r>
    </w:p>
    <w:p w:rsidR="00CD54E2" w:rsidRDefault="00CD54E2" w:rsidP="00CD54E2">
      <w:r>
        <w:t>A.</w:t>
      </w:r>
      <w:r>
        <w:tab/>
        <w:t xml:space="preserve">My cross-answering testimony serves two purposes. First, </w:t>
      </w:r>
      <w:r w:rsidR="008E585B">
        <w:t xml:space="preserve">in Section II, </w:t>
      </w:r>
      <w:r>
        <w:t xml:space="preserve">I respond to the </w:t>
      </w:r>
      <w:r w:rsidR="00ED2025">
        <w:t xml:space="preserve">full </w:t>
      </w:r>
      <w:r>
        <w:t xml:space="preserve">decoupling proposal </w:t>
      </w:r>
      <w:r w:rsidR="0076172D">
        <w:t xml:space="preserve">of </w:t>
      </w:r>
      <w:r>
        <w:t>the NW Energy Coalition</w:t>
      </w:r>
      <w:r w:rsidR="0076172D">
        <w:t>, presented by Mr. Ralph Cavanagh</w:t>
      </w:r>
      <w:r w:rsidR="008E585B">
        <w:t>.  Second, in Section III, I respond to the low income funding proposal offered by Mr.</w:t>
      </w:r>
      <w:r w:rsidR="00ED2025">
        <w:t xml:space="preserve"> John Howat</w:t>
      </w:r>
      <w:r w:rsidR="008E585B">
        <w:t xml:space="preserve"> on behalf of </w:t>
      </w:r>
      <w:r w:rsidR="0076172D">
        <w:t>T</w:t>
      </w:r>
      <w:r w:rsidR="008E585B">
        <w:t>he Energy Project.</w:t>
      </w:r>
    </w:p>
    <w:p w:rsidR="008E585B" w:rsidRDefault="008E585B" w:rsidP="00CD54E2"/>
    <w:p w:rsidR="008E585B" w:rsidRPr="008E585B" w:rsidRDefault="008E585B" w:rsidP="000F025A">
      <w:pPr>
        <w:pStyle w:val="Heading3"/>
        <w:keepNext/>
      </w:pPr>
      <w:r w:rsidRPr="008E585B">
        <w:lastRenderedPageBreak/>
        <w:t>Q.</w:t>
      </w:r>
      <w:r w:rsidRPr="008E585B">
        <w:tab/>
        <w:t xml:space="preserve">Please summarize </w:t>
      </w:r>
      <w:r w:rsidR="002F09C6">
        <w:t>Staff’s</w:t>
      </w:r>
      <w:r w:rsidRPr="008E585B">
        <w:t xml:space="preserve"> response to Mr. Cavanagh’s decoupling proposal.</w:t>
      </w:r>
    </w:p>
    <w:p w:rsidR="008E585B" w:rsidRDefault="008E585B" w:rsidP="00CD54E2">
      <w:r>
        <w:t xml:space="preserve">A. </w:t>
      </w:r>
      <w:r>
        <w:tab/>
      </w:r>
      <w:r w:rsidR="002F09C6">
        <w:t>PSE alleges that it is experiencing attrition due to growth in expenses that are out-pacing growth in revenue.  A decoupling mechanism will not address that phenomenon, as Mr. Cavanagh concedes.</w:t>
      </w:r>
      <w:r w:rsidR="002F09C6">
        <w:rPr>
          <w:rStyle w:val="FootnoteReference"/>
        </w:rPr>
        <w:footnoteReference w:id="2"/>
      </w:r>
      <w:r w:rsidR="002F09C6">
        <w:t xml:space="preserve">  Staff recommends an attrition adjustment as the best way to deal with this issue.</w:t>
      </w:r>
      <w:r w:rsidR="002F09C6">
        <w:rPr>
          <w:rStyle w:val="FootnoteReference"/>
        </w:rPr>
        <w:footnoteReference w:id="3"/>
      </w:r>
      <w:r w:rsidR="002F09C6">
        <w:t xml:space="preserve">  </w:t>
      </w:r>
      <w:r>
        <w:t xml:space="preserve">The Commission should </w:t>
      </w:r>
      <w:r w:rsidR="002F09C6">
        <w:t xml:space="preserve">also </w:t>
      </w:r>
      <w:r>
        <w:t>reject Mr. Cavanagh’s decoupling proposal</w:t>
      </w:r>
      <w:r w:rsidR="0076172D">
        <w:t xml:space="preserve"> because it </w:t>
      </w:r>
      <w:r w:rsidR="00446C14">
        <w:t xml:space="preserve">does not comply with the Commission’s </w:t>
      </w:r>
      <w:r w:rsidR="008308F1">
        <w:t xml:space="preserve">Decoupling </w:t>
      </w:r>
      <w:r w:rsidR="00446C14">
        <w:t>Policy Statement.</w:t>
      </w:r>
      <w:r w:rsidR="00F83AD8">
        <w:rPr>
          <w:rStyle w:val="FootnoteReference"/>
        </w:rPr>
        <w:footnoteReference w:id="4"/>
      </w:r>
      <w:r w:rsidR="008308F1" w:rsidRPr="008308F1">
        <w:t xml:space="preserve"> </w:t>
      </w:r>
      <w:r w:rsidR="008308F1">
        <w:t xml:space="preserve"> </w:t>
      </w:r>
    </w:p>
    <w:p w:rsidR="008E585B" w:rsidRPr="008E585B" w:rsidRDefault="008E585B" w:rsidP="00CD54E2">
      <w:pPr>
        <w:rPr>
          <w:b/>
        </w:rPr>
      </w:pPr>
    </w:p>
    <w:p w:rsidR="008E585B" w:rsidRPr="008E585B" w:rsidRDefault="008E585B" w:rsidP="00CB7FAC">
      <w:pPr>
        <w:pStyle w:val="Heading3"/>
      </w:pPr>
      <w:r w:rsidRPr="008E585B">
        <w:t>Q.</w:t>
      </w:r>
      <w:r w:rsidRPr="008E585B">
        <w:tab/>
        <w:t xml:space="preserve">Please summarize your response to </w:t>
      </w:r>
      <w:r w:rsidR="0076172D">
        <w:t>T</w:t>
      </w:r>
      <w:r w:rsidRPr="008E585B">
        <w:t>he Energy Project’s proposal on low income funding.</w:t>
      </w:r>
    </w:p>
    <w:p w:rsidR="008E585B" w:rsidRPr="00CD54E2" w:rsidRDefault="008E585B" w:rsidP="00CD54E2">
      <w:r>
        <w:t>A.</w:t>
      </w:r>
      <w:r>
        <w:tab/>
        <w:t xml:space="preserve">The Energy Project </w:t>
      </w:r>
      <w:r w:rsidR="004161DE">
        <w:t xml:space="preserve">asks </w:t>
      </w:r>
      <w:r w:rsidR="001A5508">
        <w:t>the Com</w:t>
      </w:r>
      <w:r w:rsidR="0076172D">
        <w:t xml:space="preserve">mission </w:t>
      </w:r>
      <w:r w:rsidR="004161DE">
        <w:t xml:space="preserve">to </w:t>
      </w:r>
      <w:r w:rsidR="0076172D">
        <w:t xml:space="preserve">order PSE </w:t>
      </w:r>
      <w:r w:rsidR="001A5508">
        <w:t xml:space="preserve">to increase its funding level for low-income </w:t>
      </w:r>
      <w:r w:rsidR="004161DE">
        <w:t xml:space="preserve">assistance </w:t>
      </w:r>
      <w:r w:rsidR="001A5508">
        <w:t>from .51 percent to .665 percent of total Company annual operating revenues.  Th</w:t>
      </w:r>
      <w:r w:rsidR="0076172D">
        <w:t>is</w:t>
      </w:r>
      <w:r w:rsidR="001A5508">
        <w:t xml:space="preserve"> proposal appears reasonable in this case and, therefore, Staff</w:t>
      </w:r>
      <w:r w:rsidR="0076172D">
        <w:t xml:space="preserve"> supports it</w:t>
      </w:r>
      <w:r w:rsidR="001A5508">
        <w:t xml:space="preserve">.  However, </w:t>
      </w:r>
      <w:r w:rsidR="00446C14">
        <w:t xml:space="preserve">any future </w:t>
      </w:r>
      <w:r w:rsidR="001A5508">
        <w:t xml:space="preserve">proposals to increase </w:t>
      </w:r>
      <w:r w:rsidR="004161DE">
        <w:t xml:space="preserve">low income assistance </w:t>
      </w:r>
      <w:r w:rsidR="001A5508">
        <w:t xml:space="preserve">funding should include more detailed </w:t>
      </w:r>
      <w:r w:rsidR="0076172D">
        <w:t xml:space="preserve">supporting </w:t>
      </w:r>
      <w:r w:rsidR="001A5508">
        <w:t>analysis</w:t>
      </w:r>
      <w:r>
        <w:t>.</w:t>
      </w:r>
      <w:r w:rsidR="00446C14">
        <w:t xml:space="preserve">  </w:t>
      </w:r>
    </w:p>
    <w:p w:rsidR="00CD54E2" w:rsidRPr="00CD54E2" w:rsidRDefault="00CD54E2" w:rsidP="00AA0A52"/>
    <w:p w:rsidR="00617FB7" w:rsidRPr="002F09C6" w:rsidRDefault="00617FB7" w:rsidP="00617FB7">
      <w:pPr>
        <w:pStyle w:val="Heading1"/>
        <w:keepNext w:val="0"/>
        <w:keepLines w:val="0"/>
        <w:numPr>
          <w:ilvl w:val="0"/>
          <w:numId w:val="1"/>
        </w:numPr>
        <w:spacing w:before="0"/>
        <w:ind w:left="0" w:firstLine="0"/>
        <w:jc w:val="center"/>
        <w:rPr>
          <w:rFonts w:ascii="Times New Roman" w:hAnsi="Times New Roman" w:cs="Times New Roman"/>
          <w:color w:val="auto"/>
          <w:sz w:val="24"/>
          <w:szCs w:val="24"/>
        </w:rPr>
      </w:pPr>
      <w:bookmarkStart w:id="1" w:name="_Toc314559021"/>
      <w:r w:rsidRPr="002F09C6">
        <w:rPr>
          <w:rFonts w:ascii="Times New Roman" w:hAnsi="Times New Roman" w:cs="Times New Roman"/>
          <w:color w:val="auto"/>
          <w:sz w:val="24"/>
          <w:szCs w:val="24"/>
        </w:rPr>
        <w:t>NWEC’S DECOUPLING PROPOSAL</w:t>
      </w:r>
      <w:bookmarkEnd w:id="1"/>
    </w:p>
    <w:p w:rsidR="009E549A" w:rsidRPr="001206C9" w:rsidRDefault="009E549A" w:rsidP="001206C9"/>
    <w:p w:rsidR="009E549A" w:rsidRDefault="00617FB7" w:rsidP="001206C9">
      <w:pPr>
        <w:pStyle w:val="Heading3"/>
      </w:pPr>
      <w:r>
        <w:t>Q.</w:t>
      </w:r>
      <w:r>
        <w:tab/>
        <w:t xml:space="preserve">Please generally describe NWEC’s decoupling proposal.  </w:t>
      </w:r>
    </w:p>
    <w:p w:rsidR="0076172D" w:rsidRDefault="00617FB7" w:rsidP="00617FB7">
      <w:r>
        <w:lastRenderedPageBreak/>
        <w:t>A.</w:t>
      </w:r>
      <w:r>
        <w:tab/>
        <w:t xml:space="preserve">NWEC proposes a full decoupling mechanism for PSE.  </w:t>
      </w:r>
      <w:r w:rsidR="00446C14">
        <w:t>PSE’s revenues would be based upon a revenue</w:t>
      </w:r>
      <w:r w:rsidR="00213C95">
        <w:t>-</w:t>
      </w:r>
      <w:r w:rsidR="00446C14">
        <w:t>per</w:t>
      </w:r>
      <w:r w:rsidR="00213C95">
        <w:t>-</w:t>
      </w:r>
      <w:r w:rsidR="00446C14">
        <w:t xml:space="preserve">customer (“RPC”) </w:t>
      </w:r>
      <w:r w:rsidR="0076172D">
        <w:t xml:space="preserve">value </w:t>
      </w:r>
      <w:r w:rsidR="00446C14">
        <w:t xml:space="preserve">for </w:t>
      </w:r>
      <w:r>
        <w:t xml:space="preserve">residential customers and </w:t>
      </w:r>
      <w:r w:rsidR="00F83AD8">
        <w:t>a combined</w:t>
      </w:r>
      <w:r>
        <w:t xml:space="preserve"> group of </w:t>
      </w:r>
      <w:r w:rsidR="00F83AD8">
        <w:t xml:space="preserve">commercial </w:t>
      </w:r>
      <w:r>
        <w:t>customers</w:t>
      </w:r>
      <w:r w:rsidR="0076172D">
        <w:t>.</w:t>
      </w:r>
      <w:r w:rsidR="00446C14">
        <w:rPr>
          <w:rStyle w:val="FootnoteReference"/>
        </w:rPr>
        <w:footnoteReference w:id="5"/>
      </w:r>
      <w:r w:rsidR="00446C14">
        <w:t xml:space="preserve">  Each group </w:t>
      </w:r>
      <w:r>
        <w:t xml:space="preserve">would have separate </w:t>
      </w:r>
      <w:r w:rsidR="002366EF">
        <w:t>RPC</w:t>
      </w:r>
      <w:r>
        <w:t xml:space="preserve"> </w:t>
      </w:r>
      <w:r w:rsidR="0076172D">
        <w:t xml:space="preserve">amounts.  </w:t>
      </w:r>
    </w:p>
    <w:p w:rsidR="0076172D" w:rsidRDefault="0076172D" w:rsidP="00617FB7">
      <w:r>
        <w:tab/>
      </w:r>
      <w:r>
        <w:tab/>
        <w:t xml:space="preserve">The </w:t>
      </w:r>
      <w:r w:rsidR="004161DE">
        <w:t>propos</w:t>
      </w:r>
      <w:r w:rsidR="002F09C6">
        <w:t xml:space="preserve">al </w:t>
      </w:r>
      <w:r w:rsidR="00617FB7">
        <w:t xml:space="preserve">would </w:t>
      </w:r>
      <w:r>
        <w:t xml:space="preserve">guarantee </w:t>
      </w:r>
      <w:r w:rsidR="00617FB7">
        <w:t xml:space="preserve">PSE would recover that </w:t>
      </w:r>
      <w:r w:rsidR="004161DE">
        <w:t xml:space="preserve">RPC </w:t>
      </w:r>
      <w:r>
        <w:t>through a deferred accounting and true-up process</w:t>
      </w:r>
      <w:r w:rsidR="00617FB7">
        <w:t>.  The true-ups</w:t>
      </w:r>
      <w:r>
        <w:t xml:space="preserve"> of actual revenue to the </w:t>
      </w:r>
      <w:r w:rsidR="002F09C6">
        <w:t xml:space="preserve">RPC </w:t>
      </w:r>
      <w:r>
        <w:t>level would occur annually</w:t>
      </w:r>
      <w:r w:rsidR="00617FB7">
        <w:t xml:space="preserve">, subject to a three percent rate increase cap.  PSE would defer any amount above the cap and recover it in later annual </w:t>
      </w:r>
      <w:r w:rsidR="00446C14">
        <w:t>rate changes</w:t>
      </w:r>
      <w:r w:rsidR="00617FB7">
        <w:t xml:space="preserve">.  </w:t>
      </w:r>
    </w:p>
    <w:p w:rsidR="00617FB7" w:rsidRDefault="0076172D" w:rsidP="00617FB7">
      <w:r>
        <w:tab/>
      </w:r>
      <w:r>
        <w:tab/>
      </w:r>
      <w:r w:rsidR="00617FB7">
        <w:t>NWEC</w:t>
      </w:r>
      <w:r w:rsidR="00446C14">
        <w:t xml:space="preserve"> proposes that the</w:t>
      </w:r>
      <w:r w:rsidR="00617FB7">
        <w:t xml:space="preserve"> mechanism </w:t>
      </w:r>
      <w:r w:rsidR="00446C14">
        <w:t xml:space="preserve">run for </w:t>
      </w:r>
      <w:r>
        <w:t xml:space="preserve">at least </w:t>
      </w:r>
      <w:r w:rsidR="00213C95">
        <w:t>f</w:t>
      </w:r>
      <w:r w:rsidR="00617FB7">
        <w:t>ive year</w:t>
      </w:r>
      <w:r w:rsidR="003B3D07">
        <w:t>s</w:t>
      </w:r>
      <w:r>
        <w:t xml:space="preserve">, subject to a </w:t>
      </w:r>
      <w:r w:rsidR="00446C14">
        <w:t xml:space="preserve">future evaluation </w:t>
      </w:r>
      <w:r w:rsidR="00617FB7">
        <w:t xml:space="preserve">by an independent contractor.  </w:t>
      </w:r>
      <w:r w:rsidR="008C3E2A">
        <w:t xml:space="preserve">Finally, the </w:t>
      </w:r>
      <w:r>
        <w:t xml:space="preserve">proposed </w:t>
      </w:r>
      <w:r w:rsidR="008C3E2A">
        <w:t xml:space="preserve">mechanism requires annual reports by </w:t>
      </w:r>
      <w:r w:rsidR="00617FB7">
        <w:t xml:space="preserve">PSE </w:t>
      </w:r>
      <w:r w:rsidR="008C3E2A">
        <w:t>describing</w:t>
      </w:r>
      <w:r w:rsidR="00617FB7">
        <w:t xml:space="preserve"> its progress</w:t>
      </w:r>
      <w:r w:rsidR="00213C95">
        <w:t xml:space="preserve"> toward</w:t>
      </w:r>
      <w:r w:rsidR="00617FB7">
        <w:t xml:space="preserve"> conservation targets.</w:t>
      </w:r>
      <w:r w:rsidR="003B3D07">
        <w:rPr>
          <w:rStyle w:val="FootnoteReference"/>
        </w:rPr>
        <w:footnoteReference w:id="6"/>
      </w:r>
    </w:p>
    <w:p w:rsidR="00617FB7" w:rsidRDefault="00617FB7"/>
    <w:p w:rsidR="009E549A" w:rsidRDefault="00CE798F" w:rsidP="001206C9">
      <w:pPr>
        <w:pStyle w:val="Heading3"/>
      </w:pPr>
      <w:r>
        <w:t>Q.</w:t>
      </w:r>
      <w:r>
        <w:tab/>
        <w:t>Do</w:t>
      </w:r>
      <w:r w:rsidR="00D31A6A">
        <w:t xml:space="preserve">es Staff </w:t>
      </w:r>
      <w:r>
        <w:t xml:space="preserve">have </w:t>
      </w:r>
      <w:r w:rsidR="00D31A6A">
        <w:t xml:space="preserve">any </w:t>
      </w:r>
      <w:r>
        <w:t>general concerns about implementing</w:t>
      </w:r>
      <w:r w:rsidR="00213C95">
        <w:t xml:space="preserve"> NWEC’s</w:t>
      </w:r>
      <w:r>
        <w:t xml:space="preserve"> decoupling</w:t>
      </w:r>
      <w:r w:rsidR="00213C95">
        <w:t xml:space="preserve"> proposal</w:t>
      </w:r>
      <w:r>
        <w:t xml:space="preserve"> for PSE?</w:t>
      </w:r>
    </w:p>
    <w:p w:rsidR="0076172D" w:rsidRDefault="00CE798F" w:rsidP="007F129F">
      <w:r w:rsidRPr="00ED2025">
        <w:t>A.</w:t>
      </w:r>
      <w:r w:rsidRPr="00ED2025">
        <w:tab/>
        <w:t>Yes</w:t>
      </w:r>
      <w:r w:rsidR="00D31A6A" w:rsidRPr="00ED2025">
        <w:t xml:space="preserve">, Staff has </w:t>
      </w:r>
      <w:r w:rsidR="007F129F">
        <w:t>two</w:t>
      </w:r>
      <w:r w:rsidR="007F129F" w:rsidRPr="00ED2025">
        <w:t xml:space="preserve"> </w:t>
      </w:r>
      <w:r w:rsidR="00D31A6A" w:rsidRPr="00ED2025">
        <w:t xml:space="preserve">general concerns.  First, </w:t>
      </w:r>
      <w:r w:rsidR="00D31A6A">
        <w:t xml:space="preserve">PSE </w:t>
      </w:r>
      <w:r w:rsidR="00B831CD">
        <w:t>alleges it is experiencing attrition</w:t>
      </w:r>
      <w:r w:rsidR="001206C9">
        <w:t xml:space="preserve"> </w:t>
      </w:r>
      <w:r w:rsidR="00B831CD">
        <w:t>due to</w:t>
      </w:r>
      <w:r w:rsidR="00AB30F9">
        <w:t xml:space="preserve"> growth in expenses that are out-pacing growth in revenue. </w:t>
      </w:r>
      <w:r w:rsidR="009E549A">
        <w:t xml:space="preserve"> </w:t>
      </w:r>
      <w:r w:rsidR="0076172D">
        <w:t xml:space="preserve">As </w:t>
      </w:r>
      <w:r w:rsidR="00AB30F9">
        <w:t>Staff witness Ken Elgin</w:t>
      </w:r>
      <w:r w:rsidR="0076172D">
        <w:t xml:space="preserve"> explains, </w:t>
      </w:r>
      <w:r w:rsidR="00AB30F9">
        <w:t xml:space="preserve">an attrition adjustment </w:t>
      </w:r>
      <w:r w:rsidR="0076172D">
        <w:t xml:space="preserve">is </w:t>
      </w:r>
      <w:r w:rsidR="00AB30F9">
        <w:t>the best way to deal with th</w:t>
      </w:r>
      <w:r w:rsidR="00D31A6A">
        <w:t>is issue</w:t>
      </w:r>
      <w:r w:rsidR="0076172D">
        <w:t xml:space="preserve">, </w:t>
      </w:r>
      <w:r w:rsidR="002F09C6">
        <w:t xml:space="preserve">including </w:t>
      </w:r>
      <w:r w:rsidR="0076172D">
        <w:t>lost revenues due to conservation.</w:t>
      </w:r>
      <w:r w:rsidR="00B2591D">
        <w:rPr>
          <w:rStyle w:val="FootnoteReference"/>
        </w:rPr>
        <w:footnoteReference w:id="7"/>
      </w:r>
      <w:r w:rsidR="009E549A">
        <w:t xml:space="preserve">  </w:t>
      </w:r>
      <w:r w:rsidR="00D31A6A">
        <w:t xml:space="preserve">Mr. </w:t>
      </w:r>
      <w:r w:rsidR="00AB30F9">
        <w:t xml:space="preserve">Cavanagh </w:t>
      </w:r>
      <w:r w:rsidR="00D31A6A">
        <w:t xml:space="preserve">concedes </w:t>
      </w:r>
      <w:r w:rsidR="00AB30F9">
        <w:t xml:space="preserve">decoupling </w:t>
      </w:r>
      <w:r w:rsidR="0076172D">
        <w:t xml:space="preserve">does not </w:t>
      </w:r>
      <w:r w:rsidR="00D31A6A">
        <w:t xml:space="preserve">address </w:t>
      </w:r>
      <w:r w:rsidR="0076172D">
        <w:t>attrition</w:t>
      </w:r>
      <w:r w:rsidR="00D31A6A">
        <w:t>.</w:t>
      </w:r>
      <w:r w:rsidR="00864D9E">
        <w:rPr>
          <w:rStyle w:val="FootnoteReference"/>
        </w:rPr>
        <w:footnoteReference w:id="8"/>
      </w:r>
    </w:p>
    <w:p w:rsidR="008C3E2A" w:rsidRPr="00296766" w:rsidRDefault="0076172D" w:rsidP="00054A44">
      <w:r>
        <w:tab/>
      </w:r>
      <w:r>
        <w:tab/>
      </w:r>
      <w:r w:rsidR="007F129F">
        <w:t>Second</w:t>
      </w:r>
      <w:r w:rsidRPr="00CB0EB4">
        <w:t xml:space="preserve">, </w:t>
      </w:r>
      <w:r w:rsidR="00CB0EB4" w:rsidRPr="00CB0EB4">
        <w:t>t</w:t>
      </w:r>
      <w:r w:rsidRPr="00CB0EB4">
        <w:t xml:space="preserve">he NWEC proposal </w:t>
      </w:r>
      <w:r w:rsidR="007E150E" w:rsidRPr="00CB0EB4">
        <w:t>fails to comply with the most significant elements of the Decoupling Policy Statement</w:t>
      </w:r>
      <w:r w:rsidR="00CB0EB4" w:rsidRPr="00CB0EB4">
        <w:t>,</w:t>
      </w:r>
      <w:r w:rsidR="00CB0EB4">
        <w:t xml:space="preserve"> </w:t>
      </w:r>
      <w:r w:rsidR="00CB0EB4" w:rsidRPr="00CB0EB4">
        <w:t>namely</w:t>
      </w:r>
      <w:r w:rsidR="00CB0EB4">
        <w:t>:</w:t>
      </w:r>
      <w:r w:rsidR="008C3E2A" w:rsidRPr="00296766">
        <w:t xml:space="preserve">  </w:t>
      </w:r>
    </w:p>
    <w:p w:rsidR="008C3E2A" w:rsidRPr="008308F1" w:rsidRDefault="004161DE" w:rsidP="00D31489">
      <w:pPr>
        <w:pStyle w:val="ListParagraph"/>
        <w:numPr>
          <w:ilvl w:val="0"/>
          <w:numId w:val="11"/>
        </w:numPr>
        <w:spacing w:line="480" w:lineRule="auto"/>
      </w:pPr>
      <w:r>
        <w:lastRenderedPageBreak/>
        <w:t xml:space="preserve">it </w:t>
      </w:r>
      <w:r w:rsidR="008C3E2A" w:rsidRPr="008308F1">
        <w:t xml:space="preserve">is not appropriately applied to all customer classes; </w:t>
      </w:r>
    </w:p>
    <w:p w:rsidR="008C3E2A" w:rsidRPr="008308F1" w:rsidRDefault="008C3E2A" w:rsidP="00D31489">
      <w:pPr>
        <w:pStyle w:val="ListParagraph"/>
        <w:numPr>
          <w:ilvl w:val="0"/>
          <w:numId w:val="11"/>
        </w:numPr>
        <w:spacing w:line="480" w:lineRule="auto"/>
      </w:pPr>
      <w:r w:rsidRPr="008308F1">
        <w:t xml:space="preserve">it makes no reduction to cost of capital;  </w:t>
      </w:r>
    </w:p>
    <w:p w:rsidR="007F129F" w:rsidRDefault="008C3E2A" w:rsidP="00D31489">
      <w:pPr>
        <w:pStyle w:val="ListParagraph"/>
        <w:numPr>
          <w:ilvl w:val="0"/>
          <w:numId w:val="11"/>
        </w:numPr>
        <w:spacing w:line="480" w:lineRule="auto"/>
      </w:pPr>
      <w:r w:rsidRPr="008308F1">
        <w:t xml:space="preserve">it fails to condition </w:t>
      </w:r>
      <w:r w:rsidR="004161DE">
        <w:t>RPC</w:t>
      </w:r>
      <w:r w:rsidRPr="008308F1">
        <w:t xml:space="preserve"> recovery on achieving conservation targets; </w:t>
      </w:r>
    </w:p>
    <w:p w:rsidR="007F129F" w:rsidRDefault="007F129F" w:rsidP="00D31489">
      <w:pPr>
        <w:pStyle w:val="ListParagraph"/>
        <w:numPr>
          <w:ilvl w:val="0"/>
          <w:numId w:val="11"/>
        </w:numPr>
        <w:spacing w:line="480" w:lineRule="auto"/>
      </w:pPr>
      <w:r>
        <w:t xml:space="preserve">it does not </w:t>
      </w:r>
      <w:r w:rsidR="00B65840">
        <w:t>identify comparable</w:t>
      </w:r>
      <w:r>
        <w:t xml:space="preserve"> conservation benefits </w:t>
      </w:r>
      <w:r w:rsidR="00B65840">
        <w:t>for</w:t>
      </w:r>
      <w:r>
        <w:t xml:space="preserve"> low income customers; </w:t>
      </w:r>
    </w:p>
    <w:p w:rsidR="008C3E2A" w:rsidRPr="008308F1" w:rsidRDefault="007F129F" w:rsidP="00D31489">
      <w:pPr>
        <w:pStyle w:val="ListParagraph"/>
        <w:numPr>
          <w:ilvl w:val="0"/>
          <w:numId w:val="11"/>
        </w:numPr>
        <w:spacing w:line="480" w:lineRule="auto"/>
      </w:pPr>
      <w:r>
        <w:t xml:space="preserve">it does not describe the incremental conservation the </w:t>
      </w:r>
      <w:r w:rsidR="002F0871">
        <w:t>C</w:t>
      </w:r>
      <w:r>
        <w:t xml:space="preserve">ompany should pursue; </w:t>
      </w:r>
      <w:r w:rsidR="008C3E2A" w:rsidRPr="008308F1">
        <w:t xml:space="preserve">and </w:t>
      </w:r>
    </w:p>
    <w:p w:rsidR="008C3E2A" w:rsidRPr="008308F1" w:rsidRDefault="008C3E2A" w:rsidP="00D31489">
      <w:pPr>
        <w:pStyle w:val="ListParagraph"/>
        <w:numPr>
          <w:ilvl w:val="0"/>
          <w:numId w:val="11"/>
        </w:numPr>
        <w:spacing w:line="480" w:lineRule="auto"/>
      </w:pPr>
      <w:r w:rsidRPr="008308F1">
        <w:t>it fails to net increased wholesale sales</w:t>
      </w:r>
      <w:r w:rsidR="008308F1" w:rsidRPr="008308F1">
        <w:t xml:space="preserve"> due to conservation</w:t>
      </w:r>
      <w:r w:rsidRPr="008308F1">
        <w:t xml:space="preserve"> in the true-up.  </w:t>
      </w:r>
    </w:p>
    <w:p w:rsidR="00617FB7" w:rsidRDefault="008C3E2A" w:rsidP="00617FB7">
      <w:r>
        <w:tab/>
      </w:r>
      <w:r w:rsidRPr="00C463B0">
        <w:t>I explain each of these deficiencies in the following sections of my testimony.</w:t>
      </w:r>
    </w:p>
    <w:p w:rsidR="00CB0EB4" w:rsidRDefault="00CB0EB4" w:rsidP="00617FB7"/>
    <w:p w:rsidR="002B2E41" w:rsidRDefault="00CC141D" w:rsidP="00C5557F">
      <w:pPr>
        <w:pStyle w:val="Heading2"/>
        <w:numPr>
          <w:ilvl w:val="0"/>
          <w:numId w:val="14"/>
        </w:numPr>
        <w:tabs>
          <w:tab w:val="clear" w:pos="-1440"/>
        </w:tabs>
        <w:spacing w:line="480" w:lineRule="auto"/>
        <w:ind w:left="0" w:firstLine="0"/>
        <w:jc w:val="left"/>
      </w:pPr>
      <w:bookmarkStart w:id="2" w:name="_Toc314559022"/>
      <w:r w:rsidRPr="007E150E">
        <w:t xml:space="preserve">NWEC’s </w:t>
      </w:r>
      <w:r w:rsidR="00A979BD" w:rsidRPr="007E150E">
        <w:t xml:space="preserve">Proposal is </w:t>
      </w:r>
      <w:r w:rsidR="005B37A2" w:rsidRPr="007E150E">
        <w:t>N</w:t>
      </w:r>
      <w:r w:rsidR="00A979BD" w:rsidRPr="007E150E">
        <w:t>ot Applied to</w:t>
      </w:r>
      <w:r w:rsidR="002F0871">
        <w:t xml:space="preserve"> All </w:t>
      </w:r>
      <w:r w:rsidR="00617FB7" w:rsidRPr="007E150E">
        <w:t>Customer Classes</w:t>
      </w:r>
      <w:bookmarkEnd w:id="2"/>
    </w:p>
    <w:p w:rsidR="00C5557F" w:rsidRDefault="00C5557F" w:rsidP="00441E00">
      <w:pPr>
        <w:pStyle w:val="Heading3"/>
      </w:pPr>
    </w:p>
    <w:p w:rsidR="009E549A" w:rsidRDefault="00617FB7" w:rsidP="00441E00">
      <w:pPr>
        <w:pStyle w:val="Heading3"/>
      </w:pPr>
      <w:r>
        <w:t>Q.</w:t>
      </w:r>
      <w:r>
        <w:tab/>
      </w:r>
      <w:r w:rsidR="00EF0C1F">
        <w:t xml:space="preserve">How does the </w:t>
      </w:r>
      <w:r w:rsidR="00516E1D">
        <w:t xml:space="preserve">Decoupling Policy Statement </w:t>
      </w:r>
      <w:r w:rsidR="00EF0C1F">
        <w:t xml:space="preserve">address the </w:t>
      </w:r>
      <w:r>
        <w:t xml:space="preserve">application of </w:t>
      </w:r>
      <w:r w:rsidR="002B2E41">
        <w:t xml:space="preserve">full </w:t>
      </w:r>
      <w:r>
        <w:t>decoupling</w:t>
      </w:r>
      <w:r w:rsidR="00EF0C1F">
        <w:t xml:space="preserve"> </w:t>
      </w:r>
      <w:r>
        <w:t>to customer classes?</w:t>
      </w:r>
    </w:p>
    <w:p w:rsidR="009E549A" w:rsidRDefault="00617FB7" w:rsidP="00441E00">
      <w:r>
        <w:t>A.</w:t>
      </w:r>
      <w:r>
        <w:tab/>
      </w:r>
      <w:r w:rsidR="007E150E">
        <w:t>The Commission states that a</w:t>
      </w:r>
      <w:r>
        <w:t xml:space="preserve"> full decoupling mechanism </w:t>
      </w:r>
      <w:r w:rsidR="00812039">
        <w:t xml:space="preserve">should </w:t>
      </w:r>
      <w:r>
        <w:t>include all customer classes, unless it would be lawful or consistent with “the public interest” to do otherwise:</w:t>
      </w:r>
    </w:p>
    <w:p w:rsidR="00617FB7" w:rsidRDefault="00617FB7" w:rsidP="00617FB7">
      <w:pPr>
        <w:spacing w:line="240" w:lineRule="auto"/>
        <w:ind w:left="1440"/>
      </w:pPr>
      <w:r>
        <w:rPr>
          <w:i/>
        </w:rPr>
        <w:tab/>
      </w:r>
      <w:r w:rsidRPr="0012757E">
        <w:rPr>
          <w:i/>
        </w:rPr>
        <w:t>Application to Customer Classes.</w:t>
      </w:r>
      <w:r w:rsidR="00E07C71" w:rsidRPr="00441E00">
        <w:t xml:space="preserve">  </w:t>
      </w:r>
      <w:r>
        <w:t xml:space="preserve">Generally, a full decoupling proposal should cover all customer classes. However, where in the public interest and not unlawfully discriminatory or preferential, the Commission will consider a proposal that would apply to fewer than all customer classes. </w:t>
      </w:r>
      <w:r>
        <w:rPr>
          <w:rStyle w:val="FootnoteReference"/>
        </w:rPr>
        <w:footnoteReference w:id="9"/>
      </w:r>
    </w:p>
    <w:p w:rsidR="009E549A" w:rsidRPr="00441E00" w:rsidRDefault="009E549A" w:rsidP="00BF620B"/>
    <w:p w:rsidR="009E549A" w:rsidRDefault="00617FB7" w:rsidP="00C5557F">
      <w:pPr>
        <w:pStyle w:val="Heading3"/>
        <w:keepNext/>
      </w:pPr>
      <w:r>
        <w:lastRenderedPageBreak/>
        <w:t>Q.</w:t>
      </w:r>
      <w:r>
        <w:tab/>
        <w:t xml:space="preserve">Is the Commission’s </w:t>
      </w:r>
      <w:r w:rsidR="00EF0C1F">
        <w:t xml:space="preserve">policy </w:t>
      </w:r>
      <w:r>
        <w:t>appropriate?</w:t>
      </w:r>
    </w:p>
    <w:p w:rsidR="009E549A" w:rsidRDefault="00617FB7" w:rsidP="00441E00">
      <w:r>
        <w:t>A.</w:t>
      </w:r>
      <w:r>
        <w:tab/>
        <w:t xml:space="preserve">Yes.  The discrimination and preference statutes are part of </w:t>
      </w:r>
      <w:r w:rsidR="00CC141D">
        <w:t xml:space="preserve">the </w:t>
      </w:r>
      <w:r>
        <w:t>Commission</w:t>
      </w:r>
      <w:r w:rsidR="005A01C5">
        <w:t>’s overall</w:t>
      </w:r>
      <w:r>
        <w:t xml:space="preserve"> regulation of </w:t>
      </w:r>
      <w:r w:rsidR="00BF620B">
        <w:t>utilities</w:t>
      </w:r>
      <w:r w:rsidR="00CB7FAC">
        <w:t xml:space="preserve">; </w:t>
      </w:r>
      <w:r>
        <w:t>a</w:t>
      </w:r>
      <w:r w:rsidR="007E150E">
        <w:t xml:space="preserve">lthough </w:t>
      </w:r>
      <w:r>
        <w:t>there may be circumstances where excluding a customer class would satisfy those statutes and also be in the “public interest”.</w:t>
      </w:r>
    </w:p>
    <w:p w:rsidR="00617FB7" w:rsidRDefault="00617FB7" w:rsidP="00617FB7"/>
    <w:p w:rsidR="009E549A" w:rsidRDefault="00617FB7" w:rsidP="00441E00">
      <w:pPr>
        <w:pStyle w:val="Heading3"/>
      </w:pPr>
      <w:r>
        <w:t>Q.</w:t>
      </w:r>
      <w:r>
        <w:tab/>
      </w:r>
      <w:r w:rsidR="002F0871">
        <w:t xml:space="preserve">Which customer classes does </w:t>
      </w:r>
      <w:r>
        <w:t>NWEC</w:t>
      </w:r>
      <w:r w:rsidR="002F0871">
        <w:t xml:space="preserve"> </w:t>
      </w:r>
      <w:r w:rsidR="007E150E">
        <w:t>exclud</w:t>
      </w:r>
      <w:r w:rsidR="002F0871">
        <w:t>e</w:t>
      </w:r>
      <w:r w:rsidR="007E150E">
        <w:t xml:space="preserve"> from </w:t>
      </w:r>
      <w:r w:rsidR="00EF0C1F">
        <w:t>its</w:t>
      </w:r>
      <w:r w:rsidR="007E150E">
        <w:t xml:space="preserve"> decoupling mechanism</w:t>
      </w:r>
      <w:r>
        <w:t>?</w:t>
      </w:r>
      <w:r w:rsidR="00516C71">
        <w:t xml:space="preserve">  </w:t>
      </w:r>
    </w:p>
    <w:p w:rsidR="006A122C" w:rsidRDefault="00617FB7" w:rsidP="00617FB7">
      <w:r>
        <w:t>A.</w:t>
      </w:r>
      <w:r>
        <w:tab/>
        <w:t>NWEC’s proposal exempt</w:t>
      </w:r>
      <w:r w:rsidR="007E150E">
        <w:t>s</w:t>
      </w:r>
      <w:r>
        <w:t xml:space="preserve"> </w:t>
      </w:r>
      <w:r w:rsidR="005B37A2">
        <w:t>customers from six PSE rate schedules:</w:t>
      </w:r>
    </w:p>
    <w:p w:rsidR="006A122C" w:rsidRDefault="00617FB7" w:rsidP="006A122C">
      <w:pPr>
        <w:pStyle w:val="ListParagraph"/>
        <w:numPr>
          <w:ilvl w:val="0"/>
          <w:numId w:val="10"/>
        </w:numPr>
      </w:pPr>
      <w:r>
        <w:t>Schedule 40</w:t>
      </w:r>
      <w:r w:rsidR="006A122C">
        <w:t xml:space="preserve"> – </w:t>
      </w:r>
      <w:r w:rsidR="001C1CB0">
        <w:t>Large Demand General Service Greater Than 3 aMW</w:t>
      </w:r>
    </w:p>
    <w:p w:rsidR="006A122C" w:rsidRDefault="006A122C" w:rsidP="006A122C">
      <w:pPr>
        <w:pStyle w:val="ListParagraph"/>
        <w:numPr>
          <w:ilvl w:val="0"/>
          <w:numId w:val="10"/>
        </w:numPr>
      </w:pPr>
      <w:r>
        <w:t>Schedule</w:t>
      </w:r>
      <w:r w:rsidR="00617FB7">
        <w:t xml:space="preserve"> 46</w:t>
      </w:r>
      <w:r>
        <w:t xml:space="preserve"> – </w:t>
      </w:r>
      <w:r w:rsidR="001C1CB0">
        <w:t>High Voltage Interruptible Service</w:t>
      </w:r>
    </w:p>
    <w:p w:rsidR="006A122C" w:rsidRDefault="006A122C" w:rsidP="006A122C">
      <w:pPr>
        <w:pStyle w:val="ListParagraph"/>
        <w:numPr>
          <w:ilvl w:val="0"/>
          <w:numId w:val="10"/>
        </w:numPr>
      </w:pPr>
      <w:r>
        <w:t xml:space="preserve">Schedule </w:t>
      </w:r>
      <w:r w:rsidR="00617FB7">
        <w:t>49</w:t>
      </w:r>
      <w:r>
        <w:t xml:space="preserve"> – </w:t>
      </w:r>
      <w:r w:rsidR="001C1CB0">
        <w:t>High Voltage General Service</w:t>
      </w:r>
    </w:p>
    <w:p w:rsidR="006A122C" w:rsidRDefault="006A122C" w:rsidP="006A122C">
      <w:pPr>
        <w:pStyle w:val="ListParagraph"/>
        <w:numPr>
          <w:ilvl w:val="0"/>
          <w:numId w:val="10"/>
        </w:numPr>
      </w:pPr>
      <w:r>
        <w:t xml:space="preserve">Schedule </w:t>
      </w:r>
      <w:r w:rsidR="00617FB7">
        <w:t>448</w:t>
      </w:r>
      <w:r w:rsidR="00EF0C1F">
        <w:t xml:space="preserve"> </w:t>
      </w:r>
      <w:r>
        <w:t xml:space="preserve">– </w:t>
      </w:r>
      <w:r w:rsidR="001C1CB0">
        <w:t xml:space="preserve">Power Supplier Choice </w:t>
      </w:r>
    </w:p>
    <w:p w:rsidR="001C1CB0" w:rsidRDefault="001C1CB0" w:rsidP="006A122C">
      <w:pPr>
        <w:pStyle w:val="ListParagraph"/>
        <w:numPr>
          <w:ilvl w:val="0"/>
          <w:numId w:val="10"/>
        </w:numPr>
      </w:pPr>
      <w:r>
        <w:t>Schedule 449 – Retail Wheeling Service</w:t>
      </w:r>
    </w:p>
    <w:p w:rsidR="006A122C" w:rsidRDefault="006A122C" w:rsidP="006A122C">
      <w:pPr>
        <w:pStyle w:val="ListParagraph"/>
        <w:numPr>
          <w:ilvl w:val="0"/>
          <w:numId w:val="10"/>
        </w:numPr>
      </w:pPr>
      <w:r>
        <w:t xml:space="preserve">Schedule </w:t>
      </w:r>
      <w:r w:rsidR="00617FB7">
        <w:t>459</w:t>
      </w:r>
      <w:r>
        <w:t xml:space="preserve"> – </w:t>
      </w:r>
      <w:r w:rsidR="001C1CB0">
        <w:t>Back-up Distribution Service</w:t>
      </w:r>
    </w:p>
    <w:p w:rsidR="009E549A" w:rsidRDefault="00617FB7" w:rsidP="00EF0C1F">
      <w:pPr>
        <w:ind w:firstLine="0"/>
      </w:pPr>
      <w:r>
        <w:t xml:space="preserve">These schedules </w:t>
      </w:r>
      <w:r w:rsidR="006A122C">
        <w:t>are</w:t>
      </w:r>
      <w:r w:rsidR="005B37A2">
        <w:t xml:space="preserve"> typically</w:t>
      </w:r>
      <w:r w:rsidR="006A122C">
        <w:t xml:space="preserve"> very large</w:t>
      </w:r>
      <w:r w:rsidR="005B37A2">
        <w:t xml:space="preserve"> industrial </w:t>
      </w:r>
      <w:r>
        <w:t>customers.</w:t>
      </w:r>
      <w:r w:rsidR="00516C71">
        <w:t xml:space="preserve">  </w:t>
      </w:r>
      <w:r>
        <w:t xml:space="preserve">Mr. Cavanagh </w:t>
      </w:r>
      <w:r w:rsidR="007E150E">
        <w:t>exempts the</w:t>
      </w:r>
      <w:r w:rsidR="00EF0C1F">
        <w:t xml:space="preserve">m </w:t>
      </w:r>
      <w:r w:rsidR="001A7E9C">
        <w:t>“</w:t>
      </w:r>
      <w:r>
        <w:t xml:space="preserve">because they have so few members (140) and account for a relatively small fraction of </w:t>
      </w:r>
      <w:r w:rsidR="008E7D71">
        <w:t>PSE’s projected revenues from energy charges</w:t>
      </w:r>
      <w:r>
        <w:t xml:space="preserve"> (about 4 percent, although the</w:t>
      </w:r>
      <w:r w:rsidR="008E7D71">
        <w:t xml:space="preserve">se Schedules </w:t>
      </w:r>
      <w:r>
        <w:t>account for almost 14 percent of retail electricity sales).”</w:t>
      </w:r>
      <w:r>
        <w:rPr>
          <w:rStyle w:val="FootnoteReference"/>
        </w:rPr>
        <w:footnoteReference w:id="10"/>
      </w:r>
      <w:r>
        <w:t xml:space="preserve">  </w:t>
      </w:r>
    </w:p>
    <w:p w:rsidR="009E549A" w:rsidRDefault="009E549A" w:rsidP="00441E00"/>
    <w:p w:rsidR="009E549A" w:rsidRDefault="00617FB7" w:rsidP="00441E00">
      <w:pPr>
        <w:pStyle w:val="Heading3"/>
      </w:pPr>
      <w:r>
        <w:t>Q.</w:t>
      </w:r>
      <w:r>
        <w:tab/>
      </w:r>
      <w:r w:rsidR="007E150E">
        <w:t>D</w:t>
      </w:r>
      <w:r>
        <w:t xml:space="preserve">o these considerations justify exempting </w:t>
      </w:r>
      <w:r w:rsidR="00EF0C1F">
        <w:t xml:space="preserve">these </w:t>
      </w:r>
      <w:r w:rsidR="005B37A2">
        <w:t>customers</w:t>
      </w:r>
      <w:r w:rsidR="00EF0C1F">
        <w:t xml:space="preserve"> </w:t>
      </w:r>
      <w:r>
        <w:t>from decoupling?</w:t>
      </w:r>
    </w:p>
    <w:p w:rsidR="009E549A" w:rsidRDefault="00617FB7" w:rsidP="00441E00">
      <w:r>
        <w:t>A.</w:t>
      </w:r>
      <w:r>
        <w:tab/>
        <w:t>No</w:t>
      </w:r>
      <w:r w:rsidR="00315C94">
        <w:t>t necessarily</w:t>
      </w:r>
      <w:r>
        <w:t xml:space="preserve">, although I do not offer a legal opinion regarding the discrimination or undue preference statutes.  </w:t>
      </w:r>
    </w:p>
    <w:p w:rsidR="008F305C" w:rsidRDefault="00617FB7" w:rsidP="00441E00">
      <w:r>
        <w:tab/>
      </w:r>
      <w:r>
        <w:tab/>
      </w:r>
      <w:r w:rsidR="00315C94">
        <w:t>Mr. Cavanagh bases his proposal on</w:t>
      </w:r>
      <w:r w:rsidR="00311974">
        <w:t xml:space="preserve"> only two of the</w:t>
      </w:r>
      <w:r w:rsidR="00596CB9">
        <w:t xml:space="preserve"> three</w:t>
      </w:r>
      <w:r w:rsidR="00311974">
        <w:t xml:space="preserve"> customer groups found in</w:t>
      </w:r>
      <w:r w:rsidR="00315C94">
        <w:t xml:space="preserve"> PSE’s </w:t>
      </w:r>
      <w:r w:rsidR="008E7D71">
        <w:t xml:space="preserve">proposed Conservation Savings </w:t>
      </w:r>
      <w:r w:rsidR="00EF0C1F">
        <w:t>A</w:t>
      </w:r>
      <w:r w:rsidR="008E7D71">
        <w:t>djustment</w:t>
      </w:r>
      <w:r w:rsidR="00315C94">
        <w:t>.</w:t>
      </w:r>
      <w:r w:rsidR="00596CB9">
        <w:t xml:space="preserve">  His exclusion of the third customer group </w:t>
      </w:r>
      <w:r w:rsidR="00253ED0">
        <w:t xml:space="preserve">is not necessary or appropriate because the high-voltage </w:t>
      </w:r>
      <w:r w:rsidR="00253ED0">
        <w:lastRenderedPageBreak/>
        <w:t xml:space="preserve">customers </w:t>
      </w:r>
      <w:r w:rsidR="00EF0C1F">
        <w:t xml:space="preserve">in that group </w:t>
      </w:r>
      <w:r w:rsidR="00253ED0">
        <w:t>all participate in conservation programs</w:t>
      </w:r>
      <w:r w:rsidR="00596CB9">
        <w:t>.</w:t>
      </w:r>
      <w:r w:rsidR="00253ED0">
        <w:t xml:space="preserve">  The Staff Response to the Commission’s Bench Request included </w:t>
      </w:r>
      <w:r w:rsidR="00315C94">
        <w:t>all customers</w:t>
      </w:r>
      <w:r w:rsidR="00AA0A52">
        <w:t xml:space="preserve"> in the</w:t>
      </w:r>
      <w:r w:rsidR="00253ED0">
        <w:t xml:space="preserve"> sample</w:t>
      </w:r>
      <w:r w:rsidR="00AA0A52">
        <w:t xml:space="preserve"> decoupling mechanis</w:t>
      </w:r>
      <w:r w:rsidR="007E150E">
        <w:t>m</w:t>
      </w:r>
      <w:r w:rsidR="00315C94">
        <w:t>.</w:t>
      </w:r>
      <w:r w:rsidR="00311974">
        <w:rPr>
          <w:rStyle w:val="FootnoteReference"/>
        </w:rPr>
        <w:footnoteReference w:id="11"/>
      </w:r>
      <w:r w:rsidR="00315C94">
        <w:t xml:space="preserve">  </w:t>
      </w:r>
    </w:p>
    <w:p w:rsidR="009E549A" w:rsidRDefault="00617FB7" w:rsidP="00441E00">
      <w:r>
        <w:tab/>
      </w:r>
      <w:r>
        <w:tab/>
        <w:t xml:space="preserve">Mr. </w:t>
      </w:r>
      <w:r w:rsidR="00253ED0">
        <w:t xml:space="preserve">Cavanagh </w:t>
      </w:r>
      <w:r w:rsidR="001A7E9C">
        <w:t xml:space="preserve">also </w:t>
      </w:r>
      <w:r w:rsidR="00253ED0">
        <w:t xml:space="preserve">raises a </w:t>
      </w:r>
      <w:r>
        <w:t xml:space="preserve">concern about </w:t>
      </w:r>
      <w:r w:rsidR="00640822">
        <w:t xml:space="preserve">PSE </w:t>
      </w:r>
      <w:r w:rsidR="002A6A88">
        <w:t xml:space="preserve">encouraging </w:t>
      </w:r>
      <w:r>
        <w:t xml:space="preserve">customers </w:t>
      </w:r>
      <w:r w:rsidR="002A6A88">
        <w:t xml:space="preserve">to change </w:t>
      </w:r>
      <w:r w:rsidR="005B37A2">
        <w:t xml:space="preserve">rate </w:t>
      </w:r>
      <w:r>
        <w:t>schedules</w:t>
      </w:r>
      <w:r w:rsidR="00253ED0">
        <w:t xml:space="preserve"> in order to increase profits.</w:t>
      </w:r>
      <w:r w:rsidR="00315C94">
        <w:rPr>
          <w:rStyle w:val="FootnoteReference"/>
        </w:rPr>
        <w:footnoteReference w:id="12"/>
      </w:r>
      <w:r w:rsidR="00253ED0">
        <w:t xml:space="preserve">  </w:t>
      </w:r>
      <w:r w:rsidR="00640822">
        <w:t>H</w:t>
      </w:r>
      <w:r w:rsidR="00253ED0">
        <w:t xml:space="preserve">owever, </w:t>
      </w:r>
      <w:r w:rsidR="00640822">
        <w:t xml:space="preserve">he </w:t>
      </w:r>
      <w:r w:rsidR="00253ED0">
        <w:t xml:space="preserve">does not </w:t>
      </w:r>
      <w:r w:rsidR="002A6A88">
        <w:t xml:space="preserve">explain how this concern is addressed by his exclusion of the high-voltage customers. </w:t>
      </w:r>
      <w:r w:rsidR="00315C94">
        <w:t xml:space="preserve"> </w:t>
      </w:r>
      <w:r w:rsidR="002A6A88">
        <w:t xml:space="preserve">Neither is this issue directly addressed in </w:t>
      </w:r>
      <w:r w:rsidR="00315C94">
        <w:t>Staff</w:t>
      </w:r>
      <w:r w:rsidR="002A6A88">
        <w:t>’s</w:t>
      </w:r>
      <w:r w:rsidR="00315C94">
        <w:t xml:space="preserve"> Response to the Commission’s Bench Request</w:t>
      </w:r>
      <w:r w:rsidR="00311974">
        <w:t>.</w:t>
      </w:r>
      <w:r w:rsidR="00315C94">
        <w:rPr>
          <w:rStyle w:val="FootnoteReference"/>
        </w:rPr>
        <w:footnoteReference w:id="13"/>
      </w:r>
      <w:r>
        <w:t xml:space="preserve"> </w:t>
      </w:r>
      <w:r w:rsidR="00311974">
        <w:t xml:space="preserve"> Before the Commission makes a decision about decoupling, </w:t>
      </w:r>
      <w:r w:rsidR="00112E75">
        <w:t>more justification is needed</w:t>
      </w:r>
      <w:r w:rsidR="00311974">
        <w:t>.</w:t>
      </w:r>
      <w:r>
        <w:t xml:space="preserve">  </w:t>
      </w:r>
    </w:p>
    <w:p w:rsidR="00617FB7" w:rsidRDefault="00617FB7" w:rsidP="00617FB7"/>
    <w:p w:rsidR="00617FB7" w:rsidRDefault="00CC141D" w:rsidP="00C5557F">
      <w:pPr>
        <w:pStyle w:val="Heading2"/>
        <w:numPr>
          <w:ilvl w:val="0"/>
          <w:numId w:val="14"/>
        </w:numPr>
        <w:spacing w:line="480" w:lineRule="auto"/>
        <w:ind w:left="720" w:hanging="720"/>
        <w:jc w:val="left"/>
      </w:pPr>
      <w:bookmarkStart w:id="3" w:name="_Toc314559023"/>
      <w:r>
        <w:t xml:space="preserve">NWEC’s </w:t>
      </w:r>
      <w:r w:rsidR="00A979BD">
        <w:t>Proposal Excludes</w:t>
      </w:r>
      <w:r w:rsidR="00617FB7">
        <w:t xml:space="preserve"> </w:t>
      </w:r>
      <w:r w:rsidR="005B37A2">
        <w:t xml:space="preserve">the </w:t>
      </w:r>
      <w:r w:rsidR="00617FB7">
        <w:t xml:space="preserve">Impact </w:t>
      </w:r>
      <w:r w:rsidR="005B37A2">
        <w:t xml:space="preserve">of Decoupling </w:t>
      </w:r>
      <w:r w:rsidR="00617FB7">
        <w:t>on the Rate of Return</w:t>
      </w:r>
      <w:bookmarkEnd w:id="3"/>
    </w:p>
    <w:p w:rsidR="006A122C" w:rsidRDefault="006A122C" w:rsidP="00AA0A52"/>
    <w:p w:rsidR="009E549A" w:rsidRDefault="00617FB7" w:rsidP="00441E00">
      <w:pPr>
        <w:pStyle w:val="Heading3"/>
      </w:pPr>
      <w:r>
        <w:t>Q.</w:t>
      </w:r>
      <w:r>
        <w:tab/>
        <w:t xml:space="preserve">What </w:t>
      </w:r>
      <w:r w:rsidR="00812039">
        <w:t xml:space="preserve">does </w:t>
      </w:r>
      <w:r>
        <w:t xml:space="preserve">the </w:t>
      </w:r>
      <w:r w:rsidR="008308F1">
        <w:t>Decoupling Policy Statement</w:t>
      </w:r>
      <w:r w:rsidR="00812039">
        <w:t xml:space="preserve"> </w:t>
      </w:r>
      <w:r w:rsidR="008308F1">
        <w:t xml:space="preserve">say </w:t>
      </w:r>
      <w:r w:rsidR="00812039">
        <w:t>with respect to</w:t>
      </w:r>
      <w:r>
        <w:t xml:space="preserve"> the impact of full decoupling on </w:t>
      </w:r>
      <w:r w:rsidR="00CC141D">
        <w:t>a</w:t>
      </w:r>
      <w:r>
        <w:t xml:space="preserve"> utility’s cost of capital?</w:t>
      </w:r>
    </w:p>
    <w:p w:rsidR="00617FB7" w:rsidRDefault="00617FB7">
      <w:r>
        <w:t>A.</w:t>
      </w:r>
      <w:r>
        <w:tab/>
        <w:t xml:space="preserve">The Commission contemplates full decoupling will reduce </w:t>
      </w:r>
      <w:r w:rsidR="008F305C">
        <w:t xml:space="preserve">the </w:t>
      </w:r>
      <w:r>
        <w:t>utility’s cost of capital:</w:t>
      </w:r>
    </w:p>
    <w:p w:rsidR="00617FB7" w:rsidRDefault="00617FB7" w:rsidP="00640822">
      <w:pPr>
        <w:spacing w:line="240" w:lineRule="auto"/>
        <w:ind w:left="1440"/>
      </w:pPr>
      <w:r>
        <w:tab/>
        <w:t>By reducing the risk of volatility of revenue based on customer usage, both up and down, such a mechanism can serve to reduce risk to the company, and therefore to investors, which in turn should benefit customers by reducing a company’s debt and equity costs.  This reduction in costs would flow through to ratepayers in the form of rates that would be lower than they otherwise would be, as the rates would be set to reflect the assumption of more risk by ratepayers.</w:t>
      </w:r>
      <w:r>
        <w:rPr>
          <w:rStyle w:val="FootnoteReference"/>
        </w:rPr>
        <w:footnoteReference w:id="14"/>
      </w:r>
      <w:r w:rsidR="00F90CBF">
        <w:t xml:space="preserve"> </w:t>
      </w:r>
    </w:p>
    <w:p w:rsidR="00617FB7" w:rsidRDefault="00617FB7">
      <w:r>
        <w:lastRenderedPageBreak/>
        <w:tab/>
      </w:r>
      <w:r>
        <w:tab/>
        <w:t>The Commission specifically requires a full decoupling mechanism proposal to evaluate its impact on the return on equity:</w:t>
      </w:r>
    </w:p>
    <w:p w:rsidR="009E549A" w:rsidRDefault="00617FB7" w:rsidP="00441E00">
      <w:pPr>
        <w:spacing w:line="240" w:lineRule="auto"/>
        <w:ind w:left="1440"/>
      </w:pPr>
      <w:r>
        <w:tab/>
      </w:r>
      <w:r w:rsidRPr="00771642">
        <w:rPr>
          <w:i/>
        </w:rPr>
        <w:t>Impact on Rate of Return.</w:t>
      </w:r>
      <w:r w:rsidR="00E07C71" w:rsidRPr="00441E00">
        <w:t xml:space="preserve"> </w:t>
      </w:r>
      <w:r>
        <w:t xml:space="preserve"> Evidence evaluating the impact of the proposal on risk to investors and ratepayers and its effect on the utility's ROE.</w:t>
      </w:r>
      <w:r>
        <w:rPr>
          <w:rStyle w:val="FootnoteReference"/>
        </w:rPr>
        <w:footnoteReference w:id="15"/>
      </w:r>
    </w:p>
    <w:p w:rsidR="009E549A" w:rsidRDefault="009E549A" w:rsidP="00A91CF2">
      <w:pPr>
        <w:pStyle w:val="BodyTextIndent"/>
        <w:ind w:left="0" w:firstLine="0"/>
      </w:pPr>
    </w:p>
    <w:p w:rsidR="009E549A" w:rsidRDefault="00617FB7" w:rsidP="00441E00">
      <w:pPr>
        <w:pStyle w:val="Heading3"/>
      </w:pPr>
      <w:r>
        <w:t>Q.</w:t>
      </w:r>
      <w:r>
        <w:tab/>
        <w:t>Is this policy appropriate?</w:t>
      </w:r>
    </w:p>
    <w:p w:rsidR="009E549A" w:rsidRDefault="00617FB7" w:rsidP="00640822">
      <w:r>
        <w:t>A.</w:t>
      </w:r>
      <w:r>
        <w:tab/>
        <w:t xml:space="preserve">Yes.  Full decoupling reduces substantially the utility’s </w:t>
      </w:r>
      <w:r w:rsidR="006911E2">
        <w:t xml:space="preserve">revenue </w:t>
      </w:r>
      <w:r>
        <w:t>risk</w:t>
      </w:r>
      <w:r w:rsidR="005B37A2">
        <w:t xml:space="preserve"> by</w:t>
      </w:r>
      <w:r w:rsidR="006911E2">
        <w:t xml:space="preserve"> guaranteeing a specific amount of revenue per customer regardless of typical causes of fluctuation in revenue related to weather</w:t>
      </w:r>
      <w:r w:rsidR="00E45A13">
        <w:t>, economic</w:t>
      </w:r>
      <w:r w:rsidR="00CC141D">
        <w:t xml:space="preserve"> conditions</w:t>
      </w:r>
      <w:r w:rsidR="00E45A13">
        <w:t>, or any other</w:t>
      </w:r>
      <w:r w:rsidR="006911E2">
        <w:t xml:space="preserve"> condition</w:t>
      </w:r>
      <w:r>
        <w:t xml:space="preserve">.  </w:t>
      </w:r>
      <w:r w:rsidR="006A122C">
        <w:t>Reduced</w:t>
      </w:r>
      <w:r w:rsidR="00812039">
        <w:t xml:space="preserve"> revenue volatility represents a </w:t>
      </w:r>
      <w:r>
        <w:t xml:space="preserve">risk reduction </w:t>
      </w:r>
      <w:r w:rsidR="00812039">
        <w:t xml:space="preserve">that </w:t>
      </w:r>
      <w:r>
        <w:t xml:space="preserve">should translate into lower capital costs, </w:t>
      </w:r>
      <w:r w:rsidR="00812039">
        <w:t>either as a</w:t>
      </w:r>
      <w:r>
        <w:t xml:space="preserve"> lower </w:t>
      </w:r>
      <w:r w:rsidR="00812039">
        <w:t>required return</w:t>
      </w:r>
      <w:r>
        <w:t xml:space="preserve"> </w:t>
      </w:r>
      <w:r w:rsidR="00812039">
        <w:t>on equity or the</w:t>
      </w:r>
      <w:r>
        <w:t xml:space="preserve"> need for less equity in the utility’s capital structure.</w:t>
      </w:r>
    </w:p>
    <w:p w:rsidR="009E549A" w:rsidRPr="00441E00" w:rsidRDefault="009E549A" w:rsidP="00112E75"/>
    <w:p w:rsidR="009E549A" w:rsidRDefault="00617FB7" w:rsidP="00441E00">
      <w:pPr>
        <w:pStyle w:val="Heading3"/>
      </w:pPr>
      <w:r>
        <w:t>Q.</w:t>
      </w:r>
      <w:r>
        <w:tab/>
        <w:t>Does NWEC</w:t>
      </w:r>
      <w:r w:rsidR="00640822">
        <w:t xml:space="preserve"> </w:t>
      </w:r>
      <w:r>
        <w:t>recognize any reduction to PSE’s cost of capital due to full decoupling?</w:t>
      </w:r>
    </w:p>
    <w:p w:rsidR="002F0871" w:rsidRDefault="00617FB7" w:rsidP="00441E00">
      <w:r>
        <w:t>A.</w:t>
      </w:r>
      <w:r>
        <w:tab/>
        <w:t xml:space="preserve">No.  Apparently, Mr. Cavanagh believes full decoupling </w:t>
      </w:r>
      <w:r w:rsidR="00E45A13">
        <w:t>could</w:t>
      </w:r>
      <w:r>
        <w:t xml:space="preserve"> </w:t>
      </w:r>
      <w:r w:rsidR="00E84BCE">
        <w:t xml:space="preserve">actually </w:t>
      </w:r>
      <w:r w:rsidRPr="00E84BCE">
        <w:rPr>
          <w:i/>
        </w:rPr>
        <w:t>increase</w:t>
      </w:r>
      <w:r>
        <w:t xml:space="preserve"> PSE’s cost of equity</w:t>
      </w:r>
      <w:r w:rsidR="00441E00">
        <w:t>.</w:t>
      </w:r>
      <w:r w:rsidR="00812039">
        <w:t xml:space="preserve">  This assertion is</w:t>
      </w:r>
      <w:r w:rsidR="00441E00">
        <w:t xml:space="preserve"> </w:t>
      </w:r>
      <w:r>
        <w:t xml:space="preserve">based on a study by the Brattle Group that found </w:t>
      </w:r>
      <w:r w:rsidR="00E45A13">
        <w:t>the cost of equity to be higher</w:t>
      </w:r>
      <w:r>
        <w:t xml:space="preserve"> for the </w:t>
      </w:r>
      <w:r w:rsidR="00E84BCE">
        <w:t xml:space="preserve">decoupled </w:t>
      </w:r>
      <w:r>
        <w:t>gas utilities studied.</w:t>
      </w:r>
      <w:r w:rsidR="00E84BCE">
        <w:rPr>
          <w:rStyle w:val="FootnoteReference"/>
        </w:rPr>
        <w:footnoteReference w:id="16"/>
      </w:r>
      <w:r w:rsidR="00A979BD">
        <w:t xml:space="preserve"> </w:t>
      </w:r>
      <w:r w:rsidR="00E84BCE">
        <w:t xml:space="preserve"> </w:t>
      </w:r>
    </w:p>
    <w:p w:rsidR="009E549A" w:rsidRDefault="002F0871" w:rsidP="00441E00">
      <w:r>
        <w:tab/>
      </w:r>
      <w:r>
        <w:tab/>
      </w:r>
      <w:r w:rsidR="008F305C">
        <w:t xml:space="preserve">In any event, </w:t>
      </w:r>
      <w:r w:rsidR="00617FB7">
        <w:t>Mr. Cavanagh concludes that the only possible cost of capital benefit will be through a potential reduction in the utility’s equity ratio, but</w:t>
      </w:r>
      <w:r w:rsidR="00CC141D">
        <w:t>,</w:t>
      </w:r>
      <w:r w:rsidR="00617FB7">
        <w:t xml:space="preserve"> even then, he proposes this capital structure benefit flow to ratepayers if and only if, and </w:t>
      </w:r>
      <w:r w:rsidR="008F305C">
        <w:lastRenderedPageBreak/>
        <w:t xml:space="preserve">only </w:t>
      </w:r>
      <w:r w:rsidR="00617FB7">
        <w:t xml:space="preserve">after, the utility actually decreases its equity ratio.  He claims </w:t>
      </w:r>
      <w:r>
        <w:t>the Ratepayer Assistance Project (“</w:t>
      </w:r>
      <w:r w:rsidR="00617FB7">
        <w:t>RAP</w:t>
      </w:r>
      <w:r>
        <w:t>”)</w:t>
      </w:r>
      <w:r w:rsidR="00617FB7">
        <w:t xml:space="preserve"> agrees with him on this timing issue.</w:t>
      </w:r>
      <w:r w:rsidR="00617FB7">
        <w:rPr>
          <w:rStyle w:val="FootnoteReference"/>
        </w:rPr>
        <w:footnoteReference w:id="17"/>
      </w:r>
      <w:r w:rsidR="00617FB7">
        <w:t xml:space="preserve"> </w:t>
      </w:r>
    </w:p>
    <w:p w:rsidR="00617FB7" w:rsidRDefault="00617FB7" w:rsidP="00617FB7"/>
    <w:p w:rsidR="009E549A" w:rsidRDefault="00617FB7" w:rsidP="00441E00">
      <w:pPr>
        <w:pStyle w:val="Heading3"/>
      </w:pPr>
      <w:r>
        <w:t>Q.</w:t>
      </w:r>
      <w:r>
        <w:tab/>
        <w:t>Should the Commission agree that PSE’s cost of equity</w:t>
      </w:r>
      <w:r w:rsidR="0097377D">
        <w:t xml:space="preserve"> likely will</w:t>
      </w:r>
      <w:r>
        <w:t xml:space="preserve"> be higher under </w:t>
      </w:r>
      <w:r w:rsidR="0097377D">
        <w:t xml:space="preserve">full </w:t>
      </w:r>
      <w:r>
        <w:t>decoupling</w:t>
      </w:r>
      <w:r w:rsidR="006F6866">
        <w:t xml:space="preserve"> </w:t>
      </w:r>
      <w:r w:rsidR="00E23D8D">
        <w:t>and</w:t>
      </w:r>
      <w:r w:rsidR="008F305C">
        <w:t xml:space="preserve"> </w:t>
      </w:r>
      <w:r w:rsidR="006F6866">
        <w:t xml:space="preserve">that it should </w:t>
      </w:r>
      <w:r w:rsidR="00E23D8D">
        <w:t>wait for any capital structure benefits to actually occur</w:t>
      </w:r>
      <w:r w:rsidR="008F305C">
        <w:t>,</w:t>
      </w:r>
      <w:r w:rsidR="00E23D8D">
        <w:t xml:space="preserve"> before recognizing </w:t>
      </w:r>
      <w:r w:rsidR="008F305C">
        <w:t xml:space="preserve">any cost of capital benefit </w:t>
      </w:r>
      <w:r w:rsidR="006F6866">
        <w:t>from</w:t>
      </w:r>
      <w:r w:rsidR="008F305C">
        <w:t xml:space="preserve"> decoupling</w:t>
      </w:r>
      <w:r>
        <w:t>?</w:t>
      </w:r>
    </w:p>
    <w:p w:rsidR="0097377D" w:rsidRDefault="00617FB7" w:rsidP="00617FB7">
      <w:r>
        <w:t>A.</w:t>
      </w:r>
      <w:r>
        <w:tab/>
      </w:r>
      <w:r w:rsidRPr="00F86E60">
        <w:t>No</w:t>
      </w:r>
      <w:r w:rsidR="006F6866">
        <w:t xml:space="preserve">. </w:t>
      </w:r>
      <w:r w:rsidR="00640822">
        <w:t xml:space="preserve"> </w:t>
      </w:r>
      <w:r w:rsidR="006F6866">
        <w:t>T</w:t>
      </w:r>
      <w:r w:rsidR="0097377D">
        <w:t xml:space="preserve">he Commission should reject Mr. Cavanagh’s proposal as inconsistent with an important element </w:t>
      </w:r>
      <w:r w:rsidR="002F0871">
        <w:t>of the Decoupling Policy Statement</w:t>
      </w:r>
      <w:r w:rsidR="0097377D">
        <w:t>:  customers should receive the benefits of the risk reduction resulting from decoupling</w:t>
      </w:r>
      <w:r w:rsidRPr="00F86E60">
        <w:t>.</w:t>
      </w:r>
    </w:p>
    <w:p w:rsidR="00617FB7" w:rsidRDefault="0097377D" w:rsidP="00617FB7">
      <w:r>
        <w:tab/>
      </w:r>
      <w:r>
        <w:tab/>
      </w:r>
      <w:r w:rsidR="006F6866">
        <w:t>Moreover, t</w:t>
      </w:r>
      <w:r w:rsidR="00E84BCE" w:rsidRPr="00F86E60">
        <w:t xml:space="preserve">he Brattle Group study upon which Mr. Cavanagh relies did not attempt to exclude any other variables that may have contributed to the higher cost of equity </w:t>
      </w:r>
      <w:r w:rsidR="00F86E60">
        <w:t>for</w:t>
      </w:r>
      <w:r w:rsidR="00E84BCE" w:rsidRPr="00F86E60">
        <w:t xml:space="preserve"> the</w:t>
      </w:r>
      <w:r w:rsidR="00F86E60">
        <w:t xml:space="preserve"> studied</w:t>
      </w:r>
      <w:r w:rsidR="00E84BCE" w:rsidRPr="00F86E60">
        <w:t xml:space="preserve"> utilities</w:t>
      </w:r>
      <w:r w:rsidR="006F41CA">
        <w:t>, such as market perceptions about the consistency of the regulatory agencies that implement decoupling</w:t>
      </w:r>
      <w:r w:rsidR="00E84BCE" w:rsidRPr="00F86E60">
        <w:t>.</w:t>
      </w:r>
      <w:r w:rsidR="006F41CA">
        <w:rPr>
          <w:rStyle w:val="FootnoteReference"/>
        </w:rPr>
        <w:footnoteReference w:id="18"/>
      </w:r>
      <w:r w:rsidR="00E84BCE" w:rsidRPr="00F86E60">
        <w:t xml:space="preserve">  Consequently, its conclusion about higher cost of equity for decoupled gas utilities is suspect.</w:t>
      </w:r>
    </w:p>
    <w:p w:rsidR="009E549A" w:rsidRDefault="006F41CA" w:rsidP="00E23D8D">
      <w:pPr>
        <w:ind w:firstLine="720"/>
      </w:pPr>
      <w:r>
        <w:t>In addition, the</w:t>
      </w:r>
      <w:r w:rsidR="00617FB7">
        <w:t xml:space="preserve"> </w:t>
      </w:r>
      <w:r w:rsidR="00EF46EB">
        <w:t>finan</w:t>
      </w:r>
      <w:r w:rsidR="00441E00">
        <w:t>ci</w:t>
      </w:r>
      <w:r w:rsidR="00EF46EB">
        <w:t>al impact of full decoupling on the utility’s rev</w:t>
      </w:r>
      <w:r w:rsidR="00441E00">
        <w:t>e</w:t>
      </w:r>
      <w:r w:rsidR="00EF46EB">
        <w:t>nues is immediate</w:t>
      </w:r>
      <w:r w:rsidR="008F305C">
        <w:t>,</w:t>
      </w:r>
      <w:r w:rsidR="00EF46EB">
        <w:t xml:space="preserve"> and the utility should</w:t>
      </w:r>
      <w:r w:rsidR="00617FB7">
        <w:t xml:space="preserve"> </w:t>
      </w:r>
      <w:r w:rsidR="00EF46EB">
        <w:t>capitalize itself properly</w:t>
      </w:r>
      <w:r w:rsidR="00617FB7">
        <w:t xml:space="preserve"> </w:t>
      </w:r>
      <w:r w:rsidR="00EF46EB">
        <w:t>due to this important change to its operations.  Waiting only causes ratepayers to pay for risks</w:t>
      </w:r>
      <w:r w:rsidR="006D7286">
        <w:t xml:space="preserve"> twice</w:t>
      </w:r>
      <w:r w:rsidR="008F305C">
        <w:t>:</w:t>
      </w:r>
      <w:r w:rsidR="006F6866">
        <w:t xml:space="preserve"> </w:t>
      </w:r>
      <w:r w:rsidR="006D7286">
        <w:t xml:space="preserve"> </w:t>
      </w:r>
      <w:r w:rsidR="006F6866">
        <w:t>first</w:t>
      </w:r>
      <w:r w:rsidR="008F305C">
        <w:t xml:space="preserve">, </w:t>
      </w:r>
      <w:r w:rsidR="006D7286">
        <w:t xml:space="preserve">by </w:t>
      </w:r>
      <w:r w:rsidR="00EF46EB">
        <w:t>hav</w:t>
      </w:r>
      <w:r w:rsidR="006D7286">
        <w:t xml:space="preserve">ing those risks shifted to ratepayers </w:t>
      </w:r>
      <w:r w:rsidR="008F305C">
        <w:t xml:space="preserve">from investors, and again, </w:t>
      </w:r>
      <w:r w:rsidR="006D7286">
        <w:t xml:space="preserve">by keeping the capital structure the same as if the </w:t>
      </w:r>
      <w:r w:rsidR="00EF46EB">
        <w:t>utility</w:t>
      </w:r>
      <w:r w:rsidR="006D7286">
        <w:t xml:space="preserve"> was </w:t>
      </w:r>
      <w:r w:rsidR="008F305C">
        <w:t xml:space="preserve">subject to </w:t>
      </w:r>
      <w:r w:rsidR="006D7286">
        <w:t>those risks.</w:t>
      </w:r>
    </w:p>
    <w:p w:rsidR="00617FB7" w:rsidRDefault="00617FB7" w:rsidP="00617FB7"/>
    <w:p w:rsidR="009E549A" w:rsidRDefault="00617FB7" w:rsidP="005779A8">
      <w:pPr>
        <w:pStyle w:val="Heading3"/>
      </w:pPr>
      <w:r>
        <w:t>Q.</w:t>
      </w:r>
      <w:r>
        <w:tab/>
      </w:r>
      <w:r w:rsidR="00945865">
        <w:t xml:space="preserve">Did </w:t>
      </w:r>
      <w:r>
        <w:t>RAP agree</w:t>
      </w:r>
      <w:r w:rsidR="00945865">
        <w:t>, as Mr. Cavanagh states,</w:t>
      </w:r>
      <w:r>
        <w:t xml:space="preserve"> that any capital structure benefits </w:t>
      </w:r>
      <w:r w:rsidR="006F6866">
        <w:t xml:space="preserve">should </w:t>
      </w:r>
      <w:r>
        <w:t>be passed through to customers</w:t>
      </w:r>
      <w:r w:rsidR="00DD7EE8">
        <w:t>,</w:t>
      </w:r>
      <w:r>
        <w:t xml:space="preserve"> if and only if</w:t>
      </w:r>
      <w:r w:rsidR="00DD7EE8">
        <w:t>,</w:t>
      </w:r>
      <w:r>
        <w:t xml:space="preserve"> </w:t>
      </w:r>
      <w:r w:rsidR="008F305C">
        <w:t xml:space="preserve">and only when, </w:t>
      </w:r>
      <w:r>
        <w:t>the utility actually achieves those improvements?</w:t>
      </w:r>
    </w:p>
    <w:p w:rsidR="009E549A" w:rsidRDefault="00617FB7" w:rsidP="005779A8">
      <w:r>
        <w:t>A.</w:t>
      </w:r>
      <w:r>
        <w:tab/>
        <w:t xml:space="preserve">No.  Nowhere in its publication does RAP recommend regulators wait until actual capital structure benefits materialize.  In fact, RAP considers it </w:t>
      </w:r>
      <w:r w:rsidR="00EF46EB">
        <w:t xml:space="preserve">correct </w:t>
      </w:r>
      <w:r>
        <w:t xml:space="preserve">to recognize cost of capital improvements at the time full decoupling is put into place.  </w:t>
      </w:r>
    </w:p>
    <w:p w:rsidR="00945865" w:rsidRDefault="00617FB7" w:rsidP="00945865">
      <w:r>
        <w:tab/>
      </w:r>
      <w:r>
        <w:tab/>
        <w:t xml:space="preserve">In particular, RAP estimates the equity ratio </w:t>
      </w:r>
      <w:r w:rsidR="00EF46EB">
        <w:t>c</w:t>
      </w:r>
      <w:r>
        <w:t>ould be lower by three percentage points due to risk-mitigation benefits of decoupling.</w:t>
      </w:r>
      <w:r>
        <w:rPr>
          <w:rStyle w:val="FootnoteReference"/>
        </w:rPr>
        <w:footnoteReference w:id="19"/>
      </w:r>
      <w:r>
        <w:t xml:space="preserve">   RAP </w:t>
      </w:r>
      <w:r w:rsidR="00FE7E3B">
        <w:t xml:space="preserve">also </w:t>
      </w:r>
      <w:r>
        <w:t>recogni</w:t>
      </w:r>
      <w:r w:rsidR="00FE7E3B">
        <w:t xml:space="preserve">zes </w:t>
      </w:r>
      <w:r>
        <w:t xml:space="preserve">cost of capital benefits of full decoupling </w:t>
      </w:r>
      <w:r w:rsidR="00112861">
        <w:t>when it is implemented</w:t>
      </w:r>
      <w:r>
        <w:t>.</w:t>
      </w:r>
      <w:r w:rsidR="00FE7E3B">
        <w:rPr>
          <w:rStyle w:val="FootnoteReference"/>
        </w:rPr>
        <w:footnoteReference w:id="20"/>
      </w:r>
      <w:r>
        <w:t xml:space="preserve">  Though RAP suggests against lowering the cost of equity at the time a decoupling mechanism is implemented, RAP also suggests that regulators may want to lower the utility’s equity ratio “when regulators consider how to flow through the risk-mitigation benefits of decoupling to consumers </w:t>
      </w:r>
      <w:r w:rsidR="00E07C71" w:rsidRPr="005779A8">
        <w:t>when a mechanism is put into place</w:t>
      </w:r>
      <w:r>
        <w:t>.”</w:t>
      </w:r>
      <w:r>
        <w:rPr>
          <w:rStyle w:val="FootnoteReference"/>
        </w:rPr>
        <w:footnoteReference w:id="21"/>
      </w:r>
      <w:r>
        <w:t xml:space="preserve">  In other words, RAP </w:t>
      </w:r>
      <w:r w:rsidR="008F305C">
        <w:t>agrees with the Decoupling Policy Statement</w:t>
      </w:r>
      <w:r w:rsidR="00945865">
        <w:t xml:space="preserve"> that </w:t>
      </w:r>
      <w:r>
        <w:t>cost of capital-related reduction</w:t>
      </w:r>
      <w:r w:rsidR="0017202C">
        <w:t>s</w:t>
      </w:r>
      <w:r>
        <w:t xml:space="preserve"> </w:t>
      </w:r>
      <w:r w:rsidR="00B46C8F">
        <w:t xml:space="preserve">may appropriately </w:t>
      </w:r>
      <w:r w:rsidR="00EF46EB">
        <w:t>coincide with the adoption of</w:t>
      </w:r>
      <w:r>
        <w:t xml:space="preserve"> a decoupling mechanism. </w:t>
      </w:r>
    </w:p>
    <w:p w:rsidR="00945865" w:rsidRPr="00945865" w:rsidRDefault="00945865" w:rsidP="00945865"/>
    <w:p w:rsidR="009E549A" w:rsidRDefault="00617FB7" w:rsidP="005779A8">
      <w:pPr>
        <w:pStyle w:val="Heading3"/>
      </w:pPr>
      <w:r>
        <w:t>Q.</w:t>
      </w:r>
      <w:r>
        <w:tab/>
      </w:r>
      <w:r w:rsidR="00945865">
        <w:t>Have other</w:t>
      </w:r>
      <w:r>
        <w:t xml:space="preserve"> commissions lowered </w:t>
      </w:r>
      <w:r w:rsidR="00F86E60">
        <w:t>a</w:t>
      </w:r>
      <w:r>
        <w:t xml:space="preserve"> utility’s cost of capital </w:t>
      </w:r>
      <w:r w:rsidR="00592218">
        <w:t>when</w:t>
      </w:r>
      <w:r>
        <w:t xml:space="preserve"> </w:t>
      </w:r>
      <w:r w:rsidR="00592218">
        <w:t xml:space="preserve">implementing </w:t>
      </w:r>
      <w:r>
        <w:t>a decoupling mechanism?</w:t>
      </w:r>
    </w:p>
    <w:p w:rsidR="009E549A" w:rsidRDefault="00617FB7" w:rsidP="005779A8">
      <w:r>
        <w:lastRenderedPageBreak/>
        <w:t>A.</w:t>
      </w:r>
      <w:r>
        <w:tab/>
        <w:t>Yes</w:t>
      </w:r>
      <w:r w:rsidR="00DD7EE8">
        <w:t xml:space="preserve">, </w:t>
      </w:r>
      <w:r w:rsidR="00BB0E8F">
        <w:t>the Public Service Commission of Maryland</w:t>
      </w:r>
      <w:r w:rsidR="00945865">
        <w:t>,</w:t>
      </w:r>
      <w:r w:rsidR="00BB0E8F">
        <w:t xml:space="preserve"> in its approval of </w:t>
      </w:r>
      <w:r w:rsidR="00DD7EE8">
        <w:t xml:space="preserve">a </w:t>
      </w:r>
      <w:r w:rsidR="00BB0E8F">
        <w:t xml:space="preserve">decoupling mechanism for </w:t>
      </w:r>
      <w:r w:rsidR="00DD7EE8">
        <w:t xml:space="preserve">each of </w:t>
      </w:r>
      <w:r w:rsidR="00BB0E8F">
        <w:t>its three investor-owned utilities</w:t>
      </w:r>
      <w:r w:rsidR="00945865">
        <w:t>,</w:t>
      </w:r>
      <w:r w:rsidR="00BB0E8F">
        <w:t xml:space="preserve"> reduced the return on equity by 50 basis points.  The District of Columbia Public Service Commission </w:t>
      </w:r>
      <w:r w:rsidR="008F305C">
        <w:t>did the same</w:t>
      </w:r>
      <w:r w:rsidR="00BB0E8F">
        <w:t>.</w:t>
      </w:r>
      <w:r w:rsidR="00BB0E8F">
        <w:rPr>
          <w:rStyle w:val="FootnoteReference"/>
        </w:rPr>
        <w:footnoteReference w:id="22"/>
      </w:r>
    </w:p>
    <w:p w:rsidR="00547916" w:rsidRDefault="00547916" w:rsidP="00617FB7"/>
    <w:p w:rsidR="009E549A" w:rsidRDefault="00617FB7" w:rsidP="005779A8">
      <w:pPr>
        <w:pStyle w:val="Heading3"/>
      </w:pPr>
      <w:r>
        <w:t>Q.</w:t>
      </w:r>
      <w:r>
        <w:tab/>
      </w:r>
      <w:r w:rsidR="00F343AD">
        <w:t>I</w:t>
      </w:r>
      <w:r w:rsidR="00DF4B26">
        <w:t xml:space="preserve">f the </w:t>
      </w:r>
      <w:r>
        <w:t>Commission approves a decoupling mechanism</w:t>
      </w:r>
      <w:r w:rsidR="00DD7EE8">
        <w:t>,</w:t>
      </w:r>
      <w:r>
        <w:t xml:space="preserve"> </w:t>
      </w:r>
      <w:r w:rsidR="00DF4B26">
        <w:t xml:space="preserve">how </w:t>
      </w:r>
      <w:r w:rsidR="000D4851">
        <w:t xml:space="preserve">could </w:t>
      </w:r>
      <w:r w:rsidR="008F305C">
        <w:t>the Commission</w:t>
      </w:r>
      <w:r w:rsidR="00DF4B26">
        <w:t xml:space="preserve"> implement its </w:t>
      </w:r>
      <w:r>
        <w:t>cost of capital reduction policy?</w:t>
      </w:r>
      <w:r w:rsidR="00DD7EE8">
        <w:t xml:space="preserve">  </w:t>
      </w:r>
    </w:p>
    <w:p w:rsidR="009E549A" w:rsidRDefault="00617FB7" w:rsidP="008F305C">
      <w:r>
        <w:t>A.</w:t>
      </w:r>
      <w:r>
        <w:tab/>
      </w:r>
      <w:r w:rsidR="00D741C3">
        <w:t>The</w:t>
      </w:r>
      <w:r w:rsidR="005936D4">
        <w:t xml:space="preserve"> Commission </w:t>
      </w:r>
      <w:r w:rsidR="000D4851">
        <w:t>c</w:t>
      </w:r>
      <w:r w:rsidR="00D741C3">
        <w:t xml:space="preserve">ould </w:t>
      </w:r>
      <w:r w:rsidR="00CE798F">
        <w:t xml:space="preserve">reduce </w:t>
      </w:r>
      <w:r w:rsidR="003C5737">
        <w:t xml:space="preserve">the overall rate of return </w:t>
      </w:r>
      <w:r w:rsidR="003C5737" w:rsidRPr="00AC1C21">
        <w:t>by adopting a return on equity in the lower end of Mr. Elgin’s range (9.00 to 9.50 percent</w:t>
      </w:r>
      <w:r w:rsidR="003C5737">
        <w:rPr>
          <w:rStyle w:val="FootnoteReference"/>
        </w:rPr>
        <w:footnoteReference w:id="23"/>
      </w:r>
      <w:r w:rsidR="003C5737" w:rsidRPr="00AC1C21">
        <w:t>)</w:t>
      </w:r>
      <w:r w:rsidR="003C5737">
        <w:t>,</w:t>
      </w:r>
      <w:r w:rsidR="00B138B7">
        <w:t xml:space="preserve"> </w:t>
      </w:r>
      <w:r w:rsidR="003C5737" w:rsidRPr="00AC1C21">
        <w:t>or by reducing the amount of equity in the company’s capital structure</w:t>
      </w:r>
      <w:r w:rsidR="00CC0444">
        <w:t>,</w:t>
      </w:r>
      <w:r w:rsidR="003C5737">
        <w:rPr>
          <w:rStyle w:val="FootnoteReference"/>
        </w:rPr>
        <w:footnoteReference w:id="24"/>
      </w:r>
      <w:r w:rsidR="00CC0444">
        <w:t xml:space="preserve"> </w:t>
      </w:r>
      <w:bookmarkStart w:id="4" w:name="_GoBack"/>
      <w:bookmarkEnd w:id="4"/>
      <w:r w:rsidR="003C5737">
        <w:t>or both.</w:t>
      </w:r>
    </w:p>
    <w:p w:rsidR="00945865" w:rsidRPr="00945865" w:rsidRDefault="00945865" w:rsidP="00945865">
      <w:pPr>
        <w:jc w:val="center"/>
      </w:pPr>
    </w:p>
    <w:p w:rsidR="00617FB7" w:rsidRPr="00AD1DF5" w:rsidRDefault="00A30810" w:rsidP="00F90CBF">
      <w:pPr>
        <w:pStyle w:val="Heading2"/>
        <w:numPr>
          <w:ilvl w:val="0"/>
          <w:numId w:val="14"/>
        </w:numPr>
        <w:tabs>
          <w:tab w:val="clear" w:pos="-1440"/>
        </w:tabs>
        <w:spacing w:line="480" w:lineRule="auto"/>
        <w:ind w:left="630" w:hanging="630"/>
        <w:jc w:val="left"/>
      </w:pPr>
      <w:bookmarkStart w:id="5" w:name="_Toc314559024"/>
      <w:r w:rsidRPr="00AD1DF5">
        <w:t xml:space="preserve">NWEC’s </w:t>
      </w:r>
      <w:r w:rsidR="00617FB7" w:rsidRPr="00AD1DF5">
        <w:t>Proposal Does Not Condition Recovery on Conservation Achievement</w:t>
      </w:r>
      <w:bookmarkEnd w:id="5"/>
    </w:p>
    <w:p w:rsidR="002353CA" w:rsidRDefault="002353CA" w:rsidP="00AA0A52"/>
    <w:p w:rsidR="009E549A" w:rsidRDefault="00617FB7" w:rsidP="00530B98">
      <w:pPr>
        <w:pStyle w:val="Heading3"/>
      </w:pPr>
      <w:r>
        <w:t>Q.</w:t>
      </w:r>
      <w:r>
        <w:tab/>
        <w:t>What is the Commission’s policy regarding meeting conservation targets and revenue per customer recovery by a utility under a decoupling mechanism?</w:t>
      </w:r>
    </w:p>
    <w:p w:rsidR="00617FB7" w:rsidRPr="004F1235" w:rsidRDefault="00617FB7">
      <w:r>
        <w:t>A.</w:t>
      </w:r>
      <w:r>
        <w:tab/>
      </w:r>
      <w:r w:rsidR="007F60F1">
        <w:t>It is</w:t>
      </w:r>
      <w:r w:rsidR="00A30810">
        <w:t xml:space="preserve"> essential that the decoupled utility meet its conservation targets: </w:t>
      </w:r>
      <w:r w:rsidR="002F725A">
        <w:t xml:space="preserve"> </w:t>
      </w:r>
      <w:r>
        <w:t>“Revenue recovery by the company under the mechanism will be conditioned upon a utility’s level of achievement with respect to its conservation target.”</w:t>
      </w:r>
      <w:r>
        <w:rPr>
          <w:rStyle w:val="FootnoteReference"/>
        </w:rPr>
        <w:footnoteReference w:id="25"/>
      </w:r>
      <w:r>
        <w:t xml:space="preserve">  </w:t>
      </w:r>
      <w:r w:rsidRPr="004F1235">
        <w:t>Later</w:t>
      </w:r>
      <w:r w:rsidR="00A30810">
        <w:t xml:space="preserve"> in the Decoupling Policy Statement, </w:t>
      </w:r>
      <w:r w:rsidRPr="004F1235">
        <w:t xml:space="preserve">in </w:t>
      </w:r>
      <w:r w:rsidR="00A30810">
        <w:t xml:space="preserve">the </w:t>
      </w:r>
      <w:r w:rsidRPr="004F1235">
        <w:t>discussion about direct conservation incentives, the Commission explains further</w:t>
      </w:r>
      <w:r w:rsidR="00A30810">
        <w:t>:</w:t>
      </w:r>
    </w:p>
    <w:p w:rsidR="00617FB7" w:rsidRDefault="00617FB7" w:rsidP="00617FB7">
      <w:pPr>
        <w:spacing w:line="240" w:lineRule="auto"/>
        <w:ind w:left="1440"/>
      </w:pPr>
      <w:r>
        <w:lastRenderedPageBreak/>
        <w:tab/>
      </w:r>
      <w:r w:rsidRPr="004F1235">
        <w:t xml:space="preserve">However, the EIA, in RCW 19.285.060(4), provides us with the express authority to provide such incentives: </w:t>
      </w:r>
      <w:r>
        <w:t xml:space="preserve">  </w:t>
      </w:r>
      <w:r w:rsidRPr="004F1235">
        <w:t>“The commission … may consider providing positive incentives for an investor-owned utility to exceed the targets established in RCW 19.285.040.”  We do not read this provision to permit us to provide incentives to acquire conservation that is not cost-effective.  Rather, we read this to suggest that, between the biennial conservation targets designed to determine what cost-effective conservation can be required, the electric utility may be able to acquire additional conservation as technology is improved, federal or other matching funds become available, or for other reasons that were not known at the time of the setting of the target.</w:t>
      </w:r>
      <w:r w:rsidRPr="004F1235">
        <w:rPr>
          <w:vertAlign w:val="superscript"/>
        </w:rPr>
        <w:footnoteReference w:id="26"/>
      </w:r>
      <w:r w:rsidRPr="004F1235">
        <w:t xml:space="preserve">  </w:t>
      </w:r>
    </w:p>
    <w:p w:rsidR="00617FB7" w:rsidRDefault="00617FB7" w:rsidP="00617FB7"/>
    <w:p w:rsidR="009E549A" w:rsidRDefault="00617FB7" w:rsidP="00530B98">
      <w:pPr>
        <w:pStyle w:val="Heading3"/>
      </w:pPr>
      <w:r>
        <w:t>Q.</w:t>
      </w:r>
      <w:r>
        <w:tab/>
      </w:r>
      <w:r w:rsidR="00530B98">
        <w:t xml:space="preserve">Can </w:t>
      </w:r>
      <w:r>
        <w:t xml:space="preserve">this policy </w:t>
      </w:r>
      <w:r w:rsidR="00530B98">
        <w:t>be practically applied</w:t>
      </w:r>
      <w:r>
        <w:t>?</w:t>
      </w:r>
    </w:p>
    <w:p w:rsidR="00617FB7" w:rsidRPr="004F1235" w:rsidRDefault="00617FB7">
      <w:r>
        <w:t>A.</w:t>
      </w:r>
      <w:r>
        <w:tab/>
        <w:t xml:space="preserve">Yes.  Staff’s </w:t>
      </w:r>
      <w:r w:rsidR="002F725A">
        <w:t>r</w:t>
      </w:r>
      <w:r>
        <w:t xml:space="preserve">esponse to </w:t>
      </w:r>
      <w:r w:rsidR="002F725A">
        <w:t xml:space="preserve">the decoupling </w:t>
      </w:r>
      <w:r>
        <w:t xml:space="preserve">Bench Request </w:t>
      </w:r>
      <w:r w:rsidR="00A30810">
        <w:t xml:space="preserve">identifies </w:t>
      </w:r>
      <w:r>
        <w:t xml:space="preserve">a Conservation Test that </w:t>
      </w:r>
      <w:r w:rsidR="00A30810">
        <w:t xml:space="preserve">would </w:t>
      </w:r>
      <w:r>
        <w:t>implement this policy</w:t>
      </w:r>
      <w:r w:rsidRPr="004F1235">
        <w:t>.</w:t>
      </w:r>
      <w:r w:rsidR="00471AFC">
        <w:rPr>
          <w:rStyle w:val="FootnoteReference"/>
        </w:rPr>
        <w:footnoteReference w:id="27"/>
      </w:r>
      <w:r w:rsidRPr="004F1235">
        <w:t xml:space="preserve">  </w:t>
      </w:r>
    </w:p>
    <w:p w:rsidR="00617FB7" w:rsidRDefault="00617FB7" w:rsidP="00617FB7"/>
    <w:p w:rsidR="009E549A" w:rsidRDefault="00617FB7" w:rsidP="00530B98">
      <w:pPr>
        <w:pStyle w:val="Heading3"/>
      </w:pPr>
      <w:r>
        <w:t>Q.</w:t>
      </w:r>
      <w:r>
        <w:tab/>
        <w:t>Does NWEC’s proposal condition</w:t>
      </w:r>
      <w:r w:rsidR="00A30810">
        <w:t xml:space="preserve"> PSE’s revenue recovery under decoupling with achieving </w:t>
      </w:r>
      <w:r w:rsidR="00857518">
        <w:t xml:space="preserve">the Company’s </w:t>
      </w:r>
      <w:r w:rsidR="00A30810">
        <w:t>conservation targets</w:t>
      </w:r>
      <w:r>
        <w:t>?</w:t>
      </w:r>
    </w:p>
    <w:p w:rsidR="003B01D4" w:rsidRPr="003B01D4" w:rsidRDefault="00617FB7" w:rsidP="00617FB7">
      <w:r w:rsidRPr="003B01D4">
        <w:t>A.</w:t>
      </w:r>
      <w:r w:rsidRPr="003B01D4">
        <w:tab/>
        <w:t>No.</w:t>
      </w:r>
      <w:r w:rsidR="00945865" w:rsidRPr="003B01D4">
        <w:t xml:space="preserve">  Consequently, the proposal should be rejected</w:t>
      </w:r>
      <w:r w:rsidR="003B01D4" w:rsidRPr="003B01D4">
        <w:t xml:space="preserve"> by the Commission</w:t>
      </w:r>
      <w:r w:rsidR="00945865" w:rsidRPr="003B01D4">
        <w:t>.</w:t>
      </w:r>
    </w:p>
    <w:p w:rsidR="00A3019D" w:rsidRDefault="00A3019D" w:rsidP="00617FB7"/>
    <w:p w:rsidR="00617FB7" w:rsidRPr="00516E1D" w:rsidRDefault="00A3019D" w:rsidP="00F90CBF">
      <w:pPr>
        <w:pStyle w:val="Heading2"/>
        <w:tabs>
          <w:tab w:val="clear" w:pos="-1440"/>
        </w:tabs>
        <w:ind w:left="720" w:hanging="720"/>
        <w:jc w:val="left"/>
        <w:rPr>
          <w:i/>
        </w:rPr>
      </w:pPr>
      <w:bookmarkStart w:id="6" w:name="_Toc314559025"/>
      <w:r w:rsidRPr="00516E1D">
        <w:t>NWEC</w:t>
      </w:r>
      <w:r w:rsidR="00E36EA2">
        <w:t>’s</w:t>
      </w:r>
      <w:r w:rsidRPr="00516E1D">
        <w:t xml:space="preserve"> </w:t>
      </w:r>
      <w:r w:rsidR="00617FB7" w:rsidRPr="00516E1D">
        <w:t xml:space="preserve">Proposal </w:t>
      </w:r>
      <w:r w:rsidRPr="00516E1D">
        <w:t xml:space="preserve">Does Not Identify </w:t>
      </w:r>
      <w:r w:rsidR="00617FB7" w:rsidRPr="00516E1D">
        <w:t xml:space="preserve">Comparable Conservation Benefits </w:t>
      </w:r>
      <w:r w:rsidRPr="00516E1D">
        <w:t xml:space="preserve">to </w:t>
      </w:r>
      <w:r w:rsidR="00617FB7" w:rsidRPr="00516E1D">
        <w:t>Low</w:t>
      </w:r>
      <w:r w:rsidRPr="00516E1D">
        <w:t xml:space="preserve">-Income </w:t>
      </w:r>
      <w:r w:rsidR="00617FB7" w:rsidRPr="00516E1D">
        <w:t>Customers</w:t>
      </w:r>
      <w:bookmarkEnd w:id="6"/>
    </w:p>
    <w:p w:rsidR="003B01D4" w:rsidRPr="003B01D4" w:rsidRDefault="003B01D4" w:rsidP="003B01D4">
      <w:pPr>
        <w:pStyle w:val="ListParagraph"/>
        <w:ind w:left="810"/>
      </w:pPr>
    </w:p>
    <w:p w:rsidR="009E549A" w:rsidRDefault="00617FB7" w:rsidP="00F339FC">
      <w:pPr>
        <w:pStyle w:val="Heading3"/>
      </w:pPr>
      <w:r>
        <w:t>Q.</w:t>
      </w:r>
      <w:r>
        <w:tab/>
        <w:t xml:space="preserve">What is the Commission’s policy on </w:t>
      </w:r>
      <w:r w:rsidR="00A3019D">
        <w:t xml:space="preserve">conservation for </w:t>
      </w:r>
      <w:r>
        <w:t>low income customers in the context of full decoupling?</w:t>
      </w:r>
    </w:p>
    <w:p w:rsidR="00617FB7" w:rsidRPr="00F339FC" w:rsidRDefault="00617FB7" w:rsidP="00617FB7">
      <w:r>
        <w:t>A.</w:t>
      </w:r>
      <w:r>
        <w:tab/>
        <w:t>The Commission’s policy is:</w:t>
      </w:r>
    </w:p>
    <w:p w:rsidR="002F42C2" w:rsidRDefault="00617FB7" w:rsidP="002F42C2">
      <w:pPr>
        <w:spacing w:line="240" w:lineRule="auto"/>
        <w:ind w:left="1440"/>
      </w:pPr>
      <w:r>
        <w:tab/>
      </w:r>
      <w:r w:rsidRPr="00771642">
        <w:rPr>
          <w:i/>
        </w:rPr>
        <w:t>Low-income.</w:t>
      </w:r>
      <w:r>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w:t>
      </w:r>
      <w:r>
        <w:lastRenderedPageBreak/>
        <w:t>achieving a level of conservation comparable to that achieved by other ratepayers, so long as such programs are feasible within cost-effectiveness standards.</w:t>
      </w:r>
      <w:r w:rsidR="00B46C8F">
        <w:rPr>
          <w:rStyle w:val="FootnoteReference"/>
        </w:rPr>
        <w:footnoteReference w:id="28"/>
      </w:r>
      <w:r>
        <w:t xml:space="preserve"> </w:t>
      </w:r>
    </w:p>
    <w:p w:rsidR="003B01D4" w:rsidRDefault="003B01D4" w:rsidP="002F42C2">
      <w:pPr>
        <w:spacing w:line="240" w:lineRule="auto"/>
        <w:ind w:left="1440"/>
      </w:pPr>
    </w:p>
    <w:p w:rsidR="003A4B39" w:rsidRDefault="003A4B39" w:rsidP="002F42C2">
      <w:pPr>
        <w:spacing w:line="240" w:lineRule="auto"/>
        <w:ind w:left="1440"/>
      </w:pPr>
    </w:p>
    <w:p w:rsidR="009E549A" w:rsidRDefault="00617FB7" w:rsidP="00F339FC">
      <w:pPr>
        <w:pStyle w:val="Heading3"/>
      </w:pPr>
      <w:r>
        <w:t>Q.</w:t>
      </w:r>
      <w:r>
        <w:tab/>
        <w:t>Does NWEC’s proposal satisfy th</w:t>
      </w:r>
      <w:r w:rsidR="003B01D4">
        <w:t>is</w:t>
      </w:r>
      <w:r>
        <w:t xml:space="preserve"> Commission policy</w:t>
      </w:r>
      <w:r w:rsidR="003B01D4">
        <w:t>?</w:t>
      </w:r>
    </w:p>
    <w:p w:rsidR="009E549A" w:rsidRDefault="00617FB7" w:rsidP="00F339FC">
      <w:r>
        <w:t>A.</w:t>
      </w:r>
      <w:r>
        <w:tab/>
        <w:t>No.  In response to Staff Data Request 3, NWEC states that “Mr. Cavanagh has not conducted such analysis.”</w:t>
      </w:r>
    </w:p>
    <w:p w:rsidR="00617FB7" w:rsidRDefault="00617FB7" w:rsidP="00617FB7"/>
    <w:p w:rsidR="009E549A" w:rsidRDefault="00617FB7" w:rsidP="00F339FC">
      <w:pPr>
        <w:pStyle w:val="Heading3"/>
      </w:pPr>
      <w:r>
        <w:t>Q.</w:t>
      </w:r>
      <w:r>
        <w:tab/>
      </w:r>
      <w:r w:rsidR="00A3019D">
        <w:t xml:space="preserve">Did Staff independently determine whether PSE’s </w:t>
      </w:r>
      <w:r>
        <w:t>conservation programs provide benefits to low-income ratepayers that are roughly comparable to other ratepayers?</w:t>
      </w:r>
    </w:p>
    <w:p w:rsidR="009E549A" w:rsidRDefault="00617FB7" w:rsidP="00F339FC">
      <w:r>
        <w:t>A.</w:t>
      </w:r>
      <w:r>
        <w:tab/>
      </w:r>
      <w:r w:rsidR="00A3019D">
        <w:t xml:space="preserve">No.  Staff does </w:t>
      </w:r>
      <w:r w:rsidR="00857518">
        <w:t>not</w:t>
      </w:r>
      <w:r w:rsidR="00A3019D">
        <w:t xml:space="preserve"> have the information available to conduct such analysis.</w:t>
      </w:r>
    </w:p>
    <w:p w:rsidR="003B01D4" w:rsidRDefault="003B01D4" w:rsidP="00F339FC"/>
    <w:p w:rsidR="00B5420A" w:rsidRDefault="00B5420A" w:rsidP="00B5420A">
      <w:pPr>
        <w:pStyle w:val="Heading3"/>
      </w:pPr>
      <w:r>
        <w:t>Q.</w:t>
      </w:r>
      <w:r>
        <w:tab/>
        <w:t>What do you conclude regarding NWEC’s proposal?</w:t>
      </w:r>
    </w:p>
    <w:p w:rsidR="00B5420A" w:rsidRDefault="00B5420A" w:rsidP="00B5420A">
      <w:r>
        <w:t>A.</w:t>
      </w:r>
      <w:r>
        <w:tab/>
        <w:t>NWEC’s full decoupling proposal should be rejected because it does not address whether PSE’s conservation programs provide comparable benefits to low-income ratepayers and others.</w:t>
      </w:r>
    </w:p>
    <w:p w:rsidR="00B5420A" w:rsidRDefault="00B5420A" w:rsidP="00F339FC"/>
    <w:p w:rsidR="00617FB7" w:rsidRPr="003B01D4" w:rsidRDefault="0006130D" w:rsidP="00F90CBF">
      <w:pPr>
        <w:pStyle w:val="Heading2"/>
        <w:tabs>
          <w:tab w:val="clear" w:pos="-1440"/>
        </w:tabs>
        <w:spacing w:line="480" w:lineRule="auto"/>
        <w:ind w:left="720" w:hanging="720"/>
        <w:jc w:val="left"/>
        <w:rPr>
          <w:i/>
        </w:rPr>
      </w:pPr>
      <w:bookmarkStart w:id="7" w:name="_Toc314559026"/>
      <w:r w:rsidRPr="003B01D4">
        <w:t xml:space="preserve">NWEC’s </w:t>
      </w:r>
      <w:r w:rsidR="00617FB7" w:rsidRPr="003B01D4">
        <w:t xml:space="preserve">Proposal </w:t>
      </w:r>
      <w:r w:rsidRPr="003B01D4">
        <w:t>D</w:t>
      </w:r>
      <w:r w:rsidR="00617FB7" w:rsidRPr="003B01D4">
        <w:t xml:space="preserve">oes </w:t>
      </w:r>
      <w:r w:rsidRPr="003B01D4">
        <w:t>N</w:t>
      </w:r>
      <w:r w:rsidR="00617FB7" w:rsidRPr="003B01D4">
        <w:t xml:space="preserve">ot Describe Incremental </w:t>
      </w:r>
      <w:r w:rsidR="002D1E41" w:rsidRPr="003B01D4">
        <w:t>Conservation</w:t>
      </w:r>
      <w:bookmarkEnd w:id="7"/>
    </w:p>
    <w:p w:rsidR="003B01D4" w:rsidRPr="003B01D4" w:rsidRDefault="003B01D4" w:rsidP="00F90CBF"/>
    <w:p w:rsidR="009E549A" w:rsidRDefault="00617FB7" w:rsidP="00F339FC">
      <w:pPr>
        <w:pStyle w:val="Heading3"/>
      </w:pPr>
      <w:r>
        <w:t>Q.</w:t>
      </w:r>
      <w:r>
        <w:tab/>
        <w:t xml:space="preserve">What is the Commission’s policy regarding </w:t>
      </w:r>
      <w:r w:rsidR="00E36EA2">
        <w:t xml:space="preserve">a </w:t>
      </w:r>
      <w:r>
        <w:t>utility’s acquisition of more conservation than it would have acquired</w:t>
      </w:r>
      <w:r w:rsidR="0006130D">
        <w:t xml:space="preserve"> absent decoupling</w:t>
      </w:r>
      <w:r>
        <w:t>?</w:t>
      </w:r>
    </w:p>
    <w:p w:rsidR="003B01D4" w:rsidRDefault="00617FB7" w:rsidP="003B01D4">
      <w:r>
        <w:lastRenderedPageBreak/>
        <w:t>A.</w:t>
      </w:r>
      <w:r>
        <w:tab/>
        <w:t>The Commission requires a decoupling proposal to contain: “Evidence describing any incremental conservation the company intends to pursue in conjunction with the mechanism”.</w:t>
      </w:r>
      <w:r w:rsidR="00B46C8F">
        <w:rPr>
          <w:rStyle w:val="FootnoteReference"/>
        </w:rPr>
        <w:footnoteReference w:id="29"/>
      </w:r>
      <w:r>
        <w:t xml:space="preserve"> </w:t>
      </w:r>
    </w:p>
    <w:p w:rsidR="003B01D4" w:rsidRPr="003B01D4" w:rsidRDefault="003B01D4" w:rsidP="003B01D4"/>
    <w:p w:rsidR="00617FB7" w:rsidRDefault="000935EF" w:rsidP="002D1E41">
      <w:pPr>
        <w:pStyle w:val="Heading3"/>
      </w:pPr>
      <w:r>
        <w:t>Q.</w:t>
      </w:r>
      <w:r>
        <w:tab/>
      </w:r>
      <w:r w:rsidR="002D1E41">
        <w:t>Does</w:t>
      </w:r>
      <w:r>
        <w:t xml:space="preserve"> </w:t>
      </w:r>
      <w:r w:rsidR="00113E2D">
        <w:t xml:space="preserve">Mr. Cavanagh </w:t>
      </w:r>
      <w:r w:rsidR="003B01D4">
        <w:t>address this policy</w:t>
      </w:r>
      <w:r w:rsidR="00617FB7">
        <w:t>?</w:t>
      </w:r>
    </w:p>
    <w:p w:rsidR="003B01D4" w:rsidRDefault="000935EF" w:rsidP="00B5420A">
      <w:r>
        <w:t>A.</w:t>
      </w:r>
      <w:r>
        <w:tab/>
        <w:t>No.</w:t>
      </w:r>
      <w:r w:rsidR="00113E2D">
        <w:t xml:space="preserve"> </w:t>
      </w:r>
      <w:r w:rsidR="003B01D4">
        <w:t xml:space="preserve"> T</w:t>
      </w:r>
      <w:r w:rsidR="006741D6">
        <w:t xml:space="preserve">he only specific levels of conservation </w:t>
      </w:r>
      <w:r w:rsidR="00113E2D">
        <w:t xml:space="preserve">Mr. Cavanagh refers to </w:t>
      </w:r>
      <w:r w:rsidR="006741D6">
        <w:t xml:space="preserve">are </w:t>
      </w:r>
      <w:r w:rsidR="00113E2D">
        <w:t xml:space="preserve">conservation targets </w:t>
      </w:r>
      <w:r w:rsidR="00DF34FA">
        <w:t xml:space="preserve">that are </w:t>
      </w:r>
      <w:r w:rsidR="00113E2D">
        <w:t>in place</w:t>
      </w:r>
      <w:r w:rsidR="000F5581">
        <w:t xml:space="preserve"> </w:t>
      </w:r>
      <w:r w:rsidR="00DF34FA">
        <w:t xml:space="preserve">for </w:t>
      </w:r>
      <w:r w:rsidR="002D1E41">
        <w:t xml:space="preserve">PSE </w:t>
      </w:r>
      <w:r w:rsidR="000F5581">
        <w:t>today</w:t>
      </w:r>
      <w:r w:rsidR="00DF34FA">
        <w:t>, absent decoupling</w:t>
      </w:r>
      <w:r w:rsidR="00113E2D">
        <w:t>.</w:t>
      </w:r>
      <w:r w:rsidR="003B01D4">
        <w:rPr>
          <w:rStyle w:val="FootnoteReference"/>
        </w:rPr>
        <w:footnoteReference w:id="30"/>
      </w:r>
      <w:r w:rsidR="003B01D4" w:rsidRPr="003B01D4">
        <w:t xml:space="preserve"> </w:t>
      </w:r>
      <w:r w:rsidR="003B01D4">
        <w:t xml:space="preserve"> Consequently, NWEC’s full decoupling proposal should be rejected because it does not describe incremental conservation that would result from implementing decoupling.</w:t>
      </w:r>
    </w:p>
    <w:p w:rsidR="003B01D4" w:rsidRDefault="003B01D4" w:rsidP="00B5420A"/>
    <w:p w:rsidR="00617FB7" w:rsidRPr="00AD1DF5" w:rsidRDefault="00284257" w:rsidP="00F90CBF">
      <w:pPr>
        <w:pStyle w:val="Heading2"/>
        <w:tabs>
          <w:tab w:val="clear" w:pos="-1440"/>
        </w:tabs>
        <w:ind w:left="720" w:hanging="720"/>
        <w:jc w:val="left"/>
      </w:pPr>
      <w:bookmarkStart w:id="8" w:name="_Toc314559027"/>
      <w:r w:rsidRPr="00AD1DF5">
        <w:t xml:space="preserve">NWEC’s </w:t>
      </w:r>
      <w:r w:rsidR="002D1E41" w:rsidRPr="00AD1DF5">
        <w:t xml:space="preserve">Proposal </w:t>
      </w:r>
      <w:r w:rsidRPr="00AD1DF5">
        <w:t>D</w:t>
      </w:r>
      <w:r w:rsidR="002D1E41" w:rsidRPr="00AD1DF5">
        <w:t xml:space="preserve">oes </w:t>
      </w:r>
      <w:r w:rsidR="00B30A97">
        <w:t>N</w:t>
      </w:r>
      <w:r w:rsidR="00B30A97" w:rsidRPr="00AD1DF5">
        <w:t xml:space="preserve">ot </w:t>
      </w:r>
      <w:r w:rsidR="00617FB7" w:rsidRPr="00AD1DF5">
        <w:t>Account for the Net Benefits of Off-System Sales and Costs Avoided Due to the Utility’s Conservation Efforts</w:t>
      </w:r>
      <w:bookmarkEnd w:id="8"/>
    </w:p>
    <w:p w:rsidR="002F42C2" w:rsidRPr="00AD1DF5" w:rsidRDefault="002F42C2" w:rsidP="00FB2784"/>
    <w:p w:rsidR="009E549A" w:rsidRDefault="00617FB7" w:rsidP="00DC5950">
      <w:pPr>
        <w:pStyle w:val="Heading3"/>
      </w:pPr>
      <w:r>
        <w:t>Q.</w:t>
      </w:r>
      <w:r>
        <w:tab/>
        <w:t>What is the Commission’s policy on increased wholesale sales as a result of decoupling?</w:t>
      </w:r>
    </w:p>
    <w:p w:rsidR="00617FB7" w:rsidRDefault="00617FB7">
      <w:r>
        <w:t xml:space="preserve">A. </w:t>
      </w:r>
      <w:r>
        <w:tab/>
        <w:t>The Commission requires a full decoupling mechanism to account for certain off-system sales and avoided costs, and to net the benefits as part of the true-up:</w:t>
      </w:r>
    </w:p>
    <w:p w:rsidR="00617FB7" w:rsidRDefault="00617FB7" w:rsidP="0006130D">
      <w:pPr>
        <w:spacing w:line="240" w:lineRule="auto"/>
        <w:ind w:left="1440"/>
      </w:pPr>
      <w:r>
        <w:tab/>
      </w:r>
      <w:r w:rsidR="00E07C71" w:rsidRPr="006C1D8C">
        <w:rPr>
          <w:i/>
        </w:rPr>
        <w:t>Accounting for Off-System Sales and Avoided Costs.</w:t>
      </w:r>
      <w:r w:rsidR="00E07C71" w:rsidRPr="00DC5950">
        <w:t xml:space="preserve">  </w:t>
      </w:r>
      <w:r>
        <w:t xml:space="preserve">A description of the method the company intends to use to determine the financial benefits associated with off-system sales or avoided costs attributable to the utility's conservation efforts and then to net these benefits against the true-up provided in this mechanism. </w:t>
      </w:r>
      <w:r>
        <w:rPr>
          <w:rStyle w:val="FootnoteReference"/>
        </w:rPr>
        <w:footnoteReference w:id="31"/>
      </w:r>
    </w:p>
    <w:p w:rsidR="0006130D" w:rsidRDefault="0006130D" w:rsidP="0006130D">
      <w:pPr>
        <w:spacing w:line="240" w:lineRule="auto"/>
        <w:ind w:left="1440"/>
      </w:pPr>
    </w:p>
    <w:p w:rsidR="00617FB7" w:rsidRDefault="00617FB7">
      <w:r>
        <w:tab/>
        <w:t>In the related footnote, the Commission explains:</w:t>
      </w:r>
    </w:p>
    <w:p w:rsidR="00617FB7" w:rsidRDefault="00617FB7" w:rsidP="00617FB7">
      <w:pPr>
        <w:spacing w:line="240" w:lineRule="auto"/>
        <w:ind w:left="1440"/>
      </w:pPr>
      <w:r>
        <w:lastRenderedPageBreak/>
        <w:tab/>
        <w:t>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electric 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 not incorporated into the calculation of the power costs, is a direct benefit to the utility shareholders.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w:t>
      </w:r>
      <w:r>
        <w:rPr>
          <w:rStyle w:val="FootnoteReference"/>
        </w:rPr>
        <w:footnoteReference w:id="32"/>
      </w:r>
      <w:r>
        <w:t xml:space="preserve"> </w:t>
      </w:r>
      <w:r>
        <w:tab/>
      </w:r>
    </w:p>
    <w:p w:rsidR="009E549A" w:rsidRDefault="009E549A" w:rsidP="00DC5950"/>
    <w:p w:rsidR="009E549A" w:rsidRDefault="00617FB7" w:rsidP="00DC5950">
      <w:pPr>
        <w:pStyle w:val="Heading3"/>
      </w:pPr>
      <w:r>
        <w:t>Q.</w:t>
      </w:r>
      <w:r>
        <w:tab/>
        <w:t>Is this Commission policy appropriate?</w:t>
      </w:r>
    </w:p>
    <w:p w:rsidR="009E549A" w:rsidRDefault="00617FB7" w:rsidP="00DC5950">
      <w:r>
        <w:t>A.</w:t>
      </w:r>
      <w:r>
        <w:tab/>
        <w:t xml:space="preserve">Yes.  When customers conserve energy, the utility </w:t>
      </w:r>
      <w:r w:rsidR="008B66AC">
        <w:t xml:space="preserve">should </w:t>
      </w:r>
      <w:r>
        <w:t xml:space="preserve">market the electricity the utility would have sold to its own retail customers.  Moreover, the utility incurs lower costs due to the wholesale sales, such as reduced line losses, reduced uncollectible expense, and avoidance of the Public Utility Tax, which effectively applies only to retail sales.  </w:t>
      </w:r>
    </w:p>
    <w:p w:rsidR="009E549A" w:rsidRDefault="00617FB7" w:rsidP="00DC5950">
      <w:r>
        <w:tab/>
      </w:r>
      <w:r>
        <w:tab/>
        <w:t xml:space="preserve">Under full decoupling, ratepayers guarantee the utility’s recovery of a specified level of revenues per customer.  It is appropriate for </w:t>
      </w:r>
      <w:r w:rsidR="001D766B">
        <w:t xml:space="preserve">the decoupling mechanism </w:t>
      </w:r>
      <w:r>
        <w:t xml:space="preserve">to </w:t>
      </w:r>
      <w:r w:rsidR="001D766B">
        <w:t xml:space="preserve">recognize </w:t>
      </w:r>
      <w:r>
        <w:t>the benefits of enhanced wholesale sales that may result from decoupling.</w:t>
      </w:r>
      <w:r w:rsidR="008B66AC">
        <w:t xml:space="preserve">  </w:t>
      </w:r>
    </w:p>
    <w:p w:rsidR="00617FB7" w:rsidRDefault="00617FB7" w:rsidP="00617FB7"/>
    <w:p w:rsidR="00617FB7" w:rsidRDefault="00617FB7" w:rsidP="00F90CBF">
      <w:pPr>
        <w:pStyle w:val="Heading3"/>
        <w:keepNext/>
      </w:pPr>
      <w:r>
        <w:lastRenderedPageBreak/>
        <w:t>Q.</w:t>
      </w:r>
      <w:r>
        <w:tab/>
      </w:r>
      <w:r w:rsidR="00DC5950">
        <w:t>Can this policy be practically applied</w:t>
      </w:r>
      <w:r>
        <w:t>?</w:t>
      </w:r>
    </w:p>
    <w:p w:rsidR="00617FB7" w:rsidRDefault="00617FB7" w:rsidP="00617FB7">
      <w:r>
        <w:t>A.</w:t>
      </w:r>
      <w:r>
        <w:tab/>
      </w:r>
      <w:r w:rsidR="00291A68">
        <w:t xml:space="preserve">Not within </w:t>
      </w:r>
      <w:r w:rsidR="004971F8">
        <w:t xml:space="preserve">the </w:t>
      </w:r>
      <w:r w:rsidR="00291A68">
        <w:t>decoupling mechanism</w:t>
      </w:r>
      <w:r w:rsidR="004971F8">
        <w:t xml:space="preserve"> itself</w:t>
      </w:r>
      <w:r>
        <w:t xml:space="preserve">.  </w:t>
      </w:r>
      <w:r w:rsidR="00114823">
        <w:t xml:space="preserve">Rather, this policy could be </w:t>
      </w:r>
      <w:r w:rsidR="006C1D8C">
        <w:t>implemented by</w:t>
      </w:r>
      <w:r w:rsidR="00114823">
        <w:t xml:space="preserve"> revising the PCA.  One possible revision could be to </w:t>
      </w:r>
      <w:r w:rsidR="004971F8">
        <w:t>remov</w:t>
      </w:r>
      <w:r w:rsidR="00114823">
        <w:t>e</w:t>
      </w:r>
      <w:r w:rsidR="004971F8">
        <w:t xml:space="preserve"> the deadband</w:t>
      </w:r>
      <w:r>
        <w:t>.</w:t>
      </w:r>
      <w:r w:rsidR="00291A68">
        <w:rPr>
          <w:rStyle w:val="FootnoteReference"/>
        </w:rPr>
        <w:footnoteReference w:id="33"/>
      </w:r>
      <w:r w:rsidR="004971F8">
        <w:t xml:space="preserve">  Needless to say, addressing this policy will require more detailed analysis than has been presented thus far.</w:t>
      </w:r>
    </w:p>
    <w:p w:rsidR="009E549A" w:rsidRDefault="009E549A" w:rsidP="00DC5950"/>
    <w:p w:rsidR="009E549A" w:rsidRDefault="00617FB7" w:rsidP="00DC5950">
      <w:pPr>
        <w:pStyle w:val="Heading3"/>
      </w:pPr>
      <w:r>
        <w:t>Q.</w:t>
      </w:r>
      <w:r>
        <w:tab/>
        <w:t>Does NWEC’s proposal apply this Commission policy?</w:t>
      </w:r>
    </w:p>
    <w:p w:rsidR="009E549A" w:rsidRDefault="00617FB7" w:rsidP="00DC5950">
      <w:r>
        <w:t>A.</w:t>
      </w:r>
      <w:r>
        <w:tab/>
        <w:t xml:space="preserve">No.  Mr. Cavanagh suggests the Commission ignore this policy on the basis of his belief that </w:t>
      </w:r>
      <w:r w:rsidR="00284257">
        <w:t xml:space="preserve">PSE’s </w:t>
      </w:r>
      <w:r>
        <w:t>PCA “already addresses this concern” regarding enhanced wholesale sales.</w:t>
      </w:r>
      <w:r>
        <w:rPr>
          <w:rStyle w:val="FootnoteReference"/>
        </w:rPr>
        <w:footnoteReference w:id="34"/>
      </w:r>
      <w:r>
        <w:t xml:space="preserve">  </w:t>
      </w:r>
    </w:p>
    <w:p w:rsidR="00617FB7" w:rsidRDefault="00617FB7" w:rsidP="00617FB7"/>
    <w:p w:rsidR="009E549A" w:rsidRDefault="00617FB7" w:rsidP="00DC5950">
      <w:pPr>
        <w:pStyle w:val="Heading3"/>
      </w:pPr>
      <w:r>
        <w:t>Q.</w:t>
      </w:r>
      <w:r>
        <w:tab/>
        <w:t>Is Mr. Cavanagh</w:t>
      </w:r>
      <w:r w:rsidR="00114823">
        <w:t>’s characterization</w:t>
      </w:r>
      <w:r w:rsidR="00BE656D">
        <w:t xml:space="preserve"> of</w:t>
      </w:r>
      <w:r w:rsidR="00284257">
        <w:t xml:space="preserve"> PSE’s </w:t>
      </w:r>
      <w:r>
        <w:t xml:space="preserve">PCA </w:t>
      </w:r>
      <w:r w:rsidR="00114823">
        <w:t>correct</w:t>
      </w:r>
      <w:r>
        <w:t>?</w:t>
      </w:r>
    </w:p>
    <w:p w:rsidR="009E549A" w:rsidRDefault="00617FB7" w:rsidP="00DC5950">
      <w:r>
        <w:t>A.</w:t>
      </w:r>
      <w:r>
        <w:tab/>
        <w:t xml:space="preserve">No.  </w:t>
      </w:r>
      <w:r w:rsidR="00284257">
        <w:t xml:space="preserve">PSE’s </w:t>
      </w:r>
      <w:r>
        <w:t>PCA has a “dead band” and “sharing bands” which, as a practical matter, would result in ratepayers not receiving the full benefit of incremental wholesale sales occasioned by full decoupling.  This is because any such sales likely would fall within the dead band and</w:t>
      </w:r>
      <w:r w:rsidR="006C6715">
        <w:t>,</w:t>
      </w:r>
      <w:r>
        <w:t xml:space="preserve"> therefore</w:t>
      </w:r>
      <w:r w:rsidR="006C6715">
        <w:t>,</w:t>
      </w:r>
      <w:r>
        <w:t xml:space="preserve"> PSE would retain any benefits of enhanced wholesale sales due to decoupling.</w:t>
      </w:r>
      <w:r w:rsidR="00D40025">
        <w:rPr>
          <w:rStyle w:val="FootnoteReference"/>
        </w:rPr>
        <w:footnoteReference w:id="35"/>
      </w:r>
      <w:r w:rsidR="00371C9A">
        <w:t xml:space="preserve"> </w:t>
      </w:r>
      <w:r w:rsidR="00371C9A" w:rsidRPr="00371C9A">
        <w:t xml:space="preserve"> </w:t>
      </w:r>
    </w:p>
    <w:p w:rsidR="00617FB7" w:rsidRDefault="00617FB7" w:rsidP="00617FB7"/>
    <w:p w:rsidR="00284257" w:rsidDel="00284257" w:rsidRDefault="00617FB7" w:rsidP="002F42C2">
      <w:pPr>
        <w:pStyle w:val="Heading3"/>
      </w:pPr>
      <w:r w:rsidRPr="002F42C2">
        <w:t>Q.</w:t>
      </w:r>
      <w:r w:rsidRPr="002F42C2">
        <w:tab/>
      </w:r>
      <w:r w:rsidR="00114823">
        <w:t xml:space="preserve">Is it </w:t>
      </w:r>
      <w:r w:rsidR="00167359" w:rsidRPr="002F42C2">
        <w:t xml:space="preserve">consistent with the Decoupling Policy Statement to </w:t>
      </w:r>
      <w:r w:rsidR="00284257" w:rsidRPr="002F42C2">
        <w:t xml:space="preserve">allow decoupling </w:t>
      </w:r>
      <w:r w:rsidR="006C6715">
        <w:t xml:space="preserve">while also </w:t>
      </w:r>
      <w:r w:rsidR="00284257" w:rsidRPr="002F42C2">
        <w:t>maintain</w:t>
      </w:r>
      <w:r w:rsidR="006C6715">
        <w:t>ing</w:t>
      </w:r>
      <w:r w:rsidR="00284257" w:rsidRPr="002F42C2">
        <w:t xml:space="preserve"> the </w:t>
      </w:r>
      <w:r w:rsidR="00167359" w:rsidRPr="002F42C2">
        <w:t xml:space="preserve">current </w:t>
      </w:r>
      <w:r w:rsidR="00284257" w:rsidRPr="002F42C2">
        <w:t>PCA</w:t>
      </w:r>
      <w:r w:rsidR="00167359" w:rsidRPr="002F42C2">
        <w:t>?</w:t>
      </w:r>
    </w:p>
    <w:p w:rsidR="009E549A" w:rsidRDefault="00617FB7" w:rsidP="00DC5950">
      <w:r>
        <w:lastRenderedPageBreak/>
        <w:t>A.</w:t>
      </w:r>
      <w:r>
        <w:tab/>
        <w:t xml:space="preserve">No.  The current structure of the PCA and the Commission’s decoupling policy on enhanced wholesale sales are not compatible.  If the Commission wishes to implement full decoupling for PSE, there are two choices: </w:t>
      </w:r>
      <w:r w:rsidR="00A20CE0">
        <w:t xml:space="preserve"> </w:t>
      </w:r>
      <w:r>
        <w:t>change the PCA,</w:t>
      </w:r>
      <w:r w:rsidR="00BE656D">
        <w:t xml:space="preserve"> </w:t>
      </w:r>
      <w:r>
        <w:t xml:space="preserve">or do not apply the Commission’s decoupling policy on wholesale sales.  In short, Mr. Cavanagh chooses to not apply the Commission’s decoupling policy on wholesale sales, without adequately supporting that choice.  </w:t>
      </w:r>
    </w:p>
    <w:p w:rsidR="00617FB7" w:rsidRDefault="00617FB7" w:rsidP="00617FB7"/>
    <w:p w:rsidR="009E549A" w:rsidRDefault="00617FB7" w:rsidP="00DC5950">
      <w:pPr>
        <w:pStyle w:val="Heading3"/>
      </w:pPr>
      <w:r>
        <w:t>Q.</w:t>
      </w:r>
      <w:r>
        <w:tab/>
        <w:t>What choice should the Commission make and why?</w:t>
      </w:r>
    </w:p>
    <w:p w:rsidR="00A20CE0" w:rsidRDefault="00617FB7" w:rsidP="00617FB7">
      <w:r>
        <w:t>A.</w:t>
      </w:r>
      <w:r>
        <w:tab/>
      </w:r>
      <w:r w:rsidR="00A20CE0">
        <w:t xml:space="preserve">Should the Commission choose to implement full decoupling for PSE, it should maintain its policy regarding wholesale sales.  </w:t>
      </w:r>
      <w:r w:rsidR="004971F8">
        <w:t xml:space="preserve">However, </w:t>
      </w:r>
      <w:r w:rsidR="00EC125F">
        <w:t xml:space="preserve">Staff believes the Commission does not have sufficient time or record in this </w:t>
      </w:r>
      <w:r w:rsidR="004971F8">
        <w:t>docket</w:t>
      </w:r>
      <w:r w:rsidR="00EC125F">
        <w:t xml:space="preserve"> to both address full decoupling and </w:t>
      </w:r>
      <w:r w:rsidR="004971F8">
        <w:t xml:space="preserve">appropriately </w:t>
      </w:r>
      <w:r w:rsidR="00EC125F">
        <w:t xml:space="preserve">revise the PCA.  </w:t>
      </w:r>
      <w:r w:rsidR="00A20CE0">
        <w:t xml:space="preserve">Therefore, </w:t>
      </w:r>
      <w:r w:rsidR="00735B87">
        <w:t>any decision to adopt full decoupling should await full examination of any required revisions to the PCA.</w:t>
      </w:r>
      <w:r w:rsidR="00A20CE0">
        <w:t xml:space="preserve">  This process is consistent with </w:t>
      </w:r>
      <w:r w:rsidR="00114823">
        <w:t xml:space="preserve">Staff’s </w:t>
      </w:r>
      <w:r w:rsidR="00A20CE0">
        <w:t>recommendation that the Commission re-examine the PCA</w:t>
      </w:r>
      <w:r w:rsidR="00735B87">
        <w:t xml:space="preserve"> in total</w:t>
      </w:r>
      <w:r w:rsidR="00A20CE0">
        <w:t>.</w:t>
      </w:r>
      <w:r w:rsidR="00A20CE0">
        <w:rPr>
          <w:rStyle w:val="FootnoteReference"/>
        </w:rPr>
        <w:footnoteReference w:id="36"/>
      </w:r>
    </w:p>
    <w:p w:rsidR="00617FB7" w:rsidRDefault="00617FB7" w:rsidP="00617FB7"/>
    <w:p w:rsidR="00E56E17" w:rsidRPr="00E56E17" w:rsidRDefault="00E56E17" w:rsidP="00617FB7">
      <w:pPr>
        <w:rPr>
          <w:b/>
        </w:rPr>
      </w:pPr>
      <w:r w:rsidRPr="00E56E17">
        <w:rPr>
          <w:b/>
        </w:rPr>
        <w:t>Q.</w:t>
      </w:r>
      <w:r w:rsidRPr="00E56E17">
        <w:rPr>
          <w:b/>
        </w:rPr>
        <w:tab/>
        <w:t>Please summarize your position on the full decoupling proposal offered by NWEC.</w:t>
      </w:r>
    </w:p>
    <w:p w:rsidR="00E56E17" w:rsidRDefault="00E56E17" w:rsidP="00617FB7">
      <w:r>
        <w:t>A.</w:t>
      </w:r>
      <w:r>
        <w:tab/>
      </w:r>
      <w:r w:rsidR="00246AAB">
        <w:t xml:space="preserve">The Commission should reject in its entirety Mr. Cavanagh’s full decoupling proposal as inconsistent with the </w:t>
      </w:r>
      <w:r w:rsidR="004971F8">
        <w:t xml:space="preserve">several </w:t>
      </w:r>
      <w:r w:rsidR="00246AAB">
        <w:t xml:space="preserve">elements </w:t>
      </w:r>
      <w:r w:rsidR="004971F8">
        <w:t xml:space="preserve">I have </w:t>
      </w:r>
      <w:r w:rsidR="00246AAB">
        <w:t xml:space="preserve">identified </w:t>
      </w:r>
      <w:r w:rsidR="004971F8">
        <w:t>from</w:t>
      </w:r>
      <w:r w:rsidR="00246AAB">
        <w:t xml:space="preserve"> the Commission</w:t>
      </w:r>
      <w:r w:rsidR="004971F8">
        <w:t>’s</w:t>
      </w:r>
      <w:r w:rsidR="00246AAB">
        <w:t xml:space="preserve"> </w:t>
      </w:r>
      <w:r w:rsidR="008308F1">
        <w:t xml:space="preserve">Decoupling </w:t>
      </w:r>
      <w:r w:rsidR="00246AAB">
        <w:t>Policy Statement.</w:t>
      </w:r>
    </w:p>
    <w:p w:rsidR="0007020D" w:rsidRDefault="0007020D" w:rsidP="00617FB7"/>
    <w:p w:rsidR="0007020D" w:rsidRDefault="0007020D" w:rsidP="00474436">
      <w:pPr>
        <w:pStyle w:val="Heading3"/>
      </w:pPr>
      <w:r>
        <w:lastRenderedPageBreak/>
        <w:t>Q.</w:t>
      </w:r>
      <w:r>
        <w:tab/>
        <w:t xml:space="preserve">Should the Commission </w:t>
      </w:r>
      <w:r w:rsidR="009C19C7">
        <w:t xml:space="preserve">nevertheless </w:t>
      </w:r>
      <w:r>
        <w:t xml:space="preserve">decide to implement full decoupling, what </w:t>
      </w:r>
      <w:r w:rsidR="009C19C7">
        <w:t xml:space="preserve">issues </w:t>
      </w:r>
      <w:r>
        <w:t xml:space="preserve">should be </w:t>
      </w:r>
      <w:r w:rsidR="009C19C7">
        <w:t xml:space="preserve">addressed </w:t>
      </w:r>
      <w:r>
        <w:t>prior to implementation?</w:t>
      </w:r>
    </w:p>
    <w:p w:rsidR="0007020D" w:rsidRDefault="0007020D" w:rsidP="00617FB7">
      <w:r>
        <w:t>A.</w:t>
      </w:r>
      <w:r>
        <w:tab/>
        <w:t xml:space="preserve">Staff </w:t>
      </w:r>
      <w:r w:rsidR="009C19C7">
        <w:t>recommends that</w:t>
      </w:r>
      <w:r>
        <w:t xml:space="preserve"> the Commission reject full decoupling</w:t>
      </w:r>
      <w:r w:rsidR="009C19C7">
        <w:t xml:space="preserve"> in this case</w:t>
      </w:r>
      <w:r>
        <w:t xml:space="preserve">.  However, if the Commission </w:t>
      </w:r>
      <w:r w:rsidR="009C19C7">
        <w:t>rejects that recommendation</w:t>
      </w:r>
      <w:r>
        <w:t>, it should:</w:t>
      </w:r>
    </w:p>
    <w:p w:rsidR="0007020D" w:rsidRDefault="002540E1" w:rsidP="00B30A97">
      <w:pPr>
        <w:pStyle w:val="ListParagraph"/>
        <w:numPr>
          <w:ilvl w:val="0"/>
          <w:numId w:val="13"/>
        </w:numPr>
        <w:spacing w:line="480" w:lineRule="auto"/>
      </w:pPr>
      <w:r>
        <w:t xml:space="preserve">Reduce </w:t>
      </w:r>
      <w:r w:rsidR="00AC1C21">
        <w:t xml:space="preserve">the overall rate of return </w:t>
      </w:r>
      <w:r w:rsidR="00AC1C21" w:rsidRPr="00AC1C21">
        <w:t>by adopting a return on equity in the lower end of Mr. Elgin’s range (9.00 to 9.50 percent</w:t>
      </w:r>
      <w:r w:rsidR="003C5737">
        <w:rPr>
          <w:rStyle w:val="FootnoteReference"/>
        </w:rPr>
        <w:footnoteReference w:id="37"/>
      </w:r>
      <w:r w:rsidR="00AC1C21" w:rsidRPr="00AC1C21">
        <w:t>)</w:t>
      </w:r>
      <w:r w:rsidR="003E66ED">
        <w:t xml:space="preserve">, </w:t>
      </w:r>
      <w:r w:rsidR="00AC1C21" w:rsidRPr="00AC1C21">
        <w:t>or by reducing the amount of equity in the company’s capital structure</w:t>
      </w:r>
      <w:r w:rsidR="003C5737">
        <w:rPr>
          <w:rStyle w:val="FootnoteReference"/>
        </w:rPr>
        <w:footnoteReference w:id="38"/>
      </w:r>
      <w:r w:rsidR="00AC1C21">
        <w:t>,</w:t>
      </w:r>
      <w:r w:rsidR="00AC1C21" w:rsidRPr="00D741C3">
        <w:rPr>
          <w:rStyle w:val="FootnoteReference"/>
        </w:rPr>
        <w:t xml:space="preserve"> </w:t>
      </w:r>
      <w:r w:rsidR="00AC1C21">
        <w:t>or both.</w:t>
      </w:r>
    </w:p>
    <w:p w:rsidR="00474436" w:rsidRDefault="00474436" w:rsidP="00B30A97">
      <w:pPr>
        <w:pStyle w:val="ListParagraph"/>
        <w:numPr>
          <w:ilvl w:val="0"/>
          <w:numId w:val="13"/>
        </w:numPr>
        <w:spacing w:line="480" w:lineRule="auto"/>
      </w:pPr>
      <w:r>
        <w:t xml:space="preserve">Adopt the Earnings Test outlined in the Staff Response to </w:t>
      </w:r>
      <w:r w:rsidR="006C6715">
        <w:t xml:space="preserve">the </w:t>
      </w:r>
      <w:r>
        <w:t>Bench Request</w:t>
      </w:r>
      <w:r w:rsidR="00B30A97">
        <w:t>, modifying the deadband as appropriate</w:t>
      </w:r>
      <w:r>
        <w:t>.</w:t>
      </w:r>
      <w:r w:rsidR="00471AFC">
        <w:rPr>
          <w:rStyle w:val="FootnoteReference"/>
        </w:rPr>
        <w:footnoteReference w:id="39"/>
      </w:r>
    </w:p>
    <w:p w:rsidR="0007020D" w:rsidRDefault="0007020D" w:rsidP="00B30A97">
      <w:pPr>
        <w:pStyle w:val="ListParagraph"/>
        <w:numPr>
          <w:ilvl w:val="0"/>
          <w:numId w:val="13"/>
        </w:numPr>
        <w:spacing w:line="480" w:lineRule="auto"/>
      </w:pPr>
      <w:r>
        <w:t>Adopt the Conservation Test outlined in the Staff Response to Bench Request.</w:t>
      </w:r>
      <w:r w:rsidR="00471AFC">
        <w:rPr>
          <w:rStyle w:val="FootnoteReference"/>
        </w:rPr>
        <w:footnoteReference w:id="40"/>
      </w:r>
    </w:p>
    <w:p w:rsidR="0007020D" w:rsidRDefault="0007020D" w:rsidP="00B30A97">
      <w:pPr>
        <w:pStyle w:val="ListParagraph"/>
        <w:numPr>
          <w:ilvl w:val="0"/>
          <w:numId w:val="13"/>
        </w:numPr>
        <w:spacing w:line="480" w:lineRule="auto"/>
      </w:pPr>
      <w:r>
        <w:t xml:space="preserve">Require third party evaluation of conservation achievement, </w:t>
      </w:r>
      <w:r w:rsidR="00474436">
        <w:t>which will also identify any</w:t>
      </w:r>
      <w:r>
        <w:t xml:space="preserve"> incremental conservation.</w:t>
      </w:r>
      <w:r w:rsidR="006C789B">
        <w:rPr>
          <w:rStyle w:val="FootnoteReference"/>
        </w:rPr>
        <w:footnoteReference w:id="41"/>
      </w:r>
    </w:p>
    <w:p w:rsidR="0007020D" w:rsidRDefault="0007020D" w:rsidP="00B30A97">
      <w:pPr>
        <w:pStyle w:val="ListParagraph"/>
        <w:numPr>
          <w:ilvl w:val="0"/>
          <w:numId w:val="13"/>
        </w:numPr>
        <w:spacing w:line="480" w:lineRule="auto"/>
      </w:pPr>
      <w:r>
        <w:t xml:space="preserve">Require third party evaluation </w:t>
      </w:r>
      <w:r w:rsidR="00B5420A">
        <w:t>of comparable benefits for</w:t>
      </w:r>
      <w:r>
        <w:t xml:space="preserve"> low-income customers.</w:t>
      </w:r>
      <w:r w:rsidR="00471AFC">
        <w:rPr>
          <w:rStyle w:val="FootnoteReference"/>
        </w:rPr>
        <w:footnoteReference w:id="42"/>
      </w:r>
    </w:p>
    <w:p w:rsidR="0007020D" w:rsidRDefault="0007020D" w:rsidP="00617FB7">
      <w:pPr>
        <w:pStyle w:val="ListParagraph"/>
        <w:numPr>
          <w:ilvl w:val="0"/>
          <w:numId w:val="13"/>
        </w:numPr>
        <w:spacing w:line="480" w:lineRule="auto"/>
      </w:pPr>
      <w:r>
        <w:lastRenderedPageBreak/>
        <w:t>Require revision of the PCA.</w:t>
      </w:r>
      <w:r w:rsidR="00B5420A">
        <w:rPr>
          <w:rStyle w:val="FootnoteReference"/>
        </w:rPr>
        <w:footnoteReference w:id="43"/>
      </w:r>
    </w:p>
    <w:p w:rsidR="00E175DD" w:rsidRPr="009C19C7" w:rsidRDefault="00E175DD" w:rsidP="009C19C7">
      <w:pPr>
        <w:pStyle w:val="Heading1"/>
        <w:jc w:val="center"/>
        <w:rPr>
          <w:rFonts w:ascii="Times New Roman" w:hAnsi="Times New Roman" w:cs="Times New Roman"/>
          <w:color w:val="auto"/>
          <w:sz w:val="24"/>
          <w:szCs w:val="24"/>
        </w:rPr>
      </w:pPr>
      <w:bookmarkStart w:id="9" w:name="_Toc314559028"/>
      <w:r w:rsidRPr="009C19C7">
        <w:rPr>
          <w:rFonts w:ascii="Times New Roman" w:hAnsi="Times New Roman" w:cs="Times New Roman"/>
          <w:color w:val="auto"/>
          <w:sz w:val="24"/>
          <w:szCs w:val="24"/>
        </w:rPr>
        <w:t>III.</w:t>
      </w:r>
      <w:r w:rsidRPr="009C19C7">
        <w:rPr>
          <w:rFonts w:ascii="Times New Roman" w:hAnsi="Times New Roman" w:cs="Times New Roman"/>
          <w:color w:val="auto"/>
          <w:sz w:val="24"/>
          <w:szCs w:val="24"/>
        </w:rPr>
        <w:tab/>
        <w:t>THE ENERGY PROJECT LOW INCOME PROPOSAL</w:t>
      </w:r>
      <w:bookmarkEnd w:id="9"/>
    </w:p>
    <w:p w:rsidR="00E175DD" w:rsidRDefault="00E175DD" w:rsidP="00E175DD">
      <w:pPr>
        <w:jc w:val="center"/>
        <w:rPr>
          <w:b/>
        </w:rPr>
      </w:pPr>
    </w:p>
    <w:p w:rsidR="00E175DD" w:rsidRDefault="00E175DD" w:rsidP="00E175DD">
      <w:pPr>
        <w:pStyle w:val="Heading3"/>
      </w:pPr>
      <w:r>
        <w:t>Q.</w:t>
      </w:r>
      <w:r>
        <w:tab/>
        <w:t>Please summarize the low income funding proposal</w:t>
      </w:r>
      <w:r w:rsidR="009C19C7">
        <w:t xml:space="preserve"> </w:t>
      </w:r>
      <w:r>
        <w:t xml:space="preserve">of </w:t>
      </w:r>
      <w:r w:rsidR="004971F8">
        <w:t>T</w:t>
      </w:r>
      <w:r>
        <w:t>he Energy Project</w:t>
      </w:r>
      <w:r w:rsidR="00396F9D">
        <w:t>.</w:t>
      </w:r>
    </w:p>
    <w:p w:rsidR="00E175DD" w:rsidRPr="00E56E17" w:rsidRDefault="00E175DD" w:rsidP="00E175DD">
      <w:r w:rsidRPr="00E56E17">
        <w:t>A.</w:t>
      </w:r>
      <w:r w:rsidRPr="00E56E17">
        <w:tab/>
      </w:r>
      <w:r>
        <w:t xml:space="preserve">Mr. Howat proposes that the Company be ordered to increase its funding for its Home Energy Lifeline Program (“HELP”) available </w:t>
      </w:r>
      <w:r w:rsidR="00735B87">
        <w:t xml:space="preserve">to </w:t>
      </w:r>
      <w:r>
        <w:t>low-income residential customers from .51 percent to .665 percent of total Company annual operating revenues.  Based on 2010 operating revenues, this would increase low-income payment assistance from $15.5 million to $20.2 million.</w:t>
      </w:r>
      <w:r w:rsidR="00222B75">
        <w:rPr>
          <w:rStyle w:val="FootnoteReference"/>
        </w:rPr>
        <w:footnoteReference w:id="44"/>
      </w:r>
    </w:p>
    <w:p w:rsidR="00E175DD" w:rsidRDefault="00E175DD" w:rsidP="00E175DD">
      <w:pPr>
        <w:rPr>
          <w:b/>
        </w:rPr>
      </w:pPr>
    </w:p>
    <w:p w:rsidR="00E175DD" w:rsidRDefault="00E175DD" w:rsidP="00E175DD">
      <w:pPr>
        <w:pStyle w:val="Heading3"/>
      </w:pPr>
      <w:r>
        <w:t>Q.</w:t>
      </w:r>
      <w:r>
        <w:tab/>
        <w:t>What justification does the Energy Project give for this proposal?</w:t>
      </w:r>
    </w:p>
    <w:p w:rsidR="00E175DD" w:rsidRDefault="00E175DD" w:rsidP="00E175DD">
      <w:r>
        <w:t>A.</w:t>
      </w:r>
      <w:r>
        <w:tab/>
        <w:t xml:space="preserve">Mr. Howat bases his proposal on a comparison of PSE’s level of low-income payment assistance to the level of funding for similar programs by Avista, Seattle City Light, and Snohomish PUD.  He also examined three utilities in California and three utilities in New England.  He found that PSE devotes the lowest percentage of payment assistance among all utilities he studied.  Therefore, he recommends that the level of funding be increased from .51 percent to .665 percent of total Company annual operating revenues in order to achieve greater consistency between the </w:t>
      </w:r>
      <w:r>
        <w:lastRenderedPageBreak/>
        <w:t>Company and Avista, which devotes .82 percent of annual revenues to low-income payment assistance.</w:t>
      </w:r>
      <w:r w:rsidR="00343D20">
        <w:rPr>
          <w:rStyle w:val="FootnoteReference"/>
        </w:rPr>
        <w:footnoteReference w:id="45"/>
      </w:r>
    </w:p>
    <w:p w:rsidR="00E175DD" w:rsidRPr="00E56E17" w:rsidRDefault="00E175DD" w:rsidP="00E175DD">
      <w:pPr>
        <w:rPr>
          <w:b/>
        </w:rPr>
      </w:pPr>
    </w:p>
    <w:p w:rsidR="00E175DD" w:rsidRPr="00E56E17" w:rsidRDefault="00E175DD" w:rsidP="00E175DD">
      <w:pPr>
        <w:pStyle w:val="Heading3"/>
      </w:pPr>
      <w:r w:rsidRPr="00E56E17">
        <w:t>Q.</w:t>
      </w:r>
      <w:r w:rsidRPr="00E56E17">
        <w:tab/>
        <w:t>What is Staff’s position regarding the proposal of the Energy Project?</w:t>
      </w:r>
    </w:p>
    <w:p w:rsidR="00E175DD" w:rsidRDefault="00E175DD" w:rsidP="00E175DD">
      <w:r>
        <w:t>A.</w:t>
      </w:r>
      <w:r>
        <w:tab/>
        <w:t xml:space="preserve">Increasing the funding as the Energy Project recommends </w:t>
      </w:r>
      <w:r w:rsidR="009C19C7">
        <w:t xml:space="preserve">is </w:t>
      </w:r>
      <w:r>
        <w:t xml:space="preserve">reasonable </w:t>
      </w:r>
      <w:r w:rsidR="001D766B">
        <w:t>at this time.  It</w:t>
      </w:r>
      <w:r w:rsidR="003A4B39">
        <w:t xml:space="preserve"> </w:t>
      </w:r>
      <w:r w:rsidR="001D766B">
        <w:t xml:space="preserve">is a minor increase and </w:t>
      </w:r>
      <w:r>
        <w:t>will have little impact on the Company’s remaining customers that contribute to HELP funding through</w:t>
      </w:r>
      <w:r w:rsidR="003A4B39">
        <w:t xml:space="preserve"> PSE’s</w:t>
      </w:r>
      <w:r>
        <w:t xml:space="preserve"> surcharge tariff Schedule </w:t>
      </w:r>
      <w:r w:rsidR="00222B75">
        <w:t>129 – Low Income Program</w:t>
      </w:r>
      <w:r>
        <w:t xml:space="preserve">.  Therefore, Staff recommends that the Commission approve </w:t>
      </w:r>
      <w:r w:rsidR="009C19C7">
        <w:t>the proposal</w:t>
      </w:r>
      <w:r>
        <w:t>.</w:t>
      </w:r>
    </w:p>
    <w:p w:rsidR="003A4B39" w:rsidRDefault="00E175DD" w:rsidP="00E56E17">
      <w:r>
        <w:tab/>
      </w:r>
      <w:r>
        <w:tab/>
        <w:t xml:space="preserve">However, the comparison that Mr. Howat provides between PSE and other utilities does not explicitly account for differences that may impact the need for low income payment assistance for any particular utility, such as differences in customer demographics and economic conditions in varying service territories.  Therefore, Staff would expect any party proposing further increases in low income payment assistance in later PSE general rate cases to support that proposal with more detailed analysis of these and any other relevant factors.  </w:t>
      </w:r>
    </w:p>
    <w:p w:rsidR="00E56E17" w:rsidRPr="00E56E17" w:rsidRDefault="00E56E17" w:rsidP="00E56E17"/>
    <w:p w:rsidR="00617FB7" w:rsidRDefault="00617FB7" w:rsidP="00617FB7">
      <w:pPr>
        <w:pStyle w:val="Heading3"/>
      </w:pPr>
      <w:r>
        <w:t>Q.</w:t>
      </w:r>
      <w:r>
        <w:tab/>
        <w:t>Does this conclude your testimony?</w:t>
      </w:r>
    </w:p>
    <w:p w:rsidR="00617FB7" w:rsidRDefault="00617FB7" w:rsidP="00617FB7">
      <w:r>
        <w:t>A.</w:t>
      </w:r>
      <w:r>
        <w:tab/>
        <w:t>Yes.</w:t>
      </w:r>
    </w:p>
    <w:p w:rsidR="00617FB7" w:rsidRDefault="00617FB7" w:rsidP="00617FB7"/>
    <w:p w:rsidR="009E549A" w:rsidRDefault="009E549A" w:rsidP="00F33615"/>
    <w:sectPr w:rsidR="009E549A" w:rsidSect="00503B1B">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D4" w:rsidRDefault="00D237D4" w:rsidP="00A84518">
      <w:pPr>
        <w:spacing w:line="240" w:lineRule="auto"/>
      </w:pPr>
      <w:r>
        <w:separator/>
      </w:r>
    </w:p>
  </w:endnote>
  <w:endnote w:type="continuationSeparator" w:id="0">
    <w:p w:rsidR="00D237D4" w:rsidRDefault="00D237D4" w:rsidP="00A84518">
      <w:pPr>
        <w:spacing w:line="240" w:lineRule="auto"/>
      </w:pPr>
      <w:r>
        <w:continuationSeparator/>
      </w:r>
    </w:p>
  </w:endnote>
  <w:endnote w:type="continuationNotice" w:id="1">
    <w:p w:rsidR="00D237D4" w:rsidRDefault="00D237D4" w:rsidP="00A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4" w:rsidRPr="000F025A" w:rsidRDefault="003B01D4" w:rsidP="000F025A">
    <w:pPr>
      <w:pStyle w:val="Footer"/>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5A" w:rsidRDefault="000F025A" w:rsidP="000F025A">
    <w:pPr>
      <w:pStyle w:val="Footer"/>
      <w:rPr>
        <w:sz w:val="20"/>
        <w:szCs w:val="20"/>
      </w:rPr>
    </w:pPr>
    <w:r w:rsidRPr="000F025A">
      <w:rPr>
        <w:sz w:val="20"/>
        <w:szCs w:val="20"/>
      </w:rPr>
      <w:t>TESTIMONY OF DEBORAH J. REYNOLDS</w:t>
    </w:r>
    <w:r w:rsidRPr="000F025A">
      <w:rPr>
        <w:sz w:val="20"/>
        <w:szCs w:val="20"/>
      </w:rPr>
      <w:tab/>
    </w:r>
    <w:r w:rsidRPr="000F025A">
      <w:rPr>
        <w:sz w:val="20"/>
        <w:szCs w:val="20"/>
      </w:rPr>
      <w:tab/>
      <w:t>Exhibit No. ___ T (DJR-3T)</w:t>
    </w:r>
  </w:p>
  <w:p w:rsidR="000F025A" w:rsidRPr="000F025A" w:rsidRDefault="000F025A" w:rsidP="000F025A">
    <w:pPr>
      <w:pStyle w:val="Footer"/>
      <w:rPr>
        <w:sz w:val="20"/>
        <w:szCs w:val="20"/>
        <w:lang w:val="fr-FR"/>
      </w:rPr>
    </w:pPr>
    <w:r w:rsidRPr="000F025A">
      <w:rPr>
        <w:sz w:val="20"/>
        <w:szCs w:val="20"/>
      </w:rPr>
      <w:t>Dockets</w:t>
    </w:r>
    <w:r w:rsidRPr="000F025A">
      <w:rPr>
        <w:sz w:val="20"/>
        <w:szCs w:val="20"/>
        <w:lang w:val="fr-FR"/>
      </w:rPr>
      <w:t xml:space="preserve"> UE-111048 and UG-111049</w:t>
    </w:r>
    <w:r>
      <w:rPr>
        <w:sz w:val="20"/>
        <w:szCs w:val="20"/>
        <w:lang w:val="fr-FR"/>
      </w:rPr>
      <w:tab/>
    </w:r>
    <w:r>
      <w:rPr>
        <w:sz w:val="20"/>
        <w:szCs w:val="20"/>
        <w:lang w:val="fr-FR"/>
      </w:rPr>
      <w:tab/>
    </w:r>
    <w:r w:rsidRPr="000F025A">
      <w:rPr>
        <w:sz w:val="20"/>
        <w:szCs w:val="20"/>
        <w:lang w:val="fr-FR"/>
      </w:rPr>
      <w:t xml:space="preserve">Page </w:t>
    </w:r>
    <w:r w:rsidRPr="000F025A">
      <w:rPr>
        <w:rStyle w:val="PageNumber"/>
        <w:sz w:val="20"/>
        <w:szCs w:val="20"/>
      </w:rPr>
      <w:fldChar w:fldCharType="begin"/>
    </w:r>
    <w:r w:rsidRPr="000F025A">
      <w:rPr>
        <w:rStyle w:val="PageNumber"/>
        <w:sz w:val="20"/>
        <w:szCs w:val="20"/>
        <w:lang w:val="fr-FR"/>
      </w:rPr>
      <w:instrText xml:space="preserve"> PAGE </w:instrText>
    </w:r>
    <w:r w:rsidRPr="000F025A">
      <w:rPr>
        <w:rStyle w:val="PageNumber"/>
        <w:sz w:val="20"/>
        <w:szCs w:val="20"/>
      </w:rPr>
      <w:fldChar w:fldCharType="separate"/>
    </w:r>
    <w:r w:rsidR="00CC0444">
      <w:rPr>
        <w:rStyle w:val="PageNumber"/>
        <w:noProof/>
        <w:sz w:val="20"/>
        <w:szCs w:val="20"/>
        <w:lang w:val="fr-FR"/>
      </w:rPr>
      <w:t>i</w:t>
    </w:r>
    <w:r w:rsidRPr="000F025A">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1B" w:rsidRDefault="00503B1B" w:rsidP="000F025A">
    <w:pPr>
      <w:pStyle w:val="Footer"/>
      <w:rPr>
        <w:sz w:val="20"/>
        <w:szCs w:val="20"/>
      </w:rPr>
    </w:pPr>
    <w:r w:rsidRPr="000F025A">
      <w:rPr>
        <w:sz w:val="20"/>
        <w:szCs w:val="20"/>
      </w:rPr>
      <w:t>TESTIMONY OF DEBORAH J. REYNOLDS</w:t>
    </w:r>
    <w:r w:rsidRPr="000F025A">
      <w:rPr>
        <w:sz w:val="20"/>
        <w:szCs w:val="20"/>
      </w:rPr>
      <w:tab/>
    </w:r>
    <w:r w:rsidRPr="000F025A">
      <w:rPr>
        <w:sz w:val="20"/>
        <w:szCs w:val="20"/>
      </w:rPr>
      <w:tab/>
      <w:t>Exhibit No. ___ T (DJR-3T)</w:t>
    </w:r>
  </w:p>
  <w:p w:rsidR="00503B1B" w:rsidRPr="000F025A" w:rsidRDefault="00503B1B" w:rsidP="000F025A">
    <w:pPr>
      <w:pStyle w:val="Footer"/>
      <w:rPr>
        <w:sz w:val="20"/>
        <w:szCs w:val="20"/>
        <w:lang w:val="fr-FR"/>
      </w:rPr>
    </w:pPr>
    <w:r w:rsidRPr="000F025A">
      <w:rPr>
        <w:sz w:val="20"/>
        <w:szCs w:val="20"/>
      </w:rPr>
      <w:t>Dockets</w:t>
    </w:r>
    <w:r w:rsidRPr="000F025A">
      <w:rPr>
        <w:sz w:val="20"/>
        <w:szCs w:val="20"/>
        <w:lang w:val="fr-FR"/>
      </w:rPr>
      <w:t xml:space="preserve"> UE-111048 and UG-111049</w:t>
    </w:r>
    <w:r>
      <w:rPr>
        <w:sz w:val="20"/>
        <w:szCs w:val="20"/>
        <w:lang w:val="fr-FR"/>
      </w:rPr>
      <w:tab/>
    </w:r>
    <w:r>
      <w:rPr>
        <w:sz w:val="20"/>
        <w:szCs w:val="20"/>
        <w:lang w:val="fr-FR"/>
      </w:rPr>
      <w:tab/>
    </w:r>
    <w:r w:rsidRPr="000F025A">
      <w:rPr>
        <w:sz w:val="20"/>
        <w:szCs w:val="20"/>
        <w:lang w:val="fr-FR"/>
      </w:rPr>
      <w:t xml:space="preserve">Page </w:t>
    </w:r>
    <w:r w:rsidRPr="000F025A">
      <w:rPr>
        <w:rStyle w:val="PageNumber"/>
        <w:sz w:val="20"/>
        <w:szCs w:val="20"/>
      </w:rPr>
      <w:fldChar w:fldCharType="begin"/>
    </w:r>
    <w:r w:rsidRPr="000F025A">
      <w:rPr>
        <w:rStyle w:val="PageNumber"/>
        <w:sz w:val="20"/>
        <w:szCs w:val="20"/>
        <w:lang w:val="fr-FR"/>
      </w:rPr>
      <w:instrText xml:space="preserve"> PAGE </w:instrText>
    </w:r>
    <w:r w:rsidRPr="000F025A">
      <w:rPr>
        <w:rStyle w:val="PageNumber"/>
        <w:sz w:val="20"/>
        <w:szCs w:val="20"/>
      </w:rPr>
      <w:fldChar w:fldCharType="separate"/>
    </w:r>
    <w:r w:rsidR="00CC0444">
      <w:rPr>
        <w:rStyle w:val="PageNumber"/>
        <w:noProof/>
        <w:sz w:val="20"/>
        <w:szCs w:val="20"/>
        <w:lang w:val="fr-FR"/>
      </w:rPr>
      <w:t>18</w:t>
    </w:r>
    <w:r w:rsidRPr="000F025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D4" w:rsidRDefault="00D237D4" w:rsidP="00A84518">
      <w:pPr>
        <w:spacing w:line="240" w:lineRule="auto"/>
      </w:pPr>
      <w:r>
        <w:separator/>
      </w:r>
    </w:p>
  </w:footnote>
  <w:footnote w:type="continuationSeparator" w:id="0">
    <w:p w:rsidR="00D237D4" w:rsidRDefault="00D237D4" w:rsidP="00A84518">
      <w:pPr>
        <w:spacing w:line="240" w:lineRule="auto"/>
      </w:pPr>
      <w:r>
        <w:continuationSeparator/>
      </w:r>
    </w:p>
  </w:footnote>
  <w:footnote w:type="continuationNotice" w:id="1">
    <w:p w:rsidR="00D237D4" w:rsidRDefault="00D237D4" w:rsidP="00A84518">
      <w:pPr>
        <w:spacing w:line="240" w:lineRule="auto"/>
      </w:pPr>
    </w:p>
  </w:footnote>
  <w:footnote w:id="2">
    <w:p w:rsidR="003B01D4" w:rsidRDefault="003B01D4" w:rsidP="002F09C6">
      <w:pPr>
        <w:pStyle w:val="FootnoteText"/>
      </w:pPr>
      <w:r>
        <w:rPr>
          <w:rStyle w:val="FootnoteReference"/>
        </w:rPr>
        <w:footnoteRef/>
      </w:r>
      <w:r>
        <w:t xml:space="preserve"> Cavanagh, Exhibit No. ___ (RCC-1T) at 10:14.</w:t>
      </w:r>
    </w:p>
  </w:footnote>
  <w:footnote w:id="3">
    <w:p w:rsidR="003B01D4" w:rsidRDefault="003B01D4" w:rsidP="002F09C6">
      <w:pPr>
        <w:pStyle w:val="FootnoteText"/>
      </w:pPr>
      <w:r>
        <w:rPr>
          <w:rStyle w:val="FootnoteReference"/>
        </w:rPr>
        <w:footnoteRef/>
      </w:r>
      <w:r>
        <w:t xml:space="preserve"> Elgin, Exhibit No. ___ (KLE-1T) at 80:5-9.</w:t>
      </w:r>
    </w:p>
  </w:footnote>
  <w:footnote w:id="4">
    <w:p w:rsidR="003B01D4" w:rsidRDefault="003B01D4">
      <w:pPr>
        <w:pStyle w:val="FootnoteText"/>
      </w:pPr>
      <w:r>
        <w:rPr>
          <w:rStyle w:val="FootnoteReference"/>
        </w:rPr>
        <w:footnoteRef/>
      </w:r>
      <w:r>
        <w:t xml:space="preserve"> Report and Policy Statement on Regulatory Mechanisms, Including Decoupling, to Encourage Utilities to Meet or Exceed their Conservation Targets, Docket U-100522 (November 4, 2010) (“Decoupling Policy Statement”).</w:t>
      </w:r>
    </w:p>
  </w:footnote>
  <w:footnote w:id="5">
    <w:p w:rsidR="003B01D4" w:rsidRDefault="003B01D4">
      <w:pPr>
        <w:pStyle w:val="FootnoteText"/>
      </w:pPr>
      <w:r>
        <w:rPr>
          <w:rStyle w:val="FootnoteReference"/>
        </w:rPr>
        <w:footnoteRef/>
      </w:r>
      <w:r>
        <w:t xml:space="preserve"> Schedules 24, 25, 26, 29, 31, 35, 43, 57.</w:t>
      </w:r>
    </w:p>
  </w:footnote>
  <w:footnote w:id="6">
    <w:p w:rsidR="003B01D4" w:rsidRDefault="003B01D4">
      <w:pPr>
        <w:pStyle w:val="FootnoteText"/>
      </w:pPr>
      <w:r>
        <w:rPr>
          <w:rStyle w:val="FootnoteReference"/>
        </w:rPr>
        <w:footnoteRef/>
      </w:r>
      <w:r>
        <w:t xml:space="preserve"> Similar reports are currently required under Docket UE-100177.</w:t>
      </w:r>
    </w:p>
  </w:footnote>
  <w:footnote w:id="7">
    <w:p w:rsidR="003B01D4" w:rsidRDefault="003B01D4">
      <w:pPr>
        <w:pStyle w:val="FootnoteText"/>
      </w:pPr>
      <w:r>
        <w:rPr>
          <w:rStyle w:val="FootnoteReference"/>
        </w:rPr>
        <w:footnoteRef/>
      </w:r>
      <w:r>
        <w:t xml:space="preserve"> Elgin, Exhibit No. ___ (KLE-1T) at 80:5-9.</w:t>
      </w:r>
    </w:p>
  </w:footnote>
  <w:footnote w:id="8">
    <w:p w:rsidR="003B01D4" w:rsidRDefault="003B01D4">
      <w:pPr>
        <w:pStyle w:val="FootnoteText"/>
      </w:pPr>
      <w:r>
        <w:rPr>
          <w:rStyle w:val="FootnoteReference"/>
        </w:rPr>
        <w:footnoteRef/>
      </w:r>
      <w:r>
        <w:t xml:space="preserve"> Cavanagh, Exhibit No. ___ (RCC-1T) at 10:14.</w:t>
      </w:r>
    </w:p>
  </w:footnote>
  <w:footnote w:id="9">
    <w:p w:rsidR="003B01D4" w:rsidRDefault="003B01D4" w:rsidP="00617FB7">
      <w:pPr>
        <w:pStyle w:val="FootnoteText"/>
      </w:pPr>
      <w:r>
        <w:rPr>
          <w:rStyle w:val="FootnoteReference"/>
        </w:rPr>
        <w:footnoteRef/>
      </w:r>
      <w:r>
        <w:t xml:space="preserve"> </w:t>
      </w:r>
      <w:r w:rsidRPr="00B566D0">
        <w:t>Decoupling Policy Statement at 18, Criterion 1, ¶ 28.</w:t>
      </w:r>
    </w:p>
  </w:footnote>
  <w:footnote w:id="10">
    <w:p w:rsidR="003B01D4" w:rsidRDefault="003B01D4" w:rsidP="00617FB7">
      <w:pPr>
        <w:pStyle w:val="FootnoteText"/>
      </w:pPr>
      <w:r>
        <w:rPr>
          <w:rStyle w:val="FootnoteReference"/>
        </w:rPr>
        <w:footnoteRef/>
      </w:r>
      <w:r>
        <w:t xml:space="preserve"> Cavanagh, Exhibit No. ___ (RCC-1T) at 13:12-15.</w:t>
      </w:r>
    </w:p>
  </w:footnote>
  <w:footnote w:id="11">
    <w:p w:rsidR="003B01D4" w:rsidRDefault="003B01D4">
      <w:pPr>
        <w:pStyle w:val="FootnoteText"/>
      </w:pPr>
      <w:r>
        <w:rPr>
          <w:rStyle w:val="FootnoteReference"/>
        </w:rPr>
        <w:footnoteRef/>
      </w:r>
      <w:r>
        <w:t xml:space="preserve"> See Staff Response to Bench Request, pages 8 and 9.</w:t>
      </w:r>
      <w:r w:rsidRPr="00311974">
        <w:t xml:space="preserve"> </w:t>
      </w:r>
      <w:r>
        <w:t xml:space="preserve"> See also Staff Response to Bench Request</w:t>
      </w:r>
      <w:r w:rsidR="002F0871">
        <w:t>,</w:t>
      </w:r>
      <w:r>
        <w:t xml:space="preserve"> Appendix 1 Workpapers, Electric, Page 1c.</w:t>
      </w:r>
    </w:p>
  </w:footnote>
  <w:footnote w:id="12">
    <w:p w:rsidR="003B01D4" w:rsidRDefault="003B01D4">
      <w:pPr>
        <w:pStyle w:val="FootnoteText"/>
      </w:pPr>
      <w:r>
        <w:rPr>
          <w:rStyle w:val="FootnoteReference"/>
        </w:rPr>
        <w:footnoteRef/>
      </w:r>
      <w:r>
        <w:t xml:space="preserve"> Cavanagh, Exhibit No. __ (RCC-1T) at 11:14.</w:t>
      </w:r>
    </w:p>
  </w:footnote>
  <w:footnote w:id="13">
    <w:p w:rsidR="003B01D4" w:rsidRDefault="003B01D4">
      <w:pPr>
        <w:pStyle w:val="FootnoteText"/>
      </w:pPr>
      <w:r>
        <w:rPr>
          <w:rStyle w:val="FootnoteReference"/>
        </w:rPr>
        <w:footnoteRef/>
      </w:r>
      <w:r>
        <w:t xml:space="preserve"> See Staff Response to Bench Request, Appendix 1 Workpapers, Electric, Page 1c.</w:t>
      </w:r>
    </w:p>
  </w:footnote>
  <w:footnote w:id="14">
    <w:p w:rsidR="003B01D4" w:rsidRDefault="003B01D4" w:rsidP="00617FB7">
      <w:pPr>
        <w:pStyle w:val="FootnoteText"/>
      </w:pPr>
      <w:r>
        <w:rPr>
          <w:rStyle w:val="FootnoteReference"/>
        </w:rPr>
        <w:footnoteRef/>
      </w:r>
      <w:r>
        <w:t xml:space="preserve"> Decoupling Policy Statement</w:t>
      </w:r>
      <w:r w:rsidRPr="00B566D0">
        <w:t xml:space="preserve"> at 16-17, ¶ 27</w:t>
      </w:r>
      <w:r>
        <w:t>.</w:t>
      </w:r>
    </w:p>
  </w:footnote>
  <w:footnote w:id="15">
    <w:p w:rsidR="003B01D4" w:rsidRDefault="003B01D4" w:rsidP="00617FB7">
      <w:pPr>
        <w:pStyle w:val="FootnoteText"/>
      </w:pPr>
      <w:r>
        <w:rPr>
          <w:rStyle w:val="FootnoteReference"/>
        </w:rPr>
        <w:footnoteRef/>
      </w:r>
      <w:r>
        <w:t xml:space="preserve"> Id. at 17, Element 2, ¶ 28.</w:t>
      </w:r>
    </w:p>
  </w:footnote>
  <w:footnote w:id="16">
    <w:p w:rsidR="003B01D4" w:rsidRDefault="003B01D4" w:rsidP="00E84BCE">
      <w:pPr>
        <w:pStyle w:val="FootnoteText"/>
      </w:pPr>
      <w:r>
        <w:rPr>
          <w:rStyle w:val="FootnoteReference"/>
        </w:rPr>
        <w:footnoteRef/>
      </w:r>
      <w:r>
        <w:t xml:space="preserve"> Cavanagh, Exhibit No. ___ (RCC-1T) at 20:8-11.</w:t>
      </w:r>
    </w:p>
  </w:footnote>
  <w:footnote w:id="17">
    <w:p w:rsidR="003B01D4" w:rsidRDefault="003B01D4" w:rsidP="00617FB7">
      <w:pPr>
        <w:pStyle w:val="FootnoteText"/>
      </w:pPr>
      <w:r>
        <w:rPr>
          <w:rStyle w:val="FootnoteReference"/>
        </w:rPr>
        <w:footnoteRef/>
      </w:r>
      <w:r>
        <w:t xml:space="preserve"> Id. at 20:12-17.</w:t>
      </w:r>
    </w:p>
  </w:footnote>
  <w:footnote w:id="18">
    <w:p w:rsidR="003B01D4" w:rsidRDefault="003B01D4">
      <w:pPr>
        <w:pStyle w:val="FootnoteText"/>
      </w:pPr>
      <w:r>
        <w:rPr>
          <w:rStyle w:val="FootnoteReference"/>
        </w:rPr>
        <w:footnoteRef/>
      </w:r>
      <w:r>
        <w:t xml:space="preserve"> See Regulatory Assistance Project, Revenue Regulation and Decoupling: A Guide to Theory and Application (June 2011), at 38, section 10.2. “If the risk mitigation measure is put in place only for a limited period, or the regulatory commission has a record of changing its regulatory principles frequently, the ratings agency may not recognize the measure.”</w:t>
      </w:r>
    </w:p>
  </w:footnote>
  <w:footnote w:id="19">
    <w:p w:rsidR="003B01D4" w:rsidRDefault="003B01D4" w:rsidP="00617FB7">
      <w:pPr>
        <w:pStyle w:val="FootnoteText"/>
      </w:pPr>
      <w:r>
        <w:rPr>
          <w:rStyle w:val="FootnoteReference"/>
        </w:rPr>
        <w:footnoteRef/>
      </w:r>
      <w:r>
        <w:t xml:space="preserve"> Id. at 38, first paragraph.</w:t>
      </w:r>
    </w:p>
  </w:footnote>
  <w:footnote w:id="20">
    <w:p w:rsidR="00FE7E3B" w:rsidRDefault="00FE7E3B">
      <w:pPr>
        <w:pStyle w:val="FootnoteText"/>
      </w:pPr>
      <w:r>
        <w:rPr>
          <w:rStyle w:val="FootnoteReference"/>
        </w:rPr>
        <w:footnoteRef/>
      </w:r>
      <w:r>
        <w:t xml:space="preserve"> Id. at 39, </w:t>
      </w:r>
      <w:r w:rsidR="00112861">
        <w:t>first</w:t>
      </w:r>
      <w:r>
        <w:t xml:space="preserve"> paragraph</w:t>
      </w:r>
      <w:r w:rsidR="00112861">
        <w:t>.</w:t>
      </w:r>
    </w:p>
  </w:footnote>
  <w:footnote w:id="21">
    <w:p w:rsidR="003B01D4" w:rsidRDefault="003B01D4" w:rsidP="00617FB7">
      <w:pPr>
        <w:pStyle w:val="FootnoteText"/>
      </w:pPr>
      <w:r>
        <w:rPr>
          <w:rStyle w:val="FootnoteReference"/>
        </w:rPr>
        <w:footnoteRef/>
      </w:r>
      <w:r>
        <w:t xml:space="preserve"> Id. at 39, last paragraph.</w:t>
      </w:r>
    </w:p>
  </w:footnote>
  <w:footnote w:id="22">
    <w:p w:rsidR="003B01D4" w:rsidRDefault="003B01D4">
      <w:pPr>
        <w:pStyle w:val="FootnoteText"/>
      </w:pPr>
      <w:r>
        <w:rPr>
          <w:rStyle w:val="FootnoteReference"/>
        </w:rPr>
        <w:footnoteRef/>
      </w:r>
      <w:r>
        <w:t xml:space="preserve"> Decoupling Policy Statement, Appendix 6, page 3.</w:t>
      </w:r>
    </w:p>
  </w:footnote>
  <w:footnote w:id="23">
    <w:p w:rsidR="003C5737" w:rsidRDefault="003C5737" w:rsidP="003C5737">
      <w:pPr>
        <w:pStyle w:val="FootnoteText"/>
      </w:pPr>
      <w:r>
        <w:rPr>
          <w:rStyle w:val="FootnoteReference"/>
        </w:rPr>
        <w:footnoteRef/>
      </w:r>
      <w:r>
        <w:t xml:space="preserve"> Elgin, Exhibit No. __ (KLE-1T) at 2.</w:t>
      </w:r>
    </w:p>
  </w:footnote>
  <w:footnote w:id="24">
    <w:p w:rsidR="003C5737" w:rsidRDefault="003C5737" w:rsidP="003C5737">
      <w:pPr>
        <w:pStyle w:val="FootnoteText"/>
      </w:pPr>
      <w:r>
        <w:rPr>
          <w:rStyle w:val="FootnoteReference"/>
        </w:rPr>
        <w:footnoteRef/>
      </w:r>
      <w:r>
        <w:t xml:space="preserve"> Staff Response to Bench Request, Page 10, footnotes 25 and 26.</w:t>
      </w:r>
    </w:p>
  </w:footnote>
  <w:footnote w:id="25">
    <w:p w:rsidR="003B01D4" w:rsidRDefault="003B01D4" w:rsidP="00617FB7">
      <w:pPr>
        <w:pStyle w:val="FootnoteText"/>
      </w:pPr>
      <w:r>
        <w:rPr>
          <w:rStyle w:val="FootnoteReference"/>
        </w:rPr>
        <w:footnoteRef/>
      </w:r>
      <w:r>
        <w:t xml:space="preserve"> Id. at 17,</w:t>
      </w:r>
      <w:r w:rsidR="008E2346">
        <w:t xml:space="preserve"> Description of Mechanism,</w:t>
      </w:r>
      <w:r>
        <w:t xml:space="preserve"> ¶ 28.</w:t>
      </w:r>
    </w:p>
  </w:footnote>
  <w:footnote w:id="26">
    <w:p w:rsidR="003B01D4" w:rsidRDefault="003B01D4" w:rsidP="00617FB7">
      <w:pPr>
        <w:pStyle w:val="FootnoteText"/>
      </w:pPr>
      <w:r>
        <w:rPr>
          <w:rStyle w:val="FootnoteReference"/>
        </w:rPr>
        <w:footnoteRef/>
      </w:r>
      <w:r>
        <w:t xml:space="preserve"> Id. at 20, ¶ 31, 32.</w:t>
      </w:r>
    </w:p>
  </w:footnote>
  <w:footnote w:id="27">
    <w:p w:rsidR="003B01D4" w:rsidRDefault="003B01D4">
      <w:pPr>
        <w:pStyle w:val="FootnoteText"/>
      </w:pPr>
      <w:r>
        <w:rPr>
          <w:rStyle w:val="FootnoteReference"/>
        </w:rPr>
        <w:footnoteRef/>
      </w:r>
      <w:r>
        <w:t xml:space="preserve"> Staff Response to Bench Request at </w:t>
      </w:r>
      <w:r w:rsidR="00112861">
        <w:t>14</w:t>
      </w:r>
      <w:r>
        <w:t>.</w:t>
      </w:r>
    </w:p>
  </w:footnote>
  <w:footnote w:id="28">
    <w:p w:rsidR="00B46C8F" w:rsidRDefault="00B46C8F">
      <w:pPr>
        <w:pStyle w:val="FootnoteText"/>
      </w:pPr>
      <w:r>
        <w:rPr>
          <w:rStyle w:val="FootnoteReference"/>
        </w:rPr>
        <w:footnoteRef/>
      </w:r>
      <w:r>
        <w:t xml:space="preserve"> Decoupling Policy Statement at 19, Criterion 4, ¶ 28,</w:t>
      </w:r>
    </w:p>
  </w:footnote>
  <w:footnote w:id="29">
    <w:p w:rsidR="00B46C8F" w:rsidRDefault="00B46C8F">
      <w:pPr>
        <w:pStyle w:val="FootnoteText"/>
      </w:pPr>
      <w:r>
        <w:rPr>
          <w:rStyle w:val="FootnoteReference"/>
        </w:rPr>
        <w:footnoteRef/>
      </w:r>
      <w:r>
        <w:t xml:space="preserve"> Id. at 19, Criterion 3, ¶ 28</w:t>
      </w:r>
      <w:r w:rsidR="001603F9">
        <w:t>.</w:t>
      </w:r>
    </w:p>
  </w:footnote>
  <w:footnote w:id="30">
    <w:p w:rsidR="003B01D4" w:rsidRDefault="003B01D4">
      <w:pPr>
        <w:pStyle w:val="FootnoteText"/>
      </w:pPr>
      <w:r>
        <w:rPr>
          <w:rStyle w:val="FootnoteReference"/>
        </w:rPr>
        <w:footnoteRef/>
      </w:r>
      <w:r>
        <w:t xml:space="preserve"> Cavanagh, Exhibit No. __ </w:t>
      </w:r>
      <w:r w:rsidR="00E36EA2">
        <w:t>(</w:t>
      </w:r>
      <w:r>
        <w:t>RCC-1T) at 6-8.</w:t>
      </w:r>
    </w:p>
  </w:footnote>
  <w:footnote w:id="31">
    <w:p w:rsidR="003B01D4" w:rsidRDefault="003B01D4" w:rsidP="00617FB7">
      <w:pPr>
        <w:pStyle w:val="FootnoteText"/>
      </w:pPr>
      <w:r>
        <w:rPr>
          <w:rStyle w:val="FootnoteReference"/>
        </w:rPr>
        <w:footnoteRef/>
      </w:r>
      <w:r>
        <w:t xml:space="preserve"> </w:t>
      </w:r>
      <w:r w:rsidRPr="00B566D0">
        <w:t>Id. at 17, Element 4, ¶ 28.</w:t>
      </w:r>
    </w:p>
  </w:footnote>
  <w:footnote w:id="32">
    <w:p w:rsidR="003B01D4" w:rsidRDefault="003B01D4" w:rsidP="00617FB7">
      <w:pPr>
        <w:pStyle w:val="FootnoteText"/>
      </w:pPr>
      <w:r>
        <w:rPr>
          <w:rStyle w:val="FootnoteReference"/>
        </w:rPr>
        <w:footnoteRef/>
      </w:r>
      <w:r>
        <w:t xml:space="preserve"> Id. at n. 45.</w:t>
      </w:r>
    </w:p>
  </w:footnote>
  <w:footnote w:id="33">
    <w:p w:rsidR="003B01D4" w:rsidRDefault="003B01D4">
      <w:pPr>
        <w:pStyle w:val="FootnoteText"/>
      </w:pPr>
      <w:r>
        <w:rPr>
          <w:rStyle w:val="FootnoteReference"/>
        </w:rPr>
        <w:footnoteRef/>
      </w:r>
      <w:r>
        <w:t xml:space="preserve"> In the absence of a PCA, this policy would be very difficult and administratively burdensome to apply.</w:t>
      </w:r>
    </w:p>
  </w:footnote>
  <w:footnote w:id="34">
    <w:p w:rsidR="003B01D4" w:rsidRDefault="003B01D4" w:rsidP="00617FB7">
      <w:pPr>
        <w:pStyle w:val="FootnoteText"/>
      </w:pPr>
      <w:r>
        <w:rPr>
          <w:rStyle w:val="FootnoteReference"/>
        </w:rPr>
        <w:footnoteRef/>
      </w:r>
      <w:r>
        <w:t xml:space="preserve"> Cavanagh, Exhibit No. ___ (RCC-1T) at 16:9.</w:t>
      </w:r>
    </w:p>
  </w:footnote>
  <w:footnote w:id="35">
    <w:p w:rsidR="003B01D4" w:rsidRDefault="003B01D4">
      <w:pPr>
        <w:pStyle w:val="FootnoteText"/>
      </w:pPr>
      <w:r>
        <w:rPr>
          <w:rStyle w:val="FootnoteReference"/>
        </w:rPr>
        <w:footnoteRef/>
      </w:r>
      <w:r>
        <w:t xml:space="preserve"> Staff Response to Bench Request, Page 18.</w:t>
      </w:r>
    </w:p>
  </w:footnote>
  <w:footnote w:id="36">
    <w:p w:rsidR="003B01D4" w:rsidRDefault="003B01D4">
      <w:pPr>
        <w:pStyle w:val="FootnoteText"/>
      </w:pPr>
      <w:r>
        <w:rPr>
          <w:rStyle w:val="FootnoteReference"/>
        </w:rPr>
        <w:footnoteRef/>
      </w:r>
      <w:r>
        <w:t xml:space="preserve"> </w:t>
      </w:r>
      <w:r w:rsidR="00396F9D">
        <w:t xml:space="preserve">Schooley, </w:t>
      </w:r>
      <w:r>
        <w:t>Exhibit No. __ (TES-1T) at 11:3-8.</w:t>
      </w:r>
    </w:p>
  </w:footnote>
  <w:footnote w:id="37">
    <w:p w:rsidR="003C5737" w:rsidRDefault="003C5737" w:rsidP="003C5737">
      <w:pPr>
        <w:pStyle w:val="FootnoteText"/>
      </w:pPr>
      <w:r>
        <w:rPr>
          <w:rStyle w:val="FootnoteReference"/>
        </w:rPr>
        <w:footnoteRef/>
      </w:r>
      <w:r>
        <w:t xml:space="preserve"> Elgin, Exhibit No. __ (KLE-1T) at 2.</w:t>
      </w:r>
    </w:p>
  </w:footnote>
  <w:footnote w:id="38">
    <w:p w:rsidR="003C5737" w:rsidRDefault="003C5737" w:rsidP="003C5737">
      <w:pPr>
        <w:pStyle w:val="FootnoteText"/>
      </w:pPr>
      <w:r>
        <w:rPr>
          <w:rStyle w:val="FootnoteReference"/>
        </w:rPr>
        <w:footnoteRef/>
      </w:r>
      <w:r>
        <w:t xml:space="preserve"> Staff Response to Bench Request, Page 10, footnotes 25 and 26.</w:t>
      </w:r>
    </w:p>
  </w:footnote>
  <w:footnote w:id="39">
    <w:p w:rsidR="003B01D4" w:rsidRDefault="003B01D4" w:rsidP="00471AFC">
      <w:pPr>
        <w:pStyle w:val="FootnoteText"/>
      </w:pPr>
      <w:r>
        <w:rPr>
          <w:rStyle w:val="FootnoteReference"/>
        </w:rPr>
        <w:footnoteRef/>
      </w:r>
      <w:r>
        <w:t xml:space="preserve"> Staff’s response to the decoupling Bench Request included an earnings test for discussion purposes that was essentially the same as that addressed by Mr. Cavanagh.  It is also very similar to the earnings test in Avista’s decoupling mechanism, although Avista’s does not contemplate the 25 basis point deadband.  </w:t>
      </w:r>
    </w:p>
    <w:p w:rsidR="003B01D4" w:rsidRDefault="003B01D4" w:rsidP="00471AFC">
      <w:pPr>
        <w:pStyle w:val="FootnoteText"/>
      </w:pPr>
      <w:r>
        <w:t>I would clarify, however, that whatever deadband is chosen by the Commission, it should be based on a rate of return set in the general rate case that implements decoupling.  In addition, the deadband should be carefully crafted to provide upside earnings only if the Company can demonstrate a connection between achieved efficiencies beyond those required by statute and its earnings at the high end of any range determined to be fair.</w:t>
      </w:r>
    </w:p>
  </w:footnote>
  <w:footnote w:id="40">
    <w:p w:rsidR="003B01D4" w:rsidRDefault="003B01D4">
      <w:pPr>
        <w:pStyle w:val="FootnoteText"/>
      </w:pPr>
      <w:r>
        <w:rPr>
          <w:rStyle w:val="FootnoteReference"/>
        </w:rPr>
        <w:footnoteRef/>
      </w:r>
      <w:r>
        <w:t xml:space="preserve"> Staff Response to Commission’s Bench Request, pages 13-14.  See </w:t>
      </w:r>
      <w:r w:rsidR="009C19C7">
        <w:t>a</w:t>
      </w:r>
      <w:r>
        <w:t>lso Staff Response to Bench Request Appendix 1 Workpapers, Electric, page 1b.</w:t>
      </w:r>
    </w:p>
  </w:footnote>
  <w:footnote w:id="41">
    <w:p w:rsidR="003B01D4" w:rsidRDefault="003B01D4">
      <w:pPr>
        <w:pStyle w:val="FootnoteText"/>
      </w:pPr>
      <w:r>
        <w:rPr>
          <w:rStyle w:val="FootnoteReference"/>
        </w:rPr>
        <w:footnoteRef/>
      </w:r>
      <w:r>
        <w:t xml:space="preserve"> </w:t>
      </w:r>
      <w:r w:rsidRPr="00A92A07">
        <w:t xml:space="preserve">Decoupling Policy Statement at </w:t>
      </w:r>
      <w:r>
        <w:t>1</w:t>
      </w:r>
      <w:r w:rsidRPr="00A92A07">
        <w:t xml:space="preserve">8, Criterion </w:t>
      </w:r>
      <w:r>
        <w:t>3</w:t>
      </w:r>
      <w:r w:rsidRPr="00A92A07">
        <w:t>, ¶ 28.</w:t>
      </w:r>
      <w:r>
        <w:t xml:space="preserve">  </w:t>
      </w:r>
      <w:r w:rsidRPr="006C789B">
        <w:t>In Staff’s view, it is not necessary or even feasible to require proof of incremental conservation before implementation of decoupling.  It is enough to measure conservation acquired during the measurement period.  As long as the decoupling proposal describes how it will measure incremental conservation, including appropriate third party evaluation, the spirit of the Commission’s policy will have been realized.</w:t>
      </w:r>
    </w:p>
  </w:footnote>
  <w:footnote w:id="42">
    <w:p w:rsidR="003B01D4" w:rsidRDefault="003B01D4" w:rsidP="00471AFC">
      <w:pPr>
        <w:pStyle w:val="FootnoteText"/>
      </w:pPr>
      <w:r>
        <w:rPr>
          <w:rStyle w:val="FootnoteReference"/>
        </w:rPr>
        <w:footnoteRef/>
      </w:r>
      <w:r>
        <w:t xml:space="preserve"> </w:t>
      </w:r>
      <w:r w:rsidRPr="00A92A07">
        <w:t xml:space="preserve">Decoupling Policy Statement at </w:t>
      </w:r>
      <w:r>
        <w:t>1</w:t>
      </w:r>
      <w:r w:rsidRPr="00A92A07">
        <w:t xml:space="preserve">8, Criterion </w:t>
      </w:r>
      <w:r>
        <w:t>4</w:t>
      </w:r>
      <w:r w:rsidRPr="00A92A07">
        <w:t>, ¶ 28.</w:t>
      </w:r>
      <w:r>
        <w:t xml:space="preserve">  It is not clear to Staff how this policy, as phrased, is essential to a decoupling mechanism.  Staff assumes this policy is intended as a useful check on the utility’s low income programs to assure they are providing benefits the Commission deems appropriate.  In Staff’s view, as long as the decoupling proposal describes how it will measure and compare benefits of conservation provided to low-income customers and other customers, including appropriate third party evaluation, the spirit of the Commission’s policy will have been realized.</w:t>
      </w:r>
    </w:p>
  </w:footnote>
  <w:footnote w:id="43">
    <w:p w:rsidR="003B01D4" w:rsidRDefault="003B01D4">
      <w:pPr>
        <w:pStyle w:val="FootnoteText"/>
      </w:pPr>
      <w:r>
        <w:rPr>
          <w:rStyle w:val="FootnoteReference"/>
        </w:rPr>
        <w:footnoteRef/>
      </w:r>
      <w:r>
        <w:t xml:space="preserve"> Exhibit No. __ (TES-1T) at 11:3-8.</w:t>
      </w:r>
    </w:p>
  </w:footnote>
  <w:footnote w:id="44">
    <w:p w:rsidR="003B01D4" w:rsidRDefault="003B01D4">
      <w:pPr>
        <w:pStyle w:val="FootnoteText"/>
      </w:pPr>
      <w:r>
        <w:rPr>
          <w:rStyle w:val="FootnoteReference"/>
        </w:rPr>
        <w:footnoteRef/>
      </w:r>
      <w:r>
        <w:t xml:space="preserve"> Exhibit No. __ (JGH-1T)</w:t>
      </w:r>
      <w:r w:rsidR="009C19C7">
        <w:t xml:space="preserve"> at </w:t>
      </w:r>
      <w:r>
        <w:t>20.</w:t>
      </w:r>
    </w:p>
  </w:footnote>
  <w:footnote w:id="45">
    <w:p w:rsidR="003B01D4" w:rsidRDefault="003B01D4">
      <w:pPr>
        <w:pStyle w:val="FootnoteText"/>
      </w:pPr>
      <w:r>
        <w:rPr>
          <w:rStyle w:val="FootnoteReference"/>
        </w:rPr>
        <w:footnoteRef/>
      </w:r>
      <w:r>
        <w:t xml:space="preserve"> Pacific Power &amp; Light Company provided about 0.47 percent of annual revenues to low income bill assistance</w:t>
      </w:r>
      <w:r w:rsidR="00396F9D">
        <w:t xml:space="preserve"> in 2010</w:t>
      </w:r>
      <w:r>
        <w:t>.  However, I proposed an increase in this amount in my testimony filed January 6, 2012 in Docket UE-111190.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D64"/>
    <w:multiLevelType w:val="hybridMultilevel"/>
    <w:tmpl w:val="7496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B153E"/>
    <w:multiLevelType w:val="hybridMultilevel"/>
    <w:tmpl w:val="7870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F64"/>
    <w:multiLevelType w:val="hybridMultilevel"/>
    <w:tmpl w:val="506CA6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283084"/>
    <w:multiLevelType w:val="hybridMultilevel"/>
    <w:tmpl w:val="2D464F9C"/>
    <w:lvl w:ilvl="0" w:tplc="85EACE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D7F030B"/>
    <w:multiLevelType w:val="hybridMultilevel"/>
    <w:tmpl w:val="F420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124C83"/>
    <w:multiLevelType w:val="hybridMultilevel"/>
    <w:tmpl w:val="3322E906"/>
    <w:lvl w:ilvl="0" w:tplc="64FC6CD2">
      <w:start w:val="4"/>
      <w:numFmt w:val="upperLetter"/>
      <w:pStyle w:val="Heading2"/>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AA6066"/>
    <w:multiLevelType w:val="hybridMultilevel"/>
    <w:tmpl w:val="5A20FCE4"/>
    <w:lvl w:ilvl="0" w:tplc="4D9CD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B5CFE"/>
    <w:multiLevelType w:val="hybridMultilevel"/>
    <w:tmpl w:val="2464929E"/>
    <w:lvl w:ilvl="0" w:tplc="B1D4AB7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A203ADC"/>
    <w:multiLevelType w:val="hybridMultilevel"/>
    <w:tmpl w:val="A5B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EF637C"/>
    <w:multiLevelType w:val="hybridMultilevel"/>
    <w:tmpl w:val="CFA8F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632AB6"/>
    <w:multiLevelType w:val="hybridMultilevel"/>
    <w:tmpl w:val="80EEC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BE7E11"/>
    <w:multiLevelType w:val="hybridMultilevel"/>
    <w:tmpl w:val="534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5"/>
    <w:lvlOverride w:ilvl="0">
      <w:startOverride w:val="1"/>
    </w:lvlOverride>
  </w:num>
  <w:num w:numId="7">
    <w:abstractNumId w:val="0"/>
  </w:num>
  <w:num w:numId="8">
    <w:abstractNumId w:val="10"/>
  </w:num>
  <w:num w:numId="9">
    <w:abstractNumId w:val="5"/>
  </w:num>
  <w:num w:numId="10">
    <w:abstractNumId w:val="9"/>
  </w:num>
  <w:num w:numId="11">
    <w:abstractNumId w:val="11"/>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7"/>
    <w:rsid w:val="00004CFA"/>
    <w:rsid w:val="00012CB6"/>
    <w:rsid w:val="000463A0"/>
    <w:rsid w:val="00054A44"/>
    <w:rsid w:val="0006130D"/>
    <w:rsid w:val="000679D6"/>
    <w:rsid w:val="0007020D"/>
    <w:rsid w:val="000704BF"/>
    <w:rsid w:val="00081BA2"/>
    <w:rsid w:val="000935EF"/>
    <w:rsid w:val="00094CA0"/>
    <w:rsid w:val="000A5963"/>
    <w:rsid w:val="000D275A"/>
    <w:rsid w:val="000D4851"/>
    <w:rsid w:val="000D6770"/>
    <w:rsid w:val="000E1B39"/>
    <w:rsid w:val="000E640C"/>
    <w:rsid w:val="000F025A"/>
    <w:rsid w:val="000F3CE1"/>
    <w:rsid w:val="000F5581"/>
    <w:rsid w:val="00111BFB"/>
    <w:rsid w:val="00112861"/>
    <w:rsid w:val="00112E75"/>
    <w:rsid w:val="00113E2D"/>
    <w:rsid w:val="00114697"/>
    <w:rsid w:val="00114823"/>
    <w:rsid w:val="00114F78"/>
    <w:rsid w:val="001206C9"/>
    <w:rsid w:val="00136BB7"/>
    <w:rsid w:val="001603F9"/>
    <w:rsid w:val="0016191E"/>
    <w:rsid w:val="00167359"/>
    <w:rsid w:val="0017202C"/>
    <w:rsid w:val="00177F6E"/>
    <w:rsid w:val="00181989"/>
    <w:rsid w:val="001A5508"/>
    <w:rsid w:val="001A6E46"/>
    <w:rsid w:val="001A7E9C"/>
    <w:rsid w:val="001B3F5A"/>
    <w:rsid w:val="001B53CA"/>
    <w:rsid w:val="001C1CB0"/>
    <w:rsid w:val="001C59A2"/>
    <w:rsid w:val="001C5AB1"/>
    <w:rsid w:val="001D475C"/>
    <w:rsid w:val="001D766B"/>
    <w:rsid w:val="001E1D7A"/>
    <w:rsid w:val="001E2B14"/>
    <w:rsid w:val="001F688A"/>
    <w:rsid w:val="002060C4"/>
    <w:rsid w:val="0021376B"/>
    <w:rsid w:val="00213C95"/>
    <w:rsid w:val="00222B75"/>
    <w:rsid w:val="00225257"/>
    <w:rsid w:val="0023063E"/>
    <w:rsid w:val="002353CA"/>
    <w:rsid w:val="002366EF"/>
    <w:rsid w:val="00246AAB"/>
    <w:rsid w:val="00253ED0"/>
    <w:rsid w:val="002540E1"/>
    <w:rsid w:val="002646D5"/>
    <w:rsid w:val="00284257"/>
    <w:rsid w:val="00290B02"/>
    <w:rsid w:val="00291A68"/>
    <w:rsid w:val="00292EAA"/>
    <w:rsid w:val="00296766"/>
    <w:rsid w:val="00297341"/>
    <w:rsid w:val="002A6A88"/>
    <w:rsid w:val="002B0F6A"/>
    <w:rsid w:val="002B2E41"/>
    <w:rsid w:val="002C039A"/>
    <w:rsid w:val="002C67E3"/>
    <w:rsid w:val="002C7EB3"/>
    <w:rsid w:val="002D1E41"/>
    <w:rsid w:val="002F0871"/>
    <w:rsid w:val="002F09C6"/>
    <w:rsid w:val="002F42C2"/>
    <w:rsid w:val="002F725A"/>
    <w:rsid w:val="003038D6"/>
    <w:rsid w:val="00311974"/>
    <w:rsid w:val="00315C94"/>
    <w:rsid w:val="00325302"/>
    <w:rsid w:val="00330F9D"/>
    <w:rsid w:val="00343D20"/>
    <w:rsid w:val="00344870"/>
    <w:rsid w:val="00351C7E"/>
    <w:rsid w:val="003666D3"/>
    <w:rsid w:val="00371C9A"/>
    <w:rsid w:val="00396F9D"/>
    <w:rsid w:val="003A2633"/>
    <w:rsid w:val="003A2DBF"/>
    <w:rsid w:val="003A4B39"/>
    <w:rsid w:val="003B01D4"/>
    <w:rsid w:val="003B07DA"/>
    <w:rsid w:val="003B3D07"/>
    <w:rsid w:val="003C4E16"/>
    <w:rsid w:val="003C5737"/>
    <w:rsid w:val="003C58AA"/>
    <w:rsid w:val="003D4879"/>
    <w:rsid w:val="003E0487"/>
    <w:rsid w:val="003E66ED"/>
    <w:rsid w:val="003F678D"/>
    <w:rsid w:val="00415995"/>
    <w:rsid w:val="004161DE"/>
    <w:rsid w:val="00441E00"/>
    <w:rsid w:val="00446C14"/>
    <w:rsid w:val="00464600"/>
    <w:rsid w:val="00465115"/>
    <w:rsid w:val="00471AFC"/>
    <w:rsid w:val="00473B72"/>
    <w:rsid w:val="00474436"/>
    <w:rsid w:val="004764D7"/>
    <w:rsid w:val="00476BF9"/>
    <w:rsid w:val="004971F8"/>
    <w:rsid w:val="004A44B6"/>
    <w:rsid w:val="004A70F2"/>
    <w:rsid w:val="004C46D9"/>
    <w:rsid w:val="004D055B"/>
    <w:rsid w:val="004D1E64"/>
    <w:rsid w:val="004D3301"/>
    <w:rsid w:val="004D6132"/>
    <w:rsid w:val="00503B1B"/>
    <w:rsid w:val="00510E81"/>
    <w:rsid w:val="00516C71"/>
    <w:rsid w:val="00516E1D"/>
    <w:rsid w:val="00530B98"/>
    <w:rsid w:val="005336C3"/>
    <w:rsid w:val="00547916"/>
    <w:rsid w:val="00552600"/>
    <w:rsid w:val="005779A8"/>
    <w:rsid w:val="0058735E"/>
    <w:rsid w:val="00592218"/>
    <w:rsid w:val="005936D4"/>
    <w:rsid w:val="005946ED"/>
    <w:rsid w:val="00596CB9"/>
    <w:rsid w:val="005A01C5"/>
    <w:rsid w:val="005A6C74"/>
    <w:rsid w:val="005B37A2"/>
    <w:rsid w:val="005C3CE3"/>
    <w:rsid w:val="005D2B05"/>
    <w:rsid w:val="005E01AE"/>
    <w:rsid w:val="005E1C96"/>
    <w:rsid w:val="005E769A"/>
    <w:rsid w:val="005F4E66"/>
    <w:rsid w:val="006008EB"/>
    <w:rsid w:val="00610A23"/>
    <w:rsid w:val="00617FB7"/>
    <w:rsid w:val="00636D17"/>
    <w:rsid w:val="00640822"/>
    <w:rsid w:val="006472B4"/>
    <w:rsid w:val="00663DCD"/>
    <w:rsid w:val="00672F7B"/>
    <w:rsid w:val="00673AF0"/>
    <w:rsid w:val="006741D6"/>
    <w:rsid w:val="00682E2B"/>
    <w:rsid w:val="006911E2"/>
    <w:rsid w:val="00696FCF"/>
    <w:rsid w:val="006A122C"/>
    <w:rsid w:val="006A41EE"/>
    <w:rsid w:val="006B3E43"/>
    <w:rsid w:val="006C1D8C"/>
    <w:rsid w:val="006C29D0"/>
    <w:rsid w:val="006C6715"/>
    <w:rsid w:val="006C789B"/>
    <w:rsid w:val="006D7286"/>
    <w:rsid w:val="006E4A04"/>
    <w:rsid w:val="006F41CA"/>
    <w:rsid w:val="006F6866"/>
    <w:rsid w:val="00710447"/>
    <w:rsid w:val="00731383"/>
    <w:rsid w:val="00732F9C"/>
    <w:rsid w:val="00733FAF"/>
    <w:rsid w:val="00735B87"/>
    <w:rsid w:val="00736791"/>
    <w:rsid w:val="007374E0"/>
    <w:rsid w:val="0074020D"/>
    <w:rsid w:val="0076172D"/>
    <w:rsid w:val="007713F7"/>
    <w:rsid w:val="007B02E0"/>
    <w:rsid w:val="007B39D9"/>
    <w:rsid w:val="007B520C"/>
    <w:rsid w:val="007C3BFB"/>
    <w:rsid w:val="007D3A17"/>
    <w:rsid w:val="007D66BC"/>
    <w:rsid w:val="007E150E"/>
    <w:rsid w:val="007F129F"/>
    <w:rsid w:val="007F60F1"/>
    <w:rsid w:val="00811DF2"/>
    <w:rsid w:val="00812039"/>
    <w:rsid w:val="008218CB"/>
    <w:rsid w:val="00821F50"/>
    <w:rsid w:val="0082286A"/>
    <w:rsid w:val="008308F1"/>
    <w:rsid w:val="00831ECF"/>
    <w:rsid w:val="008324B6"/>
    <w:rsid w:val="00857518"/>
    <w:rsid w:val="00864D9E"/>
    <w:rsid w:val="00880CD3"/>
    <w:rsid w:val="0089190E"/>
    <w:rsid w:val="008A2F38"/>
    <w:rsid w:val="008A3975"/>
    <w:rsid w:val="008B100D"/>
    <w:rsid w:val="008B66AC"/>
    <w:rsid w:val="008C3E2A"/>
    <w:rsid w:val="008C60B2"/>
    <w:rsid w:val="008E2200"/>
    <w:rsid w:val="008E2346"/>
    <w:rsid w:val="008E585B"/>
    <w:rsid w:val="008E5ACA"/>
    <w:rsid w:val="008E73F2"/>
    <w:rsid w:val="008E7D71"/>
    <w:rsid w:val="008F305C"/>
    <w:rsid w:val="00914414"/>
    <w:rsid w:val="00920E1C"/>
    <w:rsid w:val="00945865"/>
    <w:rsid w:val="0095015C"/>
    <w:rsid w:val="00954FFD"/>
    <w:rsid w:val="00955740"/>
    <w:rsid w:val="0097377D"/>
    <w:rsid w:val="00973824"/>
    <w:rsid w:val="00973ADF"/>
    <w:rsid w:val="00981154"/>
    <w:rsid w:val="00983628"/>
    <w:rsid w:val="0098401F"/>
    <w:rsid w:val="00984EA0"/>
    <w:rsid w:val="00987BA7"/>
    <w:rsid w:val="009C19C7"/>
    <w:rsid w:val="009E549A"/>
    <w:rsid w:val="00A149D4"/>
    <w:rsid w:val="00A20CE0"/>
    <w:rsid w:val="00A27CF4"/>
    <w:rsid w:val="00A3019D"/>
    <w:rsid w:val="00A306AD"/>
    <w:rsid w:val="00A30810"/>
    <w:rsid w:val="00A653E9"/>
    <w:rsid w:val="00A722EF"/>
    <w:rsid w:val="00A7685A"/>
    <w:rsid w:val="00A831B7"/>
    <w:rsid w:val="00A84518"/>
    <w:rsid w:val="00A84C2A"/>
    <w:rsid w:val="00A91CF2"/>
    <w:rsid w:val="00A94537"/>
    <w:rsid w:val="00A96666"/>
    <w:rsid w:val="00A979BD"/>
    <w:rsid w:val="00AA0A52"/>
    <w:rsid w:val="00AA2F25"/>
    <w:rsid w:val="00AA640D"/>
    <w:rsid w:val="00AB30F9"/>
    <w:rsid w:val="00AC1C21"/>
    <w:rsid w:val="00AD040E"/>
    <w:rsid w:val="00AD1DF5"/>
    <w:rsid w:val="00AD3312"/>
    <w:rsid w:val="00AE21E3"/>
    <w:rsid w:val="00AE273E"/>
    <w:rsid w:val="00AE3B2F"/>
    <w:rsid w:val="00B010CD"/>
    <w:rsid w:val="00B01A11"/>
    <w:rsid w:val="00B13041"/>
    <w:rsid w:val="00B134B6"/>
    <w:rsid w:val="00B138B7"/>
    <w:rsid w:val="00B1407F"/>
    <w:rsid w:val="00B2591D"/>
    <w:rsid w:val="00B30A97"/>
    <w:rsid w:val="00B33C04"/>
    <w:rsid w:val="00B46C8F"/>
    <w:rsid w:val="00B5420A"/>
    <w:rsid w:val="00B65840"/>
    <w:rsid w:val="00B73B9D"/>
    <w:rsid w:val="00B825DC"/>
    <w:rsid w:val="00B831CD"/>
    <w:rsid w:val="00B91784"/>
    <w:rsid w:val="00BA007D"/>
    <w:rsid w:val="00BB0E8F"/>
    <w:rsid w:val="00BC0C12"/>
    <w:rsid w:val="00BD70F7"/>
    <w:rsid w:val="00BE656D"/>
    <w:rsid w:val="00BE7E8D"/>
    <w:rsid w:val="00BF620B"/>
    <w:rsid w:val="00BF7468"/>
    <w:rsid w:val="00C00C9F"/>
    <w:rsid w:val="00C310AE"/>
    <w:rsid w:val="00C31919"/>
    <w:rsid w:val="00C328C8"/>
    <w:rsid w:val="00C411A1"/>
    <w:rsid w:val="00C463B0"/>
    <w:rsid w:val="00C5557F"/>
    <w:rsid w:val="00C6599B"/>
    <w:rsid w:val="00C67A22"/>
    <w:rsid w:val="00CB0EB4"/>
    <w:rsid w:val="00CB2203"/>
    <w:rsid w:val="00CB7FAC"/>
    <w:rsid w:val="00CC0444"/>
    <w:rsid w:val="00CC141D"/>
    <w:rsid w:val="00CC5995"/>
    <w:rsid w:val="00CD54E2"/>
    <w:rsid w:val="00CE1914"/>
    <w:rsid w:val="00CE278E"/>
    <w:rsid w:val="00CE3576"/>
    <w:rsid w:val="00CE798F"/>
    <w:rsid w:val="00CF357C"/>
    <w:rsid w:val="00CF5817"/>
    <w:rsid w:val="00D04702"/>
    <w:rsid w:val="00D1596A"/>
    <w:rsid w:val="00D237D4"/>
    <w:rsid w:val="00D31489"/>
    <w:rsid w:val="00D31A6A"/>
    <w:rsid w:val="00D40025"/>
    <w:rsid w:val="00D436E5"/>
    <w:rsid w:val="00D539BE"/>
    <w:rsid w:val="00D551D4"/>
    <w:rsid w:val="00D741C3"/>
    <w:rsid w:val="00D81441"/>
    <w:rsid w:val="00D93D67"/>
    <w:rsid w:val="00DA1B86"/>
    <w:rsid w:val="00DA2A67"/>
    <w:rsid w:val="00DB7104"/>
    <w:rsid w:val="00DC5950"/>
    <w:rsid w:val="00DD2A47"/>
    <w:rsid w:val="00DD7C06"/>
    <w:rsid w:val="00DD7EE8"/>
    <w:rsid w:val="00DE51DB"/>
    <w:rsid w:val="00DF34FA"/>
    <w:rsid w:val="00DF4B26"/>
    <w:rsid w:val="00DF5D03"/>
    <w:rsid w:val="00E07C71"/>
    <w:rsid w:val="00E10504"/>
    <w:rsid w:val="00E15D15"/>
    <w:rsid w:val="00E175DD"/>
    <w:rsid w:val="00E23D8D"/>
    <w:rsid w:val="00E3238D"/>
    <w:rsid w:val="00E347E0"/>
    <w:rsid w:val="00E36EA2"/>
    <w:rsid w:val="00E45A13"/>
    <w:rsid w:val="00E47B62"/>
    <w:rsid w:val="00E56E17"/>
    <w:rsid w:val="00E65070"/>
    <w:rsid w:val="00E6599B"/>
    <w:rsid w:val="00E770AA"/>
    <w:rsid w:val="00E84BCE"/>
    <w:rsid w:val="00E86D10"/>
    <w:rsid w:val="00EA7939"/>
    <w:rsid w:val="00EC125F"/>
    <w:rsid w:val="00EC1326"/>
    <w:rsid w:val="00EC45FD"/>
    <w:rsid w:val="00ED1DE0"/>
    <w:rsid w:val="00ED2025"/>
    <w:rsid w:val="00EF0C1F"/>
    <w:rsid w:val="00EF46EB"/>
    <w:rsid w:val="00EF60DE"/>
    <w:rsid w:val="00F10BE1"/>
    <w:rsid w:val="00F21B68"/>
    <w:rsid w:val="00F25ED2"/>
    <w:rsid w:val="00F26464"/>
    <w:rsid w:val="00F33615"/>
    <w:rsid w:val="00F339FC"/>
    <w:rsid w:val="00F343AD"/>
    <w:rsid w:val="00F46D6D"/>
    <w:rsid w:val="00F5062B"/>
    <w:rsid w:val="00F53422"/>
    <w:rsid w:val="00F65613"/>
    <w:rsid w:val="00F83AD8"/>
    <w:rsid w:val="00F86E60"/>
    <w:rsid w:val="00F90CBF"/>
    <w:rsid w:val="00F94EB8"/>
    <w:rsid w:val="00FB2784"/>
    <w:rsid w:val="00FD2C45"/>
    <w:rsid w:val="00FD6AD8"/>
    <w:rsid w:val="00FE0A2C"/>
    <w:rsid w:val="00FE7E3B"/>
    <w:rsid w:val="00FF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18"/>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A91CF2"/>
    <w:pPr>
      <w:widowControl w:val="0"/>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91CF2"/>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iPriority w:val="99"/>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F025A"/>
    <w:pPr>
      <w:tabs>
        <w:tab w:val="clear" w:pos="-1440"/>
        <w:tab w:val="left" w:pos="720"/>
        <w:tab w:val="left" w:pos="1440"/>
        <w:tab w:val="left" w:pos="2160"/>
        <w:tab w:val="right" w:leader="dot" w:pos="8910"/>
      </w:tabs>
      <w:spacing w:after="100" w:line="240" w:lineRule="auto"/>
      <w:ind w:left="0" w:firstLine="0"/>
      <w:jc w:val="center"/>
    </w:pPr>
    <w:rPr>
      <w:b/>
    </w:rPr>
  </w:style>
  <w:style w:type="paragraph" w:styleId="TOC2">
    <w:name w:val="toc 2"/>
    <w:basedOn w:val="Normal"/>
    <w:next w:val="Normal"/>
    <w:autoRedefine/>
    <w:uiPriority w:val="39"/>
    <w:unhideWhenUsed/>
    <w:rsid w:val="000704BF"/>
    <w:pPr>
      <w:tabs>
        <w:tab w:val="clear" w:pos="-1440"/>
      </w:tabs>
      <w:spacing w:after="100"/>
      <w:ind w:left="240"/>
    </w:pPr>
  </w:style>
  <w:style w:type="character" w:styleId="Hyperlink">
    <w:name w:val="Hyperlink"/>
    <w:basedOn w:val="DefaultParagraphFont"/>
    <w:uiPriority w:val="99"/>
    <w:unhideWhenUsed/>
    <w:rsid w:val="000704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18"/>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A91CF2"/>
    <w:pPr>
      <w:widowControl w:val="0"/>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91CF2"/>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iPriority w:val="99"/>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F025A"/>
    <w:pPr>
      <w:tabs>
        <w:tab w:val="clear" w:pos="-1440"/>
        <w:tab w:val="left" w:pos="720"/>
        <w:tab w:val="left" w:pos="1440"/>
        <w:tab w:val="left" w:pos="2160"/>
        <w:tab w:val="right" w:leader="dot" w:pos="8910"/>
      </w:tabs>
      <w:spacing w:after="100" w:line="240" w:lineRule="auto"/>
      <w:ind w:left="0" w:firstLine="0"/>
      <w:jc w:val="center"/>
    </w:pPr>
    <w:rPr>
      <w:b/>
    </w:rPr>
  </w:style>
  <w:style w:type="paragraph" w:styleId="TOC2">
    <w:name w:val="toc 2"/>
    <w:basedOn w:val="Normal"/>
    <w:next w:val="Normal"/>
    <w:autoRedefine/>
    <w:uiPriority w:val="39"/>
    <w:unhideWhenUsed/>
    <w:rsid w:val="000704BF"/>
    <w:pPr>
      <w:tabs>
        <w:tab w:val="clear" w:pos="-1440"/>
      </w:tabs>
      <w:spacing w:after="100"/>
      <w:ind w:left="240"/>
    </w:pPr>
  </w:style>
  <w:style w:type="character" w:styleId="Hyperlink">
    <w:name w:val="Hyperlink"/>
    <w:basedOn w:val="DefaultParagraphFont"/>
    <w:uiPriority w:val="99"/>
    <w:unhideWhenUsed/>
    <w:rsid w:val="00070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6D01A0-24C5-4FEA-A675-0CB9D42EA45B}"/>
</file>

<file path=customXml/itemProps2.xml><?xml version="1.0" encoding="utf-8"?>
<ds:datastoreItem xmlns:ds="http://schemas.openxmlformats.org/officeDocument/2006/customXml" ds:itemID="{5239AC8A-2FBD-4079-A173-2B9C510DE9FE}"/>
</file>

<file path=customXml/itemProps3.xml><?xml version="1.0" encoding="utf-8"?>
<ds:datastoreItem xmlns:ds="http://schemas.openxmlformats.org/officeDocument/2006/customXml" ds:itemID="{737F3D0E-9DF6-456E-B375-13EA8050E0B8}"/>
</file>

<file path=customXml/itemProps4.xml><?xml version="1.0" encoding="utf-8"?>
<ds:datastoreItem xmlns:ds="http://schemas.openxmlformats.org/officeDocument/2006/customXml" ds:itemID="{C7A599DB-855C-43B2-9F68-DD77E417F1F1}"/>
</file>

<file path=customXml/itemProps5.xml><?xml version="1.0" encoding="utf-8"?>
<ds:datastoreItem xmlns:ds="http://schemas.openxmlformats.org/officeDocument/2006/customXml" ds:itemID="{F2096853-FF3C-43CF-8FB0-41FF76215260}"/>
</file>

<file path=docProps/app.xml><?xml version="1.0" encoding="utf-8"?>
<Properties xmlns="http://schemas.openxmlformats.org/officeDocument/2006/extended-properties" xmlns:vt="http://schemas.openxmlformats.org/officeDocument/2006/docPropsVTypes">
  <Template>Normal</Template>
  <TotalTime>0</TotalTime>
  <Pages>21</Pages>
  <Words>3838</Words>
  <Characters>21881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Reynolds</dc:creator>
  <cp:lastModifiedBy>Cedarbaum, Bob (UTC)</cp:lastModifiedBy>
  <cp:revision>2</cp:revision>
  <cp:lastPrinted>2012-01-17T21:40:00Z</cp:lastPrinted>
  <dcterms:created xsi:type="dcterms:W3CDTF">2012-01-17T22:07:00Z</dcterms:created>
  <dcterms:modified xsi:type="dcterms:W3CDTF">2012-01-17T22:07:00Z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