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DC4" w:rsidRPr="006B1E4A" w:rsidRDefault="006B1E4A" w:rsidP="006B1E4A">
      <w:pPr>
        <w:spacing w:line="288" w:lineRule="auto"/>
        <w:ind w:left="5040" w:firstLine="720"/>
        <w:jc w:val="center"/>
        <w:rPr>
          <w:b/>
          <w:sz w:val="20"/>
          <w:szCs w:val="20"/>
        </w:rPr>
      </w:pPr>
      <w:bookmarkStart w:id="0" w:name="_GoBack"/>
      <w:bookmarkEnd w:id="0"/>
      <w:r w:rsidRPr="006B1E4A">
        <w:rPr>
          <w:b/>
          <w:sz w:val="20"/>
          <w:szCs w:val="20"/>
        </w:rPr>
        <w:t>[Service Date July 5, 2011]</w:t>
      </w:r>
    </w:p>
    <w:p w:rsidR="00B74DC4" w:rsidRPr="00D9473D" w:rsidRDefault="00B74DC4" w:rsidP="00D9473D">
      <w:pPr>
        <w:spacing w:line="288" w:lineRule="auto"/>
        <w:rPr>
          <w:sz w:val="25"/>
          <w:szCs w:val="25"/>
        </w:rPr>
      </w:pPr>
    </w:p>
    <w:p w:rsidR="00B74DC4" w:rsidRPr="00D9473D" w:rsidRDefault="00B74DC4" w:rsidP="00D9473D">
      <w:pPr>
        <w:spacing w:line="288" w:lineRule="auto"/>
        <w:rPr>
          <w:sz w:val="25"/>
          <w:szCs w:val="25"/>
        </w:rPr>
      </w:pPr>
    </w:p>
    <w:p w:rsidR="000A2B4D" w:rsidRPr="00D9473D" w:rsidRDefault="000A2B4D" w:rsidP="00D9473D">
      <w:pPr>
        <w:spacing w:line="288" w:lineRule="auto"/>
        <w:rPr>
          <w:sz w:val="25"/>
          <w:szCs w:val="25"/>
        </w:rPr>
      </w:pPr>
    </w:p>
    <w:p w:rsidR="00D9473D" w:rsidRPr="00D9473D" w:rsidRDefault="00D9473D" w:rsidP="00D9473D">
      <w:pPr>
        <w:spacing w:line="288" w:lineRule="auto"/>
        <w:rPr>
          <w:sz w:val="25"/>
          <w:szCs w:val="25"/>
        </w:rPr>
      </w:pPr>
    </w:p>
    <w:p w:rsidR="00D9473D" w:rsidRPr="00D9473D" w:rsidRDefault="00D9473D" w:rsidP="00D9473D">
      <w:pPr>
        <w:spacing w:line="288" w:lineRule="auto"/>
        <w:rPr>
          <w:sz w:val="25"/>
          <w:szCs w:val="25"/>
        </w:rPr>
      </w:pPr>
    </w:p>
    <w:p w:rsidR="00D9473D" w:rsidRPr="00D9473D" w:rsidRDefault="00D9473D" w:rsidP="00D9473D">
      <w:pPr>
        <w:spacing w:line="288" w:lineRule="auto"/>
        <w:rPr>
          <w:sz w:val="25"/>
          <w:szCs w:val="25"/>
        </w:rPr>
      </w:pPr>
    </w:p>
    <w:p w:rsidR="00EE2DF1" w:rsidRPr="00D9473D" w:rsidRDefault="00E92EB9" w:rsidP="00D9473D">
      <w:pPr>
        <w:spacing w:line="288" w:lineRule="auto"/>
        <w:jc w:val="center"/>
        <w:rPr>
          <w:sz w:val="25"/>
          <w:szCs w:val="25"/>
        </w:rPr>
      </w:pPr>
      <w:r w:rsidRPr="00D9473D">
        <w:rPr>
          <w:sz w:val="25"/>
          <w:szCs w:val="25"/>
        </w:rPr>
        <w:t>July</w:t>
      </w:r>
      <w:r w:rsidR="008127FF" w:rsidRPr="00D9473D">
        <w:rPr>
          <w:sz w:val="25"/>
          <w:szCs w:val="25"/>
        </w:rPr>
        <w:t xml:space="preserve"> </w:t>
      </w:r>
      <w:r w:rsidR="0034767D" w:rsidRPr="00D9473D">
        <w:rPr>
          <w:sz w:val="25"/>
          <w:szCs w:val="25"/>
        </w:rPr>
        <w:t>5</w:t>
      </w:r>
      <w:r w:rsidR="004F76A7" w:rsidRPr="00D9473D">
        <w:rPr>
          <w:sz w:val="25"/>
          <w:szCs w:val="25"/>
        </w:rPr>
        <w:t>, 2011</w:t>
      </w:r>
    </w:p>
    <w:p w:rsidR="00B74DC4" w:rsidRPr="00D9473D" w:rsidRDefault="00B74DC4" w:rsidP="00D9473D">
      <w:pPr>
        <w:spacing w:line="288" w:lineRule="auto"/>
        <w:jc w:val="center"/>
        <w:rPr>
          <w:sz w:val="25"/>
          <w:szCs w:val="25"/>
        </w:rPr>
      </w:pPr>
    </w:p>
    <w:p w:rsidR="00B74DC4" w:rsidRPr="00D9473D" w:rsidRDefault="00B74DC4" w:rsidP="00D9473D">
      <w:pPr>
        <w:spacing w:line="288" w:lineRule="auto"/>
        <w:jc w:val="center"/>
        <w:rPr>
          <w:sz w:val="25"/>
          <w:szCs w:val="25"/>
        </w:rPr>
      </w:pPr>
    </w:p>
    <w:p w:rsidR="0024149E" w:rsidRPr="00D9473D" w:rsidRDefault="0024149E" w:rsidP="00D9473D">
      <w:pPr>
        <w:pStyle w:val="NoSpacing"/>
        <w:spacing w:line="288" w:lineRule="auto"/>
        <w:rPr>
          <w:szCs w:val="25"/>
        </w:rPr>
      </w:pPr>
    </w:p>
    <w:p w:rsidR="004F76A7" w:rsidRPr="00D9473D" w:rsidRDefault="004D7BF0" w:rsidP="00D9473D">
      <w:pPr>
        <w:tabs>
          <w:tab w:val="left" w:pos="720"/>
        </w:tabs>
        <w:spacing w:line="288" w:lineRule="auto"/>
        <w:ind w:left="720" w:hanging="720"/>
        <w:rPr>
          <w:sz w:val="25"/>
          <w:szCs w:val="25"/>
        </w:rPr>
      </w:pPr>
      <w:r w:rsidRPr="00D9473D">
        <w:rPr>
          <w:sz w:val="25"/>
          <w:szCs w:val="25"/>
        </w:rPr>
        <w:t>RE:</w:t>
      </w:r>
      <w:r w:rsidRPr="00D9473D">
        <w:rPr>
          <w:sz w:val="25"/>
          <w:szCs w:val="25"/>
        </w:rPr>
        <w:tab/>
      </w:r>
      <w:r w:rsidR="004F76A7" w:rsidRPr="00D9473D">
        <w:rPr>
          <w:i/>
          <w:sz w:val="25"/>
          <w:szCs w:val="25"/>
        </w:rPr>
        <w:t>In the Matter of the Joint Application of Qwest Communications International Inc., and CenturyTel, Inc., for Approval of Indirect Transfer of Control of Qwest Corporation, Qwest Communications Company LLC, and Qwest LD Corp.,</w:t>
      </w:r>
      <w:r w:rsidR="004F76A7" w:rsidRPr="00D9473D">
        <w:rPr>
          <w:sz w:val="25"/>
          <w:szCs w:val="25"/>
        </w:rPr>
        <w:t xml:space="preserve"> Docket UT-100820</w:t>
      </w:r>
    </w:p>
    <w:p w:rsidR="004F76A7" w:rsidRPr="00D9473D" w:rsidRDefault="004F76A7" w:rsidP="00D9473D">
      <w:pPr>
        <w:tabs>
          <w:tab w:val="left" w:pos="720"/>
        </w:tabs>
        <w:spacing w:line="288" w:lineRule="auto"/>
        <w:ind w:left="720" w:hanging="720"/>
        <w:rPr>
          <w:bCs/>
          <w:sz w:val="25"/>
          <w:szCs w:val="25"/>
        </w:rPr>
      </w:pPr>
    </w:p>
    <w:p w:rsidR="004F76A7" w:rsidRPr="00D9473D" w:rsidRDefault="004F76A7" w:rsidP="00D9473D">
      <w:pPr>
        <w:spacing w:line="288" w:lineRule="auto"/>
        <w:rPr>
          <w:sz w:val="25"/>
          <w:szCs w:val="25"/>
        </w:rPr>
      </w:pPr>
    </w:p>
    <w:p w:rsidR="004F76A7" w:rsidRPr="00D9473D" w:rsidRDefault="004F76A7" w:rsidP="00D9473D">
      <w:pPr>
        <w:spacing w:line="288" w:lineRule="auto"/>
        <w:rPr>
          <w:sz w:val="25"/>
          <w:szCs w:val="25"/>
        </w:rPr>
      </w:pPr>
      <w:r w:rsidRPr="00D9473D">
        <w:rPr>
          <w:sz w:val="25"/>
          <w:szCs w:val="25"/>
        </w:rPr>
        <w:t>TO ALL PARTIES:</w:t>
      </w:r>
    </w:p>
    <w:p w:rsidR="004F76A7" w:rsidRPr="00D9473D" w:rsidRDefault="004F76A7" w:rsidP="00D9473D">
      <w:pPr>
        <w:spacing w:line="288" w:lineRule="auto"/>
        <w:rPr>
          <w:sz w:val="25"/>
          <w:szCs w:val="25"/>
        </w:rPr>
      </w:pPr>
    </w:p>
    <w:p w:rsidR="00973B16" w:rsidRPr="00D9473D" w:rsidRDefault="004F76A7" w:rsidP="00D9473D">
      <w:pPr>
        <w:spacing w:line="288" w:lineRule="auto"/>
        <w:rPr>
          <w:sz w:val="25"/>
          <w:szCs w:val="25"/>
        </w:rPr>
      </w:pPr>
      <w:r w:rsidRPr="00D9473D">
        <w:rPr>
          <w:sz w:val="25"/>
          <w:szCs w:val="25"/>
        </w:rPr>
        <w:t>On March 14, 2011, the Washington Utilities and Transportation Commission (Commission) entered Order 14, approving the proposed acquisition of Qwest Communications International Inc. (Qwest) by CenturyLink, Inc. (CenturyLink)</w:t>
      </w:r>
      <w:r w:rsidR="007048BE" w:rsidRPr="00D9473D">
        <w:rPr>
          <w:sz w:val="25"/>
          <w:szCs w:val="25"/>
        </w:rPr>
        <w:t xml:space="preserve"> and adopting, </w:t>
      </w:r>
      <w:r w:rsidR="00261107" w:rsidRPr="00D9473D">
        <w:rPr>
          <w:sz w:val="25"/>
          <w:szCs w:val="25"/>
        </w:rPr>
        <w:t>subject to</w:t>
      </w:r>
      <w:r w:rsidR="007048BE" w:rsidRPr="00D9473D">
        <w:rPr>
          <w:sz w:val="25"/>
          <w:szCs w:val="25"/>
        </w:rPr>
        <w:t xml:space="preserve"> conditions, multiparty settlement agreements.</w:t>
      </w:r>
      <w:r w:rsidR="00DB6B4B" w:rsidRPr="00D9473D">
        <w:rPr>
          <w:sz w:val="25"/>
          <w:szCs w:val="25"/>
        </w:rPr>
        <w:t xml:space="preserve">  One such</w:t>
      </w:r>
      <w:r w:rsidR="007048BE" w:rsidRPr="00D9473D">
        <w:rPr>
          <w:sz w:val="25"/>
          <w:szCs w:val="25"/>
        </w:rPr>
        <w:t xml:space="preserve"> agreement</w:t>
      </w:r>
      <w:r w:rsidR="00DB6B4B" w:rsidRPr="00D9473D">
        <w:rPr>
          <w:sz w:val="25"/>
          <w:szCs w:val="25"/>
        </w:rPr>
        <w:t xml:space="preserve"> </w:t>
      </w:r>
      <w:r w:rsidR="00973B16" w:rsidRPr="00D9473D">
        <w:rPr>
          <w:sz w:val="25"/>
          <w:szCs w:val="25"/>
        </w:rPr>
        <w:t xml:space="preserve">between Qwest, CenturyLink, </w:t>
      </w:r>
      <w:r w:rsidR="00965953" w:rsidRPr="00D9473D">
        <w:rPr>
          <w:sz w:val="25"/>
          <w:szCs w:val="25"/>
        </w:rPr>
        <w:t xml:space="preserve">the </w:t>
      </w:r>
      <w:r w:rsidR="00973B16" w:rsidRPr="00D9473D">
        <w:rPr>
          <w:sz w:val="25"/>
          <w:szCs w:val="25"/>
        </w:rPr>
        <w:t>Commission</w:t>
      </w:r>
      <w:r w:rsidR="00965953" w:rsidRPr="00D9473D">
        <w:rPr>
          <w:sz w:val="25"/>
          <w:szCs w:val="25"/>
        </w:rPr>
        <w:t>’s regulatory staff (Commission</w:t>
      </w:r>
      <w:r w:rsidR="00973B16" w:rsidRPr="00D9473D">
        <w:rPr>
          <w:sz w:val="25"/>
          <w:szCs w:val="25"/>
        </w:rPr>
        <w:t xml:space="preserve"> Staff</w:t>
      </w:r>
      <w:r w:rsidR="00965953" w:rsidRPr="00D9473D">
        <w:rPr>
          <w:sz w:val="25"/>
          <w:szCs w:val="25"/>
        </w:rPr>
        <w:t>)</w:t>
      </w:r>
      <w:r w:rsidR="00973B16" w:rsidRPr="00D9473D">
        <w:rPr>
          <w:sz w:val="25"/>
          <w:szCs w:val="25"/>
        </w:rPr>
        <w:t xml:space="preserve">, and </w:t>
      </w:r>
      <w:r w:rsidR="00965953" w:rsidRPr="00D9473D">
        <w:rPr>
          <w:sz w:val="25"/>
          <w:szCs w:val="25"/>
        </w:rPr>
        <w:t xml:space="preserve">the </w:t>
      </w:r>
      <w:r w:rsidR="00973B16" w:rsidRPr="00D9473D">
        <w:rPr>
          <w:sz w:val="25"/>
          <w:szCs w:val="25"/>
        </w:rPr>
        <w:t>Public Counsel</w:t>
      </w:r>
      <w:r w:rsidR="00965953" w:rsidRPr="00D9473D">
        <w:rPr>
          <w:sz w:val="25"/>
          <w:szCs w:val="25"/>
        </w:rPr>
        <w:t xml:space="preserve"> Section of the Washington Office of Attorney General</w:t>
      </w:r>
      <w:r w:rsidR="00973B16" w:rsidRPr="00D9473D">
        <w:rPr>
          <w:sz w:val="25"/>
          <w:szCs w:val="25"/>
        </w:rPr>
        <w:t xml:space="preserve">, </w:t>
      </w:r>
      <w:r w:rsidR="007048BE" w:rsidRPr="00D9473D">
        <w:rPr>
          <w:sz w:val="25"/>
          <w:szCs w:val="25"/>
        </w:rPr>
        <w:t xml:space="preserve">included </w:t>
      </w:r>
      <w:r w:rsidR="00973B16" w:rsidRPr="00D9473D">
        <w:rPr>
          <w:sz w:val="25"/>
          <w:szCs w:val="25"/>
        </w:rPr>
        <w:t xml:space="preserve">a </w:t>
      </w:r>
      <w:r w:rsidR="00DB6B4B" w:rsidRPr="00D9473D">
        <w:rPr>
          <w:sz w:val="25"/>
          <w:szCs w:val="25"/>
        </w:rPr>
        <w:t>condition</w:t>
      </w:r>
      <w:r w:rsidR="00973B16" w:rsidRPr="00D9473D">
        <w:rPr>
          <w:sz w:val="25"/>
          <w:szCs w:val="25"/>
        </w:rPr>
        <w:t xml:space="preserve"> (</w:t>
      </w:r>
      <w:r w:rsidR="00965953" w:rsidRPr="00D9473D">
        <w:rPr>
          <w:sz w:val="25"/>
          <w:szCs w:val="25"/>
        </w:rPr>
        <w:t xml:space="preserve">Condition </w:t>
      </w:r>
      <w:r w:rsidR="00973B16" w:rsidRPr="00D9473D">
        <w:rPr>
          <w:sz w:val="25"/>
          <w:szCs w:val="25"/>
        </w:rPr>
        <w:t>28) which</w:t>
      </w:r>
      <w:r w:rsidR="00DB6B4B" w:rsidRPr="00D9473D">
        <w:rPr>
          <w:sz w:val="25"/>
          <w:szCs w:val="25"/>
        </w:rPr>
        <w:t xml:space="preserve"> required </w:t>
      </w:r>
      <w:r w:rsidR="00261107" w:rsidRPr="00D9473D">
        <w:rPr>
          <w:sz w:val="25"/>
          <w:szCs w:val="25"/>
        </w:rPr>
        <w:t>CenturyLink</w:t>
      </w:r>
      <w:r w:rsidR="00973B16" w:rsidRPr="00D9473D">
        <w:rPr>
          <w:sz w:val="25"/>
          <w:szCs w:val="25"/>
        </w:rPr>
        <w:t xml:space="preserve"> to complete certain rate center consolidation activities and the associated </w:t>
      </w:r>
      <w:r w:rsidR="000A452E" w:rsidRPr="00D9473D">
        <w:rPr>
          <w:sz w:val="25"/>
          <w:szCs w:val="25"/>
        </w:rPr>
        <w:t xml:space="preserve">tariff </w:t>
      </w:r>
      <w:r w:rsidR="00973B16" w:rsidRPr="00D9473D">
        <w:rPr>
          <w:sz w:val="25"/>
          <w:szCs w:val="25"/>
        </w:rPr>
        <w:t>filing</w:t>
      </w:r>
      <w:r w:rsidR="000A452E" w:rsidRPr="00D9473D">
        <w:rPr>
          <w:sz w:val="25"/>
          <w:szCs w:val="25"/>
        </w:rPr>
        <w:t>s</w:t>
      </w:r>
      <w:r w:rsidR="00973B16" w:rsidRPr="00D9473D">
        <w:rPr>
          <w:sz w:val="25"/>
          <w:szCs w:val="25"/>
        </w:rPr>
        <w:t>.</w:t>
      </w:r>
    </w:p>
    <w:p w:rsidR="00973B16" w:rsidRPr="00D9473D" w:rsidRDefault="00973B16" w:rsidP="00D9473D">
      <w:pPr>
        <w:spacing w:line="288" w:lineRule="auto"/>
        <w:rPr>
          <w:sz w:val="25"/>
          <w:szCs w:val="25"/>
        </w:rPr>
      </w:pPr>
    </w:p>
    <w:p w:rsidR="00643B20" w:rsidRPr="00D9473D" w:rsidRDefault="00DB6B4B" w:rsidP="00D9473D">
      <w:pPr>
        <w:spacing w:line="288" w:lineRule="auto"/>
        <w:rPr>
          <w:sz w:val="25"/>
          <w:szCs w:val="25"/>
        </w:rPr>
      </w:pPr>
      <w:r w:rsidRPr="00D9473D">
        <w:rPr>
          <w:sz w:val="25"/>
          <w:szCs w:val="25"/>
        </w:rPr>
        <w:t xml:space="preserve">On </w:t>
      </w:r>
      <w:r w:rsidR="00973B16" w:rsidRPr="00D9473D">
        <w:rPr>
          <w:sz w:val="25"/>
          <w:szCs w:val="25"/>
        </w:rPr>
        <w:t>June 24</w:t>
      </w:r>
      <w:r w:rsidRPr="00D9473D">
        <w:rPr>
          <w:sz w:val="25"/>
          <w:szCs w:val="25"/>
        </w:rPr>
        <w:t xml:space="preserve">, 2011, </w:t>
      </w:r>
      <w:r w:rsidR="00835F3F" w:rsidRPr="00D9473D">
        <w:rPr>
          <w:sz w:val="25"/>
          <w:szCs w:val="25"/>
        </w:rPr>
        <w:t>CenturyLink</w:t>
      </w:r>
      <w:r w:rsidR="00643B20" w:rsidRPr="00D9473D">
        <w:rPr>
          <w:sz w:val="25"/>
          <w:szCs w:val="25"/>
        </w:rPr>
        <w:t xml:space="preserve"> made </w:t>
      </w:r>
      <w:r w:rsidR="00973B16" w:rsidRPr="00D9473D">
        <w:rPr>
          <w:sz w:val="25"/>
          <w:szCs w:val="25"/>
        </w:rPr>
        <w:t>the following tariff filing</w:t>
      </w:r>
      <w:r w:rsidR="00643B20" w:rsidRPr="00D9473D">
        <w:rPr>
          <w:sz w:val="25"/>
          <w:szCs w:val="25"/>
        </w:rPr>
        <w:t>:</w:t>
      </w:r>
    </w:p>
    <w:p w:rsidR="00973B16" w:rsidRPr="00D9473D" w:rsidRDefault="00973B16" w:rsidP="00D9473D">
      <w:pPr>
        <w:spacing w:line="288" w:lineRule="auto"/>
        <w:ind w:left="720"/>
        <w:rPr>
          <w:sz w:val="25"/>
          <w:szCs w:val="25"/>
        </w:rPr>
      </w:pPr>
    </w:p>
    <w:p w:rsidR="000A452E" w:rsidRPr="00D9473D" w:rsidRDefault="00643B20" w:rsidP="00D9473D">
      <w:pPr>
        <w:spacing w:line="288" w:lineRule="auto"/>
        <w:ind w:left="720"/>
        <w:rPr>
          <w:sz w:val="25"/>
          <w:szCs w:val="25"/>
        </w:rPr>
      </w:pPr>
      <w:r w:rsidRPr="00D9473D">
        <w:rPr>
          <w:sz w:val="25"/>
          <w:szCs w:val="25"/>
        </w:rPr>
        <w:t>Advice No. WA 11-</w:t>
      </w:r>
      <w:r w:rsidR="00973B16" w:rsidRPr="00D9473D">
        <w:rPr>
          <w:sz w:val="25"/>
          <w:szCs w:val="25"/>
        </w:rPr>
        <w:t>07</w:t>
      </w:r>
      <w:r w:rsidRPr="00D9473D">
        <w:rPr>
          <w:sz w:val="25"/>
          <w:szCs w:val="25"/>
        </w:rPr>
        <w:t xml:space="preserve"> which include</w:t>
      </w:r>
      <w:r w:rsidR="00973B16" w:rsidRPr="00D9473D">
        <w:rPr>
          <w:sz w:val="25"/>
          <w:szCs w:val="25"/>
        </w:rPr>
        <w:t>d</w:t>
      </w:r>
      <w:r w:rsidRPr="00D9473D">
        <w:rPr>
          <w:sz w:val="25"/>
          <w:szCs w:val="25"/>
        </w:rPr>
        <w:t xml:space="preserve"> revisions </w:t>
      </w:r>
      <w:r w:rsidR="00973B16" w:rsidRPr="00D9473D">
        <w:rPr>
          <w:sz w:val="25"/>
          <w:szCs w:val="25"/>
        </w:rPr>
        <w:t>for</w:t>
      </w:r>
      <w:r w:rsidRPr="00D9473D">
        <w:rPr>
          <w:sz w:val="25"/>
          <w:szCs w:val="25"/>
        </w:rPr>
        <w:t xml:space="preserve"> CenturyTel of Washington, Inc., </w:t>
      </w:r>
      <w:r w:rsidR="00973B16" w:rsidRPr="00D9473D">
        <w:rPr>
          <w:sz w:val="25"/>
          <w:szCs w:val="25"/>
        </w:rPr>
        <w:t>doing business as CenturyLink</w:t>
      </w:r>
      <w:r w:rsidR="000A452E" w:rsidRPr="00D9473D">
        <w:rPr>
          <w:sz w:val="25"/>
          <w:szCs w:val="25"/>
        </w:rPr>
        <w:t xml:space="preserve">. </w:t>
      </w:r>
      <w:r w:rsidR="00973B16" w:rsidRPr="00D9473D">
        <w:rPr>
          <w:sz w:val="25"/>
          <w:szCs w:val="25"/>
        </w:rPr>
        <w:t xml:space="preserve"> </w:t>
      </w:r>
      <w:r w:rsidR="000A452E" w:rsidRPr="00D9473D">
        <w:rPr>
          <w:sz w:val="25"/>
          <w:szCs w:val="25"/>
        </w:rPr>
        <w:t>This filing incorporated the n</w:t>
      </w:r>
      <w:r w:rsidR="00973B16" w:rsidRPr="00D9473D">
        <w:rPr>
          <w:sz w:val="25"/>
          <w:szCs w:val="25"/>
        </w:rPr>
        <w:t>ecessary changes to complete the consolidation of</w:t>
      </w:r>
      <w:r w:rsidR="000A452E" w:rsidRPr="00D9473D">
        <w:rPr>
          <w:sz w:val="25"/>
          <w:szCs w:val="25"/>
        </w:rPr>
        <w:t xml:space="preserve"> rate centers associated with condition 28.b.</w:t>
      </w:r>
    </w:p>
    <w:p w:rsidR="000A452E" w:rsidRPr="00D9473D" w:rsidRDefault="000A452E" w:rsidP="00D9473D">
      <w:pPr>
        <w:spacing w:line="288" w:lineRule="auto"/>
        <w:ind w:left="720"/>
        <w:rPr>
          <w:sz w:val="25"/>
          <w:szCs w:val="25"/>
        </w:rPr>
      </w:pPr>
    </w:p>
    <w:p w:rsidR="000A452E" w:rsidRPr="00D9473D" w:rsidRDefault="00973B16" w:rsidP="00D9473D">
      <w:pPr>
        <w:pStyle w:val="ListParagraph"/>
        <w:numPr>
          <w:ilvl w:val="0"/>
          <w:numId w:val="4"/>
        </w:numPr>
        <w:spacing w:line="288" w:lineRule="auto"/>
        <w:ind w:left="2160"/>
        <w:rPr>
          <w:sz w:val="25"/>
          <w:szCs w:val="25"/>
        </w:rPr>
      </w:pPr>
      <w:r w:rsidRPr="00D9473D">
        <w:rPr>
          <w:sz w:val="25"/>
          <w:szCs w:val="25"/>
        </w:rPr>
        <w:t>Puget Island and Cathlamet rate centers (surv</w:t>
      </w:r>
      <w:r w:rsidR="000A452E" w:rsidRPr="00D9473D">
        <w:rPr>
          <w:sz w:val="25"/>
          <w:szCs w:val="25"/>
        </w:rPr>
        <w:t>iving rate center of Cathlamet)</w:t>
      </w:r>
    </w:p>
    <w:p w:rsidR="000A452E" w:rsidRPr="00D9473D" w:rsidRDefault="000A452E" w:rsidP="00D9473D">
      <w:pPr>
        <w:pStyle w:val="ListParagraph"/>
        <w:spacing w:line="288" w:lineRule="auto"/>
        <w:ind w:left="2160"/>
        <w:rPr>
          <w:sz w:val="25"/>
          <w:szCs w:val="25"/>
        </w:rPr>
      </w:pPr>
    </w:p>
    <w:p w:rsidR="00643B20" w:rsidRPr="00D9473D" w:rsidRDefault="00973B16" w:rsidP="00D9473D">
      <w:pPr>
        <w:pStyle w:val="ListParagraph"/>
        <w:numPr>
          <w:ilvl w:val="0"/>
          <w:numId w:val="4"/>
        </w:numPr>
        <w:spacing w:line="288" w:lineRule="auto"/>
        <w:ind w:left="2160"/>
        <w:rPr>
          <w:sz w:val="25"/>
          <w:szCs w:val="25"/>
        </w:rPr>
      </w:pPr>
      <w:r w:rsidRPr="00D9473D">
        <w:rPr>
          <w:sz w:val="25"/>
          <w:szCs w:val="25"/>
        </w:rPr>
        <w:t>Benge and Ritzville rate centers (surv</w:t>
      </w:r>
      <w:r w:rsidR="000A452E" w:rsidRPr="00D9473D">
        <w:rPr>
          <w:sz w:val="25"/>
          <w:szCs w:val="25"/>
        </w:rPr>
        <w:t>iving rate center of Ritzville)</w:t>
      </w:r>
    </w:p>
    <w:p w:rsidR="004F76A7" w:rsidRPr="00D9473D" w:rsidRDefault="004F76A7" w:rsidP="00D9473D">
      <w:pPr>
        <w:spacing w:line="288" w:lineRule="auto"/>
        <w:rPr>
          <w:sz w:val="25"/>
          <w:szCs w:val="25"/>
        </w:rPr>
      </w:pPr>
    </w:p>
    <w:p w:rsidR="008127FF" w:rsidRPr="00D9473D" w:rsidRDefault="008127FF" w:rsidP="00D9473D">
      <w:pPr>
        <w:spacing w:line="288" w:lineRule="auto"/>
        <w:rPr>
          <w:sz w:val="25"/>
          <w:szCs w:val="25"/>
        </w:rPr>
      </w:pPr>
      <w:r w:rsidRPr="00D9473D">
        <w:rPr>
          <w:sz w:val="25"/>
          <w:szCs w:val="25"/>
        </w:rPr>
        <w:lastRenderedPageBreak/>
        <w:t xml:space="preserve">Commission </w:t>
      </w:r>
      <w:r w:rsidR="00BF2ECE" w:rsidRPr="00D9473D">
        <w:rPr>
          <w:sz w:val="25"/>
          <w:szCs w:val="25"/>
        </w:rPr>
        <w:t xml:space="preserve">Staff </w:t>
      </w:r>
      <w:r w:rsidRPr="00D9473D">
        <w:rPr>
          <w:sz w:val="25"/>
          <w:szCs w:val="25"/>
        </w:rPr>
        <w:t xml:space="preserve">has examined </w:t>
      </w:r>
      <w:r w:rsidR="00305AB0" w:rsidRPr="00D9473D">
        <w:rPr>
          <w:sz w:val="25"/>
          <w:szCs w:val="25"/>
        </w:rPr>
        <w:t>th</w:t>
      </w:r>
      <w:r w:rsidR="004F76A7" w:rsidRPr="00D9473D">
        <w:rPr>
          <w:sz w:val="25"/>
          <w:szCs w:val="25"/>
        </w:rPr>
        <w:t>e</w:t>
      </w:r>
      <w:r w:rsidR="00756925" w:rsidRPr="00D9473D">
        <w:rPr>
          <w:sz w:val="25"/>
          <w:szCs w:val="25"/>
        </w:rPr>
        <w:t xml:space="preserve"> </w:t>
      </w:r>
      <w:r w:rsidR="000A452E" w:rsidRPr="00D9473D">
        <w:rPr>
          <w:sz w:val="25"/>
          <w:szCs w:val="25"/>
        </w:rPr>
        <w:t>t</w:t>
      </w:r>
      <w:r w:rsidR="00643B20" w:rsidRPr="00D9473D">
        <w:rPr>
          <w:sz w:val="25"/>
          <w:szCs w:val="25"/>
        </w:rPr>
        <w:t xml:space="preserve">ariff </w:t>
      </w:r>
      <w:r w:rsidRPr="00D9473D">
        <w:rPr>
          <w:sz w:val="25"/>
          <w:szCs w:val="25"/>
        </w:rPr>
        <w:t>filing</w:t>
      </w:r>
      <w:r w:rsidR="009A7A94" w:rsidRPr="00D9473D">
        <w:rPr>
          <w:sz w:val="25"/>
          <w:szCs w:val="25"/>
        </w:rPr>
        <w:t xml:space="preserve"> and </w:t>
      </w:r>
      <w:r w:rsidR="00643B20" w:rsidRPr="00D9473D">
        <w:rPr>
          <w:sz w:val="25"/>
          <w:szCs w:val="25"/>
        </w:rPr>
        <w:t xml:space="preserve">has </w:t>
      </w:r>
      <w:r w:rsidR="009A7A94" w:rsidRPr="00D9473D">
        <w:rPr>
          <w:sz w:val="25"/>
          <w:szCs w:val="25"/>
        </w:rPr>
        <w:t xml:space="preserve">concluded that </w:t>
      </w:r>
      <w:r w:rsidR="000A452E" w:rsidRPr="00D9473D">
        <w:rPr>
          <w:sz w:val="25"/>
          <w:szCs w:val="25"/>
        </w:rPr>
        <w:t>it is</w:t>
      </w:r>
      <w:r w:rsidR="00261107" w:rsidRPr="00D9473D">
        <w:rPr>
          <w:sz w:val="25"/>
          <w:szCs w:val="25"/>
        </w:rPr>
        <w:t xml:space="preserve"> consistent</w:t>
      </w:r>
      <w:r w:rsidR="009A7A94" w:rsidRPr="00D9473D">
        <w:rPr>
          <w:sz w:val="25"/>
          <w:szCs w:val="25"/>
        </w:rPr>
        <w:t xml:space="preserve"> with the terms of Order</w:t>
      </w:r>
      <w:r w:rsidR="004F76A7" w:rsidRPr="00D9473D">
        <w:rPr>
          <w:sz w:val="25"/>
          <w:szCs w:val="25"/>
        </w:rPr>
        <w:t xml:space="preserve"> 14</w:t>
      </w:r>
      <w:r w:rsidR="000A452E" w:rsidRPr="00D9473D">
        <w:rPr>
          <w:sz w:val="25"/>
          <w:szCs w:val="25"/>
        </w:rPr>
        <w:t>.</w:t>
      </w:r>
      <w:r w:rsidR="008149D5" w:rsidRPr="00D9473D">
        <w:rPr>
          <w:sz w:val="25"/>
          <w:szCs w:val="25"/>
        </w:rPr>
        <w:t xml:space="preserve"> </w:t>
      </w:r>
      <w:r w:rsidRPr="00D9473D">
        <w:rPr>
          <w:sz w:val="25"/>
          <w:szCs w:val="25"/>
        </w:rPr>
        <w:t>Therefore, the Commission</w:t>
      </w:r>
      <w:r w:rsidR="00261107" w:rsidRPr="00D9473D">
        <w:rPr>
          <w:sz w:val="25"/>
          <w:szCs w:val="25"/>
        </w:rPr>
        <w:t xml:space="preserve"> will permit</w:t>
      </w:r>
      <w:r w:rsidRPr="00D9473D">
        <w:rPr>
          <w:sz w:val="25"/>
          <w:szCs w:val="25"/>
        </w:rPr>
        <w:t xml:space="preserve"> the tariff sheet</w:t>
      </w:r>
      <w:r w:rsidR="004F76A7" w:rsidRPr="00D9473D">
        <w:rPr>
          <w:sz w:val="25"/>
          <w:szCs w:val="25"/>
        </w:rPr>
        <w:t xml:space="preserve">s filed on </w:t>
      </w:r>
      <w:r w:rsidR="000A452E" w:rsidRPr="00D9473D">
        <w:rPr>
          <w:sz w:val="25"/>
          <w:szCs w:val="25"/>
        </w:rPr>
        <w:t>June 24, 20</w:t>
      </w:r>
      <w:r w:rsidR="004F76A7" w:rsidRPr="00D9473D">
        <w:rPr>
          <w:sz w:val="25"/>
          <w:szCs w:val="25"/>
        </w:rPr>
        <w:t>11, in Advice No.</w:t>
      </w:r>
      <w:r w:rsidR="000A452E" w:rsidRPr="00D9473D">
        <w:rPr>
          <w:sz w:val="25"/>
          <w:szCs w:val="25"/>
        </w:rPr>
        <w:t xml:space="preserve"> WA 11-07 </w:t>
      </w:r>
      <w:r w:rsidR="00261107" w:rsidRPr="00D9473D">
        <w:rPr>
          <w:sz w:val="25"/>
          <w:szCs w:val="25"/>
        </w:rPr>
        <w:t>to</w:t>
      </w:r>
      <w:r w:rsidRPr="00D9473D">
        <w:rPr>
          <w:sz w:val="25"/>
          <w:szCs w:val="25"/>
        </w:rPr>
        <w:t xml:space="preserve"> become effective as filed with an effective date of </w:t>
      </w:r>
      <w:r w:rsidR="000A452E" w:rsidRPr="00D9473D">
        <w:rPr>
          <w:sz w:val="25"/>
          <w:szCs w:val="25"/>
        </w:rPr>
        <w:t>June 27</w:t>
      </w:r>
      <w:r w:rsidRPr="00D9473D">
        <w:rPr>
          <w:sz w:val="25"/>
          <w:szCs w:val="25"/>
        </w:rPr>
        <w:t>, 20</w:t>
      </w:r>
      <w:r w:rsidR="00BF2ECE" w:rsidRPr="00D9473D">
        <w:rPr>
          <w:sz w:val="25"/>
          <w:szCs w:val="25"/>
        </w:rPr>
        <w:t>1</w:t>
      </w:r>
      <w:r w:rsidR="00756925" w:rsidRPr="00D9473D">
        <w:rPr>
          <w:sz w:val="25"/>
          <w:szCs w:val="25"/>
        </w:rPr>
        <w:t>1</w:t>
      </w:r>
      <w:r w:rsidRPr="00D9473D">
        <w:rPr>
          <w:sz w:val="25"/>
          <w:szCs w:val="25"/>
        </w:rPr>
        <w:t>.</w:t>
      </w:r>
    </w:p>
    <w:p w:rsidR="008149D5" w:rsidRPr="00D9473D" w:rsidRDefault="008149D5" w:rsidP="00D9473D">
      <w:pPr>
        <w:spacing w:line="288" w:lineRule="auto"/>
        <w:rPr>
          <w:sz w:val="25"/>
          <w:szCs w:val="25"/>
        </w:rPr>
      </w:pPr>
    </w:p>
    <w:p w:rsidR="00860F3A" w:rsidRPr="00D9473D" w:rsidRDefault="00860F3A" w:rsidP="00D9473D">
      <w:pPr>
        <w:spacing w:line="288" w:lineRule="auto"/>
        <w:rPr>
          <w:sz w:val="25"/>
          <w:szCs w:val="25"/>
        </w:rPr>
      </w:pPr>
      <w:r w:rsidRPr="00D9473D">
        <w:rPr>
          <w:sz w:val="25"/>
          <w:szCs w:val="25"/>
        </w:rPr>
        <w:t xml:space="preserve">The Commission notes, however, that CenturyLink has filed a complaint in U.S. District Court for the Western District of Washington, Case No. 2:11-CV-00633 (“Complaint”) challenging certain portions of Order 14 in this docket.  The Commission notifies the parties that nothing in </w:t>
      </w:r>
      <w:r w:rsidR="007E7B3E" w:rsidRPr="00D9473D">
        <w:rPr>
          <w:sz w:val="25"/>
          <w:szCs w:val="25"/>
        </w:rPr>
        <w:t xml:space="preserve">the Commission’s action or non-action reflected in </w:t>
      </w:r>
      <w:r w:rsidRPr="00D9473D">
        <w:rPr>
          <w:sz w:val="25"/>
          <w:szCs w:val="25"/>
        </w:rPr>
        <w:t xml:space="preserve">this </w:t>
      </w:r>
      <w:r w:rsidR="00965953" w:rsidRPr="00D9473D">
        <w:rPr>
          <w:sz w:val="25"/>
          <w:szCs w:val="25"/>
        </w:rPr>
        <w:t xml:space="preserve">letter </w:t>
      </w:r>
      <w:r w:rsidRPr="00D9473D">
        <w:rPr>
          <w:sz w:val="25"/>
          <w:szCs w:val="25"/>
        </w:rPr>
        <w:t>or the Commission’s consideration of this or any other party filings after CenturyLink filed the Complaint can or should be construed as a waiver of any position the Commission has taken or may take in response to the Complaint, including but not limited to taking the position that any judicial decision invalidating any part of Order 14 must result in a remand to the Commission to determine whether and under what conditions the Commission should approve the Joint Application to approve the transfer of control of Qwest to CenturyLink.</w:t>
      </w:r>
    </w:p>
    <w:p w:rsidR="008127FF" w:rsidRPr="00D9473D" w:rsidRDefault="008127FF" w:rsidP="00D9473D">
      <w:pPr>
        <w:spacing w:line="288" w:lineRule="auto"/>
        <w:rPr>
          <w:sz w:val="25"/>
          <w:szCs w:val="25"/>
        </w:rPr>
      </w:pPr>
    </w:p>
    <w:p w:rsidR="008127FF" w:rsidRPr="00D9473D" w:rsidRDefault="008127FF" w:rsidP="00D9473D">
      <w:pPr>
        <w:spacing w:line="288" w:lineRule="auto"/>
        <w:rPr>
          <w:sz w:val="25"/>
          <w:szCs w:val="25"/>
        </w:rPr>
      </w:pPr>
      <w:r w:rsidRPr="00D9473D">
        <w:rPr>
          <w:sz w:val="25"/>
          <w:szCs w:val="25"/>
        </w:rPr>
        <w:t>Sincerely,</w:t>
      </w:r>
    </w:p>
    <w:p w:rsidR="008127FF" w:rsidRPr="00D9473D" w:rsidRDefault="008127FF" w:rsidP="00D9473D">
      <w:pPr>
        <w:spacing w:line="288" w:lineRule="auto"/>
        <w:rPr>
          <w:sz w:val="25"/>
          <w:szCs w:val="25"/>
        </w:rPr>
      </w:pPr>
    </w:p>
    <w:p w:rsidR="008127FF" w:rsidRPr="00D9473D" w:rsidRDefault="008127FF" w:rsidP="00D9473D">
      <w:pPr>
        <w:spacing w:line="288" w:lineRule="auto"/>
        <w:rPr>
          <w:sz w:val="25"/>
          <w:szCs w:val="25"/>
        </w:rPr>
      </w:pPr>
    </w:p>
    <w:p w:rsidR="00DA2ED5" w:rsidRPr="00D9473D" w:rsidRDefault="00DA2ED5" w:rsidP="00D9473D">
      <w:pPr>
        <w:spacing w:line="288" w:lineRule="auto"/>
        <w:rPr>
          <w:sz w:val="25"/>
          <w:szCs w:val="25"/>
        </w:rPr>
      </w:pPr>
    </w:p>
    <w:p w:rsidR="008127FF" w:rsidRPr="00D9473D" w:rsidRDefault="008127FF" w:rsidP="00D9473D">
      <w:pPr>
        <w:spacing w:line="288" w:lineRule="auto"/>
        <w:rPr>
          <w:sz w:val="25"/>
          <w:szCs w:val="25"/>
        </w:rPr>
      </w:pPr>
      <w:r w:rsidRPr="00D9473D">
        <w:rPr>
          <w:sz w:val="25"/>
          <w:szCs w:val="25"/>
        </w:rPr>
        <w:t>DAVID W. DANNER</w:t>
      </w:r>
    </w:p>
    <w:p w:rsidR="004F76A7" w:rsidRPr="00D9473D" w:rsidRDefault="008127FF" w:rsidP="00D9473D">
      <w:pPr>
        <w:spacing w:line="288" w:lineRule="auto"/>
        <w:rPr>
          <w:sz w:val="25"/>
          <w:szCs w:val="25"/>
        </w:rPr>
      </w:pPr>
      <w:r w:rsidRPr="00D9473D">
        <w:rPr>
          <w:sz w:val="25"/>
          <w:szCs w:val="25"/>
        </w:rPr>
        <w:t>Executive Director and Secretary</w:t>
      </w:r>
    </w:p>
    <w:p w:rsidR="00F3290F" w:rsidRPr="00D9473D" w:rsidRDefault="00F3290F" w:rsidP="00D9473D">
      <w:pPr>
        <w:spacing w:line="288" w:lineRule="auto"/>
        <w:rPr>
          <w:sz w:val="25"/>
          <w:szCs w:val="25"/>
        </w:rPr>
      </w:pPr>
    </w:p>
    <w:sectPr w:rsidR="00F3290F" w:rsidRPr="00D9473D" w:rsidSect="00D9473D">
      <w:headerReference w:type="default" r:id="rId13"/>
      <w:pgSz w:w="12240" w:h="15840" w:code="1"/>
      <w:pgMar w:top="1008" w:right="1440" w:bottom="1267" w:left="144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0B6" w:rsidRDefault="00C220B6" w:rsidP="007734E2">
      <w:r>
        <w:separator/>
      </w:r>
    </w:p>
  </w:endnote>
  <w:endnote w:type="continuationSeparator" w:id="0">
    <w:p w:rsidR="00C220B6" w:rsidRDefault="00C220B6" w:rsidP="0077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0B6" w:rsidRDefault="00C220B6" w:rsidP="007734E2">
      <w:r>
        <w:separator/>
      </w:r>
    </w:p>
  </w:footnote>
  <w:footnote w:type="continuationSeparator" w:id="0">
    <w:p w:rsidR="00C220B6" w:rsidRDefault="00C220B6" w:rsidP="00773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DC4" w:rsidRPr="00D9473D" w:rsidRDefault="00B74DC4">
    <w:pPr>
      <w:pStyle w:val="Header"/>
      <w:rPr>
        <w:b/>
        <w:sz w:val="20"/>
        <w:szCs w:val="20"/>
      </w:rPr>
    </w:pPr>
    <w:r w:rsidRPr="00D9473D">
      <w:rPr>
        <w:b/>
        <w:sz w:val="20"/>
        <w:szCs w:val="20"/>
      </w:rPr>
      <w:t>DOCKET UT-100820</w:t>
    </w:r>
    <w:r w:rsidR="00D9473D">
      <w:rPr>
        <w:b/>
        <w:sz w:val="20"/>
        <w:szCs w:val="20"/>
      </w:rPr>
      <w:tab/>
    </w:r>
    <w:r w:rsidR="00D9473D">
      <w:rPr>
        <w:b/>
        <w:sz w:val="20"/>
        <w:szCs w:val="20"/>
      </w:rPr>
      <w:tab/>
      <w:t xml:space="preserve">PAGE  </w:t>
    </w:r>
    <w:r w:rsidR="00D9473D" w:rsidRPr="00D9473D">
      <w:rPr>
        <w:b/>
        <w:sz w:val="20"/>
        <w:szCs w:val="20"/>
      </w:rPr>
      <w:fldChar w:fldCharType="begin"/>
    </w:r>
    <w:r w:rsidR="00D9473D" w:rsidRPr="00D9473D">
      <w:rPr>
        <w:b/>
        <w:sz w:val="20"/>
        <w:szCs w:val="20"/>
      </w:rPr>
      <w:instrText xml:space="preserve"> PAGE   \* MERGEFORMAT </w:instrText>
    </w:r>
    <w:r w:rsidR="00D9473D" w:rsidRPr="00D9473D">
      <w:rPr>
        <w:b/>
        <w:sz w:val="20"/>
        <w:szCs w:val="20"/>
      </w:rPr>
      <w:fldChar w:fldCharType="separate"/>
    </w:r>
    <w:r w:rsidR="006B1E4A">
      <w:rPr>
        <w:b/>
        <w:noProof/>
        <w:sz w:val="20"/>
        <w:szCs w:val="20"/>
      </w:rPr>
      <w:t>2</w:t>
    </w:r>
    <w:r w:rsidR="00D9473D" w:rsidRPr="00D9473D">
      <w:rPr>
        <w:b/>
        <w:noProof/>
        <w:sz w:val="20"/>
        <w:szCs w:val="20"/>
      </w:rPr>
      <w:fldChar w:fldCharType="end"/>
    </w:r>
    <w:r w:rsidR="00D9473D">
      <w:rPr>
        <w:b/>
        <w:sz w:val="20"/>
        <w:szCs w:val="20"/>
      </w:rPr>
      <w:tab/>
    </w:r>
    <w:r w:rsidR="00D9473D">
      <w:rPr>
        <w:b/>
        <w:sz w:val="20"/>
        <w:szCs w:val="20"/>
      </w:rPr>
      <w:tab/>
    </w:r>
  </w:p>
  <w:p w:rsidR="008149D5" w:rsidRDefault="008149D5" w:rsidP="007734E2">
    <w:pPr>
      <w:pStyle w:val="Header"/>
      <w:tabs>
        <w:tab w:val="clear" w:pos="9360"/>
        <w:tab w:val="right" w:pos="9270"/>
      </w:tabs>
      <w:rPr>
        <w:b/>
        <w:sz w:val="20"/>
        <w:szCs w:val="20"/>
      </w:rPr>
    </w:pPr>
  </w:p>
  <w:p w:rsidR="00D9473D" w:rsidRPr="00917B99" w:rsidRDefault="00D9473D" w:rsidP="007734E2">
    <w:pPr>
      <w:pStyle w:val="Header"/>
      <w:tabs>
        <w:tab w:val="clear" w:pos="9360"/>
        <w:tab w:val="right" w:pos="927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C2657"/>
    <w:multiLevelType w:val="hybridMultilevel"/>
    <w:tmpl w:val="D7F678E6"/>
    <w:lvl w:ilvl="0" w:tplc="AA48321C">
      <w:start w:val="1"/>
      <w:numFmt w:val="lowerRoman"/>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nsid w:val="2D6F3351"/>
    <w:multiLevelType w:val="hybridMultilevel"/>
    <w:tmpl w:val="CA7E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091C62"/>
    <w:multiLevelType w:val="hybridMultilevel"/>
    <w:tmpl w:val="0562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394F56"/>
    <w:multiLevelType w:val="hybridMultilevel"/>
    <w:tmpl w:val="CF56CB8E"/>
    <w:lvl w:ilvl="0" w:tplc="DF1A79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F1"/>
    <w:rsid w:val="00005139"/>
    <w:rsid w:val="000241B5"/>
    <w:rsid w:val="00042164"/>
    <w:rsid w:val="0004782A"/>
    <w:rsid w:val="00053AA8"/>
    <w:rsid w:val="0006023C"/>
    <w:rsid w:val="000A2B4D"/>
    <w:rsid w:val="000A452E"/>
    <w:rsid w:val="000E340F"/>
    <w:rsid w:val="000F71CC"/>
    <w:rsid w:val="00110008"/>
    <w:rsid w:val="0012496A"/>
    <w:rsid w:val="00147716"/>
    <w:rsid w:val="001669FE"/>
    <w:rsid w:val="00166B02"/>
    <w:rsid w:val="001A0BDB"/>
    <w:rsid w:val="001B5920"/>
    <w:rsid w:val="00222CC9"/>
    <w:rsid w:val="0024149E"/>
    <w:rsid w:val="00261107"/>
    <w:rsid w:val="00287167"/>
    <w:rsid w:val="002C6B89"/>
    <w:rsid w:val="00305AB0"/>
    <w:rsid w:val="0034767D"/>
    <w:rsid w:val="00373B33"/>
    <w:rsid w:val="003827C0"/>
    <w:rsid w:val="004361B4"/>
    <w:rsid w:val="0045494D"/>
    <w:rsid w:val="0046012F"/>
    <w:rsid w:val="00464B8D"/>
    <w:rsid w:val="004A6669"/>
    <w:rsid w:val="004A6C49"/>
    <w:rsid w:val="004D7BF0"/>
    <w:rsid w:val="004F2D1C"/>
    <w:rsid w:val="004F5957"/>
    <w:rsid w:val="004F76A7"/>
    <w:rsid w:val="00505B0A"/>
    <w:rsid w:val="00520001"/>
    <w:rsid w:val="005478BD"/>
    <w:rsid w:val="005712BC"/>
    <w:rsid w:val="005B20A9"/>
    <w:rsid w:val="00620B39"/>
    <w:rsid w:val="00623755"/>
    <w:rsid w:val="00643B20"/>
    <w:rsid w:val="00682D76"/>
    <w:rsid w:val="006B1E4A"/>
    <w:rsid w:val="006C781D"/>
    <w:rsid w:val="007048BE"/>
    <w:rsid w:val="00747673"/>
    <w:rsid w:val="0075356F"/>
    <w:rsid w:val="00756925"/>
    <w:rsid w:val="007734E2"/>
    <w:rsid w:val="00775A0E"/>
    <w:rsid w:val="00796946"/>
    <w:rsid w:val="007C7C89"/>
    <w:rsid w:val="007E7B3E"/>
    <w:rsid w:val="007F47F5"/>
    <w:rsid w:val="00800FD9"/>
    <w:rsid w:val="008041A0"/>
    <w:rsid w:val="008127FF"/>
    <w:rsid w:val="008149D5"/>
    <w:rsid w:val="00835F3F"/>
    <w:rsid w:val="00852CE1"/>
    <w:rsid w:val="00860B8A"/>
    <w:rsid w:val="00860F3A"/>
    <w:rsid w:val="00867645"/>
    <w:rsid w:val="008D50AE"/>
    <w:rsid w:val="00917B99"/>
    <w:rsid w:val="00926933"/>
    <w:rsid w:val="00944B98"/>
    <w:rsid w:val="0096276F"/>
    <w:rsid w:val="00965953"/>
    <w:rsid w:val="009730FF"/>
    <w:rsid w:val="00973B16"/>
    <w:rsid w:val="0098461E"/>
    <w:rsid w:val="00993151"/>
    <w:rsid w:val="009A7A94"/>
    <w:rsid w:val="009C37AF"/>
    <w:rsid w:val="009F3E3D"/>
    <w:rsid w:val="00A07E86"/>
    <w:rsid w:val="00A46BFD"/>
    <w:rsid w:val="00A532B5"/>
    <w:rsid w:val="00AC0107"/>
    <w:rsid w:val="00B05E8C"/>
    <w:rsid w:val="00B21D8B"/>
    <w:rsid w:val="00B56662"/>
    <w:rsid w:val="00B74DC4"/>
    <w:rsid w:val="00BE5CEC"/>
    <w:rsid w:val="00BF2ECE"/>
    <w:rsid w:val="00C031DB"/>
    <w:rsid w:val="00C220B6"/>
    <w:rsid w:val="00CA0EE0"/>
    <w:rsid w:val="00CB33B2"/>
    <w:rsid w:val="00CE67EC"/>
    <w:rsid w:val="00D03DFC"/>
    <w:rsid w:val="00D13998"/>
    <w:rsid w:val="00D9473D"/>
    <w:rsid w:val="00DA2ED5"/>
    <w:rsid w:val="00DB6B4B"/>
    <w:rsid w:val="00E050A2"/>
    <w:rsid w:val="00E113DB"/>
    <w:rsid w:val="00E27C7C"/>
    <w:rsid w:val="00E3311C"/>
    <w:rsid w:val="00E468F4"/>
    <w:rsid w:val="00E91F53"/>
    <w:rsid w:val="00E92EB9"/>
    <w:rsid w:val="00E955CA"/>
    <w:rsid w:val="00EB2E17"/>
    <w:rsid w:val="00EC5DBE"/>
    <w:rsid w:val="00ED284C"/>
    <w:rsid w:val="00ED7085"/>
    <w:rsid w:val="00EE2DF1"/>
    <w:rsid w:val="00EF01A2"/>
    <w:rsid w:val="00F20E2F"/>
    <w:rsid w:val="00F3290F"/>
    <w:rsid w:val="00FB577F"/>
    <w:rsid w:val="00FE5D05"/>
    <w:rsid w:val="00FF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F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7E86"/>
    <w:rPr>
      <w:sz w:val="25"/>
      <w:szCs w:val="22"/>
    </w:rPr>
  </w:style>
  <w:style w:type="paragraph" w:styleId="Header">
    <w:name w:val="header"/>
    <w:basedOn w:val="Normal"/>
    <w:link w:val="HeaderChar"/>
    <w:uiPriority w:val="99"/>
    <w:unhideWhenUsed/>
    <w:rsid w:val="007734E2"/>
    <w:pPr>
      <w:tabs>
        <w:tab w:val="center" w:pos="4680"/>
        <w:tab w:val="right" w:pos="9360"/>
      </w:tabs>
    </w:pPr>
  </w:style>
  <w:style w:type="character" w:customStyle="1" w:styleId="HeaderChar">
    <w:name w:val="Header Char"/>
    <w:link w:val="Header"/>
    <w:uiPriority w:val="99"/>
    <w:rsid w:val="007734E2"/>
    <w:rPr>
      <w:rFonts w:eastAsia="Times New Roman"/>
      <w:sz w:val="24"/>
      <w:szCs w:val="24"/>
    </w:rPr>
  </w:style>
  <w:style w:type="paragraph" w:styleId="Footer">
    <w:name w:val="footer"/>
    <w:basedOn w:val="Normal"/>
    <w:link w:val="FooterChar"/>
    <w:uiPriority w:val="99"/>
    <w:unhideWhenUsed/>
    <w:rsid w:val="007734E2"/>
    <w:pPr>
      <w:tabs>
        <w:tab w:val="center" w:pos="4680"/>
        <w:tab w:val="right" w:pos="9360"/>
      </w:tabs>
    </w:pPr>
  </w:style>
  <w:style w:type="character" w:customStyle="1" w:styleId="FooterChar">
    <w:name w:val="Footer Char"/>
    <w:link w:val="Footer"/>
    <w:uiPriority w:val="99"/>
    <w:rsid w:val="007734E2"/>
    <w:rPr>
      <w:rFonts w:eastAsia="Times New Roman"/>
      <w:sz w:val="24"/>
      <w:szCs w:val="24"/>
    </w:rPr>
  </w:style>
  <w:style w:type="paragraph" w:customStyle="1" w:styleId="Default">
    <w:name w:val="Default"/>
    <w:rsid w:val="00CE67E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66B02"/>
    <w:rPr>
      <w:rFonts w:ascii="Tahoma" w:hAnsi="Tahoma"/>
      <w:sz w:val="16"/>
      <w:szCs w:val="16"/>
    </w:rPr>
  </w:style>
  <w:style w:type="character" w:customStyle="1" w:styleId="BalloonTextChar">
    <w:name w:val="Balloon Text Char"/>
    <w:link w:val="BalloonText"/>
    <w:uiPriority w:val="99"/>
    <w:semiHidden/>
    <w:rsid w:val="00166B02"/>
    <w:rPr>
      <w:rFonts w:ascii="Tahoma" w:eastAsia="Times New Roman" w:hAnsi="Tahoma" w:cs="Tahoma"/>
      <w:sz w:val="16"/>
      <w:szCs w:val="16"/>
    </w:rPr>
  </w:style>
  <w:style w:type="paragraph" w:styleId="ListParagraph">
    <w:name w:val="List Paragraph"/>
    <w:basedOn w:val="Normal"/>
    <w:uiPriority w:val="34"/>
    <w:qFormat/>
    <w:rsid w:val="000A45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F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7E86"/>
    <w:rPr>
      <w:sz w:val="25"/>
      <w:szCs w:val="22"/>
    </w:rPr>
  </w:style>
  <w:style w:type="paragraph" w:styleId="Header">
    <w:name w:val="header"/>
    <w:basedOn w:val="Normal"/>
    <w:link w:val="HeaderChar"/>
    <w:uiPriority w:val="99"/>
    <w:unhideWhenUsed/>
    <w:rsid w:val="007734E2"/>
    <w:pPr>
      <w:tabs>
        <w:tab w:val="center" w:pos="4680"/>
        <w:tab w:val="right" w:pos="9360"/>
      </w:tabs>
    </w:pPr>
  </w:style>
  <w:style w:type="character" w:customStyle="1" w:styleId="HeaderChar">
    <w:name w:val="Header Char"/>
    <w:link w:val="Header"/>
    <w:uiPriority w:val="99"/>
    <w:rsid w:val="007734E2"/>
    <w:rPr>
      <w:rFonts w:eastAsia="Times New Roman"/>
      <w:sz w:val="24"/>
      <w:szCs w:val="24"/>
    </w:rPr>
  </w:style>
  <w:style w:type="paragraph" w:styleId="Footer">
    <w:name w:val="footer"/>
    <w:basedOn w:val="Normal"/>
    <w:link w:val="FooterChar"/>
    <w:uiPriority w:val="99"/>
    <w:unhideWhenUsed/>
    <w:rsid w:val="007734E2"/>
    <w:pPr>
      <w:tabs>
        <w:tab w:val="center" w:pos="4680"/>
        <w:tab w:val="right" w:pos="9360"/>
      </w:tabs>
    </w:pPr>
  </w:style>
  <w:style w:type="character" w:customStyle="1" w:styleId="FooterChar">
    <w:name w:val="Footer Char"/>
    <w:link w:val="Footer"/>
    <w:uiPriority w:val="99"/>
    <w:rsid w:val="007734E2"/>
    <w:rPr>
      <w:rFonts w:eastAsia="Times New Roman"/>
      <w:sz w:val="24"/>
      <w:szCs w:val="24"/>
    </w:rPr>
  </w:style>
  <w:style w:type="paragraph" w:customStyle="1" w:styleId="Default">
    <w:name w:val="Default"/>
    <w:rsid w:val="00CE67E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66B02"/>
    <w:rPr>
      <w:rFonts w:ascii="Tahoma" w:hAnsi="Tahoma"/>
      <w:sz w:val="16"/>
      <w:szCs w:val="16"/>
    </w:rPr>
  </w:style>
  <w:style w:type="character" w:customStyle="1" w:styleId="BalloonTextChar">
    <w:name w:val="Balloon Text Char"/>
    <w:link w:val="BalloonText"/>
    <w:uiPriority w:val="99"/>
    <w:semiHidden/>
    <w:rsid w:val="00166B02"/>
    <w:rPr>
      <w:rFonts w:ascii="Tahoma" w:eastAsia="Times New Roman" w:hAnsi="Tahoma" w:cs="Tahoma"/>
      <w:sz w:val="16"/>
      <w:szCs w:val="16"/>
    </w:rPr>
  </w:style>
  <w:style w:type="paragraph" w:styleId="ListParagraph">
    <w:name w:val="List Paragraph"/>
    <w:basedOn w:val="Normal"/>
    <w:uiPriority w:val="34"/>
    <w:qFormat/>
    <w:rsid w:val="000A4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2011-07-05T07:00:00+00:00</Date1>
    <IsDocumentOrder xmlns="dc463f71-b30c-4ab2-9473-d307f9d35888">true</IsDocumentOrder>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0CF96-8B6F-48B1-9B38-B4A1ECEF316F}"/>
</file>

<file path=customXml/itemProps2.xml><?xml version="1.0" encoding="utf-8"?>
<ds:datastoreItem xmlns:ds="http://schemas.openxmlformats.org/officeDocument/2006/customXml" ds:itemID="{8EA02FBC-95B2-496A-8ABC-7323785631C2}"/>
</file>

<file path=customXml/itemProps3.xml><?xml version="1.0" encoding="utf-8"?>
<ds:datastoreItem xmlns:ds="http://schemas.openxmlformats.org/officeDocument/2006/customXml" ds:itemID="{679EA867-BBC1-4FFD-A402-3398895EEBCF}"/>
</file>

<file path=customXml/itemProps4.xml><?xml version="1.0" encoding="utf-8"?>
<ds:datastoreItem xmlns:ds="http://schemas.openxmlformats.org/officeDocument/2006/customXml" ds:itemID="{524F3755-2121-42F6-BB52-490601768103}"/>
</file>

<file path=customXml/itemProps5.xml><?xml version="1.0" encoding="utf-8"?>
<ds:datastoreItem xmlns:ds="http://schemas.openxmlformats.org/officeDocument/2006/customXml" ds:itemID="{4B9AF76D-9ACD-4F97-A738-D47C9C81F0C6}"/>
</file>

<file path=customXml/itemProps6.xml><?xml version="1.0" encoding="utf-8"?>
<ds:datastoreItem xmlns:ds="http://schemas.openxmlformats.org/officeDocument/2006/customXml" ds:itemID="{8D4463CA-11A5-4F00-B4CA-F1A718158735}"/>
</file>

<file path=docProps/app.xml><?xml version="1.0" encoding="utf-8"?>
<Properties xmlns="http://schemas.openxmlformats.org/officeDocument/2006/extended-properties" xmlns:vt="http://schemas.openxmlformats.org/officeDocument/2006/docPropsVTypes">
  <Template>Normal.dotm</Template>
  <TotalTime>57</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Compliance Letter 100820 ( 12A and 13A ) _ 5-26-2011 _ DRAFT</vt:lpstr>
    </vt:vector>
  </TitlesOfParts>
  <Company>Washington Utilities and Transportation Commission</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Letter 100820 ( 12A and 13A ) _ 5-26-2011 _ DRAFT</dc:title>
  <dc:creator>Kippi Walker</dc:creator>
  <cp:lastModifiedBy>Margret Kaech</cp:lastModifiedBy>
  <cp:revision>4</cp:revision>
  <cp:lastPrinted>2011-07-05T15:55:00Z</cp:lastPrinted>
  <dcterms:created xsi:type="dcterms:W3CDTF">2011-07-05T15:47:00Z</dcterms:created>
  <dcterms:modified xsi:type="dcterms:W3CDTF">2011-07-05T18:15:00Z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0x0101006E56B4D1795A2E4DB2F0B01679ED314A0005C87BED8F1E1C429DF53B67807A0FD9</vt:lpwstr>
  </property>
  <property fmtid="{D5CDD505-2E9C-101B-9397-08002B2CF9AE}" pid="4" name="_docset_NoMedatataSyncRequired">
    <vt:lpwstr>False</vt:lpwstr>
  </property>
</Properties>
</file>