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June 30</w:t>
      </w:r>
      <w:r w:rsidRPr="00BB721D">
        <w:rPr>
          <w:rFonts w:ascii="Times New Roman" w:hAnsi="Times New Roman"/>
        </w:rPr>
        <w:t>, 20</w:t>
      </w:r>
      <w:r>
        <w:rPr>
          <w:rFonts w:ascii="Times New Roman" w:hAnsi="Times New Roman"/>
        </w:rPr>
        <w:t>11</w:t>
      </w:r>
    </w:p>
    <w:p w:rsidR="00D467AE" w:rsidRDefault="00D467AE" w:rsidP="00BB721D">
      <w:pPr>
        <w:rPr>
          <w:rFonts w:ascii="Times New Roman" w:hAnsi="Times New Roman"/>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22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22 in the Docket UT-100820 merger settlement agreement between CenturyLink, Commission Staff and Public Counsel, adopted by the Commission in its Order 14 in the docket, requires the filing with the Commission of semi-annual reports concerning the integration of retail operational support systems:</w:t>
      </w:r>
    </w:p>
    <w:p w:rsidR="00D467AE" w:rsidRDefault="00D467AE" w:rsidP="00BB721D">
      <w:pPr>
        <w:rPr>
          <w:rFonts w:ascii="Times New Roman" w:hAnsi="Times New Roman"/>
        </w:rPr>
      </w:pPr>
    </w:p>
    <w:p w:rsidR="00D467AE" w:rsidRPr="00BF63B7" w:rsidRDefault="00D467AE" w:rsidP="00BF63B7">
      <w:pPr>
        <w:numPr>
          <w:ilvl w:val="0"/>
          <w:numId w:val="3"/>
        </w:numPr>
        <w:spacing w:after="200" w:line="276" w:lineRule="auto"/>
        <w:ind w:left="810" w:hanging="450"/>
        <w:rPr>
          <w:rFonts w:ascii="Times New Roman" w:hAnsi="Times New Roman"/>
          <w:b/>
          <w:i/>
          <w:szCs w:val="24"/>
        </w:rPr>
      </w:pPr>
      <w:smartTag w:uri="urn:schemas-microsoft-com:office:smarttags" w:element="City">
        <w:smartTag w:uri="urn:schemas-microsoft-com:office:smarttags" w:element="place">
          <w:r w:rsidRPr="00BF63B7">
            <w:rPr>
              <w:rFonts w:ascii="Times New Roman" w:hAnsi="Times New Roman"/>
              <w:b/>
              <w:i/>
              <w:szCs w:val="24"/>
            </w:rPr>
            <w:t>OSS</w:t>
          </w:r>
        </w:smartTag>
      </w:smartTag>
      <w:r w:rsidRPr="00BF63B7">
        <w:rPr>
          <w:rFonts w:ascii="Times New Roman" w:hAnsi="Times New Roman"/>
          <w:b/>
          <w:i/>
          <w:szCs w:val="24"/>
        </w:rPr>
        <w:t xml:space="preserve"> – Retail</w:t>
      </w:r>
    </w:p>
    <w:p w:rsidR="00B107F9" w:rsidRDefault="00D467AE" w:rsidP="00BF63B7">
      <w:pPr>
        <w:ind w:left="810"/>
        <w:rPr>
          <w:rFonts w:ascii="Times New Roman" w:hAnsi="Times New Roman"/>
          <w:i/>
          <w:szCs w:val="24"/>
        </w:rPr>
      </w:pPr>
      <w:r w:rsidRPr="00BF63B7">
        <w:rPr>
          <w:rFonts w:ascii="Times New Roman" w:hAnsi="Times New Roman"/>
          <w:i/>
          <w:szCs w:val="24"/>
        </w:rPr>
        <w:t xml:space="preserve">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w:t>
      </w: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D467AE" w:rsidRPr="00BF63B7" w:rsidRDefault="00D467AE" w:rsidP="00BF63B7">
      <w:pPr>
        <w:ind w:left="810"/>
        <w:rPr>
          <w:rFonts w:ascii="Times New Roman" w:hAnsi="Times New Roman"/>
          <w:i/>
          <w:szCs w:val="24"/>
        </w:rPr>
      </w:pPr>
      <w:r w:rsidRPr="00BF63B7">
        <w:rPr>
          <w:rFonts w:ascii="Times New Roman" w:hAnsi="Times New Roman"/>
          <w:i/>
          <w:szCs w:val="24"/>
        </w:rPr>
        <w:t>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D467AE" w:rsidRDefault="00D467AE" w:rsidP="00BB721D">
      <w:pPr>
        <w:rPr>
          <w:rFonts w:ascii="Times New Roman" w:hAnsi="Times New Roman"/>
          <w:i/>
        </w:rPr>
      </w:pP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lastRenderedPageBreak/>
        <w:t xml:space="preserve">CenturyLink provides Attachment 1, which contains the initial report of integration-related activity associated with retail </w:t>
      </w:r>
      <w:smartTag w:uri="urn:schemas-microsoft-com:office:smarttags" w:element="place">
        <w:smartTag w:uri="urn:schemas-microsoft-com:office:smarttags" w:element="City">
          <w:r>
            <w:rPr>
              <w:rFonts w:ascii="Times New Roman" w:hAnsi="Times New Roman"/>
            </w:rPr>
            <w:t>OSS</w:t>
          </w:r>
        </w:smartTag>
      </w:smartTag>
      <w:r>
        <w:rPr>
          <w:rFonts w:ascii="Times New Roman" w:hAnsi="Times New Roman"/>
        </w:rPr>
        <w:t xml:space="preserve">, and Attachment 2, which contains the underlying systems evaluation framework and assessment criteria used by CenturyLink in its integration processes.    </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w:t>
      </w:r>
      <w:proofErr w:type="spellStart"/>
      <w:r w:rsidRPr="00584331">
        <w:rPr>
          <w:rFonts w:ascii="Times New Roman" w:hAnsi="Times New Roman"/>
        </w:rPr>
        <w:t>ldj</w:t>
      </w:r>
      <w:proofErr w:type="spellEnd"/>
    </w:p>
    <w:p w:rsidR="00D467AE" w:rsidRDefault="00D467AE" w:rsidP="00584331">
      <w:pPr>
        <w:rPr>
          <w:rFonts w:ascii="Times New Roman" w:hAnsi="Times New Roman"/>
        </w:rPr>
      </w:pPr>
      <w:r>
        <w:rPr>
          <w:rFonts w:ascii="Times New Roman" w:hAnsi="Times New Roman"/>
        </w:rPr>
        <w:t>cc:  Jennifer Cameron-</w:t>
      </w:r>
      <w:proofErr w:type="spellStart"/>
      <w:r>
        <w:rPr>
          <w:rFonts w:ascii="Times New Roman" w:hAnsi="Times New Roman"/>
        </w:rPr>
        <w:t>Rulkowski</w:t>
      </w:r>
      <w:proofErr w:type="spellEnd"/>
    </w:p>
    <w:p w:rsidR="00D467AE" w:rsidRDefault="00D467AE" w:rsidP="00584331">
      <w:pPr>
        <w:rPr>
          <w:rFonts w:ascii="Times New Roman" w:hAnsi="Times New Roman"/>
        </w:rPr>
      </w:pPr>
      <w:r>
        <w:rPr>
          <w:rFonts w:ascii="Times New Roman" w:hAnsi="Times New Roman"/>
        </w:rPr>
        <w:t xml:space="preserve">      Simon </w:t>
      </w:r>
      <w:proofErr w:type="spellStart"/>
      <w:r>
        <w:rPr>
          <w:rFonts w:ascii="Times New Roman" w:hAnsi="Times New Roman"/>
        </w:rPr>
        <w:t>ffitch</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7AE" w:rsidRDefault="00D467AE">
      <w:r>
        <w:separator/>
      </w:r>
    </w:p>
  </w:endnote>
  <w:endnote w:type="continuationSeparator" w:id="0">
    <w:p w:rsidR="00D467AE" w:rsidRDefault="00D46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7AE" w:rsidRDefault="00D467AE">
      <w:r>
        <w:separator/>
      </w:r>
    </w:p>
  </w:footnote>
  <w:footnote w:type="continuationSeparator" w:id="0">
    <w:p w:rsidR="00D467AE" w:rsidRDefault="00D46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June </w:t>
    </w:r>
    <w:r>
      <w:rPr>
        <w:rFonts w:ascii="Times New Roman" w:hAnsi="Times New Roman"/>
        <w:sz w:val="20"/>
      </w:rPr>
      <w:t>30</w:t>
    </w:r>
    <w:r w:rsidRPr="00D87102">
      <w:rPr>
        <w:rFonts w:ascii="Times New Roman" w:hAnsi="Times New Roman"/>
        <w:sz w:val="20"/>
      </w:rPr>
      <w:t>, 2011</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17458C"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17458C" w:rsidRPr="00D87102">
      <w:rPr>
        <w:rFonts w:ascii="Times New Roman" w:hAnsi="Times New Roman"/>
        <w:sz w:val="20"/>
      </w:rPr>
      <w:fldChar w:fldCharType="separate"/>
    </w:r>
    <w:r w:rsidR="00B107F9">
      <w:rPr>
        <w:rFonts w:ascii="Times New Roman" w:hAnsi="Times New Roman"/>
        <w:noProof/>
        <w:sz w:val="20"/>
      </w:rPr>
      <w:t>2</w:t>
    </w:r>
    <w:r w:rsidR="0017458C"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4D0FC2">
    <w:pPr>
      <w:pStyle w:val="Header"/>
    </w:pPr>
    <w:r>
      <w:rPr>
        <w:noProof/>
      </w:rPr>
      <w:drawing>
        <wp:anchor distT="0" distB="0" distL="114300" distR="114300" simplePos="0" relativeHeight="251657728"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rsids>
    <w:rsidRoot w:val="009B525B"/>
    <w:rsid w:val="00030B26"/>
    <w:rsid w:val="000455F9"/>
    <w:rsid w:val="000A3083"/>
    <w:rsid w:val="000F6F8B"/>
    <w:rsid w:val="0017458C"/>
    <w:rsid w:val="00180ED1"/>
    <w:rsid w:val="001E312C"/>
    <w:rsid w:val="001E4552"/>
    <w:rsid w:val="001F7289"/>
    <w:rsid w:val="00200B09"/>
    <w:rsid w:val="00205A06"/>
    <w:rsid w:val="00225045"/>
    <w:rsid w:val="00240FF4"/>
    <w:rsid w:val="002A4A0F"/>
    <w:rsid w:val="002C2983"/>
    <w:rsid w:val="002E0827"/>
    <w:rsid w:val="00474AFF"/>
    <w:rsid w:val="00493301"/>
    <w:rsid w:val="004C7177"/>
    <w:rsid w:val="004D0FC2"/>
    <w:rsid w:val="00517F7A"/>
    <w:rsid w:val="0055181C"/>
    <w:rsid w:val="005801BA"/>
    <w:rsid w:val="00584190"/>
    <w:rsid w:val="00584331"/>
    <w:rsid w:val="005B20CF"/>
    <w:rsid w:val="005B2115"/>
    <w:rsid w:val="005F3E53"/>
    <w:rsid w:val="006403C0"/>
    <w:rsid w:val="00685EC1"/>
    <w:rsid w:val="007666D5"/>
    <w:rsid w:val="0077111C"/>
    <w:rsid w:val="00786452"/>
    <w:rsid w:val="0079563A"/>
    <w:rsid w:val="007E7960"/>
    <w:rsid w:val="00865D63"/>
    <w:rsid w:val="008818BD"/>
    <w:rsid w:val="008D3C37"/>
    <w:rsid w:val="008F5BA6"/>
    <w:rsid w:val="00921AFD"/>
    <w:rsid w:val="00973E16"/>
    <w:rsid w:val="009870DE"/>
    <w:rsid w:val="009A454B"/>
    <w:rsid w:val="009B0ABA"/>
    <w:rsid w:val="009B3975"/>
    <w:rsid w:val="009B4842"/>
    <w:rsid w:val="009B525B"/>
    <w:rsid w:val="009E18E0"/>
    <w:rsid w:val="00A412ED"/>
    <w:rsid w:val="00A83676"/>
    <w:rsid w:val="00A84BEA"/>
    <w:rsid w:val="00A857F1"/>
    <w:rsid w:val="00B107F9"/>
    <w:rsid w:val="00B23EFE"/>
    <w:rsid w:val="00B4612F"/>
    <w:rsid w:val="00BA2AC5"/>
    <w:rsid w:val="00BB721D"/>
    <w:rsid w:val="00BF63B7"/>
    <w:rsid w:val="00C05E22"/>
    <w:rsid w:val="00C20D83"/>
    <w:rsid w:val="00C95DA4"/>
    <w:rsid w:val="00CB2B44"/>
    <w:rsid w:val="00CE5DE0"/>
    <w:rsid w:val="00D40442"/>
    <w:rsid w:val="00D467AE"/>
    <w:rsid w:val="00D60B04"/>
    <w:rsid w:val="00D76DE9"/>
    <w:rsid w:val="00D87102"/>
    <w:rsid w:val="00D96019"/>
    <w:rsid w:val="00DA390B"/>
    <w:rsid w:val="00E21E80"/>
    <w:rsid w:val="00E24E4D"/>
    <w:rsid w:val="00EA2D3D"/>
    <w:rsid w:val="00ED5B20"/>
    <w:rsid w:val="00EE3EC2"/>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87422-AD1A-42BE-8906-187B59FB9F10}"/>
</file>

<file path=customXml/itemProps2.xml><?xml version="1.0" encoding="utf-8"?>
<ds:datastoreItem xmlns:ds="http://schemas.openxmlformats.org/officeDocument/2006/customXml" ds:itemID="{B3BC2288-728A-4A6E-81C1-F4207FE7311F}"/>
</file>

<file path=customXml/itemProps3.xml><?xml version="1.0" encoding="utf-8"?>
<ds:datastoreItem xmlns:ds="http://schemas.openxmlformats.org/officeDocument/2006/customXml" ds:itemID="{571022B5-1F1A-4EC7-80B1-266399AB65D4}"/>
</file>

<file path=customXml/itemProps4.xml><?xml version="1.0" encoding="utf-8"?>
<ds:datastoreItem xmlns:ds="http://schemas.openxmlformats.org/officeDocument/2006/customXml" ds:itemID="{87F1A843-7895-4707-BEBD-FCA201034304}"/>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1778</Characters>
  <Application>Microsoft Office Word</Application>
  <DocSecurity>0</DocSecurity>
  <Lines>14</Lines>
  <Paragraphs>4</Paragraphs>
  <ScaleCrop>false</ScaleCrop>
  <Company>U S West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2011-06-17T15:37:00Z</cp:lastPrinted>
  <dcterms:created xsi:type="dcterms:W3CDTF">2011-06-28T20:41:00Z</dcterms:created>
  <dcterms:modified xsi:type="dcterms:W3CDTF">2011-06-28T20:46:00Z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