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60F" w:rsidRDefault="00FE360F">
      <w:pPr>
        <w:pStyle w:val="FootnoteText"/>
        <w:keepNext w:val="0"/>
        <w:keepLines w:val="0"/>
        <w:suppressLineNumbers/>
        <w:tabs>
          <w:tab w:val="left" w:pos="1710"/>
        </w:tabs>
        <w:rPr>
          <w:bCs/>
          <w:noProof/>
        </w:rPr>
      </w:pPr>
    </w:p>
    <w:p w:rsidR="00FE360F" w:rsidRDefault="00FE360F">
      <w:pPr>
        <w:suppressLineNumbers/>
        <w:spacing w:line="480" w:lineRule="auto"/>
      </w:pPr>
    </w:p>
    <w:p w:rsidR="00FE360F" w:rsidRDefault="00FE360F">
      <w:pPr>
        <w:suppressLineNumbers/>
      </w:pPr>
    </w:p>
    <w:p w:rsidR="00FE360F" w:rsidRDefault="00FE360F">
      <w:pPr>
        <w:suppressLineNumbers/>
      </w:pPr>
    </w:p>
    <w:p w:rsidR="00FE360F" w:rsidRDefault="00FE360F">
      <w:pPr>
        <w:suppressLineNumbers/>
      </w:pPr>
    </w:p>
    <w:p w:rsidR="00FE360F" w:rsidRDefault="00FE360F">
      <w:pPr>
        <w:suppressLineNumbers/>
      </w:pPr>
    </w:p>
    <w:p w:rsidR="00FE360F" w:rsidRDefault="00FE360F">
      <w:pPr>
        <w:suppressLineNumbers/>
      </w:pPr>
    </w:p>
    <w:p w:rsidR="00FE360F" w:rsidRDefault="00FE360F">
      <w:pPr>
        <w:suppressLineNumbers/>
      </w:pPr>
    </w:p>
    <w:p w:rsidR="00FE360F" w:rsidRDefault="00FE360F">
      <w:pPr>
        <w:pStyle w:val="Header"/>
        <w:suppressLineNumbers/>
        <w:tabs>
          <w:tab w:val="clear" w:pos="4320"/>
          <w:tab w:val="clear" w:pos="8640"/>
        </w:tabs>
        <w:ind w:left="-720"/>
        <w:rPr>
          <w:bCs/>
        </w:rPr>
      </w:pPr>
    </w:p>
    <w:p w:rsidR="00FE360F" w:rsidRDefault="00FE360F">
      <w:pPr>
        <w:spacing w:line="480" w:lineRule="auto"/>
        <w:ind w:left="-720"/>
        <w:jc w:val="center"/>
      </w:pPr>
    </w:p>
    <w:p w:rsidR="00FE360F" w:rsidRDefault="00FE360F">
      <w:pPr>
        <w:spacing w:line="480" w:lineRule="auto"/>
        <w:ind w:left="-720"/>
        <w:jc w:val="center"/>
      </w:pPr>
    </w:p>
    <w:p w:rsidR="00FE360F" w:rsidRDefault="003C72A1">
      <w:pPr>
        <w:spacing w:line="480" w:lineRule="auto"/>
        <w:ind w:left="-720"/>
        <w:jc w:val="center"/>
      </w:pPr>
      <w:r>
        <w:t>BEFORE THE WASHINGTON UTILITIES AND TRANSPORTATION COMMISSION</w:t>
      </w:r>
    </w:p>
    <w:p w:rsidR="00FE360F" w:rsidRDefault="00FE360F">
      <w:pPr>
        <w:tabs>
          <w:tab w:val="left" w:pos="1260"/>
        </w:tabs>
        <w:spacing w:line="480" w:lineRule="auto"/>
        <w:ind w:left="-720"/>
      </w:pPr>
    </w:p>
    <w:p w:rsidR="00FE360F" w:rsidRDefault="003C72A1">
      <w:pPr>
        <w:tabs>
          <w:tab w:val="left" w:pos="1260"/>
        </w:tabs>
        <w:spacing w:line="480" w:lineRule="auto"/>
        <w:ind w:left="-720"/>
        <w:jc w:val="center"/>
      </w:pPr>
      <w:r>
        <w:t>DOCKET NO. UE-1</w:t>
      </w:r>
      <w:r w:rsidR="009D0D5E">
        <w:t>4</w:t>
      </w:r>
      <w:r>
        <w:t>_______</w:t>
      </w:r>
    </w:p>
    <w:p w:rsidR="00FE360F" w:rsidRDefault="003C72A1">
      <w:pPr>
        <w:tabs>
          <w:tab w:val="left" w:pos="1260"/>
        </w:tabs>
        <w:spacing w:line="480" w:lineRule="auto"/>
        <w:ind w:left="-720"/>
        <w:jc w:val="center"/>
      </w:pPr>
      <w:r>
        <w:t>DOCKET NO. UG-1</w:t>
      </w:r>
      <w:r w:rsidR="009D0D5E">
        <w:t>4</w:t>
      </w:r>
      <w:r>
        <w:t>_______</w:t>
      </w:r>
    </w:p>
    <w:p w:rsidR="00FE360F" w:rsidRDefault="00FE360F">
      <w:pPr>
        <w:tabs>
          <w:tab w:val="left" w:pos="1260"/>
        </w:tabs>
        <w:spacing w:line="480" w:lineRule="auto"/>
        <w:ind w:left="-720" w:firstLine="720"/>
        <w:jc w:val="center"/>
      </w:pPr>
    </w:p>
    <w:p w:rsidR="00FE360F" w:rsidRDefault="003C72A1">
      <w:pPr>
        <w:tabs>
          <w:tab w:val="left" w:pos="1260"/>
        </w:tabs>
        <w:spacing w:line="480" w:lineRule="auto"/>
        <w:ind w:left="-720"/>
        <w:jc w:val="center"/>
      </w:pPr>
      <w:r>
        <w:t xml:space="preserve">DIRECT TESTIMONY OF </w:t>
      </w:r>
    </w:p>
    <w:p w:rsidR="00FE360F" w:rsidRDefault="009D0D5E">
      <w:pPr>
        <w:tabs>
          <w:tab w:val="left" w:pos="1260"/>
        </w:tabs>
        <w:spacing w:line="480" w:lineRule="auto"/>
        <w:ind w:left="-720"/>
        <w:jc w:val="center"/>
      </w:pPr>
      <w:r>
        <w:t>ADRIEN M. MCKENZIE</w:t>
      </w:r>
    </w:p>
    <w:p w:rsidR="00FE360F" w:rsidRDefault="003C72A1">
      <w:pPr>
        <w:tabs>
          <w:tab w:val="left" w:pos="1260"/>
        </w:tabs>
        <w:spacing w:line="480" w:lineRule="auto"/>
        <w:ind w:left="-720"/>
        <w:jc w:val="center"/>
      </w:pPr>
      <w:r>
        <w:t>REPRESENTING AVISTA CORPORATION</w:t>
      </w:r>
    </w:p>
    <w:p w:rsidR="00FE360F" w:rsidRDefault="00FE360F">
      <w:pPr>
        <w:suppressLineNumbers/>
        <w:ind w:left="-720"/>
        <w:jc w:val="center"/>
        <w:rPr>
          <w:b/>
        </w:rPr>
      </w:pPr>
    </w:p>
    <w:p w:rsidR="00FE360F" w:rsidRDefault="00FE360F">
      <w:pPr>
        <w:ind w:left="-720"/>
        <w:jc w:val="center"/>
      </w:pPr>
    </w:p>
    <w:p w:rsidR="00FE360F" w:rsidRDefault="00FE360F">
      <w:pPr>
        <w:ind w:left="-720"/>
      </w:pPr>
    </w:p>
    <w:p w:rsidR="00FE360F" w:rsidRDefault="00FE360F">
      <w:pPr>
        <w:ind w:left="-450"/>
        <w:sectPr w:rsidR="00FE360F">
          <w:headerReference w:type="default" r:id="rId8"/>
          <w:pgSz w:w="12240" w:h="15840" w:code="1"/>
          <w:pgMar w:top="1440" w:right="1440" w:bottom="1800" w:left="180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sectPr>
      </w:pPr>
    </w:p>
    <w:p w:rsidR="00FE360F" w:rsidRPr="00290DA2" w:rsidRDefault="00FE360F">
      <w:pPr>
        <w:ind w:left="-450"/>
        <w:rPr>
          <w:rFonts w:ascii="Times New Roman" w:hAnsi="Times New Roman"/>
        </w:rPr>
      </w:pPr>
    </w:p>
    <w:p w:rsidR="00FE360F" w:rsidRPr="00290DA2" w:rsidRDefault="008036CA">
      <w:pPr>
        <w:suppressLineNumbers/>
        <w:jc w:val="center"/>
        <w:rPr>
          <w:rFonts w:ascii="Times New Roman" w:hAnsi="Times New Roman"/>
        </w:rPr>
      </w:pPr>
      <w:r w:rsidRPr="008036CA">
        <w:rPr>
          <w:rFonts w:ascii="Times New Roman" w:hAnsi="Times New Roman"/>
        </w:rPr>
        <w:t>DIRECT TESTIMONY OF ADRIEN M. MCKENZIE</w:t>
      </w:r>
    </w:p>
    <w:p w:rsidR="00FE360F" w:rsidRPr="00290DA2" w:rsidRDefault="00FE360F">
      <w:pPr>
        <w:suppressLineNumbers/>
        <w:jc w:val="center"/>
        <w:rPr>
          <w:rFonts w:ascii="Times New Roman" w:hAnsi="Times New Roman"/>
          <w:bCs/>
        </w:rPr>
      </w:pPr>
    </w:p>
    <w:p w:rsidR="00FE360F" w:rsidRPr="00290DA2" w:rsidRDefault="008036CA">
      <w:pPr>
        <w:suppressLineNumbers/>
        <w:jc w:val="center"/>
        <w:rPr>
          <w:rFonts w:ascii="Times New Roman" w:hAnsi="Times New Roman"/>
          <w:bCs/>
          <w:u w:val="single"/>
        </w:rPr>
      </w:pPr>
      <w:r w:rsidRPr="008036CA">
        <w:rPr>
          <w:rFonts w:ascii="Times New Roman" w:hAnsi="Times New Roman"/>
          <w:bCs/>
          <w:u w:val="single"/>
        </w:rPr>
        <w:t>TABLE OF CONTENTS</w:t>
      </w:r>
    </w:p>
    <w:p w:rsidR="00FE360F" w:rsidRDefault="00FE360F">
      <w:pPr>
        <w:suppressLineNumbers/>
        <w:rPr>
          <w:bCs/>
        </w:rPr>
      </w:pPr>
    </w:p>
    <w:p w:rsidR="00FE360F" w:rsidRPr="00290DA2" w:rsidRDefault="00730F82">
      <w:pPr>
        <w:pStyle w:val="TOC1"/>
        <w:rPr>
          <w:rFonts w:ascii="Times New Roman" w:hAnsi="Times New Roman"/>
          <w:caps w:val="0"/>
          <w:szCs w:val="24"/>
        </w:rPr>
      </w:pPr>
      <w:r w:rsidRPr="00730F82">
        <w:rPr>
          <w:rFonts w:ascii="Times New Roman" w:hAnsi="Times New Roman"/>
          <w:b/>
          <w:bCs/>
        </w:rPr>
        <w:fldChar w:fldCharType="begin"/>
      </w:r>
      <w:r w:rsidR="008036CA" w:rsidRPr="008036CA">
        <w:rPr>
          <w:rFonts w:ascii="Times New Roman" w:hAnsi="Times New Roman"/>
          <w:b/>
          <w:bCs/>
        </w:rPr>
        <w:instrText xml:space="preserve"> TOC \o "1-2" </w:instrText>
      </w:r>
      <w:r w:rsidRPr="00730F82">
        <w:rPr>
          <w:rFonts w:ascii="Times New Roman" w:hAnsi="Times New Roman"/>
          <w:b/>
          <w:bCs/>
        </w:rPr>
        <w:fldChar w:fldCharType="separate"/>
      </w:r>
      <w:r w:rsidR="008036CA" w:rsidRPr="008036CA">
        <w:rPr>
          <w:rFonts w:ascii="Times New Roman" w:hAnsi="Times New Roman"/>
          <w:szCs w:val="24"/>
        </w:rPr>
        <w:t>I.</w:t>
      </w:r>
      <w:r w:rsidR="008036CA">
        <w:rPr>
          <w:rFonts w:ascii="Times New Roman" w:hAnsi="Times New Roman"/>
          <w:caps w:val="0"/>
          <w:szCs w:val="24"/>
        </w:rPr>
        <w:tab/>
      </w:r>
      <w:r w:rsidR="008036CA" w:rsidRPr="008036CA">
        <w:rPr>
          <w:rFonts w:ascii="Times New Roman" w:hAnsi="Times New Roman"/>
          <w:szCs w:val="24"/>
        </w:rPr>
        <w:t>INTRODUCTION</w:t>
      </w:r>
      <w:r w:rsidR="008036CA" w:rsidRPr="008036CA">
        <w:rPr>
          <w:rFonts w:ascii="Times New Roman" w:hAnsi="Times New Roman"/>
        </w:rPr>
        <w:tab/>
      </w:r>
      <w:r w:rsidRPr="008036CA">
        <w:rPr>
          <w:rFonts w:ascii="Times New Roman" w:hAnsi="Times New Roman"/>
        </w:rPr>
        <w:fldChar w:fldCharType="begin"/>
      </w:r>
      <w:r w:rsidR="008036CA" w:rsidRPr="008036CA">
        <w:rPr>
          <w:rFonts w:ascii="Times New Roman" w:hAnsi="Times New Roman"/>
        </w:rPr>
        <w:instrText xml:space="preserve"> PAGEREF _Toc292455185 \h </w:instrText>
      </w:r>
      <w:r w:rsidRPr="008036CA">
        <w:rPr>
          <w:rFonts w:ascii="Times New Roman" w:hAnsi="Times New Roman"/>
        </w:rPr>
      </w:r>
      <w:r w:rsidRPr="008036CA">
        <w:rPr>
          <w:rFonts w:ascii="Times New Roman" w:hAnsi="Times New Roman"/>
        </w:rPr>
        <w:fldChar w:fldCharType="separate"/>
      </w:r>
      <w:r w:rsidR="00394575">
        <w:rPr>
          <w:rFonts w:ascii="Times New Roman" w:hAnsi="Times New Roman"/>
        </w:rPr>
        <w:t>1</w:t>
      </w:r>
      <w:r w:rsidRPr="008036CA">
        <w:rPr>
          <w:rFonts w:ascii="Times New Roman" w:hAnsi="Times New Roman"/>
        </w:rPr>
        <w:fldChar w:fldCharType="end"/>
      </w:r>
    </w:p>
    <w:p w:rsidR="00FE360F" w:rsidRPr="00290DA2" w:rsidRDefault="008036CA">
      <w:pPr>
        <w:pStyle w:val="TOC2"/>
        <w:tabs>
          <w:tab w:val="left" w:pos="960"/>
          <w:tab w:val="right" w:leader="dot" w:pos="8990"/>
        </w:tabs>
        <w:ind w:left="432"/>
        <w:rPr>
          <w:rFonts w:ascii="Times New Roman" w:hAnsi="Times New Roman"/>
          <w:noProof/>
          <w:szCs w:val="24"/>
        </w:rPr>
      </w:pPr>
      <w:r w:rsidRPr="008036CA">
        <w:rPr>
          <w:rFonts w:ascii="Times New Roman" w:hAnsi="Times New Roman"/>
          <w:noProof/>
          <w:szCs w:val="24"/>
        </w:rPr>
        <w:t>A.</w:t>
      </w:r>
      <w:r>
        <w:rPr>
          <w:rFonts w:ascii="Times New Roman" w:hAnsi="Times New Roman"/>
          <w:noProof/>
          <w:szCs w:val="24"/>
        </w:rPr>
        <w:tab/>
        <w:t>Overview</w:t>
      </w:r>
      <w:r w:rsidRPr="008036CA">
        <w:rPr>
          <w:rFonts w:ascii="Times New Roman" w:hAnsi="Times New Roman"/>
          <w:noProof/>
        </w:rPr>
        <w:tab/>
      </w:r>
      <w:r w:rsidR="00730F82" w:rsidRPr="008036CA">
        <w:rPr>
          <w:rFonts w:ascii="Times New Roman" w:hAnsi="Times New Roman"/>
          <w:noProof/>
        </w:rPr>
        <w:fldChar w:fldCharType="begin"/>
      </w:r>
      <w:r w:rsidRPr="008036CA">
        <w:rPr>
          <w:rFonts w:ascii="Times New Roman" w:hAnsi="Times New Roman"/>
          <w:noProof/>
        </w:rPr>
        <w:instrText xml:space="preserve"> PAGEREF _Toc292455186 \h </w:instrText>
      </w:r>
      <w:r w:rsidR="00730F82" w:rsidRPr="008036CA">
        <w:rPr>
          <w:rFonts w:ascii="Times New Roman" w:hAnsi="Times New Roman"/>
          <w:noProof/>
        </w:rPr>
      </w:r>
      <w:r w:rsidR="00730F82" w:rsidRPr="008036CA">
        <w:rPr>
          <w:rFonts w:ascii="Times New Roman" w:hAnsi="Times New Roman"/>
          <w:noProof/>
        </w:rPr>
        <w:fldChar w:fldCharType="separate"/>
      </w:r>
      <w:r w:rsidR="00394575">
        <w:rPr>
          <w:rFonts w:ascii="Times New Roman" w:hAnsi="Times New Roman"/>
          <w:noProof/>
        </w:rPr>
        <w:t>1</w:t>
      </w:r>
      <w:r w:rsidR="00730F82" w:rsidRPr="008036CA">
        <w:rPr>
          <w:rFonts w:ascii="Times New Roman" w:hAnsi="Times New Roman"/>
          <w:noProof/>
        </w:rPr>
        <w:fldChar w:fldCharType="end"/>
      </w:r>
    </w:p>
    <w:p w:rsidR="00FE360F" w:rsidRPr="00290DA2" w:rsidRDefault="008036CA">
      <w:pPr>
        <w:pStyle w:val="TOC2"/>
        <w:tabs>
          <w:tab w:val="left" w:pos="960"/>
          <w:tab w:val="right" w:leader="dot" w:pos="8990"/>
        </w:tabs>
        <w:ind w:left="432"/>
        <w:rPr>
          <w:rFonts w:ascii="Times New Roman" w:hAnsi="Times New Roman"/>
          <w:noProof/>
          <w:szCs w:val="24"/>
        </w:rPr>
      </w:pPr>
      <w:r w:rsidRPr="008036CA">
        <w:rPr>
          <w:rFonts w:ascii="Times New Roman" w:hAnsi="Times New Roman"/>
          <w:noProof/>
          <w:szCs w:val="24"/>
        </w:rPr>
        <w:t>B.</w:t>
      </w:r>
      <w:r>
        <w:rPr>
          <w:rFonts w:ascii="Times New Roman" w:hAnsi="Times New Roman"/>
          <w:noProof/>
          <w:szCs w:val="24"/>
        </w:rPr>
        <w:tab/>
        <w:t>Summary of Conclusions</w:t>
      </w:r>
      <w:r w:rsidRPr="008036CA">
        <w:rPr>
          <w:rFonts w:ascii="Times New Roman" w:hAnsi="Times New Roman"/>
          <w:noProof/>
        </w:rPr>
        <w:tab/>
      </w:r>
      <w:r w:rsidR="00730F82" w:rsidRPr="008036CA">
        <w:rPr>
          <w:rFonts w:ascii="Times New Roman" w:hAnsi="Times New Roman"/>
          <w:noProof/>
        </w:rPr>
        <w:fldChar w:fldCharType="begin"/>
      </w:r>
      <w:r w:rsidRPr="008036CA">
        <w:rPr>
          <w:rFonts w:ascii="Times New Roman" w:hAnsi="Times New Roman"/>
          <w:noProof/>
        </w:rPr>
        <w:instrText xml:space="preserve"> PAGEREF _Toc292455187 \h </w:instrText>
      </w:r>
      <w:r w:rsidR="00730F82" w:rsidRPr="008036CA">
        <w:rPr>
          <w:rFonts w:ascii="Times New Roman" w:hAnsi="Times New Roman"/>
          <w:noProof/>
        </w:rPr>
      </w:r>
      <w:r w:rsidR="00730F82" w:rsidRPr="008036CA">
        <w:rPr>
          <w:rFonts w:ascii="Times New Roman" w:hAnsi="Times New Roman"/>
          <w:noProof/>
        </w:rPr>
        <w:fldChar w:fldCharType="separate"/>
      </w:r>
      <w:r w:rsidR="00394575">
        <w:rPr>
          <w:rFonts w:ascii="Times New Roman" w:hAnsi="Times New Roman"/>
          <w:noProof/>
        </w:rPr>
        <w:t>3</w:t>
      </w:r>
      <w:r w:rsidR="00730F82" w:rsidRPr="008036CA">
        <w:rPr>
          <w:rFonts w:ascii="Times New Roman" w:hAnsi="Times New Roman"/>
          <w:noProof/>
        </w:rPr>
        <w:fldChar w:fldCharType="end"/>
      </w:r>
    </w:p>
    <w:p w:rsidR="00FE360F" w:rsidRPr="00290DA2" w:rsidRDefault="008036CA">
      <w:pPr>
        <w:pStyle w:val="TOC1"/>
        <w:rPr>
          <w:rFonts w:ascii="Times New Roman" w:hAnsi="Times New Roman"/>
          <w:caps w:val="0"/>
          <w:szCs w:val="24"/>
        </w:rPr>
      </w:pPr>
      <w:r w:rsidRPr="008036CA">
        <w:rPr>
          <w:rFonts w:ascii="Times New Roman" w:hAnsi="Times New Roman"/>
          <w:szCs w:val="24"/>
        </w:rPr>
        <w:t>II.</w:t>
      </w:r>
      <w:r>
        <w:rPr>
          <w:rFonts w:ascii="Times New Roman" w:hAnsi="Times New Roman"/>
          <w:caps w:val="0"/>
          <w:szCs w:val="24"/>
        </w:rPr>
        <w:tab/>
      </w:r>
      <w:r w:rsidRPr="008036CA">
        <w:rPr>
          <w:rFonts w:ascii="Times New Roman" w:hAnsi="Times New Roman"/>
          <w:szCs w:val="24"/>
        </w:rPr>
        <w:t>RISKS OF AVISTA</w:t>
      </w:r>
      <w:r w:rsidRPr="008036CA">
        <w:rPr>
          <w:rFonts w:ascii="Times New Roman" w:hAnsi="Times New Roman"/>
        </w:rPr>
        <w:tab/>
      </w:r>
      <w:r w:rsidR="00730F82" w:rsidRPr="008036CA">
        <w:rPr>
          <w:rFonts w:ascii="Times New Roman" w:hAnsi="Times New Roman"/>
        </w:rPr>
        <w:fldChar w:fldCharType="begin"/>
      </w:r>
      <w:r w:rsidRPr="008036CA">
        <w:rPr>
          <w:rFonts w:ascii="Times New Roman" w:hAnsi="Times New Roman"/>
        </w:rPr>
        <w:instrText xml:space="preserve"> PAGEREF _Toc292455188 \h </w:instrText>
      </w:r>
      <w:r w:rsidR="00730F82" w:rsidRPr="008036CA">
        <w:rPr>
          <w:rFonts w:ascii="Times New Roman" w:hAnsi="Times New Roman"/>
        </w:rPr>
      </w:r>
      <w:r w:rsidR="00730F82" w:rsidRPr="008036CA">
        <w:rPr>
          <w:rFonts w:ascii="Times New Roman" w:hAnsi="Times New Roman"/>
        </w:rPr>
        <w:fldChar w:fldCharType="separate"/>
      </w:r>
      <w:r w:rsidR="00394575">
        <w:rPr>
          <w:rFonts w:ascii="Times New Roman" w:hAnsi="Times New Roman"/>
        </w:rPr>
        <w:t>10</w:t>
      </w:r>
      <w:r w:rsidR="00730F82" w:rsidRPr="008036CA">
        <w:rPr>
          <w:rFonts w:ascii="Times New Roman" w:hAnsi="Times New Roman"/>
        </w:rPr>
        <w:fldChar w:fldCharType="end"/>
      </w:r>
    </w:p>
    <w:p w:rsidR="00FE360F" w:rsidRPr="00290DA2" w:rsidRDefault="008036CA">
      <w:pPr>
        <w:pStyle w:val="TOC2"/>
        <w:tabs>
          <w:tab w:val="left" w:pos="960"/>
          <w:tab w:val="right" w:leader="dot" w:pos="8990"/>
        </w:tabs>
        <w:ind w:left="432"/>
        <w:rPr>
          <w:rFonts w:ascii="Times New Roman" w:hAnsi="Times New Roman"/>
          <w:noProof/>
          <w:szCs w:val="24"/>
        </w:rPr>
      </w:pPr>
      <w:r w:rsidRPr="008036CA">
        <w:rPr>
          <w:rFonts w:ascii="Times New Roman" w:hAnsi="Times New Roman"/>
          <w:noProof/>
          <w:szCs w:val="24"/>
        </w:rPr>
        <w:t>A.</w:t>
      </w:r>
      <w:r>
        <w:rPr>
          <w:rFonts w:ascii="Times New Roman" w:hAnsi="Times New Roman"/>
          <w:noProof/>
          <w:szCs w:val="24"/>
        </w:rPr>
        <w:tab/>
        <w:t>Operating Risks</w:t>
      </w:r>
      <w:r w:rsidRPr="008036CA">
        <w:rPr>
          <w:rFonts w:ascii="Times New Roman" w:hAnsi="Times New Roman"/>
          <w:noProof/>
        </w:rPr>
        <w:tab/>
      </w:r>
      <w:r w:rsidR="00730F82" w:rsidRPr="008036CA">
        <w:rPr>
          <w:rFonts w:ascii="Times New Roman" w:hAnsi="Times New Roman"/>
          <w:noProof/>
        </w:rPr>
        <w:fldChar w:fldCharType="begin"/>
      </w:r>
      <w:r w:rsidRPr="008036CA">
        <w:rPr>
          <w:rFonts w:ascii="Times New Roman" w:hAnsi="Times New Roman"/>
          <w:noProof/>
        </w:rPr>
        <w:instrText xml:space="preserve"> PAGEREF _Toc292455189 \h </w:instrText>
      </w:r>
      <w:r w:rsidR="00730F82" w:rsidRPr="008036CA">
        <w:rPr>
          <w:rFonts w:ascii="Times New Roman" w:hAnsi="Times New Roman"/>
          <w:noProof/>
        </w:rPr>
      </w:r>
      <w:r w:rsidR="00730F82" w:rsidRPr="008036CA">
        <w:rPr>
          <w:rFonts w:ascii="Times New Roman" w:hAnsi="Times New Roman"/>
          <w:noProof/>
        </w:rPr>
        <w:fldChar w:fldCharType="separate"/>
      </w:r>
      <w:r w:rsidR="00394575">
        <w:rPr>
          <w:rFonts w:ascii="Times New Roman" w:hAnsi="Times New Roman"/>
          <w:noProof/>
        </w:rPr>
        <w:t>10</w:t>
      </w:r>
      <w:r w:rsidR="00730F82" w:rsidRPr="008036CA">
        <w:rPr>
          <w:rFonts w:ascii="Times New Roman" w:hAnsi="Times New Roman"/>
          <w:noProof/>
        </w:rPr>
        <w:fldChar w:fldCharType="end"/>
      </w:r>
    </w:p>
    <w:p w:rsidR="00FE360F" w:rsidRPr="00290DA2" w:rsidRDefault="008036CA">
      <w:pPr>
        <w:pStyle w:val="TOC2"/>
        <w:tabs>
          <w:tab w:val="left" w:pos="960"/>
          <w:tab w:val="right" w:leader="dot" w:pos="8990"/>
        </w:tabs>
        <w:ind w:left="432"/>
        <w:rPr>
          <w:rFonts w:ascii="Times New Roman" w:hAnsi="Times New Roman"/>
          <w:noProof/>
          <w:szCs w:val="24"/>
        </w:rPr>
      </w:pPr>
      <w:r w:rsidRPr="008036CA">
        <w:rPr>
          <w:rFonts w:ascii="Times New Roman" w:hAnsi="Times New Roman"/>
          <w:noProof/>
          <w:szCs w:val="24"/>
        </w:rPr>
        <w:t>B.</w:t>
      </w:r>
      <w:r>
        <w:rPr>
          <w:rFonts w:ascii="Times New Roman" w:hAnsi="Times New Roman"/>
          <w:noProof/>
          <w:szCs w:val="24"/>
        </w:rPr>
        <w:tab/>
        <w:t>Implications of Attrition</w:t>
      </w:r>
      <w:r w:rsidRPr="008036CA">
        <w:rPr>
          <w:rFonts w:ascii="Times New Roman" w:hAnsi="Times New Roman"/>
          <w:noProof/>
        </w:rPr>
        <w:tab/>
      </w:r>
      <w:r w:rsidR="00730F82" w:rsidRPr="008036CA">
        <w:rPr>
          <w:rFonts w:ascii="Times New Roman" w:hAnsi="Times New Roman"/>
          <w:noProof/>
        </w:rPr>
        <w:fldChar w:fldCharType="begin"/>
      </w:r>
      <w:r w:rsidRPr="008036CA">
        <w:rPr>
          <w:rFonts w:ascii="Times New Roman" w:hAnsi="Times New Roman"/>
          <w:noProof/>
        </w:rPr>
        <w:instrText xml:space="preserve"> PAGEREF _Toc292455190 \h </w:instrText>
      </w:r>
      <w:r w:rsidR="00730F82" w:rsidRPr="008036CA">
        <w:rPr>
          <w:rFonts w:ascii="Times New Roman" w:hAnsi="Times New Roman"/>
          <w:noProof/>
        </w:rPr>
      </w:r>
      <w:r w:rsidR="00730F82" w:rsidRPr="008036CA">
        <w:rPr>
          <w:rFonts w:ascii="Times New Roman" w:hAnsi="Times New Roman"/>
          <w:noProof/>
        </w:rPr>
        <w:fldChar w:fldCharType="separate"/>
      </w:r>
      <w:r w:rsidR="00394575">
        <w:rPr>
          <w:rFonts w:ascii="Times New Roman" w:hAnsi="Times New Roman"/>
          <w:noProof/>
        </w:rPr>
        <w:t>14</w:t>
      </w:r>
      <w:r w:rsidR="00730F82" w:rsidRPr="008036CA">
        <w:rPr>
          <w:rFonts w:ascii="Times New Roman" w:hAnsi="Times New Roman"/>
          <w:noProof/>
        </w:rPr>
        <w:fldChar w:fldCharType="end"/>
      </w:r>
    </w:p>
    <w:p w:rsidR="00FE360F" w:rsidRPr="00290DA2" w:rsidRDefault="008036CA">
      <w:pPr>
        <w:pStyle w:val="TOC2"/>
        <w:tabs>
          <w:tab w:val="left" w:pos="960"/>
          <w:tab w:val="right" w:leader="dot" w:pos="8990"/>
        </w:tabs>
        <w:ind w:left="432"/>
        <w:rPr>
          <w:rFonts w:ascii="Times New Roman" w:hAnsi="Times New Roman"/>
          <w:noProof/>
          <w:szCs w:val="24"/>
        </w:rPr>
      </w:pPr>
      <w:r w:rsidRPr="008036CA">
        <w:rPr>
          <w:rFonts w:ascii="Times New Roman" w:hAnsi="Times New Roman"/>
          <w:noProof/>
          <w:szCs w:val="24"/>
        </w:rPr>
        <w:t>C.</w:t>
      </w:r>
      <w:r>
        <w:rPr>
          <w:rFonts w:ascii="Times New Roman" w:hAnsi="Times New Roman"/>
          <w:noProof/>
          <w:szCs w:val="24"/>
        </w:rPr>
        <w:tab/>
        <w:t>Impact of Capital Market Conditions</w:t>
      </w:r>
      <w:r w:rsidRPr="008036CA">
        <w:rPr>
          <w:rFonts w:ascii="Times New Roman" w:hAnsi="Times New Roman"/>
          <w:noProof/>
        </w:rPr>
        <w:tab/>
      </w:r>
      <w:r w:rsidR="00730F82" w:rsidRPr="008036CA">
        <w:rPr>
          <w:rFonts w:ascii="Times New Roman" w:hAnsi="Times New Roman"/>
          <w:noProof/>
        </w:rPr>
        <w:fldChar w:fldCharType="begin"/>
      </w:r>
      <w:r w:rsidRPr="008036CA">
        <w:rPr>
          <w:rFonts w:ascii="Times New Roman" w:hAnsi="Times New Roman"/>
          <w:noProof/>
        </w:rPr>
        <w:instrText xml:space="preserve"> PAGEREF _Toc292455191 \h </w:instrText>
      </w:r>
      <w:r w:rsidR="00730F82" w:rsidRPr="008036CA">
        <w:rPr>
          <w:rFonts w:ascii="Times New Roman" w:hAnsi="Times New Roman"/>
          <w:noProof/>
        </w:rPr>
      </w:r>
      <w:r w:rsidR="00730F82" w:rsidRPr="008036CA">
        <w:rPr>
          <w:rFonts w:ascii="Times New Roman" w:hAnsi="Times New Roman"/>
          <w:noProof/>
        </w:rPr>
        <w:fldChar w:fldCharType="separate"/>
      </w:r>
      <w:r w:rsidR="00394575">
        <w:rPr>
          <w:rFonts w:ascii="Times New Roman" w:hAnsi="Times New Roman"/>
          <w:noProof/>
        </w:rPr>
        <w:t>17</w:t>
      </w:r>
      <w:r w:rsidR="00730F82" w:rsidRPr="008036CA">
        <w:rPr>
          <w:rFonts w:ascii="Times New Roman" w:hAnsi="Times New Roman"/>
          <w:noProof/>
        </w:rPr>
        <w:fldChar w:fldCharType="end"/>
      </w:r>
    </w:p>
    <w:p w:rsidR="00FE360F" w:rsidRPr="00290DA2" w:rsidRDefault="008036CA">
      <w:pPr>
        <w:pStyle w:val="TOC2"/>
        <w:tabs>
          <w:tab w:val="left" w:pos="960"/>
          <w:tab w:val="right" w:leader="dot" w:pos="8990"/>
        </w:tabs>
        <w:ind w:left="432"/>
        <w:rPr>
          <w:rFonts w:ascii="Times New Roman" w:hAnsi="Times New Roman"/>
          <w:noProof/>
          <w:szCs w:val="24"/>
        </w:rPr>
      </w:pPr>
      <w:r w:rsidRPr="008036CA">
        <w:rPr>
          <w:rFonts w:ascii="Times New Roman" w:hAnsi="Times New Roman"/>
          <w:noProof/>
          <w:szCs w:val="24"/>
        </w:rPr>
        <w:t>D.</w:t>
      </w:r>
      <w:r>
        <w:rPr>
          <w:rFonts w:ascii="Times New Roman" w:hAnsi="Times New Roman"/>
          <w:noProof/>
          <w:szCs w:val="24"/>
        </w:rPr>
        <w:tab/>
        <w:t>Support For Avista’s Credit Standing</w:t>
      </w:r>
      <w:r w:rsidRPr="008036CA">
        <w:rPr>
          <w:rFonts w:ascii="Times New Roman" w:hAnsi="Times New Roman"/>
          <w:noProof/>
        </w:rPr>
        <w:tab/>
      </w:r>
      <w:r w:rsidR="00730F82" w:rsidRPr="008036CA">
        <w:rPr>
          <w:rFonts w:ascii="Times New Roman" w:hAnsi="Times New Roman"/>
          <w:noProof/>
        </w:rPr>
        <w:fldChar w:fldCharType="begin"/>
      </w:r>
      <w:r w:rsidRPr="008036CA">
        <w:rPr>
          <w:rFonts w:ascii="Times New Roman" w:hAnsi="Times New Roman"/>
          <w:noProof/>
        </w:rPr>
        <w:instrText xml:space="preserve"> PAGEREF _Toc292455192 \h </w:instrText>
      </w:r>
      <w:r w:rsidR="00730F82" w:rsidRPr="008036CA">
        <w:rPr>
          <w:rFonts w:ascii="Times New Roman" w:hAnsi="Times New Roman"/>
          <w:noProof/>
        </w:rPr>
      </w:r>
      <w:r w:rsidR="00730F82" w:rsidRPr="008036CA">
        <w:rPr>
          <w:rFonts w:ascii="Times New Roman" w:hAnsi="Times New Roman"/>
          <w:noProof/>
        </w:rPr>
        <w:fldChar w:fldCharType="separate"/>
      </w:r>
      <w:r w:rsidR="00394575">
        <w:rPr>
          <w:rFonts w:ascii="Times New Roman" w:hAnsi="Times New Roman"/>
          <w:noProof/>
        </w:rPr>
        <w:t>22</w:t>
      </w:r>
      <w:r w:rsidR="00730F82" w:rsidRPr="008036CA">
        <w:rPr>
          <w:rFonts w:ascii="Times New Roman" w:hAnsi="Times New Roman"/>
          <w:noProof/>
        </w:rPr>
        <w:fldChar w:fldCharType="end"/>
      </w:r>
    </w:p>
    <w:p w:rsidR="00FE360F" w:rsidRPr="00290DA2" w:rsidRDefault="008036CA">
      <w:pPr>
        <w:pStyle w:val="TOC2"/>
        <w:tabs>
          <w:tab w:val="left" w:pos="960"/>
          <w:tab w:val="right" w:leader="dot" w:pos="8990"/>
        </w:tabs>
        <w:ind w:left="432"/>
        <w:rPr>
          <w:rFonts w:ascii="Times New Roman" w:hAnsi="Times New Roman"/>
          <w:noProof/>
          <w:szCs w:val="24"/>
        </w:rPr>
      </w:pPr>
      <w:r w:rsidRPr="008036CA">
        <w:rPr>
          <w:rFonts w:ascii="Times New Roman" w:hAnsi="Times New Roman"/>
          <w:noProof/>
          <w:szCs w:val="24"/>
        </w:rPr>
        <w:t>E.</w:t>
      </w:r>
      <w:r>
        <w:rPr>
          <w:rFonts w:ascii="Times New Roman" w:hAnsi="Times New Roman"/>
          <w:noProof/>
          <w:szCs w:val="24"/>
        </w:rPr>
        <w:tab/>
        <w:t>Capital Structure</w:t>
      </w:r>
      <w:r w:rsidRPr="008036CA">
        <w:rPr>
          <w:rFonts w:ascii="Times New Roman" w:hAnsi="Times New Roman"/>
          <w:noProof/>
        </w:rPr>
        <w:tab/>
      </w:r>
      <w:r w:rsidR="00730F82" w:rsidRPr="008036CA">
        <w:rPr>
          <w:rFonts w:ascii="Times New Roman" w:hAnsi="Times New Roman"/>
          <w:noProof/>
        </w:rPr>
        <w:fldChar w:fldCharType="begin"/>
      </w:r>
      <w:r w:rsidRPr="008036CA">
        <w:rPr>
          <w:rFonts w:ascii="Times New Roman" w:hAnsi="Times New Roman"/>
          <w:noProof/>
        </w:rPr>
        <w:instrText xml:space="preserve"> PAGEREF _Toc292455193 \h </w:instrText>
      </w:r>
      <w:r w:rsidR="00730F82" w:rsidRPr="008036CA">
        <w:rPr>
          <w:rFonts w:ascii="Times New Roman" w:hAnsi="Times New Roman"/>
          <w:noProof/>
        </w:rPr>
      </w:r>
      <w:r w:rsidR="00730F82" w:rsidRPr="008036CA">
        <w:rPr>
          <w:rFonts w:ascii="Times New Roman" w:hAnsi="Times New Roman"/>
          <w:noProof/>
        </w:rPr>
        <w:fldChar w:fldCharType="separate"/>
      </w:r>
      <w:r w:rsidR="00394575">
        <w:rPr>
          <w:rFonts w:ascii="Times New Roman" w:hAnsi="Times New Roman"/>
          <w:noProof/>
        </w:rPr>
        <w:t>25</w:t>
      </w:r>
      <w:r w:rsidR="00730F82" w:rsidRPr="008036CA">
        <w:rPr>
          <w:rFonts w:ascii="Times New Roman" w:hAnsi="Times New Roman"/>
          <w:noProof/>
        </w:rPr>
        <w:fldChar w:fldCharType="end"/>
      </w:r>
    </w:p>
    <w:p w:rsidR="00FE360F" w:rsidRPr="00290DA2" w:rsidRDefault="008036CA">
      <w:pPr>
        <w:pStyle w:val="TOC1"/>
        <w:tabs>
          <w:tab w:val="left" w:pos="720"/>
        </w:tabs>
        <w:rPr>
          <w:rFonts w:ascii="Times New Roman" w:hAnsi="Times New Roman"/>
          <w:caps w:val="0"/>
          <w:szCs w:val="24"/>
        </w:rPr>
      </w:pPr>
      <w:r w:rsidRPr="008036CA">
        <w:rPr>
          <w:rFonts w:ascii="Times New Roman" w:hAnsi="Times New Roman"/>
          <w:szCs w:val="24"/>
        </w:rPr>
        <w:t>III.</w:t>
      </w:r>
      <w:r>
        <w:rPr>
          <w:rFonts w:ascii="Times New Roman" w:hAnsi="Times New Roman"/>
          <w:caps w:val="0"/>
          <w:szCs w:val="24"/>
        </w:rPr>
        <w:tab/>
      </w:r>
      <w:r w:rsidRPr="008036CA">
        <w:rPr>
          <w:rFonts w:ascii="Times New Roman" w:hAnsi="Times New Roman"/>
          <w:szCs w:val="24"/>
        </w:rPr>
        <w:t>CAPITAL MARKET ESTIMATES</w:t>
      </w:r>
      <w:r w:rsidRPr="008036CA">
        <w:rPr>
          <w:rFonts w:ascii="Times New Roman" w:hAnsi="Times New Roman"/>
        </w:rPr>
        <w:tab/>
      </w:r>
      <w:r w:rsidR="00730F82" w:rsidRPr="008036CA">
        <w:rPr>
          <w:rFonts w:ascii="Times New Roman" w:hAnsi="Times New Roman"/>
        </w:rPr>
        <w:fldChar w:fldCharType="begin"/>
      </w:r>
      <w:r w:rsidRPr="008036CA">
        <w:rPr>
          <w:rFonts w:ascii="Times New Roman" w:hAnsi="Times New Roman"/>
        </w:rPr>
        <w:instrText xml:space="preserve"> PAGEREF _Toc292455194 \h </w:instrText>
      </w:r>
      <w:r w:rsidR="00730F82" w:rsidRPr="008036CA">
        <w:rPr>
          <w:rFonts w:ascii="Times New Roman" w:hAnsi="Times New Roman"/>
        </w:rPr>
      </w:r>
      <w:r w:rsidR="00730F82" w:rsidRPr="008036CA">
        <w:rPr>
          <w:rFonts w:ascii="Times New Roman" w:hAnsi="Times New Roman"/>
        </w:rPr>
        <w:fldChar w:fldCharType="separate"/>
      </w:r>
      <w:r w:rsidR="00394575">
        <w:rPr>
          <w:rFonts w:ascii="Times New Roman" w:hAnsi="Times New Roman"/>
        </w:rPr>
        <w:t>30</w:t>
      </w:r>
      <w:r w:rsidR="00730F82" w:rsidRPr="008036CA">
        <w:rPr>
          <w:rFonts w:ascii="Times New Roman" w:hAnsi="Times New Roman"/>
        </w:rPr>
        <w:fldChar w:fldCharType="end"/>
      </w:r>
    </w:p>
    <w:p w:rsidR="00FE360F" w:rsidRPr="00290DA2" w:rsidRDefault="008036CA">
      <w:pPr>
        <w:pStyle w:val="TOC2"/>
        <w:tabs>
          <w:tab w:val="left" w:pos="960"/>
          <w:tab w:val="right" w:leader="dot" w:pos="8990"/>
        </w:tabs>
        <w:ind w:left="432"/>
        <w:rPr>
          <w:rFonts w:ascii="Times New Roman" w:hAnsi="Times New Roman"/>
          <w:noProof/>
          <w:szCs w:val="24"/>
        </w:rPr>
      </w:pPr>
      <w:r w:rsidRPr="008036CA">
        <w:rPr>
          <w:rFonts w:ascii="Times New Roman" w:hAnsi="Times New Roman"/>
          <w:noProof/>
          <w:szCs w:val="24"/>
        </w:rPr>
        <w:t>A.</w:t>
      </w:r>
      <w:r>
        <w:rPr>
          <w:rFonts w:ascii="Times New Roman" w:hAnsi="Times New Roman"/>
          <w:noProof/>
          <w:szCs w:val="24"/>
        </w:rPr>
        <w:tab/>
        <w:t>Overview</w:t>
      </w:r>
      <w:r w:rsidRPr="008036CA">
        <w:rPr>
          <w:rFonts w:ascii="Times New Roman" w:hAnsi="Times New Roman"/>
          <w:noProof/>
        </w:rPr>
        <w:tab/>
      </w:r>
      <w:r w:rsidR="00730F82" w:rsidRPr="008036CA">
        <w:rPr>
          <w:rFonts w:ascii="Times New Roman" w:hAnsi="Times New Roman"/>
          <w:noProof/>
        </w:rPr>
        <w:fldChar w:fldCharType="begin"/>
      </w:r>
      <w:r w:rsidRPr="008036CA">
        <w:rPr>
          <w:rFonts w:ascii="Times New Roman" w:hAnsi="Times New Roman"/>
          <w:noProof/>
        </w:rPr>
        <w:instrText xml:space="preserve"> PAGEREF _Toc292455195 \h </w:instrText>
      </w:r>
      <w:r w:rsidR="00730F82" w:rsidRPr="008036CA">
        <w:rPr>
          <w:rFonts w:ascii="Times New Roman" w:hAnsi="Times New Roman"/>
          <w:noProof/>
        </w:rPr>
      </w:r>
      <w:r w:rsidR="00730F82" w:rsidRPr="008036CA">
        <w:rPr>
          <w:rFonts w:ascii="Times New Roman" w:hAnsi="Times New Roman"/>
          <w:noProof/>
        </w:rPr>
        <w:fldChar w:fldCharType="separate"/>
      </w:r>
      <w:r w:rsidR="00394575">
        <w:rPr>
          <w:rFonts w:ascii="Times New Roman" w:hAnsi="Times New Roman"/>
          <w:noProof/>
        </w:rPr>
        <w:t>30</w:t>
      </w:r>
      <w:r w:rsidR="00730F82" w:rsidRPr="008036CA">
        <w:rPr>
          <w:rFonts w:ascii="Times New Roman" w:hAnsi="Times New Roman"/>
          <w:noProof/>
        </w:rPr>
        <w:fldChar w:fldCharType="end"/>
      </w:r>
    </w:p>
    <w:p w:rsidR="00FE360F" w:rsidRPr="00290DA2" w:rsidRDefault="008036CA">
      <w:pPr>
        <w:pStyle w:val="TOC2"/>
        <w:tabs>
          <w:tab w:val="left" w:pos="960"/>
          <w:tab w:val="right" w:leader="dot" w:pos="8990"/>
        </w:tabs>
        <w:ind w:left="432"/>
        <w:rPr>
          <w:rFonts w:ascii="Times New Roman" w:hAnsi="Times New Roman"/>
          <w:noProof/>
          <w:szCs w:val="24"/>
        </w:rPr>
      </w:pPr>
      <w:r w:rsidRPr="008036CA">
        <w:rPr>
          <w:rFonts w:ascii="Times New Roman" w:hAnsi="Times New Roman"/>
          <w:noProof/>
          <w:szCs w:val="24"/>
        </w:rPr>
        <w:t>B.</w:t>
      </w:r>
      <w:r>
        <w:rPr>
          <w:rFonts w:ascii="Times New Roman" w:hAnsi="Times New Roman"/>
          <w:noProof/>
          <w:szCs w:val="24"/>
        </w:rPr>
        <w:tab/>
        <w:t>Results of Quantitative Analyses</w:t>
      </w:r>
      <w:r w:rsidRPr="008036CA">
        <w:rPr>
          <w:rFonts w:ascii="Times New Roman" w:hAnsi="Times New Roman"/>
          <w:noProof/>
        </w:rPr>
        <w:tab/>
      </w:r>
      <w:r w:rsidR="00730F82" w:rsidRPr="008036CA">
        <w:rPr>
          <w:rFonts w:ascii="Times New Roman" w:hAnsi="Times New Roman"/>
          <w:noProof/>
        </w:rPr>
        <w:fldChar w:fldCharType="begin"/>
      </w:r>
      <w:r w:rsidRPr="008036CA">
        <w:rPr>
          <w:rFonts w:ascii="Times New Roman" w:hAnsi="Times New Roman"/>
          <w:noProof/>
        </w:rPr>
        <w:instrText xml:space="preserve"> PAGEREF _Toc292455196 \h </w:instrText>
      </w:r>
      <w:r w:rsidR="00730F82" w:rsidRPr="008036CA">
        <w:rPr>
          <w:rFonts w:ascii="Times New Roman" w:hAnsi="Times New Roman"/>
          <w:noProof/>
        </w:rPr>
      </w:r>
      <w:r w:rsidR="00730F82" w:rsidRPr="008036CA">
        <w:rPr>
          <w:rFonts w:ascii="Times New Roman" w:hAnsi="Times New Roman"/>
          <w:noProof/>
        </w:rPr>
        <w:fldChar w:fldCharType="separate"/>
      </w:r>
      <w:r w:rsidR="00394575">
        <w:rPr>
          <w:rFonts w:ascii="Times New Roman" w:hAnsi="Times New Roman"/>
          <w:noProof/>
        </w:rPr>
        <w:t>31</w:t>
      </w:r>
      <w:r w:rsidR="00730F82" w:rsidRPr="008036CA">
        <w:rPr>
          <w:rFonts w:ascii="Times New Roman" w:hAnsi="Times New Roman"/>
          <w:noProof/>
        </w:rPr>
        <w:fldChar w:fldCharType="end"/>
      </w:r>
    </w:p>
    <w:p w:rsidR="00FE360F" w:rsidRPr="00290DA2" w:rsidRDefault="008036CA">
      <w:pPr>
        <w:pStyle w:val="TOC2"/>
        <w:tabs>
          <w:tab w:val="left" w:pos="960"/>
          <w:tab w:val="right" w:leader="dot" w:pos="8990"/>
        </w:tabs>
        <w:ind w:left="432"/>
        <w:rPr>
          <w:rFonts w:ascii="Times New Roman" w:hAnsi="Times New Roman"/>
          <w:noProof/>
          <w:szCs w:val="24"/>
        </w:rPr>
      </w:pPr>
      <w:r w:rsidRPr="008036CA">
        <w:rPr>
          <w:rFonts w:ascii="Times New Roman" w:hAnsi="Times New Roman"/>
          <w:noProof/>
          <w:szCs w:val="24"/>
        </w:rPr>
        <w:t>C.</w:t>
      </w:r>
      <w:r>
        <w:rPr>
          <w:rFonts w:ascii="Times New Roman" w:hAnsi="Times New Roman"/>
          <w:noProof/>
          <w:szCs w:val="24"/>
        </w:rPr>
        <w:tab/>
        <w:t>Flotation Costs</w:t>
      </w:r>
      <w:r w:rsidRPr="008036CA">
        <w:rPr>
          <w:rFonts w:ascii="Times New Roman" w:hAnsi="Times New Roman"/>
          <w:noProof/>
        </w:rPr>
        <w:tab/>
      </w:r>
      <w:r w:rsidR="00730F82" w:rsidRPr="008036CA">
        <w:rPr>
          <w:rFonts w:ascii="Times New Roman" w:hAnsi="Times New Roman"/>
          <w:noProof/>
        </w:rPr>
        <w:fldChar w:fldCharType="begin"/>
      </w:r>
      <w:r w:rsidRPr="008036CA">
        <w:rPr>
          <w:rFonts w:ascii="Times New Roman" w:hAnsi="Times New Roman"/>
          <w:noProof/>
        </w:rPr>
        <w:instrText xml:space="preserve"> PAGEREF _Toc292455197 \h </w:instrText>
      </w:r>
      <w:r w:rsidR="00730F82" w:rsidRPr="008036CA">
        <w:rPr>
          <w:rFonts w:ascii="Times New Roman" w:hAnsi="Times New Roman"/>
          <w:noProof/>
        </w:rPr>
      </w:r>
      <w:r w:rsidR="00730F82" w:rsidRPr="008036CA">
        <w:rPr>
          <w:rFonts w:ascii="Times New Roman" w:hAnsi="Times New Roman"/>
          <w:noProof/>
        </w:rPr>
        <w:fldChar w:fldCharType="separate"/>
      </w:r>
      <w:r w:rsidR="00394575">
        <w:rPr>
          <w:rFonts w:ascii="Times New Roman" w:hAnsi="Times New Roman"/>
          <w:noProof/>
        </w:rPr>
        <w:t>35</w:t>
      </w:r>
      <w:r w:rsidR="00730F82" w:rsidRPr="008036CA">
        <w:rPr>
          <w:rFonts w:ascii="Times New Roman" w:hAnsi="Times New Roman"/>
          <w:noProof/>
        </w:rPr>
        <w:fldChar w:fldCharType="end"/>
      </w:r>
    </w:p>
    <w:p w:rsidR="00FE360F" w:rsidRPr="00290DA2" w:rsidRDefault="008036CA">
      <w:pPr>
        <w:pStyle w:val="TOC1"/>
        <w:tabs>
          <w:tab w:val="left" w:pos="720"/>
        </w:tabs>
        <w:rPr>
          <w:rFonts w:ascii="Times New Roman" w:hAnsi="Times New Roman"/>
          <w:caps w:val="0"/>
          <w:szCs w:val="24"/>
        </w:rPr>
      </w:pPr>
      <w:r w:rsidRPr="008036CA">
        <w:rPr>
          <w:rFonts w:ascii="Times New Roman" w:hAnsi="Times New Roman"/>
          <w:szCs w:val="24"/>
        </w:rPr>
        <w:t>IV.</w:t>
      </w:r>
      <w:r>
        <w:rPr>
          <w:rFonts w:ascii="Times New Roman" w:hAnsi="Times New Roman"/>
          <w:caps w:val="0"/>
          <w:szCs w:val="24"/>
        </w:rPr>
        <w:tab/>
      </w:r>
      <w:r w:rsidRPr="008036CA">
        <w:rPr>
          <w:rFonts w:ascii="Times New Roman" w:hAnsi="Times New Roman"/>
          <w:szCs w:val="24"/>
        </w:rPr>
        <w:t>RETURN ON EQUITY RECOMMENDATION</w:t>
      </w:r>
      <w:r w:rsidRPr="008036CA">
        <w:rPr>
          <w:rFonts w:ascii="Times New Roman" w:hAnsi="Times New Roman"/>
        </w:rPr>
        <w:tab/>
      </w:r>
      <w:r w:rsidR="00730F82" w:rsidRPr="008036CA">
        <w:rPr>
          <w:rFonts w:ascii="Times New Roman" w:hAnsi="Times New Roman"/>
        </w:rPr>
        <w:fldChar w:fldCharType="begin"/>
      </w:r>
      <w:r w:rsidRPr="008036CA">
        <w:rPr>
          <w:rFonts w:ascii="Times New Roman" w:hAnsi="Times New Roman"/>
        </w:rPr>
        <w:instrText xml:space="preserve"> PAGEREF _Toc292455199 \h </w:instrText>
      </w:r>
      <w:r w:rsidR="00730F82" w:rsidRPr="008036CA">
        <w:rPr>
          <w:rFonts w:ascii="Times New Roman" w:hAnsi="Times New Roman"/>
        </w:rPr>
      </w:r>
      <w:r w:rsidR="00730F82" w:rsidRPr="008036CA">
        <w:rPr>
          <w:rFonts w:ascii="Times New Roman" w:hAnsi="Times New Roman"/>
        </w:rPr>
        <w:fldChar w:fldCharType="separate"/>
      </w:r>
      <w:r w:rsidR="00394575">
        <w:rPr>
          <w:rFonts w:ascii="Times New Roman" w:hAnsi="Times New Roman"/>
        </w:rPr>
        <w:t>44</w:t>
      </w:r>
      <w:r w:rsidR="00730F82" w:rsidRPr="008036CA">
        <w:rPr>
          <w:rFonts w:ascii="Times New Roman" w:hAnsi="Times New Roman"/>
        </w:rPr>
        <w:fldChar w:fldCharType="end"/>
      </w:r>
    </w:p>
    <w:p w:rsidR="00FE360F" w:rsidRDefault="00730F82">
      <w:pPr>
        <w:pStyle w:val="TOC1"/>
      </w:pPr>
      <w:r w:rsidRPr="008036CA">
        <w:rPr>
          <w:rFonts w:ascii="Times New Roman" w:hAnsi="Times New Roman"/>
        </w:rPr>
        <w:fldChar w:fldCharType="end"/>
      </w:r>
    </w:p>
    <w:p w:rsidR="00FE360F" w:rsidRDefault="00FE360F">
      <w:pPr>
        <w:pStyle w:val="TOC2"/>
        <w:suppressLineNumbers/>
        <w:tabs>
          <w:tab w:val="left" w:pos="1080"/>
          <w:tab w:val="right" w:leader="dot" w:pos="8990"/>
        </w:tabs>
        <w:ind w:left="504"/>
      </w:pPr>
    </w:p>
    <w:p w:rsidR="00FE360F" w:rsidRPr="00290DA2" w:rsidRDefault="008036CA">
      <w:pPr>
        <w:rPr>
          <w:rFonts w:ascii="Times New Roman" w:hAnsi="Times New Roman"/>
        </w:rPr>
      </w:pPr>
      <w:r w:rsidRPr="008036CA">
        <w:rPr>
          <w:rFonts w:ascii="Times New Roman" w:hAnsi="Times New Roman"/>
        </w:rPr>
        <w:t>Exhibit No.__</w:t>
      </w:r>
      <w:proofErr w:type="gramStart"/>
      <w:r w:rsidRPr="008036CA">
        <w:rPr>
          <w:rFonts w:ascii="Times New Roman" w:hAnsi="Times New Roman"/>
        </w:rPr>
        <w:t>_(</w:t>
      </w:r>
      <w:proofErr w:type="gramEnd"/>
      <w:r w:rsidRPr="008036CA">
        <w:rPr>
          <w:rFonts w:ascii="Times New Roman" w:hAnsi="Times New Roman"/>
        </w:rPr>
        <w:t>AMM-2) – Qualifications of Adrien M. McKenzie</w:t>
      </w:r>
    </w:p>
    <w:p w:rsidR="00FE360F" w:rsidRPr="00290DA2" w:rsidRDefault="008036CA">
      <w:pPr>
        <w:rPr>
          <w:rFonts w:ascii="Times New Roman" w:hAnsi="Times New Roman"/>
        </w:rPr>
      </w:pPr>
      <w:r w:rsidRPr="008036CA">
        <w:rPr>
          <w:rFonts w:ascii="Times New Roman" w:hAnsi="Times New Roman"/>
        </w:rPr>
        <w:t>Exhibit No.__</w:t>
      </w:r>
      <w:proofErr w:type="gramStart"/>
      <w:r w:rsidRPr="008036CA">
        <w:rPr>
          <w:rFonts w:ascii="Times New Roman" w:hAnsi="Times New Roman"/>
        </w:rPr>
        <w:t>_(</w:t>
      </w:r>
      <w:proofErr w:type="gramEnd"/>
      <w:r w:rsidRPr="008036CA">
        <w:rPr>
          <w:rFonts w:ascii="Times New Roman" w:hAnsi="Times New Roman"/>
        </w:rPr>
        <w:t>AMM-3) – Description of Quantitative Analyses</w:t>
      </w:r>
    </w:p>
    <w:p w:rsidR="00156917" w:rsidRPr="00290DA2" w:rsidRDefault="008036CA" w:rsidP="00156917">
      <w:pPr>
        <w:rPr>
          <w:rFonts w:ascii="Times New Roman" w:hAnsi="Times New Roman"/>
        </w:rPr>
      </w:pPr>
      <w:r w:rsidRPr="008036CA">
        <w:rPr>
          <w:rFonts w:ascii="Times New Roman" w:hAnsi="Times New Roman"/>
        </w:rPr>
        <w:t>Exhibit No.__</w:t>
      </w:r>
      <w:proofErr w:type="gramStart"/>
      <w:r w:rsidRPr="008036CA">
        <w:rPr>
          <w:rFonts w:ascii="Times New Roman" w:hAnsi="Times New Roman"/>
        </w:rPr>
        <w:t>_(</w:t>
      </w:r>
      <w:proofErr w:type="gramEnd"/>
      <w:r w:rsidRPr="008036CA">
        <w:rPr>
          <w:rFonts w:ascii="Times New Roman" w:hAnsi="Times New Roman"/>
        </w:rPr>
        <w:t>AMM-4) – ROE Analyses – Summary of Results</w:t>
      </w:r>
    </w:p>
    <w:p w:rsidR="00156917" w:rsidRPr="00290DA2" w:rsidRDefault="008036CA" w:rsidP="00156917">
      <w:pPr>
        <w:rPr>
          <w:rFonts w:ascii="Times New Roman" w:hAnsi="Times New Roman"/>
        </w:rPr>
      </w:pPr>
      <w:r w:rsidRPr="008036CA">
        <w:rPr>
          <w:rFonts w:ascii="Times New Roman" w:hAnsi="Times New Roman"/>
        </w:rPr>
        <w:t>Exhibit No.__</w:t>
      </w:r>
      <w:proofErr w:type="gramStart"/>
      <w:r w:rsidRPr="008036CA">
        <w:rPr>
          <w:rFonts w:ascii="Times New Roman" w:hAnsi="Times New Roman"/>
        </w:rPr>
        <w:t>_(</w:t>
      </w:r>
      <w:proofErr w:type="gramEnd"/>
      <w:r w:rsidRPr="008036CA">
        <w:rPr>
          <w:rFonts w:ascii="Times New Roman" w:hAnsi="Times New Roman"/>
        </w:rPr>
        <w:t>AMM-5) – Capital Structure</w:t>
      </w:r>
    </w:p>
    <w:p w:rsidR="00FE360F" w:rsidRPr="00290DA2" w:rsidRDefault="008036CA">
      <w:pPr>
        <w:rPr>
          <w:rFonts w:ascii="Times New Roman" w:hAnsi="Times New Roman"/>
        </w:rPr>
      </w:pPr>
      <w:r w:rsidRPr="008036CA">
        <w:rPr>
          <w:rFonts w:ascii="Times New Roman" w:hAnsi="Times New Roman"/>
        </w:rPr>
        <w:t>Exhibit No.__</w:t>
      </w:r>
      <w:proofErr w:type="gramStart"/>
      <w:r w:rsidRPr="008036CA">
        <w:rPr>
          <w:rFonts w:ascii="Times New Roman" w:hAnsi="Times New Roman"/>
        </w:rPr>
        <w:t>_(</w:t>
      </w:r>
      <w:proofErr w:type="gramEnd"/>
      <w:r w:rsidRPr="008036CA">
        <w:rPr>
          <w:rFonts w:ascii="Times New Roman" w:hAnsi="Times New Roman"/>
        </w:rPr>
        <w:t>AMM-6) – Constant Growth DCF Model – Utility Group</w:t>
      </w:r>
    </w:p>
    <w:p w:rsidR="00FE360F" w:rsidRPr="00290DA2" w:rsidRDefault="008036CA">
      <w:pPr>
        <w:rPr>
          <w:rFonts w:ascii="Times New Roman" w:hAnsi="Times New Roman"/>
        </w:rPr>
      </w:pPr>
      <w:r w:rsidRPr="008036CA">
        <w:rPr>
          <w:rFonts w:ascii="Times New Roman" w:hAnsi="Times New Roman"/>
        </w:rPr>
        <w:t>Exhibit No.__</w:t>
      </w:r>
      <w:proofErr w:type="gramStart"/>
      <w:r w:rsidRPr="008036CA">
        <w:rPr>
          <w:rFonts w:ascii="Times New Roman" w:hAnsi="Times New Roman"/>
        </w:rPr>
        <w:t>_(</w:t>
      </w:r>
      <w:proofErr w:type="gramEnd"/>
      <w:r w:rsidRPr="008036CA">
        <w:rPr>
          <w:rFonts w:ascii="Times New Roman" w:hAnsi="Times New Roman"/>
        </w:rPr>
        <w:t>AMM-7) – Sustainable Growth Rate – Utility Group</w:t>
      </w:r>
    </w:p>
    <w:p w:rsidR="00240C13" w:rsidRPr="00290DA2" w:rsidRDefault="008036CA" w:rsidP="00240C13">
      <w:pPr>
        <w:rPr>
          <w:rFonts w:ascii="Times New Roman" w:hAnsi="Times New Roman"/>
        </w:rPr>
      </w:pPr>
      <w:r w:rsidRPr="008036CA">
        <w:rPr>
          <w:rFonts w:ascii="Times New Roman" w:hAnsi="Times New Roman"/>
        </w:rPr>
        <w:t>Exhibit No.__</w:t>
      </w:r>
      <w:proofErr w:type="gramStart"/>
      <w:r w:rsidRPr="008036CA">
        <w:rPr>
          <w:rFonts w:ascii="Times New Roman" w:hAnsi="Times New Roman"/>
        </w:rPr>
        <w:t>_(</w:t>
      </w:r>
      <w:proofErr w:type="gramEnd"/>
      <w:r w:rsidRPr="008036CA">
        <w:rPr>
          <w:rFonts w:ascii="Times New Roman" w:hAnsi="Times New Roman"/>
        </w:rPr>
        <w:t>AMM-8) – Empirical Capital Asset Pricing Model</w:t>
      </w:r>
    </w:p>
    <w:p w:rsidR="00240C13" w:rsidRPr="00290DA2" w:rsidRDefault="008036CA" w:rsidP="00240C13">
      <w:pPr>
        <w:rPr>
          <w:rFonts w:ascii="Times New Roman" w:hAnsi="Times New Roman"/>
        </w:rPr>
      </w:pPr>
      <w:r w:rsidRPr="008036CA">
        <w:rPr>
          <w:rFonts w:ascii="Times New Roman" w:hAnsi="Times New Roman"/>
        </w:rPr>
        <w:t>Exhibit No.__</w:t>
      </w:r>
      <w:proofErr w:type="gramStart"/>
      <w:r w:rsidRPr="008036CA">
        <w:rPr>
          <w:rFonts w:ascii="Times New Roman" w:hAnsi="Times New Roman"/>
        </w:rPr>
        <w:t>_(</w:t>
      </w:r>
      <w:proofErr w:type="gramEnd"/>
      <w:r w:rsidRPr="008036CA">
        <w:rPr>
          <w:rFonts w:ascii="Times New Roman" w:hAnsi="Times New Roman"/>
        </w:rPr>
        <w:t>AMM-9) – Electric Utility risk Premium</w:t>
      </w:r>
    </w:p>
    <w:p w:rsidR="00240C13" w:rsidRPr="00290DA2" w:rsidRDefault="008036CA" w:rsidP="00240C13">
      <w:pPr>
        <w:rPr>
          <w:rFonts w:ascii="Times New Roman" w:hAnsi="Times New Roman"/>
        </w:rPr>
      </w:pPr>
      <w:r w:rsidRPr="008036CA">
        <w:rPr>
          <w:rFonts w:ascii="Times New Roman" w:hAnsi="Times New Roman"/>
        </w:rPr>
        <w:t>Exhibit No.__</w:t>
      </w:r>
      <w:proofErr w:type="gramStart"/>
      <w:r w:rsidRPr="008036CA">
        <w:rPr>
          <w:rFonts w:ascii="Times New Roman" w:hAnsi="Times New Roman"/>
        </w:rPr>
        <w:t>_(</w:t>
      </w:r>
      <w:proofErr w:type="gramEnd"/>
      <w:r w:rsidRPr="008036CA">
        <w:rPr>
          <w:rFonts w:ascii="Times New Roman" w:hAnsi="Times New Roman"/>
        </w:rPr>
        <w:t>AMM-10) – Capital Asset Pricing Model</w:t>
      </w:r>
    </w:p>
    <w:p w:rsidR="00240C13" w:rsidRPr="00290DA2" w:rsidRDefault="008036CA" w:rsidP="00240C13">
      <w:pPr>
        <w:rPr>
          <w:rFonts w:ascii="Times New Roman" w:hAnsi="Times New Roman"/>
        </w:rPr>
      </w:pPr>
      <w:r w:rsidRPr="008036CA">
        <w:rPr>
          <w:rFonts w:ascii="Times New Roman" w:hAnsi="Times New Roman"/>
        </w:rPr>
        <w:t>Exhibit No.__</w:t>
      </w:r>
      <w:proofErr w:type="gramStart"/>
      <w:r w:rsidRPr="008036CA">
        <w:rPr>
          <w:rFonts w:ascii="Times New Roman" w:hAnsi="Times New Roman"/>
        </w:rPr>
        <w:t>_(</w:t>
      </w:r>
      <w:proofErr w:type="gramEnd"/>
      <w:r w:rsidRPr="008036CA">
        <w:rPr>
          <w:rFonts w:ascii="Times New Roman" w:hAnsi="Times New Roman"/>
        </w:rPr>
        <w:t>AMM-11) – Expected Earnings Approach</w:t>
      </w:r>
    </w:p>
    <w:p w:rsidR="00FE360F" w:rsidRPr="00290DA2" w:rsidRDefault="008036CA">
      <w:pPr>
        <w:rPr>
          <w:rFonts w:ascii="Times New Roman" w:hAnsi="Times New Roman"/>
        </w:rPr>
      </w:pPr>
      <w:r w:rsidRPr="008036CA">
        <w:rPr>
          <w:rFonts w:ascii="Times New Roman" w:hAnsi="Times New Roman"/>
        </w:rPr>
        <w:t>Exhibit No.__</w:t>
      </w:r>
      <w:proofErr w:type="gramStart"/>
      <w:r w:rsidRPr="008036CA">
        <w:rPr>
          <w:rFonts w:ascii="Times New Roman" w:hAnsi="Times New Roman"/>
        </w:rPr>
        <w:t>_(</w:t>
      </w:r>
      <w:proofErr w:type="gramEnd"/>
      <w:r w:rsidRPr="008036CA">
        <w:rPr>
          <w:rFonts w:ascii="Times New Roman" w:hAnsi="Times New Roman"/>
        </w:rPr>
        <w:t>AMM-12) – Constant Growth DCF Model – Non-Utility Group</w:t>
      </w:r>
    </w:p>
    <w:p w:rsidR="00FE360F" w:rsidRDefault="00FE360F">
      <w:pPr>
        <w:suppressLineNumbers/>
      </w:pPr>
    </w:p>
    <w:p w:rsidR="00FE360F" w:rsidRDefault="00FE360F">
      <w:pPr>
        <w:suppressLineNumbers/>
        <w:sectPr w:rsidR="00FE360F">
          <w:pgSz w:w="12240" w:h="15840" w:code="1"/>
          <w:pgMar w:top="1440" w:right="1440" w:bottom="1800" w:left="1800" w:header="720" w:footer="720" w:gutter="0"/>
          <w:pgNumType w:start="1"/>
          <w:cols w:space="720"/>
        </w:sectPr>
      </w:pPr>
    </w:p>
    <w:p w:rsidR="00CD22CE" w:rsidRPr="00CD22CE" w:rsidRDefault="003C72A1">
      <w:pPr>
        <w:pStyle w:val="Heading1"/>
        <w:rPr>
          <w:u w:val="single"/>
        </w:rPr>
      </w:pPr>
      <w:bookmarkStart w:id="0" w:name="_Toc455330004"/>
      <w:bookmarkStart w:id="1" w:name="_Toc455330082"/>
      <w:bookmarkStart w:id="2" w:name="_Toc473452452"/>
      <w:bookmarkStart w:id="3" w:name="_Toc49155033"/>
      <w:bookmarkStart w:id="4" w:name="_Toc50231723"/>
      <w:bookmarkStart w:id="5" w:name="_Toc292455185"/>
      <w:r w:rsidRPr="00CD22CE">
        <w:rPr>
          <w:u w:val="single"/>
        </w:rPr>
        <w:lastRenderedPageBreak/>
        <w:t>INTRODUCTION</w:t>
      </w:r>
      <w:bookmarkEnd w:id="0"/>
      <w:bookmarkEnd w:id="1"/>
      <w:bookmarkEnd w:id="2"/>
      <w:bookmarkEnd w:id="3"/>
      <w:bookmarkEnd w:id="4"/>
      <w:bookmarkEnd w:id="5"/>
    </w:p>
    <w:p w:rsidR="00FE360F" w:rsidRDefault="003C72A1">
      <w:pPr>
        <w:pStyle w:val="Question0"/>
        <w:spacing w:line="480" w:lineRule="auto"/>
      </w:pPr>
      <w:r>
        <w:t>Q.</w:t>
      </w:r>
      <w:r>
        <w:tab/>
        <w:t>Please state your name and business address.</w:t>
      </w:r>
    </w:p>
    <w:p w:rsidR="00FE360F" w:rsidRDefault="003C72A1">
      <w:pPr>
        <w:pStyle w:val="Answer"/>
      </w:pPr>
      <w:proofErr w:type="gramStart"/>
      <w:r>
        <w:t>A.</w:t>
      </w:r>
      <w:r>
        <w:tab/>
      </w:r>
      <w:r w:rsidR="00285D47">
        <w:t>Adrien M. McKenzie</w:t>
      </w:r>
      <w:r>
        <w:t>, 3907 Red River, Austin, Texas, 78751.</w:t>
      </w:r>
      <w:proofErr w:type="gramEnd"/>
    </w:p>
    <w:p w:rsidR="00FE360F" w:rsidRDefault="003C72A1">
      <w:pPr>
        <w:pStyle w:val="Question0"/>
        <w:spacing w:line="480" w:lineRule="auto"/>
      </w:pPr>
      <w:r>
        <w:t>Q.</w:t>
      </w:r>
      <w:r>
        <w:tab/>
        <w:t>In what capacity are you employed?</w:t>
      </w:r>
    </w:p>
    <w:p w:rsidR="00FE360F" w:rsidRDefault="003C72A1">
      <w:pPr>
        <w:pStyle w:val="Answer"/>
      </w:pPr>
      <w:r>
        <w:t>A.</w:t>
      </w:r>
      <w:r>
        <w:tab/>
        <w:t xml:space="preserve">I am </w:t>
      </w:r>
      <w:r w:rsidR="00285D47">
        <w:t xml:space="preserve">a Vice </w:t>
      </w:r>
      <w:r>
        <w:t>President of FINCAP, Inc., a firm providing financial, economic, and policy consulting services to business and government.</w:t>
      </w:r>
    </w:p>
    <w:p w:rsidR="00FE360F" w:rsidRDefault="003C72A1">
      <w:pPr>
        <w:pStyle w:val="Question0"/>
        <w:spacing w:line="480" w:lineRule="auto"/>
      </w:pPr>
      <w:bookmarkStart w:id="6" w:name="_Toc473452454"/>
      <w:r>
        <w:t>Q.</w:t>
      </w:r>
      <w:r>
        <w:tab/>
        <w:t>Please describ</w:t>
      </w:r>
      <w:bookmarkStart w:id="7" w:name="_GoBack"/>
      <w:bookmarkEnd w:id="7"/>
      <w:r>
        <w:t>e your educational background and professional experience.</w:t>
      </w:r>
    </w:p>
    <w:p w:rsidR="00FE360F" w:rsidRDefault="003C72A1">
      <w:pPr>
        <w:pStyle w:val="Answer"/>
      </w:pPr>
      <w:r>
        <w:t>A.</w:t>
      </w:r>
      <w:r>
        <w:tab/>
        <w:t>A description of my background and qualifications, including a resume containing the details of my experience, is attached as Exhibit No.__</w:t>
      </w:r>
      <w:proofErr w:type="gramStart"/>
      <w:r>
        <w:t>_(</w:t>
      </w:r>
      <w:proofErr w:type="gramEnd"/>
      <w:r w:rsidR="009D0D5E">
        <w:t>AMM-</w:t>
      </w:r>
      <w:r>
        <w:t>2).</w:t>
      </w:r>
    </w:p>
    <w:p w:rsidR="00FE360F" w:rsidRDefault="003C72A1">
      <w:pPr>
        <w:pStyle w:val="Heading2"/>
      </w:pPr>
      <w:bookmarkStart w:id="8" w:name="_Toc49155035"/>
      <w:bookmarkStart w:id="9" w:name="_Toc50231725"/>
      <w:bookmarkStart w:id="10" w:name="_Toc292455186"/>
      <w:r>
        <w:t>Overview</w:t>
      </w:r>
      <w:bookmarkEnd w:id="8"/>
      <w:bookmarkEnd w:id="9"/>
      <w:bookmarkEnd w:id="10"/>
    </w:p>
    <w:p w:rsidR="00FE360F" w:rsidRDefault="003C72A1">
      <w:pPr>
        <w:pStyle w:val="Question0"/>
        <w:spacing w:line="480" w:lineRule="auto"/>
      </w:pPr>
      <w:r>
        <w:t>Q.</w:t>
      </w:r>
      <w:r>
        <w:tab/>
        <w:t>What is the purpose of your testimony in this case?</w:t>
      </w:r>
    </w:p>
    <w:p w:rsidR="00FE360F" w:rsidRDefault="003C72A1">
      <w:pPr>
        <w:pStyle w:val="Answer"/>
      </w:pPr>
      <w:r>
        <w:t>A.</w:t>
      </w:r>
      <w:r>
        <w:tab/>
        <w:t xml:space="preserve">The purpose of my testimony is to present to the Washington Utilities and Transportation Commission (the “Commission” or “WUTC”) my independent evaluation of the fair rate of return on equity (“ROE”) for the jurisdictional electric and gas utility operations of Avista Corp. (“Avista” or “the Company”).  In addition, I also examined the reasonableness of Avista’s capital structure, considering both the specific risks faced by the Company and other industry guidelines.  </w:t>
      </w:r>
    </w:p>
    <w:p w:rsidR="00FE360F" w:rsidRDefault="003C72A1">
      <w:pPr>
        <w:pStyle w:val="Question0"/>
        <w:spacing w:line="480" w:lineRule="auto"/>
      </w:pPr>
      <w:r>
        <w:t>Q.</w:t>
      </w:r>
      <w:r>
        <w:tab/>
        <w:t>Please summarize the information and materials you relied on to support the opinions and conclusions contained in your testimony.</w:t>
      </w:r>
    </w:p>
    <w:p w:rsidR="00FE360F" w:rsidRDefault="003C72A1">
      <w:pPr>
        <w:pStyle w:val="Answer"/>
      </w:pPr>
      <w:r>
        <w:t>A.</w:t>
      </w:r>
      <w:r>
        <w:tab/>
        <w:t xml:space="preserve">To prepare my testimony, I used information from a variety of sources that would normally be relied upon by a person in my capacity.  I am familiar with the </w:t>
      </w:r>
      <w:r>
        <w:lastRenderedPageBreak/>
        <w:t xml:space="preserve">organization, finances, and operations of Avista from my participation in prior proceedings before the WUTC, the Idaho Public Utilities Commission, and the Oregon Public Utility Commission.  In connection with the present filing, I considered and relied upon corporate disclosures, publicly available financial reports and filings, and other published information relating to Avista.  </w:t>
      </w:r>
      <w:r w:rsidR="004260DA">
        <w:t>I also vis</w:t>
      </w:r>
      <w:r w:rsidR="00204778">
        <w:t>i</w:t>
      </w:r>
      <w:r w:rsidR="004260DA">
        <w:t xml:space="preserve">ted </w:t>
      </w:r>
      <w:r w:rsidR="00204778">
        <w:t xml:space="preserve">the Company’s </w:t>
      </w:r>
      <w:r w:rsidR="004260DA">
        <w:t xml:space="preserve">corporate headquarters </w:t>
      </w:r>
      <w:r w:rsidR="00204778">
        <w:t xml:space="preserve">and had discussions with management in order to better familiarize myself with Avista’s utility operations.  </w:t>
      </w:r>
      <w:r w:rsidR="004260DA">
        <w:t xml:space="preserve">My evaluation </w:t>
      </w:r>
      <w:r>
        <w:t xml:space="preserve">also </w:t>
      </w:r>
      <w:r w:rsidR="004260DA">
        <w:t xml:space="preserve">relied upon </w:t>
      </w:r>
      <w:r>
        <w:t xml:space="preserve">information relating to current capital market conditions and specifically to current investor perceptions, requirements, and expectations for </w:t>
      </w:r>
      <w:r w:rsidR="00204778">
        <w:t>electric utilities</w:t>
      </w:r>
      <w:r>
        <w:t>.  These sources, coupled with my experience in the fields of finance and utility regulation, have given me a working knowledge of the issues relevant to investors’ required return for Avista, and they form the basis of my analyses and conclusions.</w:t>
      </w:r>
    </w:p>
    <w:bookmarkEnd w:id="6"/>
    <w:p w:rsidR="00FE360F" w:rsidRDefault="003C72A1">
      <w:pPr>
        <w:pStyle w:val="Question0"/>
        <w:spacing w:line="480" w:lineRule="auto"/>
      </w:pPr>
      <w:r>
        <w:t>Q.</w:t>
      </w:r>
      <w:r>
        <w:tab/>
        <w:t xml:space="preserve">How </w:t>
      </w:r>
      <w:r w:rsidR="005D04F8">
        <w:t>is your testimony organized</w:t>
      </w:r>
      <w:r>
        <w:t>?</w:t>
      </w:r>
    </w:p>
    <w:p w:rsidR="00FE360F" w:rsidRDefault="003C72A1">
      <w:pPr>
        <w:pStyle w:val="Answer"/>
        <w:rPr>
          <w:szCs w:val="26"/>
        </w:rPr>
      </w:pPr>
      <w:r>
        <w:t>A.</w:t>
      </w:r>
      <w:r>
        <w:tab/>
      </w:r>
      <w:r w:rsidR="005D04F8">
        <w:t xml:space="preserve">After first summarizing my conclusions and recommendations, </w:t>
      </w:r>
      <w:r w:rsidR="003539D1">
        <w:t xml:space="preserve">my testimony </w:t>
      </w:r>
      <w:r>
        <w:t>review</w:t>
      </w:r>
      <w:r w:rsidR="003539D1">
        <w:t>s</w:t>
      </w:r>
      <w:r>
        <w:t xml:space="preserve"> the operations and finances of Avista and industry-specific risks and capital market uncertainties perceived by investors.  With this as a background, I </w:t>
      </w:r>
      <w:r w:rsidR="003539D1">
        <w:t xml:space="preserve">present the application of </w:t>
      </w:r>
      <w:r>
        <w:t>well-accepted quantitative analyses to estimate the current cost of equity</w:t>
      </w:r>
      <w:r w:rsidR="005D04F8">
        <w:t xml:space="preserve"> for a reference group of comparable-risk utilities.  These included the discounted cash flow (“DCF”) model, the empirical form of Capital Asset Pricing Model (“ECAPM”), and an equity risk premium approach based on allowed ROEs for electric utilities, which are all methods that are commonly relied on </w:t>
      </w:r>
      <w:r w:rsidR="00E81BA3">
        <w:t>in evaluating investors’ required rate of return</w:t>
      </w:r>
      <w:proofErr w:type="gramStart"/>
      <w:r w:rsidR="00E81BA3">
        <w:t>.</w:t>
      </w:r>
      <w:r w:rsidR="005D04F8">
        <w:t>.</w:t>
      </w:r>
      <w:proofErr w:type="gramEnd"/>
      <w:r w:rsidR="005D04F8">
        <w:t xml:space="preserve">  </w:t>
      </w:r>
      <w:r>
        <w:t xml:space="preserve">Based on the cost of equity estimates indicated by my analyses, the Company’s ROE was evaluated taking into account the specific risks and potential challenges for Avista’s utility operations in </w:t>
      </w:r>
      <w:r>
        <w:lastRenderedPageBreak/>
        <w:t>Washington,</w:t>
      </w:r>
      <w:r>
        <w:rPr>
          <w:szCs w:val="26"/>
        </w:rPr>
        <w:t xml:space="preserve"> as well as other factors (</w:t>
      </w:r>
      <w:r>
        <w:rPr>
          <w:i/>
          <w:szCs w:val="26"/>
        </w:rPr>
        <w:t>e.g.</w:t>
      </w:r>
      <w:r>
        <w:rPr>
          <w:szCs w:val="26"/>
        </w:rPr>
        <w:t>, flotation costs) that are properly considered in setting a fair ROE for the Company.</w:t>
      </w:r>
    </w:p>
    <w:p w:rsidR="005D04F8" w:rsidRDefault="005D04F8">
      <w:pPr>
        <w:pStyle w:val="Answer"/>
      </w:pPr>
      <w:r>
        <w:t xml:space="preserve">Finally, I tested my recommendations for Avista against the results of </w:t>
      </w:r>
      <w:r w:rsidRPr="00687F4A">
        <w:t>alternative</w:t>
      </w:r>
      <w:r>
        <w:t xml:space="preserve"> ROE benchmarks, including reference to applications of the traditional Capital Asset Pricing Model (“CAPM”) and expected rates of return for electric utilities.  Further, I corroborated my utility quantitative analyses by applying the DCF model to a group of low risk non-utility firms.  </w:t>
      </w:r>
    </w:p>
    <w:p w:rsidR="005D04F8" w:rsidRDefault="005D04F8" w:rsidP="005D04F8">
      <w:pPr>
        <w:pStyle w:val="Question0"/>
        <w:spacing w:line="480" w:lineRule="auto"/>
      </w:pPr>
      <w:bookmarkStart w:id="11" w:name="_Toc40849954"/>
      <w:bookmarkStart w:id="12" w:name="_Toc50231726"/>
      <w:bookmarkStart w:id="13" w:name="_Toc292455187"/>
      <w:r>
        <w:t>Q.</w:t>
      </w:r>
      <w:r>
        <w:tab/>
        <w:t>What is the role of the ROE in setting a utility's rates?</w:t>
      </w:r>
    </w:p>
    <w:p w:rsidR="005D04F8" w:rsidRDefault="005D04F8" w:rsidP="005D04F8">
      <w:pPr>
        <w:pStyle w:val="Answer"/>
        <w:rPr>
          <w:rStyle w:val="LineNumber"/>
        </w:rPr>
      </w:pPr>
      <w:r>
        <w:t>A.</w:t>
      </w:r>
      <w:r>
        <w:tab/>
        <w:t xml:space="preserve">The ROE serves to compensate common equity investors for the use of their capital to finance the plant and equipment necessary to provide utility service.  Investors commit capital only if they expect to earn a return on their investment commensurate with returns available from alternative investments with comparable risks.  To be consistent with sound regulatory economics and the standards set forth by the U.S. Supreme Court in the </w:t>
      </w:r>
      <w:r>
        <w:rPr>
          <w:i/>
        </w:rPr>
        <w:t>Bluefield</w:t>
      </w:r>
      <w:r>
        <w:rPr>
          <w:rStyle w:val="FootnoteReference"/>
          <w:spacing w:val="-2"/>
          <w:sz w:val="22"/>
        </w:rPr>
        <w:footnoteReference w:id="2"/>
      </w:r>
      <w:r>
        <w:t xml:space="preserve"> and </w:t>
      </w:r>
      <w:r>
        <w:rPr>
          <w:i/>
        </w:rPr>
        <w:t>Hope</w:t>
      </w:r>
      <w:r>
        <w:rPr>
          <w:rStyle w:val="FootnoteReference"/>
        </w:rPr>
        <w:footnoteReference w:id="3"/>
      </w:r>
      <w:r>
        <w:t xml:space="preserve"> cases, a utility’s allowed ROE should be sufficient to: 1) fairly compensate the utility’s investors, 2) enable the utility to offer a return adequate to attract new capital on reasonable terms, and 3) maintain the utility’s financial integrity.</w:t>
      </w:r>
    </w:p>
    <w:p w:rsidR="00FE360F" w:rsidRDefault="003C72A1">
      <w:pPr>
        <w:pStyle w:val="Heading2"/>
      </w:pPr>
      <w:r>
        <w:t>Summary of Conclusions</w:t>
      </w:r>
      <w:bookmarkEnd w:id="11"/>
      <w:bookmarkEnd w:id="12"/>
      <w:bookmarkEnd w:id="13"/>
    </w:p>
    <w:p w:rsidR="00A3529E" w:rsidRDefault="00A3529E">
      <w:pPr>
        <w:pStyle w:val="Question0"/>
        <w:spacing w:line="480" w:lineRule="auto"/>
      </w:pPr>
      <w:r>
        <w:t>Q.</w:t>
      </w:r>
      <w:r>
        <w:tab/>
        <w:t>Please summarize the results of your analyses.</w:t>
      </w:r>
    </w:p>
    <w:p w:rsidR="00CD22CE" w:rsidRDefault="00A3529E">
      <w:pPr>
        <w:pStyle w:val="Answer"/>
        <w:rPr>
          <w:szCs w:val="26"/>
        </w:rPr>
      </w:pPr>
      <w:r>
        <w:rPr>
          <w:szCs w:val="26"/>
        </w:rPr>
        <w:t>A.</w:t>
      </w:r>
      <w:r>
        <w:rPr>
          <w:szCs w:val="26"/>
        </w:rPr>
        <w:tab/>
        <w:t>The results of my analyses are presented on page 1 of Exhibit No.__</w:t>
      </w:r>
      <w:proofErr w:type="gramStart"/>
      <w:r>
        <w:rPr>
          <w:szCs w:val="26"/>
        </w:rPr>
        <w:t>_(</w:t>
      </w:r>
      <w:proofErr w:type="gramEnd"/>
      <w:r>
        <w:rPr>
          <w:szCs w:val="26"/>
        </w:rPr>
        <w:t>AMM-4), and in Table AMM</w:t>
      </w:r>
      <w:r>
        <w:rPr>
          <w:szCs w:val="26"/>
        </w:rPr>
        <w:noBreakHyphen/>
        <w:t>1, below:</w:t>
      </w:r>
    </w:p>
    <w:p w:rsidR="00A3529E" w:rsidRPr="00B16048" w:rsidRDefault="00CD22CE" w:rsidP="00A3529E">
      <w:pPr>
        <w:pStyle w:val="TableCaption"/>
        <w:spacing w:before="120" w:after="240"/>
        <w:rPr>
          <w:rFonts w:ascii="Times New Roman" w:hAnsi="Times New Roman"/>
          <w:sz w:val="24"/>
          <w:szCs w:val="24"/>
        </w:rPr>
      </w:pPr>
      <w:r w:rsidRPr="00B16048">
        <w:rPr>
          <w:rFonts w:ascii="Times New Roman" w:hAnsi="Times New Roman"/>
          <w:noProof/>
          <w:sz w:val="24"/>
          <w:szCs w:val="24"/>
        </w:rPr>
        <w:lastRenderedPageBreak/>
        <w:drawing>
          <wp:anchor distT="0" distB="0" distL="114300" distR="114300" simplePos="0" relativeHeight="251659264" behindDoc="0" locked="0" layoutInCell="1" allowOverlap="1">
            <wp:simplePos x="0" y="0"/>
            <wp:positionH relativeFrom="column">
              <wp:posOffset>480695</wp:posOffset>
            </wp:positionH>
            <wp:positionV relativeFrom="paragraph">
              <wp:posOffset>472440</wp:posOffset>
            </wp:positionV>
            <wp:extent cx="4445635" cy="49345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635" cy="4934585"/>
                    </a:xfrm>
                    <a:prstGeom prst="rect">
                      <a:avLst/>
                    </a:prstGeom>
                    <a:noFill/>
                    <a:ln>
                      <a:noFill/>
                    </a:ln>
                  </pic:spPr>
                </pic:pic>
              </a:graphicData>
            </a:graphic>
          </wp:anchor>
        </w:drawing>
      </w:r>
      <w:r w:rsidR="00A3529E" w:rsidRPr="00B16048">
        <w:rPr>
          <w:rFonts w:ascii="Times New Roman" w:hAnsi="Times New Roman"/>
          <w:sz w:val="24"/>
          <w:szCs w:val="24"/>
        </w:rPr>
        <w:t>table AMM-1</w:t>
      </w:r>
      <w:r w:rsidR="00A3529E" w:rsidRPr="00B16048">
        <w:rPr>
          <w:rFonts w:ascii="Times New Roman" w:hAnsi="Times New Roman"/>
          <w:sz w:val="24"/>
          <w:szCs w:val="24"/>
        </w:rPr>
        <w:br/>
        <w:t>summary of results</w:t>
      </w:r>
    </w:p>
    <w:p w:rsidR="00CD22CE" w:rsidRDefault="00CD22CE">
      <w:pPr>
        <w:pStyle w:val="Answer"/>
        <w:ind w:firstLine="0"/>
        <w:jc w:val="center"/>
        <w:rPr>
          <w:szCs w:val="26"/>
        </w:rPr>
      </w:pPr>
    </w:p>
    <w:p w:rsidR="00CD22CE" w:rsidRDefault="00CD22CE">
      <w:pPr>
        <w:pStyle w:val="Answer"/>
        <w:ind w:firstLine="0"/>
        <w:jc w:val="center"/>
        <w:rPr>
          <w:szCs w:val="26"/>
        </w:rPr>
      </w:pPr>
    </w:p>
    <w:p w:rsidR="00CD22CE" w:rsidRDefault="00CD22CE">
      <w:pPr>
        <w:pStyle w:val="Answer"/>
        <w:ind w:firstLine="0"/>
        <w:jc w:val="center"/>
        <w:rPr>
          <w:szCs w:val="26"/>
        </w:rPr>
      </w:pPr>
    </w:p>
    <w:p w:rsidR="00CD22CE" w:rsidRDefault="00CD22CE">
      <w:pPr>
        <w:pStyle w:val="Answer"/>
        <w:ind w:firstLine="0"/>
        <w:jc w:val="center"/>
        <w:rPr>
          <w:szCs w:val="26"/>
        </w:rPr>
      </w:pPr>
    </w:p>
    <w:p w:rsidR="00CD22CE" w:rsidRDefault="00CD22CE">
      <w:pPr>
        <w:pStyle w:val="Answer"/>
        <w:ind w:firstLine="0"/>
        <w:jc w:val="center"/>
        <w:rPr>
          <w:szCs w:val="26"/>
        </w:rPr>
      </w:pPr>
    </w:p>
    <w:p w:rsidR="00CD22CE" w:rsidRDefault="00CD22CE">
      <w:pPr>
        <w:pStyle w:val="Answer"/>
        <w:ind w:firstLine="0"/>
        <w:jc w:val="center"/>
        <w:rPr>
          <w:szCs w:val="26"/>
        </w:rPr>
      </w:pPr>
    </w:p>
    <w:p w:rsidR="00CD22CE" w:rsidRDefault="00CD22CE">
      <w:pPr>
        <w:pStyle w:val="Answer"/>
        <w:ind w:firstLine="0"/>
        <w:jc w:val="center"/>
        <w:rPr>
          <w:szCs w:val="26"/>
        </w:rPr>
      </w:pPr>
    </w:p>
    <w:p w:rsidR="00CD22CE" w:rsidRDefault="00CD22CE">
      <w:pPr>
        <w:pStyle w:val="Answer"/>
        <w:ind w:firstLine="0"/>
        <w:jc w:val="center"/>
        <w:rPr>
          <w:szCs w:val="26"/>
        </w:rPr>
      </w:pPr>
    </w:p>
    <w:p w:rsidR="00CD22CE" w:rsidRDefault="00CD22CE">
      <w:pPr>
        <w:pStyle w:val="Answer"/>
        <w:ind w:firstLine="0"/>
        <w:jc w:val="center"/>
        <w:rPr>
          <w:szCs w:val="26"/>
        </w:rPr>
      </w:pPr>
    </w:p>
    <w:p w:rsidR="00CD22CE" w:rsidRDefault="00CD22CE">
      <w:pPr>
        <w:pStyle w:val="Answer"/>
        <w:ind w:firstLine="0"/>
        <w:jc w:val="center"/>
        <w:rPr>
          <w:szCs w:val="26"/>
        </w:rPr>
      </w:pPr>
    </w:p>
    <w:p w:rsidR="00CD22CE" w:rsidRDefault="00CD22CE">
      <w:pPr>
        <w:pStyle w:val="Answer"/>
        <w:ind w:firstLine="0"/>
        <w:jc w:val="center"/>
        <w:rPr>
          <w:szCs w:val="26"/>
        </w:rPr>
      </w:pPr>
    </w:p>
    <w:p w:rsidR="00CD22CE" w:rsidRDefault="00CD22CE">
      <w:pPr>
        <w:pStyle w:val="Answer"/>
        <w:ind w:firstLine="0"/>
        <w:jc w:val="center"/>
        <w:rPr>
          <w:szCs w:val="26"/>
        </w:rPr>
      </w:pPr>
    </w:p>
    <w:p w:rsidR="00CD22CE" w:rsidRDefault="00CD22CE">
      <w:pPr>
        <w:pStyle w:val="Answer"/>
        <w:ind w:firstLine="0"/>
        <w:jc w:val="center"/>
        <w:rPr>
          <w:szCs w:val="26"/>
        </w:rPr>
      </w:pPr>
    </w:p>
    <w:p w:rsidR="00CD22CE" w:rsidRDefault="00CD22CE">
      <w:pPr>
        <w:pStyle w:val="Answer"/>
        <w:ind w:firstLine="0"/>
        <w:jc w:val="center"/>
        <w:rPr>
          <w:szCs w:val="26"/>
        </w:rPr>
      </w:pPr>
    </w:p>
    <w:p w:rsidR="00CD22CE" w:rsidRDefault="00CD22CE">
      <w:pPr>
        <w:pStyle w:val="Answer"/>
        <w:ind w:firstLine="0"/>
        <w:jc w:val="center"/>
        <w:rPr>
          <w:szCs w:val="26"/>
        </w:rPr>
      </w:pPr>
    </w:p>
    <w:p w:rsidR="00FE360F" w:rsidRDefault="003C72A1">
      <w:pPr>
        <w:pStyle w:val="Question0"/>
        <w:spacing w:line="480" w:lineRule="auto"/>
      </w:pPr>
      <w:r>
        <w:t>Q.</w:t>
      </w:r>
      <w:r>
        <w:tab/>
        <w:t>What are your findings regarding the 10.</w:t>
      </w:r>
      <w:r w:rsidR="005F7F20">
        <w:t>1</w:t>
      </w:r>
      <w:r>
        <w:t xml:space="preserve"> percent ROE requested by Avista?</w:t>
      </w:r>
    </w:p>
    <w:p w:rsidR="00FE360F" w:rsidRDefault="003C72A1">
      <w:pPr>
        <w:pStyle w:val="Answer"/>
        <w:rPr>
          <w:szCs w:val="26"/>
        </w:rPr>
      </w:pPr>
      <w:r>
        <w:rPr>
          <w:szCs w:val="26"/>
        </w:rPr>
        <w:t>A.</w:t>
      </w:r>
      <w:r>
        <w:rPr>
          <w:szCs w:val="26"/>
        </w:rPr>
        <w:tab/>
        <w:t>Based on the results of my analyses and the economic requirements necessary to support continuous access to capital under reasonable terms, I determined that 10.</w:t>
      </w:r>
      <w:r w:rsidR="005F7F20">
        <w:rPr>
          <w:szCs w:val="26"/>
        </w:rPr>
        <w:t>1</w:t>
      </w:r>
      <w:r>
        <w:rPr>
          <w:szCs w:val="26"/>
        </w:rPr>
        <w:t xml:space="preserve"> percent is a fair and reasonable estimate of investors’ required ROE for Avista. </w:t>
      </w:r>
      <w:r>
        <w:rPr>
          <w:iCs/>
          <w:szCs w:val="26"/>
        </w:rPr>
        <w:t xml:space="preserve"> </w:t>
      </w:r>
      <w:r w:rsidR="0035481B">
        <w:rPr>
          <w:szCs w:val="26"/>
        </w:rPr>
        <w:t xml:space="preserve">The </w:t>
      </w:r>
      <w:r>
        <w:rPr>
          <w:szCs w:val="26"/>
        </w:rPr>
        <w:t xml:space="preserve">bases for my conclusion </w:t>
      </w:r>
      <w:r w:rsidR="0035481B">
        <w:rPr>
          <w:szCs w:val="26"/>
        </w:rPr>
        <w:t xml:space="preserve">are </w:t>
      </w:r>
      <w:r>
        <w:rPr>
          <w:szCs w:val="26"/>
        </w:rPr>
        <w:t>summarized below:</w:t>
      </w:r>
    </w:p>
    <w:p w:rsidR="00FE360F" w:rsidRPr="00B16048" w:rsidRDefault="008036CA">
      <w:pPr>
        <w:numPr>
          <w:ilvl w:val="0"/>
          <w:numId w:val="15"/>
        </w:numPr>
        <w:autoSpaceDE w:val="0"/>
        <w:autoSpaceDN w:val="0"/>
        <w:spacing w:before="120" w:after="120"/>
        <w:ind w:left="1080"/>
        <w:jc w:val="both"/>
        <w:rPr>
          <w:rFonts w:ascii="Times New Roman" w:hAnsi="Times New Roman"/>
          <w:szCs w:val="24"/>
        </w:rPr>
      </w:pPr>
      <w:r w:rsidRPr="00B16048">
        <w:rPr>
          <w:rFonts w:ascii="Times New Roman" w:hAnsi="Times New Roman"/>
          <w:szCs w:val="24"/>
        </w:rPr>
        <w:lastRenderedPageBreak/>
        <w:t>In order to reflect the risks and prospects associated with Avista’s jurisdictional utility operations, my analyses focused on a proxy group of 25 other utilities with comparable investment risks.</w:t>
      </w:r>
    </w:p>
    <w:p w:rsidR="00FE360F" w:rsidRPr="00B16048" w:rsidRDefault="008036CA">
      <w:pPr>
        <w:numPr>
          <w:ilvl w:val="0"/>
          <w:numId w:val="15"/>
        </w:numPr>
        <w:autoSpaceDE w:val="0"/>
        <w:autoSpaceDN w:val="0"/>
        <w:spacing w:before="120" w:after="120"/>
        <w:ind w:left="1080"/>
        <w:jc w:val="both"/>
        <w:rPr>
          <w:rFonts w:ascii="Times New Roman" w:hAnsi="Times New Roman"/>
          <w:szCs w:val="24"/>
        </w:rPr>
      </w:pPr>
      <w:r w:rsidRPr="00B16048">
        <w:rPr>
          <w:rFonts w:ascii="Times New Roman" w:hAnsi="Times New Roman"/>
          <w:szCs w:val="24"/>
        </w:rPr>
        <w:t>Because investors’ required return on equity is unobservable and no single method should be viewed in isolation, I applied the DCF, ECAPM, and risk premium methods to estimate a fair ROE for Avista;</w:t>
      </w:r>
    </w:p>
    <w:p w:rsidR="00FE360F" w:rsidRPr="00B16048" w:rsidRDefault="008036CA">
      <w:pPr>
        <w:numPr>
          <w:ilvl w:val="0"/>
          <w:numId w:val="15"/>
        </w:numPr>
        <w:autoSpaceDE w:val="0"/>
        <w:autoSpaceDN w:val="0"/>
        <w:spacing w:before="120" w:after="120"/>
        <w:ind w:left="1080"/>
        <w:jc w:val="both"/>
        <w:rPr>
          <w:rFonts w:ascii="Times New Roman" w:hAnsi="Times New Roman"/>
          <w:szCs w:val="24"/>
        </w:rPr>
      </w:pPr>
      <w:r w:rsidRPr="00B16048">
        <w:rPr>
          <w:rFonts w:ascii="Times New Roman" w:hAnsi="Times New Roman"/>
          <w:szCs w:val="24"/>
        </w:rPr>
        <w:t xml:space="preserve">Based on the results of these analyses, and giving less weight to extremes at the high and low ends of the range, I concluded that the cost of equity for the proxy group of utilities is in the </w:t>
      </w:r>
      <w:r w:rsidRPr="00B16048">
        <w:rPr>
          <w:rFonts w:ascii="Times New Roman" w:hAnsi="Times New Roman"/>
          <w:b/>
          <w:bCs/>
          <w:szCs w:val="24"/>
        </w:rPr>
        <w:t>9.5 percent to 11.0 percent</w:t>
      </w:r>
      <w:r w:rsidRPr="00B16048">
        <w:rPr>
          <w:rFonts w:ascii="Times New Roman" w:hAnsi="Times New Roman"/>
          <w:szCs w:val="24"/>
        </w:rPr>
        <w:t xml:space="preserve"> range, or </w:t>
      </w:r>
      <w:r w:rsidRPr="00B16048">
        <w:rPr>
          <w:rFonts w:ascii="Times New Roman" w:hAnsi="Times New Roman"/>
          <w:b/>
          <w:bCs/>
          <w:szCs w:val="24"/>
        </w:rPr>
        <w:t>9.65 percent to 11.15 percent</w:t>
      </w:r>
      <w:r w:rsidRPr="00B16048">
        <w:rPr>
          <w:rFonts w:ascii="Times New Roman" w:hAnsi="Times New Roman"/>
          <w:szCs w:val="24"/>
        </w:rPr>
        <w:t xml:space="preserve"> after incorporating an adjustment to account for the impact of common equity flotation costs; and,</w:t>
      </w:r>
    </w:p>
    <w:p w:rsidR="00CD22CE" w:rsidRPr="00B16048" w:rsidRDefault="008036CA">
      <w:pPr>
        <w:numPr>
          <w:ilvl w:val="0"/>
          <w:numId w:val="15"/>
        </w:numPr>
        <w:autoSpaceDE w:val="0"/>
        <w:autoSpaceDN w:val="0"/>
        <w:spacing w:before="120" w:after="240"/>
        <w:ind w:left="1080"/>
        <w:jc w:val="both"/>
        <w:rPr>
          <w:rFonts w:ascii="Times New Roman" w:hAnsi="Times New Roman"/>
          <w:szCs w:val="24"/>
        </w:rPr>
      </w:pPr>
      <w:r w:rsidRPr="00B16048">
        <w:rPr>
          <w:rFonts w:ascii="Times New Roman" w:hAnsi="Times New Roman"/>
          <w:iCs/>
          <w:szCs w:val="24"/>
        </w:rPr>
        <w:t xml:space="preserve">As reflected in the testimony of </w:t>
      </w:r>
      <w:r w:rsidRPr="00B16048">
        <w:rPr>
          <w:rFonts w:ascii="Times New Roman" w:hAnsi="Times New Roman"/>
          <w:szCs w:val="24"/>
        </w:rPr>
        <w:t>Mark</w:t>
      </w:r>
      <w:r w:rsidRPr="00B16048">
        <w:rPr>
          <w:rFonts w:ascii="Times New Roman" w:hAnsi="Times New Roman"/>
          <w:iCs/>
          <w:szCs w:val="24"/>
        </w:rPr>
        <w:t xml:space="preserve"> T. Thies, Avista is requesting a fair ROE of </w:t>
      </w:r>
      <w:r w:rsidRPr="00B16048">
        <w:rPr>
          <w:rFonts w:ascii="Times New Roman" w:hAnsi="Times New Roman"/>
          <w:b/>
          <w:iCs/>
          <w:szCs w:val="24"/>
        </w:rPr>
        <w:t xml:space="preserve">10.1 </w:t>
      </w:r>
      <w:r w:rsidRPr="00B16048">
        <w:rPr>
          <w:rFonts w:ascii="Times New Roman" w:hAnsi="Times New Roman"/>
          <w:b/>
          <w:szCs w:val="24"/>
        </w:rPr>
        <w:t>percent</w:t>
      </w:r>
      <w:r w:rsidRPr="00B16048">
        <w:rPr>
          <w:rFonts w:ascii="Times New Roman" w:hAnsi="Times New Roman"/>
          <w:iCs/>
          <w:szCs w:val="24"/>
        </w:rPr>
        <w:t xml:space="preserve">, which falls below the </w:t>
      </w:r>
      <w:r w:rsidRPr="00B16048">
        <w:rPr>
          <w:rFonts w:ascii="Times New Roman" w:hAnsi="Times New Roman"/>
          <w:b/>
          <w:iCs/>
          <w:szCs w:val="24"/>
        </w:rPr>
        <w:t>10.4 percent</w:t>
      </w:r>
      <w:r w:rsidRPr="00B16048">
        <w:rPr>
          <w:rFonts w:ascii="Times New Roman" w:hAnsi="Times New Roman"/>
          <w:iCs/>
          <w:szCs w:val="24"/>
        </w:rPr>
        <w:t xml:space="preserve"> midpoint of my recommended range.  </w:t>
      </w:r>
      <w:r w:rsidRPr="00B16048">
        <w:rPr>
          <w:rFonts w:ascii="Times New Roman" w:hAnsi="Times New Roman"/>
          <w:szCs w:val="24"/>
        </w:rPr>
        <w:t>Considering capital market expectations, the exposures faced by Avista, and the economic requirements necessary to maintain financial integrity and support additional capital investment even under adverse circumstances, it is my opinion that 10.1 percent represents a conservative ROE for Avista.</w:t>
      </w:r>
    </w:p>
    <w:p w:rsidR="00FE360F" w:rsidRDefault="003C72A1">
      <w:pPr>
        <w:pStyle w:val="Question0"/>
      </w:pPr>
      <w:r>
        <w:t>Q.</w:t>
      </w:r>
      <w:r>
        <w:tab/>
        <w:t>What other evidence did you consider in evaluating your ROE recommendation in this case?</w:t>
      </w:r>
    </w:p>
    <w:p w:rsidR="00FE360F" w:rsidRDefault="003C72A1">
      <w:pPr>
        <w:pStyle w:val="Answer"/>
        <w:rPr>
          <w:szCs w:val="26"/>
        </w:rPr>
      </w:pPr>
      <w:r>
        <w:rPr>
          <w:szCs w:val="26"/>
        </w:rPr>
        <w:t>A.</w:t>
      </w:r>
      <w:r>
        <w:rPr>
          <w:szCs w:val="26"/>
        </w:rPr>
        <w:tab/>
        <w:t>My recommendation is reinforced by the following findings:</w:t>
      </w:r>
    </w:p>
    <w:p w:rsidR="00FE360F" w:rsidRPr="00265142" w:rsidRDefault="008036CA" w:rsidP="00E74DD3">
      <w:pPr>
        <w:numPr>
          <w:ilvl w:val="0"/>
          <w:numId w:val="15"/>
        </w:numPr>
        <w:autoSpaceDE w:val="0"/>
        <w:autoSpaceDN w:val="0"/>
        <w:spacing w:after="120"/>
        <w:ind w:left="1080"/>
        <w:jc w:val="both"/>
        <w:rPr>
          <w:rFonts w:ascii="Times New Roman" w:hAnsi="Times New Roman"/>
          <w:iCs/>
          <w:szCs w:val="26"/>
        </w:rPr>
      </w:pPr>
      <w:r w:rsidRPr="008036CA">
        <w:rPr>
          <w:rFonts w:ascii="Times New Roman" w:hAnsi="Times New Roman"/>
        </w:rPr>
        <w:t xml:space="preserve">The reasonableness of a 10.1 percent ROE for Avista is supported by the need to consider the challenges to the Company’s credit standing: </w:t>
      </w:r>
    </w:p>
    <w:p w:rsidR="00FE360F" w:rsidRPr="00265142" w:rsidRDefault="008036CA">
      <w:pPr>
        <w:numPr>
          <w:ilvl w:val="1"/>
          <w:numId w:val="12"/>
        </w:numPr>
        <w:tabs>
          <w:tab w:val="left" w:pos="720"/>
        </w:tabs>
        <w:spacing w:after="60"/>
        <w:ind w:right="-187"/>
        <w:jc w:val="both"/>
        <w:rPr>
          <w:rFonts w:ascii="Times New Roman" w:hAnsi="Times New Roman"/>
          <w:iCs/>
          <w:szCs w:val="26"/>
        </w:rPr>
      </w:pPr>
      <w:r w:rsidRPr="008036CA">
        <w:rPr>
          <w:rFonts w:ascii="Times New Roman" w:hAnsi="Times New Roman"/>
        </w:rPr>
        <w:t>The pressure of funding significant capital expenditures of $6</w:t>
      </w:r>
      <w:r w:rsidR="00D10E10">
        <w:rPr>
          <w:rFonts w:ascii="Times New Roman" w:hAnsi="Times New Roman"/>
        </w:rPr>
        <w:t>86</w:t>
      </w:r>
      <w:r w:rsidRPr="008036CA">
        <w:rPr>
          <w:rFonts w:ascii="Times New Roman" w:hAnsi="Times New Roman"/>
        </w:rPr>
        <w:t xml:space="preserve"> million planned for 2014-2015, and $1.7 billion over the next five years heighten the uncertainties associated with Avista.  </w:t>
      </w:r>
    </w:p>
    <w:p w:rsidR="00FE360F" w:rsidRPr="00265142" w:rsidRDefault="008036CA">
      <w:pPr>
        <w:numPr>
          <w:ilvl w:val="1"/>
          <w:numId w:val="12"/>
        </w:numPr>
        <w:tabs>
          <w:tab w:val="left" w:pos="720"/>
        </w:tabs>
        <w:spacing w:after="60"/>
        <w:ind w:right="-187"/>
        <w:jc w:val="both"/>
        <w:rPr>
          <w:rFonts w:ascii="Times New Roman" w:hAnsi="Times New Roman"/>
        </w:rPr>
      </w:pPr>
      <w:r w:rsidRPr="008036CA">
        <w:rPr>
          <w:rFonts w:ascii="Times New Roman" w:hAnsi="Times New Roman"/>
        </w:rPr>
        <w:t xml:space="preserve">Because of Avista’s reliance on hydroelectric </w:t>
      </w:r>
      <w:r w:rsidRPr="008036CA">
        <w:rPr>
          <w:rFonts w:ascii="Times New Roman" w:hAnsi="Times New Roman"/>
          <w:iCs/>
          <w:szCs w:val="26"/>
        </w:rPr>
        <w:t>generation and increasing dependence on natural gas fueled capacity</w:t>
      </w:r>
      <w:r w:rsidRPr="008036CA">
        <w:rPr>
          <w:rFonts w:ascii="Times New Roman" w:hAnsi="Times New Roman"/>
        </w:rPr>
        <w:t xml:space="preserve">, the Company is exposed to relatively greater risks of power cost volatility, even with the Energy Recovery Mechanism (“ERM”); </w:t>
      </w:r>
    </w:p>
    <w:p w:rsidR="00FE360F" w:rsidRPr="00265142" w:rsidRDefault="008036CA">
      <w:pPr>
        <w:numPr>
          <w:ilvl w:val="1"/>
          <w:numId w:val="12"/>
        </w:numPr>
        <w:tabs>
          <w:tab w:val="left" w:pos="720"/>
        </w:tabs>
        <w:spacing w:after="60"/>
        <w:ind w:right="-187"/>
        <w:jc w:val="both"/>
        <w:rPr>
          <w:rFonts w:ascii="Times New Roman" w:hAnsi="Times New Roman"/>
        </w:rPr>
      </w:pPr>
      <w:r w:rsidRPr="008036CA">
        <w:rPr>
          <w:rFonts w:ascii="Times New Roman" w:hAnsi="Times New Roman"/>
        </w:rPr>
        <w:t xml:space="preserve">Prior to 2013, Avista had </w:t>
      </w:r>
      <w:r w:rsidRPr="008036CA">
        <w:rPr>
          <w:rFonts w:ascii="Times New Roman" w:hAnsi="Times New Roman"/>
          <w:iCs/>
          <w:szCs w:val="26"/>
        </w:rPr>
        <w:t>been</w:t>
      </w:r>
      <w:r w:rsidRPr="008036CA">
        <w:rPr>
          <w:rFonts w:ascii="Times New Roman" w:hAnsi="Times New Roman"/>
        </w:rPr>
        <w:t xml:space="preserve"> chronically unable to earn its allowed ROE due to the impact of attrition and regulatory lag.  Avista’s opportunity to actually earn a fair ROE and mitigate exposure to attrition is an important objective; </w:t>
      </w:r>
    </w:p>
    <w:p w:rsidR="00E74DD3" w:rsidRPr="00265142" w:rsidRDefault="008036CA" w:rsidP="00E74DD3">
      <w:pPr>
        <w:numPr>
          <w:ilvl w:val="1"/>
          <w:numId w:val="12"/>
        </w:numPr>
        <w:tabs>
          <w:tab w:val="left" w:pos="720"/>
        </w:tabs>
        <w:spacing w:after="60"/>
        <w:ind w:right="-187"/>
        <w:jc w:val="both"/>
        <w:rPr>
          <w:rFonts w:ascii="Times New Roman" w:hAnsi="Times New Roman"/>
          <w:iCs/>
          <w:szCs w:val="24"/>
        </w:rPr>
      </w:pPr>
      <w:r w:rsidRPr="008036CA">
        <w:rPr>
          <w:rFonts w:ascii="Times New Roman" w:hAnsi="Times New Roman"/>
          <w:szCs w:val="24"/>
        </w:rPr>
        <w:t xml:space="preserve">Widespread expectations for higher interest rates </w:t>
      </w:r>
      <w:r w:rsidRPr="008036CA">
        <w:rPr>
          <w:rFonts w:ascii="Times New Roman" w:hAnsi="Times New Roman"/>
        </w:rPr>
        <w:t>emphasize</w:t>
      </w:r>
      <w:r w:rsidRPr="008036CA">
        <w:rPr>
          <w:rFonts w:ascii="Times New Roman" w:hAnsi="Times New Roman"/>
          <w:szCs w:val="24"/>
        </w:rPr>
        <w:t xml:space="preserve"> the implication of considering the impact of projected bond yields in evaluating </w:t>
      </w:r>
      <w:r w:rsidRPr="008036CA">
        <w:rPr>
          <w:rFonts w:ascii="Times New Roman" w:hAnsi="Times New Roman"/>
          <w:iCs/>
          <w:szCs w:val="26"/>
        </w:rPr>
        <w:t>the</w:t>
      </w:r>
      <w:r w:rsidRPr="008036CA">
        <w:rPr>
          <w:rFonts w:ascii="Times New Roman" w:hAnsi="Times New Roman"/>
          <w:szCs w:val="24"/>
        </w:rPr>
        <w:t xml:space="preserve"> results of the ECAPM and risk premium methods; and,</w:t>
      </w:r>
    </w:p>
    <w:p w:rsidR="00FE360F" w:rsidRPr="00265142" w:rsidRDefault="008036CA" w:rsidP="00E74DD3">
      <w:pPr>
        <w:numPr>
          <w:ilvl w:val="1"/>
          <w:numId w:val="12"/>
        </w:numPr>
        <w:tabs>
          <w:tab w:val="left" w:pos="720"/>
        </w:tabs>
        <w:spacing w:after="60"/>
        <w:ind w:right="-187"/>
        <w:jc w:val="both"/>
        <w:rPr>
          <w:rFonts w:ascii="Times New Roman" w:hAnsi="Times New Roman"/>
          <w:iCs/>
          <w:szCs w:val="26"/>
        </w:rPr>
      </w:pPr>
      <w:r w:rsidRPr="008036CA">
        <w:rPr>
          <w:rFonts w:ascii="Times New Roman" w:hAnsi="Times New Roman"/>
        </w:rPr>
        <w:t>My conclusion that a 10.1 percent ROE for Avista is a reasonable estimate of investors’ required return is also reinforced by the greater uncertainties associated with Avista’s relatively small size.</w:t>
      </w:r>
    </w:p>
    <w:p w:rsidR="00FE360F" w:rsidRPr="00265142" w:rsidRDefault="008036CA">
      <w:pPr>
        <w:numPr>
          <w:ilvl w:val="0"/>
          <w:numId w:val="15"/>
        </w:numPr>
        <w:autoSpaceDE w:val="0"/>
        <w:autoSpaceDN w:val="0"/>
        <w:spacing w:before="120" w:after="120"/>
        <w:ind w:left="1080"/>
        <w:jc w:val="both"/>
        <w:rPr>
          <w:rFonts w:ascii="Times New Roman" w:hAnsi="Times New Roman"/>
        </w:rPr>
      </w:pPr>
      <w:r w:rsidRPr="008036CA">
        <w:rPr>
          <w:rFonts w:ascii="Times New Roman" w:hAnsi="Times New Roman"/>
        </w:rPr>
        <w:lastRenderedPageBreak/>
        <w:t xml:space="preserve">Sensitivity to financial market and regulatory uncertainties has increased dramatically and investors recognize that constructive regulation is a key ingredient in supporting utility credit standing and financial integrity; </w:t>
      </w:r>
    </w:p>
    <w:p w:rsidR="00FE360F" w:rsidRPr="00265142" w:rsidRDefault="008036CA">
      <w:pPr>
        <w:numPr>
          <w:ilvl w:val="0"/>
          <w:numId w:val="15"/>
        </w:numPr>
        <w:autoSpaceDE w:val="0"/>
        <w:autoSpaceDN w:val="0"/>
        <w:spacing w:before="120" w:after="120"/>
        <w:ind w:left="1080"/>
        <w:jc w:val="both"/>
        <w:rPr>
          <w:rFonts w:ascii="Times New Roman" w:hAnsi="Times New Roman"/>
        </w:rPr>
      </w:pPr>
      <w:r w:rsidRPr="008036CA">
        <w:rPr>
          <w:rFonts w:ascii="Times New Roman" w:hAnsi="Times New Roman"/>
        </w:rPr>
        <w:t>Providing Avista with the opportunity to earn a return that reflects these realities is an essential ingredient to support the Company’s financial position, which ultimately benefits customers by ensuring reliable service at lower long-run costs</w:t>
      </w:r>
      <w:r w:rsidR="00265142">
        <w:rPr>
          <w:rFonts w:ascii="Times New Roman" w:hAnsi="Times New Roman"/>
        </w:rPr>
        <w:t>;</w:t>
      </w:r>
    </w:p>
    <w:p w:rsidR="00CD22CE" w:rsidRDefault="008036CA">
      <w:pPr>
        <w:numPr>
          <w:ilvl w:val="0"/>
          <w:numId w:val="15"/>
        </w:numPr>
        <w:autoSpaceDE w:val="0"/>
        <w:autoSpaceDN w:val="0"/>
        <w:spacing w:before="120" w:after="240"/>
        <w:ind w:left="1080"/>
        <w:jc w:val="both"/>
        <w:rPr>
          <w:rFonts w:ascii="Times New Roman" w:hAnsi="Times New Roman"/>
        </w:rPr>
      </w:pPr>
      <w:r w:rsidRPr="008036CA">
        <w:rPr>
          <w:rFonts w:ascii="Times New Roman" w:hAnsi="Times New Roman"/>
        </w:rPr>
        <w:t>Continued support for Avista’s financial integrity, including a reasonable ROE, is imperative to ensure that the Company has the capability to maintain or enhance its credit standing while confronting potential challenges associated with funding infrastructure development necessary to meet the needs of its customers.</w:t>
      </w:r>
    </w:p>
    <w:p w:rsidR="00CD22CE" w:rsidRDefault="008036CA">
      <w:pPr>
        <w:pStyle w:val="Answer"/>
        <w:ind w:firstLine="0"/>
        <w:rPr>
          <w:szCs w:val="24"/>
        </w:rPr>
      </w:pPr>
      <w:r w:rsidRPr="008036CA">
        <w:rPr>
          <w:szCs w:val="24"/>
        </w:rPr>
        <w:t xml:space="preserve">These </w:t>
      </w:r>
      <w:r w:rsidR="00265142">
        <w:rPr>
          <w:szCs w:val="24"/>
        </w:rPr>
        <w:t>findings</w:t>
      </w:r>
      <w:r w:rsidRPr="008036CA">
        <w:rPr>
          <w:szCs w:val="24"/>
        </w:rPr>
        <w:t xml:space="preserve"> indicate that the 10.1 percent ROE requested by Avista is reasonable and </w:t>
      </w:r>
      <w:r w:rsidRPr="008036CA">
        <w:t>should</w:t>
      </w:r>
      <w:r w:rsidRPr="008036CA">
        <w:rPr>
          <w:szCs w:val="24"/>
        </w:rPr>
        <w:t xml:space="preserve"> be approved:</w:t>
      </w:r>
    </w:p>
    <w:p w:rsidR="00E74DD3" w:rsidRDefault="00E74DD3" w:rsidP="00E74DD3">
      <w:pPr>
        <w:pStyle w:val="Question0"/>
        <w:spacing w:line="480" w:lineRule="auto"/>
      </w:pPr>
      <w:r>
        <w:t>Q.</w:t>
      </w:r>
      <w:r>
        <w:tab/>
        <w:t xml:space="preserve">What did the </w:t>
      </w:r>
      <w:r w:rsidRPr="00E83368">
        <w:rPr>
          <w:szCs w:val="24"/>
        </w:rPr>
        <w:t>results</w:t>
      </w:r>
      <w:r>
        <w:t xml:space="preserve"> of alternative ROE benchmarks indicate with respect to your evaluation?</w:t>
      </w:r>
    </w:p>
    <w:p w:rsidR="003F641D" w:rsidRDefault="00E74DD3" w:rsidP="00E74DD3">
      <w:pPr>
        <w:pStyle w:val="Answer"/>
        <w:rPr>
          <w:iCs/>
        </w:rPr>
      </w:pPr>
      <w:r>
        <w:t>A.</w:t>
      </w:r>
      <w:r>
        <w:tab/>
        <w:t xml:space="preserve">The results of alternative ROE </w:t>
      </w:r>
      <w:r>
        <w:rPr>
          <w:iCs/>
        </w:rPr>
        <w:t>benchmarks</w:t>
      </w:r>
      <w:r w:rsidR="003F641D">
        <w:rPr>
          <w:iCs/>
        </w:rPr>
        <w:t xml:space="preserve"> </w:t>
      </w:r>
      <w:r>
        <w:rPr>
          <w:iCs/>
        </w:rPr>
        <w:t>are presented on page 2 of Exhibit No.__</w:t>
      </w:r>
      <w:proofErr w:type="gramStart"/>
      <w:r>
        <w:rPr>
          <w:iCs/>
        </w:rPr>
        <w:t>_(</w:t>
      </w:r>
      <w:proofErr w:type="gramEnd"/>
      <w:r>
        <w:rPr>
          <w:iCs/>
        </w:rPr>
        <w:t xml:space="preserve">AMM-4), </w:t>
      </w:r>
      <w:r w:rsidR="003F641D">
        <w:rPr>
          <w:iCs/>
        </w:rPr>
        <w:t>and in Table AMM-2, below:</w:t>
      </w:r>
    </w:p>
    <w:p w:rsidR="003F641D" w:rsidRDefault="00CD22CE" w:rsidP="003F641D">
      <w:pPr>
        <w:pStyle w:val="TableCaption"/>
        <w:spacing w:before="120" w:after="240"/>
        <w:rPr>
          <w:rFonts w:ascii="Palatino Linotype" w:hAnsi="Palatino Linotype"/>
        </w:rPr>
      </w:pPr>
      <w:r>
        <w:rPr>
          <w:rFonts w:ascii="Palatino Linotype" w:hAnsi="Palatino Linotype"/>
          <w:noProof/>
        </w:rPr>
        <w:drawing>
          <wp:anchor distT="0" distB="0" distL="114300" distR="114300" simplePos="0" relativeHeight="251658240" behindDoc="0" locked="0" layoutInCell="1" allowOverlap="1">
            <wp:simplePos x="0" y="0"/>
            <wp:positionH relativeFrom="column">
              <wp:posOffset>638175</wp:posOffset>
            </wp:positionH>
            <wp:positionV relativeFrom="paragraph">
              <wp:posOffset>460375</wp:posOffset>
            </wp:positionV>
            <wp:extent cx="4461510" cy="27114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61510" cy="2711450"/>
                    </a:xfrm>
                    <a:prstGeom prst="rect">
                      <a:avLst/>
                    </a:prstGeom>
                    <a:noFill/>
                    <a:ln>
                      <a:noFill/>
                    </a:ln>
                  </pic:spPr>
                </pic:pic>
              </a:graphicData>
            </a:graphic>
          </wp:anchor>
        </w:drawing>
      </w:r>
      <w:r w:rsidR="003F641D">
        <w:rPr>
          <w:rFonts w:ascii="Palatino Linotype" w:hAnsi="Palatino Linotype"/>
        </w:rPr>
        <w:t>table AMM-2</w:t>
      </w:r>
      <w:r w:rsidR="003F641D">
        <w:rPr>
          <w:rFonts w:ascii="Palatino Linotype" w:hAnsi="Palatino Linotype"/>
        </w:rPr>
        <w:br/>
        <w:t>summary of ROE benchmarks</w:t>
      </w:r>
    </w:p>
    <w:p w:rsidR="00CD22CE" w:rsidRDefault="00CD22CE" w:rsidP="003F641D">
      <w:pPr>
        <w:pStyle w:val="Answer"/>
        <w:ind w:firstLine="0"/>
        <w:jc w:val="center"/>
        <w:rPr>
          <w:szCs w:val="26"/>
        </w:rPr>
      </w:pPr>
    </w:p>
    <w:p w:rsidR="00CD22CE" w:rsidRDefault="00CD22CE" w:rsidP="003F641D">
      <w:pPr>
        <w:pStyle w:val="Answer"/>
        <w:ind w:firstLine="0"/>
        <w:jc w:val="center"/>
        <w:rPr>
          <w:szCs w:val="26"/>
        </w:rPr>
      </w:pPr>
    </w:p>
    <w:p w:rsidR="00CD22CE" w:rsidRDefault="00CD22CE" w:rsidP="003F641D">
      <w:pPr>
        <w:pStyle w:val="Answer"/>
        <w:ind w:firstLine="0"/>
        <w:jc w:val="center"/>
        <w:rPr>
          <w:szCs w:val="26"/>
        </w:rPr>
      </w:pPr>
    </w:p>
    <w:p w:rsidR="00CD22CE" w:rsidRDefault="00CD22CE" w:rsidP="003F641D">
      <w:pPr>
        <w:pStyle w:val="Answer"/>
        <w:ind w:firstLine="0"/>
        <w:jc w:val="center"/>
        <w:rPr>
          <w:szCs w:val="26"/>
        </w:rPr>
      </w:pPr>
    </w:p>
    <w:p w:rsidR="00CD22CE" w:rsidRDefault="00CD22CE" w:rsidP="003F641D">
      <w:pPr>
        <w:pStyle w:val="Answer"/>
        <w:ind w:firstLine="0"/>
        <w:jc w:val="center"/>
        <w:rPr>
          <w:szCs w:val="26"/>
        </w:rPr>
      </w:pPr>
    </w:p>
    <w:p w:rsidR="00CD22CE" w:rsidRDefault="00CD22CE" w:rsidP="003F641D">
      <w:pPr>
        <w:pStyle w:val="Answer"/>
        <w:ind w:firstLine="0"/>
        <w:jc w:val="center"/>
        <w:rPr>
          <w:szCs w:val="26"/>
        </w:rPr>
      </w:pPr>
    </w:p>
    <w:p w:rsidR="00CD22CE" w:rsidRDefault="00CD22CE" w:rsidP="003F641D">
      <w:pPr>
        <w:pStyle w:val="Answer"/>
        <w:ind w:firstLine="0"/>
        <w:jc w:val="center"/>
        <w:rPr>
          <w:szCs w:val="26"/>
        </w:rPr>
      </w:pPr>
    </w:p>
    <w:p w:rsidR="003F641D" w:rsidRDefault="003F641D" w:rsidP="003F641D">
      <w:pPr>
        <w:pStyle w:val="Answer"/>
        <w:ind w:firstLine="0"/>
        <w:jc w:val="center"/>
        <w:rPr>
          <w:szCs w:val="26"/>
        </w:rPr>
      </w:pPr>
    </w:p>
    <w:p w:rsidR="00CD22CE" w:rsidRDefault="003F641D">
      <w:pPr>
        <w:pStyle w:val="Answer"/>
        <w:ind w:firstLine="0"/>
        <w:rPr>
          <w:iCs/>
        </w:rPr>
      </w:pPr>
      <w:r>
        <w:rPr>
          <w:iCs/>
        </w:rPr>
        <w:lastRenderedPageBreak/>
        <w:t xml:space="preserve">As summarized below, these results </w:t>
      </w:r>
      <w:r w:rsidR="00E74DD3">
        <w:rPr>
          <w:iCs/>
        </w:rPr>
        <w:t xml:space="preserve">confirm the conclusion that the 10.1 percent ROE requested </w:t>
      </w:r>
      <w:r w:rsidR="00E74DD3">
        <w:t xml:space="preserve">for Avista is reasonable: </w:t>
      </w:r>
    </w:p>
    <w:p w:rsidR="00E74DD3" w:rsidRPr="00A3529E" w:rsidRDefault="008036CA" w:rsidP="00E74DD3">
      <w:pPr>
        <w:numPr>
          <w:ilvl w:val="0"/>
          <w:numId w:val="15"/>
        </w:numPr>
        <w:tabs>
          <w:tab w:val="clear" w:pos="360"/>
          <w:tab w:val="num" w:pos="1080"/>
        </w:tabs>
        <w:autoSpaceDE w:val="0"/>
        <w:autoSpaceDN w:val="0"/>
        <w:spacing w:before="120" w:line="360" w:lineRule="auto"/>
        <w:ind w:left="1440"/>
        <w:jc w:val="both"/>
        <w:rPr>
          <w:rFonts w:ascii="Times New Roman" w:hAnsi="Times New Roman"/>
          <w:szCs w:val="24"/>
        </w:rPr>
      </w:pPr>
      <w:r w:rsidRPr="008036CA">
        <w:rPr>
          <w:rFonts w:ascii="Times New Roman" w:hAnsi="Times New Roman"/>
          <w:szCs w:val="24"/>
        </w:rPr>
        <w:t>Applying the traditional CAPM approach implied a current cost of equity on the order of 10.3% to 11.3%;</w:t>
      </w:r>
    </w:p>
    <w:p w:rsidR="00E74DD3" w:rsidRPr="00A3529E" w:rsidRDefault="008036CA" w:rsidP="00E74DD3">
      <w:pPr>
        <w:numPr>
          <w:ilvl w:val="0"/>
          <w:numId w:val="15"/>
        </w:numPr>
        <w:tabs>
          <w:tab w:val="clear" w:pos="360"/>
          <w:tab w:val="num" w:pos="1080"/>
        </w:tabs>
        <w:autoSpaceDE w:val="0"/>
        <w:autoSpaceDN w:val="0"/>
        <w:spacing w:before="120" w:line="360" w:lineRule="auto"/>
        <w:ind w:left="1440"/>
        <w:jc w:val="both"/>
        <w:rPr>
          <w:rFonts w:ascii="Times New Roman" w:hAnsi="Times New Roman"/>
          <w:szCs w:val="24"/>
        </w:rPr>
      </w:pPr>
      <w:r w:rsidRPr="008036CA">
        <w:rPr>
          <w:rFonts w:ascii="Times New Roman" w:hAnsi="Times New Roman"/>
          <w:szCs w:val="24"/>
        </w:rPr>
        <w:t xml:space="preserve">Expected returns for electric utilities suggested an ROE range of 10.3% to 11.6%, excluding any adjustment for flotation costs; </w:t>
      </w:r>
    </w:p>
    <w:p w:rsidR="00E74DD3" w:rsidRPr="00A3529E" w:rsidRDefault="008036CA" w:rsidP="00E74DD3">
      <w:pPr>
        <w:numPr>
          <w:ilvl w:val="0"/>
          <w:numId w:val="15"/>
        </w:numPr>
        <w:tabs>
          <w:tab w:val="clear" w:pos="360"/>
          <w:tab w:val="num" w:pos="1080"/>
        </w:tabs>
        <w:autoSpaceDE w:val="0"/>
        <w:autoSpaceDN w:val="0"/>
        <w:spacing w:before="120" w:line="360" w:lineRule="auto"/>
        <w:ind w:left="1440"/>
        <w:jc w:val="both"/>
        <w:rPr>
          <w:rFonts w:ascii="Times New Roman" w:hAnsi="Times New Roman"/>
          <w:szCs w:val="24"/>
        </w:rPr>
      </w:pPr>
      <w:r w:rsidRPr="008036CA">
        <w:rPr>
          <w:rFonts w:ascii="Times New Roman" w:hAnsi="Times New Roman"/>
          <w:szCs w:val="24"/>
        </w:rPr>
        <w:t>DCF estimates for a low-risk group of non-utility firms resulted in an ROE range of 11.3% to 11.7%.</w:t>
      </w:r>
    </w:p>
    <w:p w:rsidR="00CD22CE" w:rsidRDefault="00E74DD3">
      <w:pPr>
        <w:pStyle w:val="Answer"/>
        <w:ind w:firstLine="0"/>
      </w:pPr>
      <w:r>
        <w:t>These tests of reasonableness confirm that a 10.</w:t>
      </w:r>
      <w:r w:rsidR="0085517D">
        <w:t>1</w:t>
      </w:r>
      <w:r>
        <w:t xml:space="preserve">% ROE falls in the lower end of the reasonable range to maintain Avista’s financial integrity, provides a return commensurate with investments of comparable risk, and supports the Company’s ability to attract capital.  </w:t>
      </w:r>
    </w:p>
    <w:p w:rsidR="0085517D" w:rsidRDefault="0085517D" w:rsidP="0085517D">
      <w:pPr>
        <w:pStyle w:val="Question0"/>
      </w:pPr>
      <w:proofErr w:type="gramStart"/>
      <w:r>
        <w:t>Q.</w:t>
      </w:r>
      <w:r>
        <w:tab/>
        <w:t>Would any adjustment to the Avista’s ROE be warranted due to the ERM or the Company’s proposed Attrition Adjustment?</w:t>
      </w:r>
      <w:proofErr w:type="gramEnd"/>
    </w:p>
    <w:p w:rsidR="0085517D" w:rsidRDefault="0085517D" w:rsidP="0085517D">
      <w:pPr>
        <w:pStyle w:val="Answer"/>
      </w:pPr>
      <w:r>
        <w:t>A.</w:t>
      </w:r>
      <w:r>
        <w:tab/>
        <w:t xml:space="preserve">No.  </w:t>
      </w:r>
      <w:r w:rsidR="00265142">
        <w:t>Standard &amp; Poor’s Corporation (“</w:t>
      </w:r>
      <w:r>
        <w:t>S&amp;P</w:t>
      </w:r>
      <w:r w:rsidR="00265142">
        <w:t>”)</w:t>
      </w:r>
      <w:r>
        <w:t xml:space="preserve"> has cited the existing deadbands in the ERM, and a history of deferred power cost balances and rate lag as a significant credit weakness, and noted that the ERM disadvantages Avista relative to other utilities in the region:</w:t>
      </w:r>
    </w:p>
    <w:p w:rsidR="0085517D" w:rsidRDefault="0085517D" w:rsidP="0085517D">
      <w:pPr>
        <w:pStyle w:val="Quote1"/>
      </w:pPr>
      <w:r>
        <w:t>[T]he threshold it must meet to true-up uncollected costs in Washington is high, and the company does not automatically collect deferred costs. Each year, uncollected costs are subject to defined sharing bands, allowing the company to potentially defer certain portions for collection from customers. This mechanism is weaker than that for some utilities operating in western states with high hydrological or significant gas generation exposure.</w:t>
      </w:r>
      <w:r>
        <w:rPr>
          <w:rStyle w:val="FootnoteReference"/>
        </w:rPr>
        <w:footnoteReference w:id="4"/>
      </w:r>
    </w:p>
    <w:p w:rsidR="0085517D" w:rsidRDefault="0085517D" w:rsidP="0085517D">
      <w:pPr>
        <w:pStyle w:val="Answer"/>
        <w:ind w:firstLine="0"/>
      </w:pPr>
      <w:r>
        <w:t xml:space="preserve">Because adjustment mechanisms that enable utilities to implement rate changes to pass-through fluctuations in fuel costs are widely prevalent in the industry, the mitigation in risks </w:t>
      </w:r>
      <w:r>
        <w:lastRenderedPageBreak/>
        <w:t xml:space="preserve">associated with utilities’ ability to attenuate the impact of power cost volatility is already reflected in my recommended ROE range.  </w:t>
      </w:r>
    </w:p>
    <w:p w:rsidR="0085517D" w:rsidRDefault="00265142" w:rsidP="0085517D">
      <w:pPr>
        <w:pStyle w:val="Answer"/>
      </w:pPr>
      <w:r>
        <w:t>In his testimony</w:t>
      </w:r>
      <w:r w:rsidR="0085517D">
        <w:t xml:space="preserve"> Mr. Norwood </w:t>
      </w:r>
      <w:r>
        <w:t xml:space="preserve">explains and illustrates the importance of an Attrition Adjustment to address </w:t>
      </w:r>
      <w:r w:rsidR="0085517D">
        <w:t>the impact of attrition and regulatory lag.  Like any other resource – fuel, labor, or debt capital – equity capital has a cost.  Much like the ERM helps to ensure that Avista recovers the actual cost of fuel, the Attrition Adjustment would simply level the playing field by helping to ensure that the Company has a reasonable opportunity to actually earn the allowed ROE, which compensates investors for the use of their capital.</w:t>
      </w:r>
    </w:p>
    <w:p w:rsidR="0085517D" w:rsidRDefault="0085517D" w:rsidP="0085517D">
      <w:pPr>
        <w:pStyle w:val="Question0"/>
        <w:spacing w:line="480" w:lineRule="auto"/>
      </w:pPr>
      <w:r>
        <w:t>Q.</w:t>
      </w:r>
      <w:r>
        <w:tab/>
        <w:t xml:space="preserve">Based on the results of your evaluation, what is your opinion regarding the reasonableness of the ROE requested by Avista in this case? </w:t>
      </w:r>
    </w:p>
    <w:p w:rsidR="0085517D" w:rsidRDefault="0085517D" w:rsidP="0085517D">
      <w:pPr>
        <w:pStyle w:val="Answer"/>
      </w:pPr>
      <w:r>
        <w:t>A.</w:t>
      </w:r>
      <w:r>
        <w:tab/>
        <w:t xml:space="preserve">Because the Company’s requested 10.1 percent ROE falls below the midpoint of my recommended range it represents a conservative estimate of investors’ required return that is adequate to compensate investors, while maintaining Avista’s financial integrity and ability to attract capital on reasonable terms.  </w:t>
      </w:r>
    </w:p>
    <w:p w:rsidR="0085517D" w:rsidRDefault="0085517D" w:rsidP="0085517D">
      <w:pPr>
        <w:pStyle w:val="Answer2"/>
      </w:pPr>
      <w:r>
        <w:t xml:space="preserve">Apart from the results of the quantitative methods summarized above, it is crucial to recognize the importance of supporting the Company’s </w:t>
      </w:r>
      <w:r>
        <w:rPr>
          <w:bCs/>
        </w:rPr>
        <w:t xml:space="preserve">financial position so that Avista remains prepared to respond to unforeseen events that may materialize in the future.  Recent </w:t>
      </w:r>
      <w:r>
        <w:t>challenges in the economic and financial market environment highlight the imperative of maintaining the Company’s financial strength in attracting the capital needed to secure reliable service at a lower cost for customers.  The reasonableness of the Company’s requested ROE is reinforced by the operating risks associated with Avista’s reliance on hydroelectric generation, the higher uncertainties associated with Avista’s relatively small size, the need to consider the implications of regulatory lag, and the fact that</w:t>
      </w:r>
      <w:r w:rsidR="00265142">
        <w:t>, due to broad-</w:t>
      </w:r>
      <w:r w:rsidR="00265142">
        <w:lastRenderedPageBreak/>
        <w:t>based expectations for higher bond yields,</w:t>
      </w:r>
      <w:r>
        <w:t xml:space="preserve"> current cost of capital estimates are likely to understate investors’ requirements at the time the outcome of this proceeding becomes effective and beyond.  </w:t>
      </w:r>
    </w:p>
    <w:p w:rsidR="0085517D" w:rsidRPr="00B414CD" w:rsidRDefault="0085517D" w:rsidP="0085517D">
      <w:pPr>
        <w:pStyle w:val="Question0"/>
        <w:spacing w:line="480" w:lineRule="auto"/>
        <w:rPr>
          <w:szCs w:val="24"/>
        </w:rPr>
      </w:pPr>
      <w:r>
        <w:rPr>
          <w:szCs w:val="24"/>
        </w:rPr>
        <w:t>Q.</w:t>
      </w:r>
      <w:r>
        <w:rPr>
          <w:szCs w:val="24"/>
        </w:rPr>
        <w:tab/>
      </w:r>
      <w:r w:rsidRPr="00B414CD">
        <w:rPr>
          <w:szCs w:val="24"/>
        </w:rPr>
        <w:t xml:space="preserve">Does an ROE </w:t>
      </w:r>
      <w:r w:rsidRPr="0001138F">
        <w:t>of</w:t>
      </w:r>
      <w:r w:rsidRPr="00B414CD">
        <w:rPr>
          <w:szCs w:val="24"/>
        </w:rPr>
        <w:t xml:space="preserve"> 10.</w:t>
      </w:r>
      <w:r>
        <w:rPr>
          <w:szCs w:val="24"/>
        </w:rPr>
        <w:t>1</w:t>
      </w:r>
      <w:r w:rsidRPr="00B414CD">
        <w:rPr>
          <w:szCs w:val="24"/>
        </w:rPr>
        <w:t xml:space="preserve">% represent a reasonable cost for </w:t>
      </w:r>
      <w:r>
        <w:rPr>
          <w:szCs w:val="24"/>
        </w:rPr>
        <w:t xml:space="preserve">Avista’s </w:t>
      </w:r>
      <w:r w:rsidRPr="00B414CD">
        <w:rPr>
          <w:szCs w:val="24"/>
        </w:rPr>
        <w:t>customers to pay?</w:t>
      </w:r>
    </w:p>
    <w:p w:rsidR="0085517D" w:rsidRPr="00B414CD" w:rsidRDefault="0085517D" w:rsidP="0085517D">
      <w:pPr>
        <w:pStyle w:val="Answer"/>
        <w:rPr>
          <w:szCs w:val="24"/>
        </w:rPr>
      </w:pPr>
      <w:r>
        <w:rPr>
          <w:szCs w:val="24"/>
        </w:rPr>
        <w:t>A.</w:t>
      </w:r>
      <w:r>
        <w:rPr>
          <w:szCs w:val="24"/>
        </w:rPr>
        <w:tab/>
      </w:r>
      <w:r w:rsidRPr="00B414CD">
        <w:rPr>
          <w:szCs w:val="24"/>
        </w:rPr>
        <w:t xml:space="preserve">Yes.  Investors have many options vying for their money.  They make investment capital available to </w:t>
      </w:r>
      <w:r>
        <w:rPr>
          <w:szCs w:val="24"/>
        </w:rPr>
        <w:t xml:space="preserve">Avista </w:t>
      </w:r>
      <w:r w:rsidRPr="00B414CD">
        <w:rPr>
          <w:szCs w:val="24"/>
        </w:rPr>
        <w:t xml:space="preserve">only if the expected returns justify the risk.  Customers will enjoy reliable and efficient service so long as investors are </w:t>
      </w:r>
      <w:r w:rsidRPr="0001138F">
        <w:t>willing</w:t>
      </w:r>
      <w:r w:rsidRPr="00B414CD">
        <w:rPr>
          <w:szCs w:val="24"/>
        </w:rPr>
        <w:t xml:space="preserve"> to make the capital investments necessary to maintain and improve </w:t>
      </w:r>
      <w:r>
        <w:rPr>
          <w:szCs w:val="24"/>
        </w:rPr>
        <w:t xml:space="preserve">Avista’s </w:t>
      </w:r>
      <w:r w:rsidRPr="00B414CD">
        <w:rPr>
          <w:szCs w:val="24"/>
        </w:rPr>
        <w:t xml:space="preserve">utility system.  Providing an adequate return to investors is a necessary cost to ensure that capital is available to </w:t>
      </w:r>
      <w:r>
        <w:rPr>
          <w:szCs w:val="24"/>
        </w:rPr>
        <w:t xml:space="preserve">Avista </w:t>
      </w:r>
      <w:r w:rsidRPr="00B414CD">
        <w:rPr>
          <w:szCs w:val="24"/>
        </w:rPr>
        <w:t xml:space="preserve">now and in the future.  If regulatory decisions increase risk or limit returns to levels that are insufficient to justify the risk, investors will look elsewhere to invest capital.  </w:t>
      </w:r>
    </w:p>
    <w:p w:rsidR="00FE360F" w:rsidRDefault="003C72A1">
      <w:pPr>
        <w:pStyle w:val="Question0"/>
        <w:spacing w:line="480" w:lineRule="auto"/>
      </w:pPr>
      <w:proofErr w:type="gramStart"/>
      <w:r>
        <w:t>Q.</w:t>
      </w:r>
      <w:r>
        <w:tab/>
        <w:t>What is your conclusion as to the reasonableness of the Company’s capital structure?</w:t>
      </w:r>
      <w:proofErr w:type="gramEnd"/>
    </w:p>
    <w:p w:rsidR="00FE360F" w:rsidRDefault="003C72A1">
      <w:pPr>
        <w:pStyle w:val="Answer"/>
        <w:rPr>
          <w:spacing w:val="-2"/>
          <w:szCs w:val="26"/>
        </w:rPr>
      </w:pPr>
      <w:r>
        <w:rPr>
          <w:szCs w:val="26"/>
        </w:rPr>
        <w:t>A.</w:t>
      </w:r>
      <w:r>
        <w:rPr>
          <w:szCs w:val="26"/>
        </w:rPr>
        <w:tab/>
        <w:t>Based on my evaluation, I concluded that a common equity ratio of 4</w:t>
      </w:r>
      <w:r w:rsidR="00976230">
        <w:rPr>
          <w:szCs w:val="26"/>
        </w:rPr>
        <w:t>9.0</w:t>
      </w:r>
      <w:r>
        <w:rPr>
          <w:szCs w:val="26"/>
        </w:rPr>
        <w:t xml:space="preserve"> percent represents a reasonable basis from which to calculate Avista’s overall rate of return.  This conclusion was based on the following findings:</w:t>
      </w:r>
    </w:p>
    <w:p w:rsidR="00FE360F" w:rsidRPr="00B16048" w:rsidRDefault="003C72A1">
      <w:pPr>
        <w:numPr>
          <w:ilvl w:val="0"/>
          <w:numId w:val="15"/>
        </w:numPr>
        <w:autoSpaceDE w:val="0"/>
        <w:autoSpaceDN w:val="0"/>
        <w:spacing w:before="120" w:after="120"/>
        <w:ind w:left="1080"/>
        <w:jc w:val="both"/>
        <w:rPr>
          <w:rFonts w:ascii="Times New Roman" w:hAnsi="Times New Roman"/>
          <w:iCs/>
          <w:szCs w:val="26"/>
        </w:rPr>
      </w:pPr>
      <w:r w:rsidRPr="00B16048">
        <w:rPr>
          <w:rFonts w:ascii="Times New Roman" w:hAnsi="Times New Roman"/>
          <w:iCs/>
          <w:szCs w:val="26"/>
        </w:rPr>
        <w:t xml:space="preserve">Avista’s requested </w:t>
      </w:r>
      <w:r w:rsidRPr="00B16048">
        <w:rPr>
          <w:rFonts w:ascii="Times New Roman" w:hAnsi="Times New Roman"/>
          <w:iCs/>
        </w:rPr>
        <w:t>capitalization</w:t>
      </w:r>
      <w:r w:rsidRPr="00B16048">
        <w:rPr>
          <w:rFonts w:ascii="Times New Roman" w:hAnsi="Times New Roman"/>
          <w:iCs/>
          <w:szCs w:val="26"/>
        </w:rPr>
        <w:t xml:space="preserve"> is consistent with the Company’s need to maintain its credit standing and financial flexibility as it seeks to raise additional capital to fund significant system investments and meet the requirements of its service territory;</w:t>
      </w:r>
    </w:p>
    <w:p w:rsidR="00FE360F" w:rsidRPr="00B16048" w:rsidRDefault="003C72A1">
      <w:pPr>
        <w:numPr>
          <w:ilvl w:val="0"/>
          <w:numId w:val="15"/>
        </w:numPr>
        <w:autoSpaceDE w:val="0"/>
        <w:autoSpaceDN w:val="0"/>
        <w:spacing w:before="120" w:after="120"/>
        <w:ind w:left="1080"/>
        <w:jc w:val="both"/>
        <w:rPr>
          <w:rFonts w:ascii="Times New Roman" w:hAnsi="Times New Roman"/>
          <w:iCs/>
          <w:szCs w:val="26"/>
        </w:rPr>
      </w:pPr>
      <w:r w:rsidRPr="00B16048">
        <w:rPr>
          <w:rFonts w:ascii="Times New Roman" w:hAnsi="Times New Roman"/>
          <w:iCs/>
          <w:szCs w:val="26"/>
        </w:rPr>
        <w:t xml:space="preserve">Avista’s proposed </w:t>
      </w:r>
      <w:r w:rsidRPr="00B16048">
        <w:rPr>
          <w:rFonts w:ascii="Times New Roman" w:hAnsi="Times New Roman"/>
          <w:iCs/>
        </w:rPr>
        <w:t>common</w:t>
      </w:r>
      <w:r w:rsidRPr="00B16048">
        <w:rPr>
          <w:rFonts w:ascii="Times New Roman" w:hAnsi="Times New Roman"/>
          <w:iCs/>
          <w:szCs w:val="26"/>
        </w:rPr>
        <w:t xml:space="preserve"> equity ratio is entirely consistent with the </w:t>
      </w:r>
      <w:r w:rsidR="00941C57" w:rsidRPr="00B16048">
        <w:rPr>
          <w:rFonts w:ascii="Times New Roman" w:hAnsi="Times New Roman"/>
          <w:iCs/>
          <w:szCs w:val="26"/>
        </w:rPr>
        <w:t xml:space="preserve">range of capitalizations </w:t>
      </w:r>
      <w:r w:rsidRPr="00B16048">
        <w:rPr>
          <w:rFonts w:ascii="Times New Roman" w:hAnsi="Times New Roman"/>
          <w:iCs/>
          <w:szCs w:val="26"/>
        </w:rPr>
        <w:t>for the proxy utilities</w:t>
      </w:r>
      <w:r w:rsidR="00941C57" w:rsidRPr="00B16048">
        <w:rPr>
          <w:rFonts w:ascii="Times New Roman" w:hAnsi="Times New Roman"/>
          <w:iCs/>
          <w:szCs w:val="26"/>
        </w:rPr>
        <w:t xml:space="preserve"> </w:t>
      </w:r>
      <w:r w:rsidR="00941C57" w:rsidRPr="00B16048">
        <w:rPr>
          <w:rFonts w:ascii="Times New Roman" w:hAnsi="Times New Roman"/>
        </w:rPr>
        <w:t>and is in-line with the adjusted average equity ratios at year-end 2012 and based on Value Line’s near-term expectations, respectively;</w:t>
      </w:r>
      <w:r w:rsidRPr="00B16048">
        <w:rPr>
          <w:rFonts w:ascii="Times New Roman" w:hAnsi="Times New Roman"/>
          <w:iCs/>
          <w:szCs w:val="26"/>
        </w:rPr>
        <w:t xml:space="preserve"> </w:t>
      </w:r>
    </w:p>
    <w:p w:rsidR="00FE360F" w:rsidRPr="00B16048" w:rsidRDefault="003C72A1">
      <w:pPr>
        <w:numPr>
          <w:ilvl w:val="0"/>
          <w:numId w:val="15"/>
        </w:numPr>
        <w:autoSpaceDE w:val="0"/>
        <w:autoSpaceDN w:val="0"/>
        <w:spacing w:before="120" w:after="120"/>
        <w:ind w:left="1080"/>
        <w:jc w:val="both"/>
        <w:rPr>
          <w:rFonts w:ascii="Times New Roman" w:hAnsi="Times New Roman"/>
          <w:iCs/>
          <w:szCs w:val="26"/>
        </w:rPr>
      </w:pPr>
      <w:r w:rsidRPr="00B16048">
        <w:rPr>
          <w:rFonts w:ascii="Times New Roman" w:hAnsi="Times New Roman"/>
          <w:iCs/>
          <w:szCs w:val="26"/>
        </w:rPr>
        <w:lastRenderedPageBreak/>
        <w:t>The requested capitalization reflects the importance of an adequate equity layer to accommodate Avista’s operating risks and the pressures of funding significant capital investments.  This is reinforced by the need to consider the impact of uncertain capital market conditions, as well as off-balance sheet commitments such as purchased power agreements, which carry with them some level of imputed debt.</w:t>
      </w:r>
    </w:p>
    <w:p w:rsidR="00FE360F" w:rsidRPr="00CD22CE" w:rsidRDefault="003C72A1">
      <w:pPr>
        <w:pStyle w:val="Heading1"/>
        <w:rPr>
          <w:u w:val="single"/>
        </w:rPr>
      </w:pPr>
      <w:bookmarkStart w:id="14" w:name="_Toc292455188"/>
      <w:bookmarkStart w:id="15" w:name="_Toc455330005"/>
      <w:bookmarkStart w:id="16" w:name="_Toc473452456"/>
      <w:bookmarkStart w:id="17" w:name="_Toc49155037"/>
      <w:bookmarkStart w:id="18" w:name="_Toc50231727"/>
      <w:r w:rsidRPr="00CD22CE">
        <w:rPr>
          <w:u w:val="single"/>
        </w:rPr>
        <w:t>RISKS OF AVISTA</w:t>
      </w:r>
      <w:bookmarkEnd w:id="14"/>
    </w:p>
    <w:bookmarkEnd w:id="15"/>
    <w:bookmarkEnd w:id="16"/>
    <w:bookmarkEnd w:id="17"/>
    <w:bookmarkEnd w:id="18"/>
    <w:p w:rsidR="00FE360F" w:rsidRDefault="003C72A1">
      <w:pPr>
        <w:pStyle w:val="Question0"/>
        <w:spacing w:line="480" w:lineRule="auto"/>
      </w:pPr>
      <w:r>
        <w:t>Q.</w:t>
      </w:r>
      <w:r>
        <w:tab/>
        <w:t>What is the purpose of this section?</w:t>
      </w:r>
    </w:p>
    <w:p w:rsidR="00FE360F" w:rsidRDefault="003C72A1">
      <w:pPr>
        <w:pStyle w:val="Answer"/>
      </w:pPr>
      <w:r>
        <w:t>A.</w:t>
      </w:r>
      <w:r>
        <w:tab/>
        <w:t xml:space="preserve">As a predicate to my capital market analyses, this section examines the investment risks that investors consider in evaluating their required rate of return for Avista.  </w:t>
      </w:r>
    </w:p>
    <w:p w:rsidR="00FE360F" w:rsidRDefault="003C72A1">
      <w:pPr>
        <w:pStyle w:val="Heading2"/>
        <w:numPr>
          <w:ilvl w:val="0"/>
          <w:numId w:val="4"/>
        </w:numPr>
      </w:pPr>
      <w:bookmarkStart w:id="19" w:name="_Toc49155038"/>
      <w:bookmarkStart w:id="20" w:name="_Toc50231728"/>
      <w:bookmarkStart w:id="21" w:name="_Toc292455189"/>
      <w:r>
        <w:t>Operating Risks</w:t>
      </w:r>
      <w:bookmarkEnd w:id="19"/>
      <w:bookmarkEnd w:id="20"/>
      <w:bookmarkEnd w:id="21"/>
    </w:p>
    <w:p w:rsidR="00FE360F" w:rsidRDefault="003C72A1">
      <w:pPr>
        <w:pStyle w:val="Question0"/>
        <w:spacing w:line="480" w:lineRule="auto"/>
      </w:pPr>
      <w:proofErr w:type="gramStart"/>
      <w:r>
        <w:t>Q.</w:t>
      </w:r>
      <w:r>
        <w:tab/>
        <w:t>How does Avista</w:t>
      </w:r>
      <w:proofErr w:type="gramEnd"/>
      <w:r>
        <w:t>’s generating resource mix affect investors’ risk perceptions?</w:t>
      </w:r>
    </w:p>
    <w:p w:rsidR="00FE360F" w:rsidRDefault="003C72A1">
      <w:pPr>
        <w:pStyle w:val="Answer"/>
      </w:pPr>
      <w:r>
        <w:t>A.</w:t>
      </w:r>
      <w:r>
        <w:tab/>
        <w:t>Because over 40 percent of Avista’s total energy requirements are provided by hydroelectric facilities, the Company is exposed to a level of uncertainty not faced by most utilities.  While hydropower confers advantages in terms of fuel cost savings and diversity, reduced hydroelectric generation due to below-average water conditions forces Avista to rely more heavily on wholesale power markets or more costly thermal generating capacity to meet its resource needs.  As S&amp;P has observed:</w:t>
      </w:r>
    </w:p>
    <w:p w:rsidR="00FE360F" w:rsidRDefault="003C72A1">
      <w:pPr>
        <w:pStyle w:val="Quote1"/>
      </w:pPr>
      <w:r>
        <w:t>A reduction in hydro generation typically increases an electric utility’s costs by requiring it to buy replacement power or run more expensive generation to serve customer loads.  Low hydro generation can also reduce utilities’ opportunity to make off-system sales.  At the same time, low hydro years increase regional wholesale power prices, creating potentially a double impact – companies have to buy more power than under normal conditions, paying higher prices.</w:t>
      </w:r>
      <w:r>
        <w:rPr>
          <w:rStyle w:val="FootnoteReference"/>
        </w:rPr>
        <w:footnoteReference w:id="5"/>
      </w:r>
    </w:p>
    <w:p w:rsidR="00FE360F" w:rsidRDefault="003C72A1">
      <w:pPr>
        <w:pStyle w:val="Answer"/>
      </w:pPr>
      <w:r>
        <w:lastRenderedPageBreak/>
        <w:t xml:space="preserve">Investors recognize that volatile energy markets, unpredictable stream flows, and Avista’s reliance on wholesale purchases to meet a significant portion of its resource needs can expose the Company to the risk of reduced cash flows and unrecovered power supply costs.  </w:t>
      </w:r>
      <w:r>
        <w:rPr>
          <w:szCs w:val="26"/>
        </w:rPr>
        <w:t xml:space="preserve">S&amp;P </w:t>
      </w:r>
      <w:r>
        <w:t>noted</w:t>
      </w:r>
      <w:r>
        <w:rPr>
          <w:szCs w:val="26"/>
        </w:rPr>
        <w:t xml:space="preserve"> </w:t>
      </w:r>
      <w:r>
        <w:t>that Avista, along with Idaho Power Company, “face the most substantial risks despite their PCAs and cost-update mechanisms,”</w:t>
      </w:r>
      <w:r>
        <w:rPr>
          <w:rStyle w:val="FootnoteReference"/>
        </w:rPr>
        <w:footnoteReference w:id="6"/>
      </w:r>
      <w:r>
        <w:t xml:space="preserve"> and concluded that Avista’s “chief risks are the electric utility’s exposure to replacement power costs (particularly in low water years).”</w:t>
      </w:r>
      <w:r>
        <w:rPr>
          <w:rStyle w:val="FootnoteReference"/>
        </w:rPr>
        <w:footnoteReference w:id="7"/>
      </w:r>
      <w:r>
        <w:t xml:space="preserve">  </w:t>
      </w:r>
      <w:r w:rsidR="009D0D18">
        <w:t xml:space="preserve">More recently S&amp;P affirmed that, “Northwest hydropower has been subject to significant volatility in recent years, so </w:t>
      </w:r>
      <w:r w:rsidR="0085517D">
        <w:t>[Avista]</w:t>
      </w:r>
      <w:r w:rsidR="009D0D18">
        <w:t xml:space="preserve"> is exposed to </w:t>
      </w:r>
      <w:proofErr w:type="gramStart"/>
      <w:r w:rsidR="009D0D18">
        <w:t>purchased</w:t>
      </w:r>
      <w:proofErr w:type="gramEnd"/>
      <w:r w:rsidR="009D0D18">
        <w:t xml:space="preserve"> power costs.”</w:t>
      </w:r>
      <w:r w:rsidR="009D0D18">
        <w:rPr>
          <w:rStyle w:val="FootnoteReference"/>
        </w:rPr>
        <w:footnoteReference w:id="8"/>
      </w:r>
      <w:r w:rsidR="009D0D18">
        <w:t xml:space="preserve">  </w:t>
      </w:r>
      <w:r>
        <w:t>Similarly, Moody’s Investors Service (“Moody’s”) concluded, “Avista’s high dependency on hydro resources (approximately 50% of its production comes from hydro fueled electric generation resources) is viewed as a supply concentration risk (which also lends to the potential for metric volatility, especially since hydro levels, due to weather, is a factor outside of management's control.”</w:t>
      </w:r>
      <w:r>
        <w:rPr>
          <w:rStyle w:val="FootnoteReference"/>
        </w:rPr>
        <w:footnoteReference w:id="9"/>
      </w:r>
    </w:p>
    <w:p w:rsidR="00FE360F" w:rsidRDefault="003C72A1">
      <w:pPr>
        <w:pStyle w:val="Question0"/>
        <w:spacing w:line="480" w:lineRule="auto"/>
      </w:pPr>
      <w:r>
        <w:t>Q.</w:t>
      </w:r>
      <w:r>
        <w:tab/>
        <w:t>Does Avista anticipate the need to access the capital markets going forward?</w:t>
      </w:r>
    </w:p>
    <w:p w:rsidR="00FE360F" w:rsidRDefault="003C72A1">
      <w:pPr>
        <w:pStyle w:val="Answer"/>
      </w:pPr>
      <w:r>
        <w:t>A.</w:t>
      </w:r>
      <w:r>
        <w:tab/>
        <w:t>Yes.  Avista will require capital investment to meet customer growth, provide for necessary maintenance and replacements of its natural gas utility systems, as well as fund new investment in electric generation, transmission and distribution facilities.  Utility capital additions are expected to total approximately $1</w:t>
      </w:r>
      <w:r w:rsidR="00263C22">
        <w:t>.7</w:t>
      </w:r>
      <w:r>
        <w:t xml:space="preserve"> billion through 201</w:t>
      </w:r>
      <w:r w:rsidR="00263C22">
        <w:t>8</w:t>
      </w:r>
      <w:r>
        <w:t xml:space="preserve">.  This represents a substantial investment given Avista’s current rate base of </w:t>
      </w:r>
      <w:r w:rsidR="008036CA" w:rsidRPr="008036CA">
        <w:t>$2.4</w:t>
      </w:r>
      <w:r w:rsidR="008036CA">
        <w:t xml:space="preserve"> </w:t>
      </w:r>
      <w:proofErr w:type="gramStart"/>
      <w:r w:rsidR="008036CA">
        <w:t>billion</w:t>
      </w:r>
      <w:r>
        <w:t xml:space="preserve"> .</w:t>
      </w:r>
      <w:proofErr w:type="gramEnd"/>
    </w:p>
    <w:p w:rsidR="00FE360F" w:rsidRDefault="003C72A1">
      <w:pPr>
        <w:pStyle w:val="Answer2"/>
      </w:pPr>
      <w:r>
        <w:lastRenderedPageBreak/>
        <w:t>Continued support for Avista’s financial integrity and flexibility will be instrumental in attracting the capital necessary to fund these projects in an effective manner.  Avista’s reliance on purchased power to meet shortfalls in hydroelectric generation magnifies the importance of strengthening financial flexibility, which is essential to guarantee access to the cash resources and interim financing required to cover inadequate operating cash flows, as well as fund required investments in the utility system.</w:t>
      </w:r>
    </w:p>
    <w:p w:rsidR="00FE360F" w:rsidRDefault="003C72A1">
      <w:pPr>
        <w:pStyle w:val="Question0"/>
        <w:spacing w:line="480" w:lineRule="auto"/>
      </w:pPr>
      <w:r>
        <w:t>Q.</w:t>
      </w:r>
      <w:r>
        <w:tab/>
        <w:t>What other financial pressures impact investors’ risk assessment of Avista?</w:t>
      </w:r>
    </w:p>
    <w:p w:rsidR="00FE360F" w:rsidRDefault="003C72A1">
      <w:pPr>
        <w:pStyle w:val="Answer"/>
        <w:rPr>
          <w:rFonts w:cs="Arial"/>
        </w:rPr>
      </w:pPr>
      <w:r>
        <w:rPr>
          <w:rFonts w:cs="Arial"/>
        </w:rPr>
        <w:t>A.</w:t>
      </w:r>
      <w:r>
        <w:rPr>
          <w:rFonts w:cs="Arial"/>
        </w:rPr>
        <w:tab/>
        <w:t xml:space="preserve">Investors are aware of the financial and regulatory pressures faced by utilities associated with rising costs and the need to undertake significant capital investments.  </w:t>
      </w:r>
      <w:r>
        <w:t>S&amp;P noted that cost increases and capital projects, along with uncertain load growth, were a significant challenge to the utility industry.</w:t>
      </w:r>
      <w:r>
        <w:rPr>
          <w:rStyle w:val="FootnoteReference"/>
        </w:rPr>
        <w:footnoteReference w:id="10"/>
      </w:r>
      <w:r>
        <w:t xml:space="preserve">  </w:t>
      </w:r>
      <w:r>
        <w:rPr>
          <w:rFonts w:cs="Arial"/>
        </w:rPr>
        <w:t>As Moody’s observed:</w:t>
      </w:r>
    </w:p>
    <w:p w:rsidR="00FE360F" w:rsidRDefault="003C72A1">
      <w:pPr>
        <w:pStyle w:val="Quote1"/>
      </w:pPr>
      <w:r>
        <w:t>[W]e also see the sector’s overall business risk and operating risks increasing, owing primarily to rising costs associated with upgrading and expanding the nation’s trillion dollar electric infrastructure.</w:t>
      </w:r>
      <w:r>
        <w:rPr>
          <w:rStyle w:val="FootnoteReference"/>
        </w:rPr>
        <w:footnoteReference w:id="11"/>
      </w:r>
    </w:p>
    <w:p w:rsidR="00FE360F" w:rsidRDefault="003C72A1">
      <w:pPr>
        <w:pStyle w:val="Answer2"/>
      </w:pPr>
      <w:r>
        <w:t>As noted earlier, the Company’s plans include electric utility capital expenditures of approximately $1</w:t>
      </w:r>
      <w:r w:rsidR="00260611">
        <w:t>.7</w:t>
      </w:r>
      <w:r>
        <w:t xml:space="preserve"> billion million through 201</w:t>
      </w:r>
      <w:r w:rsidR="00260611">
        <w:t>8</w:t>
      </w:r>
      <w:r>
        <w:t>, and Moody’s has noted that Avista’s primary challenge is related to cost recovery of increasing capital investment.</w:t>
      </w:r>
      <w:r>
        <w:rPr>
          <w:rStyle w:val="FootnoteReference"/>
        </w:rPr>
        <w:footnoteReference w:id="12"/>
      </w:r>
      <w:r>
        <w:t xml:space="preserve">  Investors are aware of the challenges posed by rising costs and burdensome capital expenditure requirements, especially in light of ongoing capital market and economic uncertainties.</w:t>
      </w:r>
    </w:p>
    <w:p w:rsidR="00FE360F" w:rsidRDefault="003C72A1">
      <w:pPr>
        <w:pStyle w:val="Question0"/>
        <w:spacing w:line="480" w:lineRule="auto"/>
      </w:pPr>
      <w:r>
        <w:lastRenderedPageBreak/>
        <w:t>Q.</w:t>
      </w:r>
      <w:r>
        <w:tab/>
        <w:t xml:space="preserve">What other considerations affect investors’ evaluation of </w:t>
      </w:r>
      <w:r w:rsidR="00C0696A">
        <w:t>utilities</w:t>
      </w:r>
      <w:r>
        <w:t>?</w:t>
      </w:r>
    </w:p>
    <w:p w:rsidR="00CD22CE" w:rsidRDefault="003C72A1">
      <w:pPr>
        <w:pStyle w:val="Answer"/>
      </w:pPr>
      <w:r>
        <w:rPr>
          <w:rFonts w:cs="Arial"/>
        </w:rPr>
        <w:t>A.</w:t>
      </w:r>
      <w:r>
        <w:rPr>
          <w:rFonts w:cs="Arial"/>
        </w:rPr>
        <w:tab/>
      </w:r>
      <w:r w:rsidR="00CC7DA4">
        <w:rPr>
          <w:rFonts w:cs="Arial"/>
        </w:rPr>
        <w:t>T</w:t>
      </w:r>
      <w:r w:rsidR="00CC7DA4">
        <w:t xml:space="preserve">he implications of </w:t>
      </w:r>
      <w:r w:rsidR="008036CA">
        <w:t>increased</w:t>
      </w:r>
      <w:r w:rsidR="00CC7DA4">
        <w:t xml:space="preserve"> conservation and </w:t>
      </w:r>
      <w:proofErr w:type="spellStart"/>
      <w:r w:rsidR="00CC7DA4">
        <w:t>renewables</w:t>
      </w:r>
      <w:proofErr w:type="spellEnd"/>
      <w:r w:rsidR="00CC7DA4">
        <w:t xml:space="preserve"> goals, as well as exposure to regulatory and environmental uncertainties also impact the industry’s future. </w:t>
      </w:r>
      <w:r>
        <w:t xml:space="preserve">Utilities are confronting increased environmental pressures that could impose significant uncertainties and costs.  </w:t>
      </w:r>
    </w:p>
    <w:p w:rsidR="00FE360F" w:rsidRDefault="003C72A1">
      <w:pPr>
        <w:pStyle w:val="Question0"/>
        <w:spacing w:line="480" w:lineRule="auto"/>
      </w:pPr>
      <w:proofErr w:type="gramStart"/>
      <w:r>
        <w:t>Q.</w:t>
      </w:r>
      <w:r>
        <w:tab/>
        <w:t>Would investors consider Avista’s relative size in their assessment of the Company’s risks and prospects?</w:t>
      </w:r>
      <w:proofErr w:type="gramEnd"/>
    </w:p>
    <w:p w:rsidR="00FE360F" w:rsidRDefault="003C72A1">
      <w:pPr>
        <w:pStyle w:val="Answer"/>
      </w:pPr>
      <w:r>
        <w:t>A.</w:t>
      </w:r>
      <w:r>
        <w:tab/>
        <w:t>Yes.  A firm’s relative size has important implications for investors in their evaluation of alternative investments, and it is well established that smaller firms are more risky than larger firms.  With a market capitalization of approximately $1.</w:t>
      </w:r>
      <w:r w:rsidR="001B543A">
        <w:t>7</w:t>
      </w:r>
      <w:r>
        <w:t xml:space="preserve"> billion, Avista is one of the smallest publicly traded utility holding companies followed by The Value Line Investment Survey (“Value Line”), which have an average capitalization of approximately $</w:t>
      </w:r>
      <w:r w:rsidR="001B543A">
        <w:t>10.4</w:t>
      </w:r>
      <w:r>
        <w:t xml:space="preserve"> billion.</w:t>
      </w:r>
      <w:r>
        <w:rPr>
          <w:rStyle w:val="FootnoteReference"/>
        </w:rPr>
        <w:footnoteReference w:id="13"/>
      </w:r>
      <w:r>
        <w:t xml:space="preserve">  </w:t>
      </w:r>
    </w:p>
    <w:p w:rsidR="00FE360F" w:rsidRDefault="003C72A1">
      <w:pPr>
        <w:pStyle w:val="Answer"/>
      </w:pPr>
      <w:r>
        <w:t>The magnitude of the size disparity between Avista and other firms in the utility industry has important practical implications with respect to the risks faced by investors.  All else being equal, it is well accepted that smaller firms are more risky than their larger counterparts, due in part to their relative lack of diversification and lower financial resiliency.</w:t>
      </w:r>
      <w:r>
        <w:rPr>
          <w:rStyle w:val="FootnoteReference"/>
        </w:rPr>
        <w:footnoteReference w:id="14"/>
      </w:r>
      <w:r>
        <w:t xml:space="preserve">  These greater risks imply a higher required rate of return, and there is ample empirical evidence that investors in smaller firms realize higher rates of return than in larger </w:t>
      </w:r>
      <w:r>
        <w:lastRenderedPageBreak/>
        <w:t>firms.</w:t>
      </w:r>
      <w:r>
        <w:rPr>
          <w:rStyle w:val="FootnoteReference"/>
        </w:rPr>
        <w:footnoteReference w:id="15"/>
      </w:r>
      <w:r>
        <w:t xml:space="preserve">  </w:t>
      </w:r>
      <w:r w:rsidR="007916CC">
        <w:t>A</w:t>
      </w:r>
      <w:r>
        <w:t>ccepted financial doctrine hold</w:t>
      </w:r>
      <w:r w:rsidR="007916CC">
        <w:t>s</w:t>
      </w:r>
      <w:r>
        <w:t xml:space="preserve"> that investors require higher returns from smaller companies, and unless that compensation is provided in the rate of return allowed for a utility, the legal tests embodied in the </w:t>
      </w:r>
      <w:r>
        <w:rPr>
          <w:i/>
        </w:rPr>
        <w:t>Hope</w:t>
      </w:r>
      <w:r>
        <w:t xml:space="preserve"> and </w:t>
      </w:r>
      <w:r>
        <w:rPr>
          <w:i/>
        </w:rPr>
        <w:t>Bluefield</w:t>
      </w:r>
      <w:r>
        <w:t xml:space="preserve"> cases cannot be met.</w:t>
      </w:r>
    </w:p>
    <w:p w:rsidR="00FE360F" w:rsidRDefault="003C72A1">
      <w:pPr>
        <w:pStyle w:val="Heading2"/>
      </w:pPr>
      <w:bookmarkStart w:id="22" w:name="_Toc292455190"/>
      <w:bookmarkStart w:id="23" w:name="_Toc241384834"/>
      <w:bookmarkStart w:id="24" w:name="_Toc251621117"/>
      <w:bookmarkStart w:id="25" w:name="_Toc255397759"/>
      <w:r>
        <w:t>Implications of Attrition</w:t>
      </w:r>
      <w:bookmarkEnd w:id="22"/>
    </w:p>
    <w:p w:rsidR="00CD22CE" w:rsidRDefault="003C72A1">
      <w:pPr>
        <w:pStyle w:val="Question0"/>
      </w:pPr>
      <w:r>
        <w:t>Q.</w:t>
      </w:r>
      <w:r>
        <w:tab/>
        <w:t xml:space="preserve">What causes </w:t>
      </w:r>
      <w:r w:rsidR="008036CA">
        <w:t>attrition</w:t>
      </w:r>
      <w:r>
        <w:t>?</w:t>
      </w:r>
    </w:p>
    <w:p w:rsidR="00FE360F" w:rsidRDefault="003C72A1">
      <w:pPr>
        <w:pStyle w:val="Answer"/>
      </w:pPr>
      <w:r>
        <w:t>A.</w:t>
      </w:r>
      <w:r>
        <w:tab/>
        <w:t xml:space="preserve">Attrition is the deterioration of actual return below the allowed return that occurs when the relationships between revenues, costs, and rate base used to establish rates (e.g., using a historical test year without adequate adjustments) do not reflect the actual costs incurred to serve customers during the period that rates are in effect.  For example, if external factors are driving costs to increase more than revenues, then the rate of return will fall short of the allowed return even if the utility is operating efficiently.  Similarly, when growth in the utility’s investment outstrips the rate base used for ratemaking, the earned rate of return will fall below the allowed return through no fault of the utility’s management.  These imbalances are exacerbated as the regulatory lag increases between the time when the data used to establish rates is measured and the date when the rates go into effect.   </w:t>
      </w:r>
    </w:p>
    <w:p w:rsidR="00FE360F" w:rsidRDefault="003C72A1">
      <w:pPr>
        <w:pStyle w:val="Question0"/>
      </w:pPr>
      <w:r>
        <w:t>Q.</w:t>
      </w:r>
      <w:r>
        <w:tab/>
        <w:t>Why is it necessary to address the impact of attrition?</w:t>
      </w:r>
    </w:p>
    <w:p w:rsidR="00CD22CE" w:rsidRDefault="003C72A1">
      <w:pPr>
        <w:pStyle w:val="Answer"/>
      </w:pPr>
      <w:r>
        <w:t>A.</w:t>
      </w:r>
      <w:r>
        <w:tab/>
        <w:t xml:space="preserve">Investors are concerned with what they can expect in the future, not what they might expect in theory if a historical test year were to repeat.  To be fair to investors and to benefit customers, a regulated utility must have a </w:t>
      </w:r>
      <w:r w:rsidR="008036CA" w:rsidRPr="008036CA">
        <w:t>reasonable</w:t>
      </w:r>
      <w:r>
        <w:rPr>
          <w:u w:val="single"/>
        </w:rPr>
        <w:t xml:space="preserve"> opportunity to actually earn</w:t>
      </w:r>
      <w:r>
        <w:t xml:space="preserve"> a return that will maintain financial integrity, facilitate capital attraction, and compensate for risk.  In other words, it is the end result in the future that determines whether or not the </w:t>
      </w:r>
      <w:r>
        <w:rPr>
          <w:i/>
          <w:iCs/>
        </w:rPr>
        <w:t xml:space="preserve">Hope </w:t>
      </w:r>
      <w:r>
        <w:lastRenderedPageBreak/>
        <w:t xml:space="preserve">and </w:t>
      </w:r>
      <w:r>
        <w:rPr>
          <w:i/>
          <w:iCs/>
        </w:rPr>
        <w:t xml:space="preserve">Bluefield </w:t>
      </w:r>
      <w:r>
        <w:t xml:space="preserve">standards are met.  S&amp;P observed that its risk analysis focuses on the utility’s ability to consistently </w:t>
      </w:r>
      <w:r>
        <w:rPr>
          <w:u w:val="single"/>
        </w:rPr>
        <w:t>earn</w:t>
      </w:r>
      <w:r>
        <w:t xml:space="preserve"> a reasonable return:</w:t>
      </w:r>
    </w:p>
    <w:p w:rsidR="00FE360F" w:rsidRDefault="003C72A1">
      <w:pPr>
        <w:pStyle w:val="Quote1"/>
      </w:pPr>
      <w:r>
        <w:t>Notably, the analysis does not revolve around “authorized” returns, but rather on actual earned returns.  We note the many examples of utilities with healthy authorized returns that, we believe, have no meaningful expectation of actually earning that return because of rate case lag, expense disallowances, etc.</w:t>
      </w:r>
      <w:r>
        <w:rPr>
          <w:rStyle w:val="FootnoteReference"/>
        </w:rPr>
        <w:footnoteReference w:id="16"/>
      </w:r>
    </w:p>
    <w:p w:rsidR="00FE360F" w:rsidRDefault="003C72A1">
      <w:pPr>
        <w:pStyle w:val="Answer"/>
        <w:ind w:firstLine="0"/>
      </w:pPr>
      <w:r>
        <w:t>Similarly, Moody’s concluded, “we evaluate the framework and mechanisms that allow a utility to recover its costs and investments and earn allowed returns. We are less concerned with the official allowed return on equity, instead focusing on the earned returns and cash flows.”</w:t>
      </w:r>
      <w:r>
        <w:rPr>
          <w:rStyle w:val="FootnoteReference"/>
          <w:sz w:val="21"/>
          <w:szCs w:val="21"/>
        </w:rPr>
        <w:footnoteReference w:id="17"/>
      </w:r>
    </w:p>
    <w:p w:rsidR="00FE360F" w:rsidRDefault="003C72A1">
      <w:pPr>
        <w:pStyle w:val="Question0"/>
      </w:pPr>
      <w:r>
        <w:t>Q.</w:t>
      </w:r>
      <w:r>
        <w:tab/>
        <w:t>Has the investment community recognized the risks associated with attrition and lag in its evaluation of Avista?</w:t>
      </w:r>
    </w:p>
    <w:p w:rsidR="00FE360F" w:rsidRDefault="003C72A1">
      <w:pPr>
        <w:pStyle w:val="Answer"/>
      </w:pPr>
      <w:r>
        <w:t>A.</w:t>
      </w:r>
      <w:r>
        <w:tab/>
        <w:t>Yes.  In 2010, S&amp;P confirmed that attrition has acted as a drag on Avista’s finances:</w:t>
      </w:r>
    </w:p>
    <w:p w:rsidR="00CD22CE" w:rsidRDefault="003C72A1">
      <w:pPr>
        <w:pStyle w:val="Quote1"/>
      </w:pPr>
      <w:r>
        <w:t xml:space="preserve">Regulatory lag has been a consistent issue for Avista’s utilities, with the utility operations … collectively unable to earn the company’s authorized return on equity (ROE) on a </w:t>
      </w:r>
      <w:r w:rsidR="008036CA">
        <w:t>consolidated</w:t>
      </w:r>
      <w:r>
        <w:t xml:space="preserve"> basis.  On a consolidated basis, average earned ROE over the past three years has been just under 7%, based on Standard &amp; Poor’s Ratings Services’ calculations.</w:t>
      </w:r>
      <w:r>
        <w:rPr>
          <w:rStyle w:val="FootnoteReference"/>
        </w:rPr>
        <w:footnoteReference w:id="18"/>
      </w:r>
    </w:p>
    <w:p w:rsidR="00C6419A" w:rsidRDefault="003C72A1">
      <w:pPr>
        <w:pStyle w:val="Answer"/>
        <w:ind w:firstLine="0"/>
      </w:pPr>
      <w:r>
        <w:t xml:space="preserve">More recently, while acknowledging the financial benefits of the Company’s frequent filing of rate cases, S&amp;P reported a three-year average return on equity of 7.9 percent and </w:t>
      </w:r>
      <w:r>
        <w:lastRenderedPageBreak/>
        <w:t xml:space="preserve">concluded, “The </w:t>
      </w:r>
      <w:proofErr w:type="gramStart"/>
      <w:r>
        <w:t>company’s</w:t>
      </w:r>
      <w:proofErr w:type="gramEnd"/>
      <w:r>
        <w:t xml:space="preserve"> most significant regulatory exposure is in Washington.”</w:t>
      </w:r>
      <w:r>
        <w:rPr>
          <w:rStyle w:val="FootnoteReference"/>
        </w:rPr>
        <w:footnoteReference w:id="19"/>
      </w:r>
      <w:r>
        <w:t xml:space="preserve">  Similarly, Value Line recently noted</w:t>
      </w:r>
      <w:r w:rsidR="00C6419A">
        <w:t>:</w:t>
      </w:r>
    </w:p>
    <w:p w:rsidR="00C6419A" w:rsidRPr="00C6419A" w:rsidRDefault="00C6419A" w:rsidP="00C6419A">
      <w:pPr>
        <w:pStyle w:val="Quote1"/>
      </w:pPr>
      <w:r w:rsidRPr="00C6419A">
        <w:t>The utility needs frequent tariff increases in order to recover rising expenses and place capital spending in the rate base, especially since Washington and Idaho use historical (instead of forward-looking) test years in their ratemaking. Despite frequent rate relief, Avista is still earning mediocre returns on equity.</w:t>
      </w:r>
      <w:r>
        <w:rPr>
          <w:rStyle w:val="FootnoteReference"/>
        </w:rPr>
        <w:footnoteReference w:id="20"/>
      </w:r>
    </w:p>
    <w:p w:rsidR="00FE360F" w:rsidRDefault="003C72A1">
      <w:pPr>
        <w:pStyle w:val="Answer"/>
        <w:ind w:firstLine="0"/>
      </w:pPr>
      <w:r>
        <w:rPr>
          <w:szCs w:val="17"/>
        </w:rPr>
        <w:t xml:space="preserve">Avista’s exposure to attrition is further documented in the testimony of </w:t>
      </w:r>
      <w:r w:rsidR="00C6419A">
        <w:rPr>
          <w:szCs w:val="17"/>
        </w:rPr>
        <w:t xml:space="preserve">Mr. </w:t>
      </w:r>
      <w:r w:rsidR="00941C57">
        <w:rPr>
          <w:szCs w:val="17"/>
        </w:rPr>
        <w:t xml:space="preserve">Kelly </w:t>
      </w:r>
      <w:r w:rsidR="00C6419A">
        <w:rPr>
          <w:szCs w:val="17"/>
        </w:rPr>
        <w:t xml:space="preserve">Norwood and Ms. </w:t>
      </w:r>
      <w:r w:rsidR="00941C57">
        <w:rPr>
          <w:szCs w:val="17"/>
        </w:rPr>
        <w:t xml:space="preserve">Elizabeth </w:t>
      </w:r>
      <w:r w:rsidR="00C6419A">
        <w:rPr>
          <w:szCs w:val="17"/>
        </w:rPr>
        <w:t>Andrews</w:t>
      </w:r>
      <w:r>
        <w:rPr>
          <w:szCs w:val="17"/>
        </w:rPr>
        <w:t>.</w:t>
      </w:r>
    </w:p>
    <w:p w:rsidR="00FE360F" w:rsidRDefault="003C72A1">
      <w:pPr>
        <w:pStyle w:val="Question0"/>
      </w:pPr>
      <w:proofErr w:type="gramStart"/>
      <w:r>
        <w:t>Q.</w:t>
      </w:r>
      <w:r>
        <w:tab/>
        <w:t>How is Avista proposing to address the Company’s exposure to attrition?</w:t>
      </w:r>
      <w:proofErr w:type="gramEnd"/>
    </w:p>
    <w:p w:rsidR="00FE360F" w:rsidRDefault="003C72A1">
      <w:pPr>
        <w:pStyle w:val="Answer"/>
        <w:rPr>
          <w:rStyle w:val="LineNumber"/>
        </w:rPr>
      </w:pPr>
      <w:r>
        <w:t>A.</w:t>
      </w:r>
      <w:r>
        <w:tab/>
        <w:t xml:space="preserve">As discussed in the testimony of </w:t>
      </w:r>
      <w:r w:rsidR="007916CC">
        <w:t xml:space="preserve">Mr. Norwood and </w:t>
      </w:r>
      <w:r w:rsidR="00941C57">
        <w:rPr>
          <w:rStyle w:val="LineNumber"/>
        </w:rPr>
        <w:t xml:space="preserve">Ms. </w:t>
      </w:r>
      <w:r>
        <w:rPr>
          <w:rStyle w:val="LineNumber"/>
        </w:rPr>
        <w:t>Andrews, Avista has included an Attrition Adjustment as part of the proposed revenue requirement.</w:t>
      </w:r>
    </w:p>
    <w:p w:rsidR="00FE360F" w:rsidRDefault="003C72A1">
      <w:pPr>
        <w:pStyle w:val="Question0"/>
      </w:pPr>
      <w:r>
        <w:t>Q.</w:t>
      </w:r>
      <w:r>
        <w:tab/>
        <w:t>Is it reasonable to consider the impact of Avista’s exposure to attrition?</w:t>
      </w:r>
    </w:p>
    <w:p w:rsidR="00FE360F" w:rsidRDefault="003C72A1">
      <w:pPr>
        <w:pStyle w:val="Answer"/>
      </w:pPr>
      <w:r>
        <w:t>A.</w:t>
      </w:r>
      <w:r>
        <w:tab/>
        <w:t>Yes.  Setting rates at a level that considers the impact of attrition and allows the utility an opportunity to actually earn its authorized ROE is consistent with fundamental regulatory principles.  Central to the determination of reasonable rates for utility service is the notion that owners of public utility properties are protected from confiscation.  The Supreme Court has reaffirmed that the end result test must be applied to the actual returns that investors expect if they put their money at risk to finance utilities.</w:t>
      </w:r>
      <w:r>
        <w:rPr>
          <w:rStyle w:val="FootnoteReference"/>
        </w:rPr>
        <w:footnoteReference w:id="21"/>
      </w:r>
      <w:r>
        <w:t xml:space="preserve">  This end result can only be achieved for Avista if the allowed return is sufficient to offset the impact of attrition.  That end result would maintain the utility’s financial integrity, ability to attract capital and </w:t>
      </w:r>
      <w:r>
        <w:lastRenderedPageBreak/>
        <w:t xml:space="preserve">offer investors fair compensation for the risk they bear.  </w:t>
      </w:r>
      <w:r w:rsidR="007916CC">
        <w:t>A</w:t>
      </w:r>
      <w:r>
        <w:t>ttrition will result in under-earning the allowed ROE if the impact of regulatory lag and rising capital requirements are ignored.</w:t>
      </w:r>
    </w:p>
    <w:p w:rsidR="00FE360F" w:rsidRDefault="00CF6582">
      <w:pPr>
        <w:pStyle w:val="Heading2"/>
      </w:pPr>
      <w:bookmarkStart w:id="26" w:name="_Toc292455191"/>
      <w:r>
        <w:t xml:space="preserve">Outlook for </w:t>
      </w:r>
      <w:r w:rsidR="003C72A1">
        <w:t xml:space="preserve">Capital </w:t>
      </w:r>
      <w:r>
        <w:t>Costs</w:t>
      </w:r>
      <w:bookmarkEnd w:id="23"/>
      <w:bookmarkEnd w:id="24"/>
      <w:bookmarkEnd w:id="25"/>
      <w:bookmarkEnd w:id="26"/>
    </w:p>
    <w:p w:rsidR="00CF6582" w:rsidRDefault="00CF6582" w:rsidP="00CF6582">
      <w:pPr>
        <w:pStyle w:val="Question0"/>
      </w:pPr>
      <w:r>
        <w:t>Q.</w:t>
      </w:r>
      <w:r>
        <w:tab/>
        <w:t>Do current capital market conditions provide a representative basis on which to evaluate a fair ROE?</w:t>
      </w:r>
    </w:p>
    <w:p w:rsidR="00CF6582" w:rsidRDefault="00CF6582" w:rsidP="00CF6582">
      <w:pPr>
        <w:pStyle w:val="Answer"/>
      </w:pPr>
      <w:r>
        <w:t>A.</w:t>
      </w:r>
      <w:r>
        <w:tab/>
        <w:t>No.  Current capital market conditions reflect the legacy of the Great Recession, and are not representative of what investors expect in the future.  Investors have had to contend with a level of economic uncertainty and capital market volatility that has been unprecedented in recent history.  The ongoing potential for renewed turmoil in the capital markets has been seen repeatedly, with common stock prices exhibiting the dramatic volatility that is indicative of heightened sensitivity to risk.  In response to heightened uncertainties in recent years, investors</w:t>
      </w:r>
      <w:bookmarkStart w:id="27" w:name="_DV_M172"/>
      <w:bookmarkEnd w:id="27"/>
      <w:r>
        <w:t xml:space="preserve"> have repeatedly sought a safe haven in U.S. government bonds.  As a result of this “flight to safety,” Treasury bond yields have been pushed significantly lower in the face of political, economic, and capital market risks.  In addition, the Federal Reserve has implemented measures designed to push interest rates to historically low levels in an effort to stimulate the economy and bolster employment.</w:t>
      </w:r>
    </w:p>
    <w:p w:rsidR="00CF6582" w:rsidRDefault="00CF6582" w:rsidP="00CF6582">
      <w:pPr>
        <w:pStyle w:val="Question0"/>
      </w:pPr>
      <w:r>
        <w:t>Q.</w:t>
      </w:r>
      <w:r>
        <w:tab/>
        <w:t>How do current yields on public utility bonds compare with what investors have experienced in the past?</w:t>
      </w:r>
    </w:p>
    <w:p w:rsidR="00CF6582" w:rsidRDefault="00CF6582" w:rsidP="00CF6582">
      <w:pPr>
        <w:pStyle w:val="Answer"/>
      </w:pPr>
      <w:r>
        <w:t>A.</w:t>
      </w:r>
      <w:r>
        <w:tab/>
        <w:t>Despite recent increases, the yields on utility bonds remain near their lowest levels in modern history.  Figure 1, below, compares the December 2013 average yield on long-term, triple-B rated utility bonds with those prevailing since 1968:</w:t>
      </w:r>
    </w:p>
    <w:p w:rsidR="00CD22CE" w:rsidRDefault="00CD22CE" w:rsidP="00CF6582">
      <w:pPr>
        <w:pStyle w:val="Answer"/>
      </w:pPr>
    </w:p>
    <w:p w:rsidR="00CF6582" w:rsidRPr="00CF6582" w:rsidRDefault="00CF6582" w:rsidP="00CF6582">
      <w:pPr>
        <w:pStyle w:val="TableCaption"/>
        <w:spacing w:before="0" w:after="0"/>
        <w:rPr>
          <w:rFonts w:ascii="Palatino Linotype" w:hAnsi="Palatino Linotype"/>
        </w:rPr>
      </w:pPr>
      <w:r w:rsidRPr="00CF6582">
        <w:rPr>
          <w:rFonts w:ascii="Palatino Linotype" w:hAnsi="Palatino Linotype"/>
        </w:rPr>
        <w:lastRenderedPageBreak/>
        <w:t>Figure 1</w:t>
      </w:r>
    </w:p>
    <w:p w:rsidR="00CF6582" w:rsidRDefault="00CF6582" w:rsidP="00CF6582">
      <w:pPr>
        <w:pStyle w:val="TableCaption"/>
        <w:spacing w:before="0" w:after="0"/>
        <w:rPr>
          <w:rFonts w:ascii="Palatino Linotype" w:hAnsi="Palatino Linotype"/>
        </w:rPr>
      </w:pPr>
      <w:proofErr w:type="gramStart"/>
      <w:r w:rsidRPr="00CF6582">
        <w:rPr>
          <w:rFonts w:ascii="Palatino Linotype" w:hAnsi="Palatino Linotype"/>
        </w:rPr>
        <w:t>bbb utility bond yields – current vs.</w:t>
      </w:r>
      <w:proofErr w:type="gramEnd"/>
      <w:r w:rsidRPr="00CF6582">
        <w:rPr>
          <w:rFonts w:ascii="Palatino Linotype" w:hAnsi="Palatino Linotype"/>
        </w:rPr>
        <w:t xml:space="preserve"> historical</w:t>
      </w:r>
    </w:p>
    <w:p w:rsidR="00CD22CE" w:rsidRDefault="00CD22CE" w:rsidP="00CD22CE">
      <w:pPr>
        <w:pStyle w:val="Table"/>
      </w:pPr>
      <w:r>
        <w:rPr>
          <w:noProof/>
        </w:rPr>
        <w:drawing>
          <wp:anchor distT="0" distB="0" distL="114300" distR="114300" simplePos="0" relativeHeight="251660288" behindDoc="0" locked="0" layoutInCell="1" allowOverlap="1">
            <wp:simplePos x="0" y="0"/>
            <wp:positionH relativeFrom="column">
              <wp:posOffset>118110</wp:posOffset>
            </wp:positionH>
            <wp:positionV relativeFrom="paragraph">
              <wp:posOffset>3810</wp:posOffset>
            </wp:positionV>
            <wp:extent cx="5360035" cy="28060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60035" cy="2806065"/>
                    </a:xfrm>
                    <a:prstGeom prst="rect">
                      <a:avLst/>
                    </a:prstGeom>
                    <a:noFill/>
                    <a:ln>
                      <a:noFill/>
                    </a:ln>
                  </pic:spPr>
                </pic:pic>
              </a:graphicData>
            </a:graphic>
          </wp:anchor>
        </w:drawing>
      </w:r>
    </w:p>
    <w:p w:rsidR="00CD22CE" w:rsidRDefault="00CD22CE" w:rsidP="00CF6582">
      <w:pPr>
        <w:pStyle w:val="Answer"/>
        <w:ind w:firstLine="0"/>
      </w:pPr>
    </w:p>
    <w:p w:rsidR="00CD22CE" w:rsidRDefault="00CD22CE" w:rsidP="00CF6582">
      <w:pPr>
        <w:pStyle w:val="Answer"/>
        <w:ind w:firstLine="0"/>
      </w:pPr>
    </w:p>
    <w:p w:rsidR="00CD22CE" w:rsidRDefault="00CD22CE" w:rsidP="00CF6582">
      <w:pPr>
        <w:pStyle w:val="Answer"/>
        <w:ind w:firstLine="0"/>
      </w:pPr>
    </w:p>
    <w:p w:rsidR="00CD22CE" w:rsidRDefault="00CD22CE" w:rsidP="00CF6582">
      <w:pPr>
        <w:pStyle w:val="Answer"/>
        <w:ind w:firstLine="0"/>
      </w:pPr>
    </w:p>
    <w:p w:rsidR="00CD22CE" w:rsidRDefault="00CD22CE" w:rsidP="00CF6582">
      <w:pPr>
        <w:pStyle w:val="Answer"/>
        <w:ind w:firstLine="0"/>
      </w:pPr>
    </w:p>
    <w:p w:rsidR="00CD22CE" w:rsidRDefault="00CD22CE" w:rsidP="00CF6582">
      <w:pPr>
        <w:pStyle w:val="Answer"/>
        <w:ind w:firstLine="0"/>
      </w:pPr>
    </w:p>
    <w:p w:rsidR="00CD22CE" w:rsidRDefault="00CD22CE" w:rsidP="00CF6582">
      <w:pPr>
        <w:pStyle w:val="Answer"/>
        <w:ind w:firstLine="0"/>
      </w:pPr>
    </w:p>
    <w:p w:rsidR="00CD22CE" w:rsidRDefault="00CD22CE" w:rsidP="00CF6582">
      <w:pPr>
        <w:pStyle w:val="Answer"/>
        <w:ind w:firstLine="0"/>
      </w:pPr>
    </w:p>
    <w:p w:rsidR="00CF6582" w:rsidRDefault="00CF6582" w:rsidP="00CF6582">
      <w:pPr>
        <w:pStyle w:val="Answer"/>
        <w:ind w:firstLine="0"/>
      </w:pPr>
      <w:r>
        <w:t xml:space="preserve">As illustrated above, prevailing capital market conditions, as reflected in the yields on triple-B utility bonds, are an anomaly when compared with historical experience.  </w:t>
      </w:r>
    </w:p>
    <w:p w:rsidR="00CF6582" w:rsidRDefault="00CF6582" w:rsidP="00CF6582">
      <w:pPr>
        <w:pStyle w:val="Question0"/>
      </w:pPr>
      <w:r>
        <w:t>Q.</w:t>
      </w:r>
      <w:r>
        <w:tab/>
        <w:t>Are these very low interest rates expected to continue?</w:t>
      </w:r>
    </w:p>
    <w:p w:rsidR="00CF6582" w:rsidRDefault="00CF6582" w:rsidP="00CF6582">
      <w:pPr>
        <w:pStyle w:val="Answer"/>
      </w:pPr>
      <w:r>
        <w:t>A.</w:t>
      </w:r>
      <w:r>
        <w:tab/>
        <w:t>No.  Investors do not anticipate that these low interest rates will continue into the future.  It is widely anticipated that as the economy stabilizes and resumes a more robust pattern of growth, long-term capital costs will increase significantly from present levels.  Figure 2 below compares current interest rates on 30-year Treasury bonds, triple-A rated corporate bonds, and double-A rated utility bonds with near-term projections from the Value Line Investment Survey (“Value Line”), IHS Global Insight, Blue Chip Financial Forecasts (“Blue Chip”), and the Energy Information Administration (“EIA”):</w:t>
      </w:r>
    </w:p>
    <w:p w:rsidR="00B16048" w:rsidRDefault="00B16048" w:rsidP="00CF6582">
      <w:pPr>
        <w:pStyle w:val="Answer"/>
      </w:pPr>
    </w:p>
    <w:p w:rsidR="00B16048" w:rsidRDefault="00B16048" w:rsidP="00CF6582">
      <w:pPr>
        <w:pStyle w:val="Answer"/>
      </w:pPr>
    </w:p>
    <w:p w:rsidR="00B16048" w:rsidRDefault="00B16048" w:rsidP="00CF6582">
      <w:pPr>
        <w:pStyle w:val="Answer"/>
      </w:pPr>
    </w:p>
    <w:p w:rsidR="00CF6582" w:rsidRPr="00B513BB" w:rsidRDefault="00CF6582" w:rsidP="00B513BB">
      <w:pPr>
        <w:pStyle w:val="TableCaption"/>
        <w:spacing w:before="0" w:after="0"/>
        <w:rPr>
          <w:rFonts w:ascii="Palatino Linotype" w:hAnsi="Palatino Linotype"/>
        </w:rPr>
      </w:pPr>
      <w:r w:rsidRPr="00B513BB">
        <w:rPr>
          <w:rFonts w:ascii="Palatino Linotype" w:hAnsi="Palatino Linotype"/>
        </w:rPr>
        <w:lastRenderedPageBreak/>
        <w:t>figure 2</w:t>
      </w:r>
    </w:p>
    <w:p w:rsidR="00CF6582" w:rsidRDefault="00CF6582" w:rsidP="00B513BB">
      <w:pPr>
        <w:pStyle w:val="TableCaption"/>
        <w:spacing w:before="0" w:after="0"/>
        <w:rPr>
          <w:rFonts w:ascii="Palatino Linotype" w:hAnsi="Palatino Linotype"/>
        </w:rPr>
      </w:pPr>
      <w:r w:rsidRPr="00B513BB">
        <w:rPr>
          <w:rFonts w:ascii="Palatino Linotype" w:hAnsi="Palatino Linotype"/>
        </w:rPr>
        <w:t>INTEREST RATE TRENDS</w:t>
      </w:r>
    </w:p>
    <w:p w:rsidR="00B16048" w:rsidRDefault="00B16048" w:rsidP="00B16048">
      <w:pPr>
        <w:pStyle w:val="Table"/>
        <w:spacing w:line="480" w:lineRule="auto"/>
      </w:pPr>
      <w:r>
        <w:rPr>
          <w:noProof/>
        </w:rPr>
        <w:drawing>
          <wp:anchor distT="0" distB="0" distL="114300" distR="114300" simplePos="0" relativeHeight="251661312" behindDoc="0" locked="0" layoutInCell="1" allowOverlap="1">
            <wp:simplePos x="0" y="0"/>
            <wp:positionH relativeFrom="column">
              <wp:posOffset>-55245</wp:posOffset>
            </wp:positionH>
            <wp:positionV relativeFrom="paragraph">
              <wp:posOffset>3810</wp:posOffset>
            </wp:positionV>
            <wp:extent cx="5722620" cy="3594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2620" cy="3594100"/>
                    </a:xfrm>
                    <a:prstGeom prst="rect">
                      <a:avLst/>
                    </a:prstGeom>
                    <a:noFill/>
                    <a:ln>
                      <a:noFill/>
                    </a:ln>
                  </pic:spPr>
                </pic:pic>
              </a:graphicData>
            </a:graphic>
          </wp:anchor>
        </w:drawing>
      </w:r>
    </w:p>
    <w:p w:rsidR="00B16048" w:rsidRDefault="00B16048" w:rsidP="00B16048">
      <w:pPr>
        <w:pStyle w:val="Table"/>
        <w:spacing w:line="480" w:lineRule="auto"/>
      </w:pPr>
    </w:p>
    <w:p w:rsidR="00B16048" w:rsidRDefault="00B16048" w:rsidP="00B16048">
      <w:pPr>
        <w:pStyle w:val="Table"/>
        <w:spacing w:line="480" w:lineRule="auto"/>
      </w:pPr>
    </w:p>
    <w:p w:rsidR="00B16048" w:rsidRDefault="00B16048" w:rsidP="00B16048">
      <w:pPr>
        <w:pStyle w:val="Table"/>
        <w:spacing w:line="480" w:lineRule="auto"/>
      </w:pPr>
    </w:p>
    <w:p w:rsidR="00B16048" w:rsidRDefault="00B16048" w:rsidP="00B16048">
      <w:pPr>
        <w:pStyle w:val="Table"/>
        <w:spacing w:line="480" w:lineRule="auto"/>
      </w:pPr>
    </w:p>
    <w:p w:rsidR="00B16048" w:rsidRDefault="00B16048" w:rsidP="00B16048">
      <w:pPr>
        <w:pStyle w:val="Table"/>
        <w:spacing w:line="480" w:lineRule="auto"/>
      </w:pPr>
    </w:p>
    <w:p w:rsidR="00B16048" w:rsidRDefault="00B16048" w:rsidP="00B16048">
      <w:pPr>
        <w:pStyle w:val="Table"/>
        <w:spacing w:line="480" w:lineRule="auto"/>
      </w:pPr>
    </w:p>
    <w:p w:rsidR="00B16048" w:rsidRDefault="00B16048" w:rsidP="00B16048">
      <w:pPr>
        <w:pStyle w:val="Table"/>
        <w:spacing w:line="480" w:lineRule="auto"/>
      </w:pPr>
    </w:p>
    <w:p w:rsidR="00B16048" w:rsidRDefault="00B16048" w:rsidP="00B16048">
      <w:pPr>
        <w:pStyle w:val="Table"/>
        <w:spacing w:line="480" w:lineRule="auto"/>
      </w:pPr>
    </w:p>
    <w:p w:rsidR="00B16048" w:rsidRDefault="00B16048" w:rsidP="00B16048">
      <w:pPr>
        <w:pStyle w:val="Table"/>
        <w:spacing w:line="480" w:lineRule="auto"/>
      </w:pPr>
    </w:p>
    <w:p w:rsidR="00B16048" w:rsidRDefault="00B16048" w:rsidP="00B16048">
      <w:pPr>
        <w:widowControl w:val="0"/>
        <w:suppressLineNumbers/>
        <w:spacing w:after="240" w:line="480" w:lineRule="auto"/>
        <w:jc w:val="right"/>
      </w:pPr>
    </w:p>
    <w:p w:rsidR="00B16048" w:rsidRDefault="00B16048" w:rsidP="00B16048">
      <w:pPr>
        <w:pStyle w:val="Answer"/>
      </w:pPr>
    </w:p>
    <w:p w:rsidR="00CF6582" w:rsidRDefault="00CF6582" w:rsidP="00B16048">
      <w:pPr>
        <w:pStyle w:val="Answer"/>
      </w:pPr>
      <w:r>
        <w:t xml:space="preserve">These forecasting services are highly regarded and widely referenced, with the Federal Energy Regulatory Commission (“FERC”) incorporating forecasts from IHS Global Insight and the EIA in its preferred DCF model for natural gas pipelines.  As evidenced above, there is a clear consensus in the investment community that the cost of long-term capital will be significantly higher over 2014-2018 than it is currently.  </w:t>
      </w:r>
    </w:p>
    <w:p w:rsidR="00CF6582" w:rsidRDefault="00CF6582" w:rsidP="00CF6582">
      <w:pPr>
        <w:pStyle w:val="Question0"/>
      </w:pPr>
      <w:r>
        <w:t>Q.</w:t>
      </w:r>
      <w:r>
        <w:tab/>
        <w:t xml:space="preserve">Do recent actions of the Federal Reserve support the contention that current low interest rates will continue indefinitely? </w:t>
      </w:r>
    </w:p>
    <w:p w:rsidR="00CF6582" w:rsidRDefault="00CF6582" w:rsidP="00CF6582">
      <w:pPr>
        <w:pStyle w:val="Answer"/>
      </w:pPr>
      <w:r>
        <w:t>A.</w:t>
      </w:r>
      <w:r>
        <w:tab/>
        <w:t xml:space="preserve">No.  While the Federal Reserve continues to express support for maintaining highly accommodative monetary policy and an exceptionally low target range for the federal </w:t>
      </w:r>
      <w:r>
        <w:lastRenderedPageBreak/>
        <w:t xml:space="preserve">funds rate, it has also </w:t>
      </w:r>
      <w:r w:rsidR="00B73792">
        <w:t>began to</w:t>
      </w:r>
      <w:r>
        <w:t xml:space="preserve"> </w:t>
      </w:r>
      <w:r w:rsidR="00B73792">
        <w:t xml:space="preserve">pare </w:t>
      </w:r>
      <w:r w:rsidR="009F03F1">
        <w:t xml:space="preserve">back </w:t>
      </w:r>
      <w:r>
        <w:t>its $85 billion-a-month bond-buying program.</w:t>
      </w:r>
      <w:r>
        <w:rPr>
          <w:rStyle w:val="FootnoteReference"/>
        </w:rPr>
        <w:footnoteReference w:id="22"/>
      </w:r>
      <w:r>
        <w:t xml:space="preserve">  The Federal Reserve’s decision</w:t>
      </w:r>
      <w:r w:rsidR="009F03F1">
        <w:t>s</w:t>
      </w:r>
      <w:r>
        <w:t xml:space="preserve"> to taper </w:t>
      </w:r>
      <w:r w:rsidRPr="00D419C8">
        <w:t>its</w:t>
      </w:r>
      <w:r>
        <w:t xml:space="preserve"> asset purchases </w:t>
      </w:r>
      <w:r w:rsidR="009F03F1">
        <w:t xml:space="preserve">were </w:t>
      </w:r>
      <w:r>
        <w:t>based on improving conditions for employment and the economy.  Reductions in the Federal Reserve’s bond buying program should ease downward pressure on long-term interest rates, with The Wall Street Journal observing that:</w:t>
      </w:r>
    </w:p>
    <w:p w:rsidR="00CF6582" w:rsidRDefault="00CF6582" w:rsidP="00CF6582">
      <w:pPr>
        <w:pStyle w:val="Quote1"/>
      </w:pPr>
      <w:r>
        <w:t>The Fed’s decision to begin trimming its $85 billion monthly bond-buying program is widely expected to result in higher medium-term and long-term market interest rates.  That means many borrowers, from home buyers to businesses, will be paying higher rates in the near future.</w:t>
      </w:r>
      <w:r>
        <w:rPr>
          <w:rStyle w:val="FootnoteReference"/>
        </w:rPr>
        <w:footnoteReference w:id="23"/>
      </w:r>
    </w:p>
    <w:p w:rsidR="00CF6582" w:rsidRDefault="00CF6582" w:rsidP="00CF6582">
      <w:pPr>
        <w:pStyle w:val="Answer"/>
      </w:pPr>
      <w:r>
        <w:t>While the Federal Reserve’s tapering announcement eased uncertainties over just when, and to what degree, the stimulus program would be modified, investors continue to face ongoing uncertainties over future moves.  The International Monetary Fund noted that, “A lack of Fed clarity could cause a major spike in borrowing costs that could cause severe damage to the U.S. recovery and send destructive shockwaves around the global economy,” adding that, “A smooth and gradual upward shift in the yield curve might be difficult to engineer, and there could be periods of higher volatility when longer yields jump sharply—as recent events suggest.”</w:t>
      </w:r>
      <w:r>
        <w:rPr>
          <w:rStyle w:val="FootnoteReference"/>
          <w:szCs w:val="22"/>
        </w:rPr>
        <w:footnoteReference w:id="24"/>
      </w:r>
      <w:r>
        <w:t xml:space="preserve">  </w:t>
      </w:r>
    </w:p>
    <w:p w:rsidR="00CF6582" w:rsidRDefault="00CF6582" w:rsidP="00CF6582">
      <w:pPr>
        <w:pStyle w:val="Answer"/>
      </w:pPr>
      <w:bookmarkStart w:id="28" w:name="_DV_M195"/>
      <w:bookmarkEnd w:id="28"/>
      <w:r>
        <w:t>These developments highlight concerns for investors and support</w:t>
      </w:r>
      <w:r w:rsidR="007D3FAE">
        <w:t xml:space="preserve"> </w:t>
      </w:r>
      <w:r>
        <w:t xml:space="preserve">expectations for higher interest rates as the economy and labor markets continue to recover.  With the Federal Reserve continuing to evaluate additional tapering of its bond-buying program, ongoing concerns over political stalemate in Washington, and continued economic weakness in the </w:t>
      </w:r>
      <w:r>
        <w:lastRenderedPageBreak/>
        <w:t>Eurozone, the potential for significant volatility and higher capital costs is clearly evident to investors.</w:t>
      </w:r>
    </w:p>
    <w:p w:rsidR="00CF6582" w:rsidRDefault="00CF6582" w:rsidP="00CF6582">
      <w:pPr>
        <w:pStyle w:val="Question0"/>
      </w:pPr>
      <w:r>
        <w:t>Q.</w:t>
      </w:r>
      <w:r>
        <w:tab/>
        <w:t>What do these events imply with respect to the ROE for Avista more generally?</w:t>
      </w:r>
    </w:p>
    <w:p w:rsidR="00CF6582" w:rsidRDefault="00CF6582" w:rsidP="00CF6582">
      <w:pPr>
        <w:pStyle w:val="Answer"/>
      </w:pPr>
      <w:r>
        <w:t>A.</w:t>
      </w:r>
      <w:r>
        <w:tab/>
        <w:t xml:space="preserve">Current capital market conditions continue to reflect the impact of unprecedented </w:t>
      </w:r>
      <w:r w:rsidRPr="00D419C8">
        <w:t>policy</w:t>
      </w:r>
      <w:r>
        <w:t xml:space="preserve"> measures taken in response to recent dislocations in the economy and financial markets.  As a result, current capital costs are not representative of what is likely to prevail over the near-term future.  This conclusion is supported by comparisons of current conditions to the historical record and independent forecasts.  As demonstrated </w:t>
      </w:r>
      <w:r w:rsidR="007D3FAE">
        <w:t>above</w:t>
      </w:r>
      <w:r>
        <w:t xml:space="preserve">, recognized economic forecasting services project that long-term capital costs will increase from present levels.  To address the reality of current capital markets, the WUTC should consider forecasts for </w:t>
      </w:r>
      <w:r w:rsidR="009F03F1">
        <w:t xml:space="preserve">higher </w:t>
      </w:r>
      <w:r>
        <w:t xml:space="preserve">public utility bond yields in assessing the reasonableness of individual cost of equity estimates and in evaluating a fair ROE for Avista from within the range of reasonableness.  As discussed below, this result is supported by economic studies that show that equity risk premiums are higher when interest rates are at very low levels. </w:t>
      </w:r>
    </w:p>
    <w:p w:rsidR="00FE360F" w:rsidRDefault="003C72A1">
      <w:pPr>
        <w:pStyle w:val="Question0"/>
        <w:rPr>
          <w:b w:val="0"/>
        </w:rPr>
      </w:pPr>
      <w:r>
        <w:t>Q</w:t>
      </w:r>
      <w:r>
        <w:tab/>
        <w:t>Do</w:t>
      </w:r>
      <w:r w:rsidR="007D3FAE">
        <w:t xml:space="preserve"> ongoing economic and capital market uncertainties </w:t>
      </w:r>
      <w:r>
        <w:t>also influence the appropriate capital structure for Avista?</w:t>
      </w:r>
    </w:p>
    <w:p w:rsidR="00FE360F" w:rsidRDefault="003C72A1" w:rsidP="007D3FAE">
      <w:pPr>
        <w:pStyle w:val="Answer"/>
      </w:pPr>
      <w:proofErr w:type="gramStart"/>
      <w:r>
        <w:t>A</w:t>
      </w:r>
      <w:r>
        <w:tab/>
        <w:t>Yes.</w:t>
      </w:r>
      <w:proofErr w:type="gramEnd"/>
      <w:r>
        <w:t xml:space="preserve">  Financial flexibility plays a crucial role in ensuring the wherewithal to meet funding needs, and utilities with higher financial leverage may be foreclosed from additional borrowing, especially during times of stress.  As a result, the Company’s capital structure must maintain an equity “cushion” that preserves the flexibility necessary to maintain continuous access to capital even during times of unfavorable market conditions.</w:t>
      </w:r>
    </w:p>
    <w:p w:rsidR="00FE360F" w:rsidRDefault="003C72A1">
      <w:pPr>
        <w:pStyle w:val="Heading2"/>
      </w:pPr>
      <w:bookmarkStart w:id="29" w:name="_Toc292455192"/>
      <w:r>
        <w:lastRenderedPageBreak/>
        <w:t xml:space="preserve">Support </w:t>
      </w:r>
      <w:proofErr w:type="gramStart"/>
      <w:r>
        <w:t>For</w:t>
      </w:r>
      <w:proofErr w:type="gramEnd"/>
      <w:r>
        <w:t xml:space="preserve"> Avista’s Credit Standing</w:t>
      </w:r>
      <w:bookmarkEnd w:id="29"/>
    </w:p>
    <w:p w:rsidR="00FE360F" w:rsidRDefault="003C72A1">
      <w:pPr>
        <w:pStyle w:val="Question0"/>
        <w:spacing w:line="480" w:lineRule="auto"/>
      </w:pPr>
      <w:r>
        <w:t>Q.</w:t>
      </w:r>
      <w:r>
        <w:tab/>
        <w:t>What credit ratings have been assigned to Avista?</w:t>
      </w:r>
    </w:p>
    <w:p w:rsidR="00FE360F" w:rsidRDefault="003C72A1">
      <w:pPr>
        <w:pStyle w:val="Answer"/>
      </w:pPr>
      <w:r>
        <w:rPr>
          <w:szCs w:val="26"/>
        </w:rPr>
        <w:t>A.</w:t>
      </w:r>
      <w:r>
        <w:rPr>
          <w:szCs w:val="26"/>
        </w:rPr>
        <w:tab/>
        <w:t xml:space="preserve">S&amp;P has assigned Avista a corporate credit rating of “BBB”, while </w:t>
      </w:r>
      <w:r>
        <w:t>Moody’s has set Avista’s Issuer Rating at “Baa2”.</w:t>
      </w:r>
      <w:r>
        <w:rPr>
          <w:rStyle w:val="FootnoteReference"/>
        </w:rPr>
        <w:footnoteReference w:id="25"/>
      </w:r>
      <w:r>
        <w:t xml:space="preserve"> </w:t>
      </w:r>
      <w:r>
        <w:rPr>
          <w:szCs w:val="26"/>
        </w:rPr>
        <w:t xml:space="preserve"> </w:t>
      </w:r>
    </w:p>
    <w:p w:rsidR="00FE360F" w:rsidRDefault="003C72A1">
      <w:pPr>
        <w:pStyle w:val="Question0"/>
      </w:pPr>
      <w:r>
        <w:t>Q.</w:t>
      </w:r>
      <w:r>
        <w:tab/>
        <w:t xml:space="preserve">How </w:t>
      </w:r>
      <w:proofErr w:type="gramStart"/>
      <w:r>
        <w:t>have</w:t>
      </w:r>
      <w:proofErr w:type="gramEnd"/>
      <w:r>
        <w:t xml:space="preserve"> investors’ risk perceptions for firms involved in the utility industry evolved?</w:t>
      </w:r>
    </w:p>
    <w:p w:rsidR="00FE360F" w:rsidRDefault="003C72A1">
      <w:pPr>
        <w:pStyle w:val="Answer"/>
      </w:pPr>
      <w:r>
        <w:rPr>
          <w:rFonts w:cs="Arial"/>
        </w:rPr>
        <w:t>A.</w:t>
      </w:r>
      <w:r>
        <w:rPr>
          <w:rFonts w:cs="Arial"/>
        </w:rPr>
        <w:tab/>
        <w:t xml:space="preserve">Numerous challenges impact investors’ perceptions of the relative risks inherent in the utility industry and have implication for the financial standing of the utilities themselves.  </w:t>
      </w:r>
      <w:r>
        <w:t>In December 2009, S&amp;P observed with respect to the industry’s future that:</w:t>
      </w:r>
    </w:p>
    <w:p w:rsidR="00FE360F" w:rsidRDefault="003C72A1">
      <w:pPr>
        <w:pStyle w:val="Quote1"/>
      </w:pPr>
      <w:r>
        <w:t>Looming costs associated with environmental compliance, slack demand caused by economic weakness, the potential for permanent demand destruction caused by changes in consumer behavior and closing of manufacturing facilities, and numerous regulatory filings seeking recovery of costs are some of the significant challenges the industry has to deal with.</w:t>
      </w:r>
      <w:r>
        <w:rPr>
          <w:rStyle w:val="FootnoteReference"/>
        </w:rPr>
        <w:footnoteReference w:id="26"/>
      </w:r>
    </w:p>
    <w:p w:rsidR="00FE360F" w:rsidRDefault="003C72A1">
      <w:pPr>
        <w:pStyle w:val="Answer2"/>
        <w:ind w:firstLine="0"/>
      </w:pPr>
      <w:r>
        <w:t>Similarly, Moody’s noted:</w:t>
      </w:r>
    </w:p>
    <w:p w:rsidR="00FE360F" w:rsidRDefault="003C72A1">
      <w:pPr>
        <w:pStyle w:val="Quote1"/>
      </w:pPr>
      <w:r>
        <w:t xml:space="preserve">[A] </w:t>
      </w:r>
      <w:proofErr w:type="gramStart"/>
      <w:r>
        <w:t>sustained</w:t>
      </w:r>
      <w:proofErr w:type="gramEnd"/>
      <w:r>
        <w:t xml:space="preserve"> period of sluggish economic growth, characterized by high unemployment, could stress the sector’s recovery prospects, financial performance, and credit ratings.  The </w:t>
      </w:r>
      <w:proofErr w:type="gramStart"/>
      <w:r>
        <w:t>quality of the sector’s cash flows are</w:t>
      </w:r>
      <w:proofErr w:type="gramEnd"/>
      <w:r>
        <w:t xml:space="preserve"> already showing signs of decline, partly because of higher operating costs and investments.</w:t>
      </w:r>
      <w:r>
        <w:rPr>
          <w:rStyle w:val="FootnoteReference"/>
        </w:rPr>
        <w:footnoteReference w:id="27"/>
      </w:r>
    </w:p>
    <w:p w:rsidR="00FE360F" w:rsidRDefault="003C72A1">
      <w:pPr>
        <w:pStyle w:val="Answer"/>
        <w:ind w:firstLine="0"/>
      </w:pPr>
      <w:r>
        <w:t>More</w:t>
      </w:r>
      <w:r w:rsidR="009F03F1">
        <w:t>over</w:t>
      </w:r>
      <w:r>
        <w:t xml:space="preserve">, Moody’s </w:t>
      </w:r>
      <w:r w:rsidR="009F03F1">
        <w:t xml:space="preserve">has </w:t>
      </w:r>
      <w:r>
        <w:t>concluded</w:t>
      </w:r>
      <w:r w:rsidR="009F03F1">
        <w:t xml:space="preserve"> that</w:t>
      </w:r>
      <w:r>
        <w:t>, “we also see the sector’s overall business and operating risks increasing.”</w:t>
      </w:r>
      <w:r>
        <w:rPr>
          <w:rStyle w:val="FootnoteReference"/>
        </w:rPr>
        <w:footnoteReference w:id="28"/>
      </w:r>
    </w:p>
    <w:p w:rsidR="00FE360F" w:rsidRDefault="003C72A1">
      <w:pPr>
        <w:pStyle w:val="Question0"/>
        <w:spacing w:line="480" w:lineRule="auto"/>
      </w:pPr>
      <w:r>
        <w:lastRenderedPageBreak/>
        <w:t>Q.</w:t>
      </w:r>
      <w:r>
        <w:tab/>
        <w:t>What are the implications for Avista, given the potential for further dislocations in the capital markets?</w:t>
      </w:r>
    </w:p>
    <w:p w:rsidR="00FE360F" w:rsidRDefault="003C72A1">
      <w:pPr>
        <w:pStyle w:val="Answer"/>
        <w:rPr>
          <w:szCs w:val="26"/>
        </w:rPr>
      </w:pPr>
      <w:r>
        <w:t>A.</w:t>
      </w:r>
      <w:r>
        <w:tab/>
        <w:t>As documented in the testimony of Mr. Thies, t</w:t>
      </w:r>
      <w:r>
        <w:rPr>
          <w:szCs w:val="26"/>
        </w:rPr>
        <w:t xml:space="preserve">he Company’s prolonged efforts to regain investment grade ratings and improve its financial stature have been successful.  Nevertheless, continued support for Avista’s financial integrity and credit standing is imperative to ensure the Company’s capability to confront potential challenges. </w:t>
      </w:r>
    </w:p>
    <w:p w:rsidR="00FE360F" w:rsidRDefault="003C72A1">
      <w:pPr>
        <w:pStyle w:val="Answer"/>
      </w:pPr>
      <w:r>
        <w:t xml:space="preserve">The pressures of significant capital expenditure requirements reinforce the importance of supporting continued improvement in Avista’s credit standing.  Investors understand from past experience in the utility industry that large capital needs can lead to significant deterioration in financial integrity that can constrain access to capital, especially during times of unfavorable capital market conditions.  Considering the uncertain state of financial markets, competition with other investment alternatives, and investors’ sensitivity to the potential for market volatility, greater credit strength is a key ingredient in maintaining access to capital at reasonable cost.  </w:t>
      </w:r>
    </w:p>
    <w:p w:rsidR="00FE360F" w:rsidRDefault="003C72A1">
      <w:pPr>
        <w:pStyle w:val="Answer"/>
      </w:pPr>
      <w:r>
        <w:rPr>
          <w:szCs w:val="26"/>
        </w:rPr>
        <w:t xml:space="preserve">As Mr. Thies confirms in his testimony, continued regulatory support will be a key driver in solidifying Avista’s financial health, which serves as a critical </w:t>
      </w:r>
      <w:r>
        <w:t xml:space="preserve">backstop in the event of a recurring capital market crisis or other operating challenges, such as poor hydro conditions or increased capital outlays.  </w:t>
      </w:r>
    </w:p>
    <w:p w:rsidR="00FE360F" w:rsidRDefault="003C72A1">
      <w:pPr>
        <w:pStyle w:val="Question0"/>
        <w:spacing w:line="480" w:lineRule="auto"/>
      </w:pPr>
      <w:r>
        <w:t>Q.</w:t>
      </w:r>
      <w:r>
        <w:tab/>
        <w:t>What role does regulation play in ensuring that Avista has access to capital under reasonable terms and on a sustainable basis?</w:t>
      </w:r>
    </w:p>
    <w:p w:rsidR="00FE360F" w:rsidRDefault="003C72A1">
      <w:pPr>
        <w:pStyle w:val="Answer"/>
      </w:pPr>
      <w:r>
        <w:t>A.</w:t>
      </w:r>
      <w:r>
        <w:tab/>
        <w:t xml:space="preserve">The major rating agencies have warned of exposure to uncertainties associated with political and regulatory developments.  Investors recognize that constructive regulation is a key ingredient in supporting utility credit ratings and financial integrity, particularly </w:t>
      </w:r>
      <w:r>
        <w:lastRenderedPageBreak/>
        <w:t>during times of adverse conditions.  With respect to Avista specifically, the major bond rating agencies have explicitly cited the potential that adverse regulatory rulings could compromise the Company’s credit standing, with Moody’s concluding that, “Avista’s ratings could be negatively impacted if the level of regulatory support wanes.”</w:t>
      </w:r>
      <w:r>
        <w:rPr>
          <w:rStyle w:val="FootnoteReference"/>
        </w:rPr>
        <w:footnoteReference w:id="29"/>
      </w:r>
      <w:r>
        <w:t xml:space="preserve">  S&amp;P observed that management of Avista’s regulatory relationships “is a critical underpinning of its investment-grade credit quality.”</w:t>
      </w:r>
      <w:r>
        <w:rPr>
          <w:rStyle w:val="FootnoteReference"/>
        </w:rPr>
        <w:footnoteReference w:id="30"/>
      </w:r>
    </w:p>
    <w:p w:rsidR="00FE360F" w:rsidRDefault="003C72A1">
      <w:pPr>
        <w:pStyle w:val="Answer"/>
        <w:rPr>
          <w:szCs w:val="26"/>
        </w:rPr>
      </w:pPr>
      <w:r>
        <w:rPr>
          <w:szCs w:val="26"/>
        </w:rPr>
        <w:t xml:space="preserve">As Mr. Thies confirms in his testimony, regulatory support will be a key driver in securing additional improvement in the Company’s financial health.  </w:t>
      </w:r>
      <w:r w:rsidR="00CF1AF5">
        <w:rPr>
          <w:szCs w:val="26"/>
        </w:rPr>
        <w:t>For example, a utility’s “regulatory framework” and its “ability to recover costs and earn returns” account for 50 percent of the factor weighting under Moody’s rating methodology.</w:t>
      </w:r>
      <w:r w:rsidR="00CF1AF5">
        <w:rPr>
          <w:rStyle w:val="FootnoteReference"/>
          <w:szCs w:val="26"/>
        </w:rPr>
        <w:footnoteReference w:id="31"/>
      </w:r>
      <w:r w:rsidR="00CF1AF5">
        <w:rPr>
          <w:szCs w:val="26"/>
        </w:rPr>
        <w:t xml:space="preserve">  </w:t>
      </w:r>
      <w:r>
        <w:rPr>
          <w:szCs w:val="26"/>
        </w:rPr>
        <w:t>Further strengthening Avista’s financial integrity is imperative to ensure that the Company has the capability to maintain an investment grade rating while confronting large capital expenditures and other potential challenges.</w:t>
      </w:r>
    </w:p>
    <w:p w:rsidR="00FE360F" w:rsidRDefault="003C72A1">
      <w:pPr>
        <w:pStyle w:val="Question0"/>
        <w:spacing w:line="480" w:lineRule="auto"/>
      </w:pPr>
      <w:r>
        <w:t>Q.</w:t>
      </w:r>
      <w:r>
        <w:tab/>
        <w:t>Do customers benefit by enhancing the utility’s financial flexibility?</w:t>
      </w:r>
    </w:p>
    <w:p w:rsidR="00FE360F" w:rsidRDefault="003C72A1">
      <w:pPr>
        <w:pStyle w:val="Answer"/>
        <w:rPr>
          <w:szCs w:val="26"/>
        </w:rPr>
      </w:pPr>
      <w:r>
        <w:rPr>
          <w:szCs w:val="26"/>
        </w:rPr>
        <w:t>A.</w:t>
      </w:r>
      <w:r>
        <w:rPr>
          <w:szCs w:val="26"/>
        </w:rPr>
        <w:tab/>
        <w:t xml:space="preserve">Yes.  </w:t>
      </w:r>
      <w:r w:rsidR="009F03F1">
        <w:rPr>
          <w:szCs w:val="26"/>
        </w:rPr>
        <w:t>P</w:t>
      </w:r>
      <w:r>
        <w:rPr>
          <w:szCs w:val="26"/>
        </w:rPr>
        <w:t>roviding an ROE that is sufficient to maintain Avista’s ability to attract capital</w:t>
      </w:r>
      <w:r w:rsidR="009F03F1">
        <w:rPr>
          <w:szCs w:val="26"/>
        </w:rPr>
        <w:t xml:space="preserve"> under reasonable terms</w:t>
      </w:r>
      <w:r>
        <w:rPr>
          <w:szCs w:val="26"/>
        </w:rPr>
        <w:t xml:space="preserve">, even in times of financial and market stress, is </w:t>
      </w:r>
      <w:r w:rsidR="009F03F1">
        <w:rPr>
          <w:szCs w:val="26"/>
        </w:rPr>
        <w:t xml:space="preserve">not only </w:t>
      </w:r>
      <w:r>
        <w:rPr>
          <w:szCs w:val="26"/>
        </w:rPr>
        <w:t xml:space="preserve">consistent with the economic requirements embodied in the U.S. Supreme Court’s </w:t>
      </w:r>
      <w:r>
        <w:rPr>
          <w:i/>
          <w:iCs/>
          <w:szCs w:val="26"/>
        </w:rPr>
        <w:t>Hope</w:t>
      </w:r>
      <w:r>
        <w:rPr>
          <w:szCs w:val="26"/>
        </w:rPr>
        <w:t xml:space="preserve"> and </w:t>
      </w:r>
      <w:r>
        <w:rPr>
          <w:i/>
          <w:iCs/>
          <w:szCs w:val="26"/>
        </w:rPr>
        <w:t>Bluefield</w:t>
      </w:r>
      <w:r>
        <w:rPr>
          <w:szCs w:val="26"/>
        </w:rPr>
        <w:t xml:space="preserve"> decisions, it is also in customers’ best interests.  Customers and the service area economy enjoy the benefits that come from ensuring that the utility has the financial wherewithal to take whatever actions are required to </w:t>
      </w:r>
      <w:r>
        <w:t>ensure</w:t>
      </w:r>
      <w:r>
        <w:rPr>
          <w:szCs w:val="26"/>
        </w:rPr>
        <w:t xml:space="preserve"> reliable service.  </w:t>
      </w:r>
    </w:p>
    <w:p w:rsidR="00FE360F" w:rsidRDefault="003C72A1">
      <w:pPr>
        <w:pStyle w:val="Heading2"/>
      </w:pPr>
      <w:bookmarkStart w:id="30" w:name="_Toc292455193"/>
      <w:r>
        <w:lastRenderedPageBreak/>
        <w:t>Capital Structure</w:t>
      </w:r>
      <w:bookmarkEnd w:id="30"/>
    </w:p>
    <w:p w:rsidR="00FE360F" w:rsidRDefault="003C72A1">
      <w:pPr>
        <w:pStyle w:val="Question0"/>
        <w:spacing w:line="480" w:lineRule="auto"/>
      </w:pPr>
      <w:r>
        <w:t>Q.</w:t>
      </w:r>
      <w:r>
        <w:tab/>
        <w:t>Is an evaluation of the capital structure maintained by a utility relevant in assessing its return on equity?</w:t>
      </w:r>
    </w:p>
    <w:p w:rsidR="00FE360F" w:rsidRDefault="003C72A1">
      <w:pPr>
        <w:pStyle w:val="Answer"/>
      </w:pPr>
      <w:r>
        <w:t>A.</w:t>
      </w:r>
      <w:r>
        <w:tab/>
        <w:t>Yes.  Other things equal, a higher debt ratio, or lower common equity ratio, translates into increased financial risk for all investors.  A greater amount of debt means more investors have a senior claim on available cash flow, thereby reducing the certainty that each will receive his contractual payments.  This increases the risks to which lenders are exposed, and they require correspondingly higher rates of interest.  From common shareholders’ standpoint, a higher debt ratio means that there are proportionately more investors ahead of them, thereby increasing the uncertainty as to the amount of cash flow that will remain.</w:t>
      </w:r>
    </w:p>
    <w:p w:rsidR="00FE360F" w:rsidRDefault="003C72A1">
      <w:pPr>
        <w:pStyle w:val="Question0"/>
        <w:spacing w:line="480" w:lineRule="auto"/>
      </w:pPr>
      <w:r>
        <w:t>Q.</w:t>
      </w:r>
      <w:r>
        <w:tab/>
        <w:t>What common equity ratio is implicit in Avista’s requested capital structure?</w:t>
      </w:r>
    </w:p>
    <w:p w:rsidR="00FE360F" w:rsidRDefault="003C72A1">
      <w:pPr>
        <w:pStyle w:val="Answer"/>
      </w:pPr>
      <w:r>
        <w:t>A.</w:t>
      </w:r>
      <w:r>
        <w:tab/>
        <w:t xml:space="preserve">Avista’s capital structure is presented in the testimony of Mr. Thies.  As summarized in his testimony, the </w:t>
      </w:r>
      <w:r w:rsidR="00220E7B">
        <w:t>proposed</w:t>
      </w:r>
      <w:r>
        <w:t xml:space="preserve"> common equity ratio used to compute Avista’s</w:t>
      </w:r>
      <w:r w:rsidR="00BB7960">
        <w:t xml:space="preserve"> overall rate of return </w:t>
      </w:r>
      <w:r w:rsidR="00220E7B">
        <w:t xml:space="preserve">is </w:t>
      </w:r>
      <w:r w:rsidR="00BB7960">
        <w:t>49</w:t>
      </w:r>
      <w:r>
        <w:t>.</w:t>
      </w:r>
      <w:r w:rsidR="00BB7960">
        <w:t>0</w:t>
      </w:r>
      <w:r>
        <w:t xml:space="preserve"> percent in this filing.</w:t>
      </w:r>
    </w:p>
    <w:p w:rsidR="00FE360F" w:rsidRDefault="003C72A1">
      <w:pPr>
        <w:pStyle w:val="Question0"/>
        <w:spacing w:line="480" w:lineRule="auto"/>
      </w:pPr>
      <w:r>
        <w:t>Q.</w:t>
      </w:r>
      <w:r>
        <w:tab/>
        <w:t>What was the average capitalization maintained by the Utility Group?</w:t>
      </w:r>
    </w:p>
    <w:p w:rsidR="00FE360F" w:rsidRDefault="003C72A1">
      <w:pPr>
        <w:pStyle w:val="Answer"/>
      </w:pPr>
      <w:r>
        <w:t>A.</w:t>
      </w:r>
      <w:r>
        <w:tab/>
        <w:t>As shown on Exhibit No.__</w:t>
      </w:r>
      <w:proofErr w:type="gramStart"/>
      <w:r>
        <w:t>_(</w:t>
      </w:r>
      <w:proofErr w:type="gramEnd"/>
      <w:r w:rsidR="009D0D5E">
        <w:t>AMM-</w:t>
      </w:r>
      <w:r w:rsidR="00BB7960">
        <w:t>5</w:t>
      </w:r>
      <w:r>
        <w:t>), for the 2</w:t>
      </w:r>
      <w:r w:rsidR="00BB7960">
        <w:t>5</w:t>
      </w:r>
      <w:r>
        <w:t xml:space="preserve"> firms in the Utility Group, common equity ratios at December 31, 201</w:t>
      </w:r>
      <w:r w:rsidR="00BB7960">
        <w:t>2</w:t>
      </w:r>
      <w:r>
        <w:t xml:space="preserve"> ranged between 3</w:t>
      </w:r>
      <w:r w:rsidR="00BB7960">
        <w:t>0.9</w:t>
      </w:r>
      <w:r>
        <w:t xml:space="preserve"> percent and </w:t>
      </w:r>
      <w:r w:rsidR="00BB7960">
        <w:t>57.6</w:t>
      </w:r>
      <w:r>
        <w:t xml:space="preserve"> percent and averaged 4</w:t>
      </w:r>
      <w:r w:rsidR="00BB7960">
        <w:t>8</w:t>
      </w:r>
      <w:r>
        <w:t>.5 percent.  Adjusting the average capitalization to include short-term debt in the same proportion as Avista would result in an adjusted equity ratio of 4</w:t>
      </w:r>
      <w:r w:rsidR="00617D74">
        <w:t>7.1</w:t>
      </w:r>
      <w:r>
        <w:t xml:space="preserve"> percent.</w:t>
      </w:r>
    </w:p>
    <w:p w:rsidR="00FE360F" w:rsidRDefault="003C72A1">
      <w:pPr>
        <w:pStyle w:val="Question0"/>
        <w:spacing w:line="480" w:lineRule="auto"/>
      </w:pPr>
      <w:r>
        <w:lastRenderedPageBreak/>
        <w:t>Q.</w:t>
      </w:r>
      <w:r>
        <w:tab/>
        <w:t>What capitalization is representative for the proxy group of utilities going forward?</w:t>
      </w:r>
    </w:p>
    <w:p w:rsidR="00FE360F" w:rsidRDefault="003C72A1">
      <w:pPr>
        <w:pStyle w:val="Answer"/>
      </w:pPr>
      <w:r>
        <w:t>A.</w:t>
      </w:r>
      <w:r>
        <w:tab/>
        <w:t>As shown on Exhibit No.__</w:t>
      </w:r>
      <w:proofErr w:type="gramStart"/>
      <w:r>
        <w:t>_(</w:t>
      </w:r>
      <w:proofErr w:type="gramEnd"/>
      <w:r w:rsidR="009D0D5E">
        <w:t>AMM-</w:t>
      </w:r>
      <w:r w:rsidR="00BB7960">
        <w:t>5</w:t>
      </w:r>
      <w:r>
        <w:t xml:space="preserve">), Value Line expects an average common equity ratio for the proxy group of utilities of </w:t>
      </w:r>
      <w:r w:rsidR="00BB7960">
        <w:t>49.4</w:t>
      </w:r>
      <w:r>
        <w:t xml:space="preserve"> percent for its three-to-five year forecast horizon, with the individual common equity ratios ranging from </w:t>
      </w:r>
      <w:r w:rsidR="00BB7960">
        <w:t>38</w:t>
      </w:r>
      <w:r>
        <w:t>.0 percent to 5</w:t>
      </w:r>
      <w:r w:rsidR="00BB7960">
        <w:t>7</w:t>
      </w:r>
      <w:r>
        <w:t>.0 percent.  Adjusting the average capitalization to include short-term debt in the same proportion as Avista would result in an adjusted equity ratio of 4</w:t>
      </w:r>
      <w:r w:rsidR="00617D74">
        <w:t>7.9</w:t>
      </w:r>
      <w:r>
        <w:t xml:space="preserve"> percent.  The WUTC has previously observed that “[i]t is appropriate … to afford more weight to forward considerations than to historic conditions as we determine the appropriate equity ratio to be embedded in prospective rates.”</w:t>
      </w:r>
      <w:r>
        <w:rPr>
          <w:rStyle w:val="FootnoteReference"/>
        </w:rPr>
        <w:footnoteReference w:id="32"/>
      </w:r>
    </w:p>
    <w:p w:rsidR="00FE360F" w:rsidRDefault="003C72A1">
      <w:pPr>
        <w:pStyle w:val="Question0"/>
        <w:spacing w:line="480" w:lineRule="auto"/>
      </w:pPr>
      <w:r>
        <w:t>Q.</w:t>
      </w:r>
      <w:r>
        <w:tab/>
        <w:t>How does Avista’s common equity ratio compare with those maintained by the reference group of utilities?</w:t>
      </w:r>
    </w:p>
    <w:p w:rsidR="00FE360F" w:rsidRDefault="003C72A1">
      <w:pPr>
        <w:pStyle w:val="Answer"/>
      </w:pPr>
      <w:r>
        <w:t>A.</w:t>
      </w:r>
      <w:r>
        <w:tab/>
        <w:t>The 4</w:t>
      </w:r>
      <w:r w:rsidR="00BB7960">
        <w:t>9.0</w:t>
      </w:r>
      <w:r>
        <w:t xml:space="preserve"> percent common equity ratio requested by Avista is entirely consistent with the range of equity ratios maintained by the firms in the Utility Group and is in-line with the 4</w:t>
      </w:r>
      <w:r w:rsidR="00617D74">
        <w:t>7.1</w:t>
      </w:r>
      <w:r>
        <w:t xml:space="preserve"> percent and 4</w:t>
      </w:r>
      <w:r w:rsidR="00617D74">
        <w:t>7.9</w:t>
      </w:r>
      <w:r>
        <w:t xml:space="preserve"> percent adjusted average equity ratios at year-end 201</w:t>
      </w:r>
      <w:r w:rsidR="00617D74">
        <w:t>2</w:t>
      </w:r>
      <w:r>
        <w:t xml:space="preserve"> and based on Value Line’s near-term expectations, respectively. </w:t>
      </w:r>
    </w:p>
    <w:p w:rsidR="00FE360F" w:rsidRDefault="003C72A1">
      <w:pPr>
        <w:pStyle w:val="Question0"/>
        <w:spacing w:line="480" w:lineRule="auto"/>
      </w:pPr>
      <w:r>
        <w:t>Q.</w:t>
      </w:r>
      <w:r>
        <w:tab/>
        <w:t>What implication do</w:t>
      </w:r>
      <w:r w:rsidR="00C6419A">
        <w:t xml:space="preserve"> the uncertainties inherent in </w:t>
      </w:r>
      <w:r>
        <w:t>the utility industry have for the capital structures maintained by utilities?</w:t>
      </w:r>
    </w:p>
    <w:p w:rsidR="00FE360F" w:rsidRDefault="003C72A1">
      <w:pPr>
        <w:pStyle w:val="Answer"/>
      </w:pPr>
      <w:r>
        <w:rPr>
          <w:szCs w:val="26"/>
        </w:rPr>
        <w:t>A.</w:t>
      </w:r>
      <w:r>
        <w:rPr>
          <w:szCs w:val="26"/>
        </w:rPr>
        <w:tab/>
        <w:t xml:space="preserve">As discussed earlier, utilities are facing rising cost structures, the need to finance significant capital investment plans, uncertainties over accommodating economic and financial market uncertainties, and ongoing regulatory risks.  Coupled with the potential for </w:t>
      </w:r>
      <w:r>
        <w:rPr>
          <w:szCs w:val="26"/>
        </w:rPr>
        <w:lastRenderedPageBreak/>
        <w:t xml:space="preserve">turmoil in capital markets, these considerations warrant a stronger balance sheet to deal with an increasingly uncertain environment.  A more conservative financial profile, in the form of a higher common equity ratio, is consistent with increasing uncertainties and the need to maintain the continuous access to capital under reasonable terms that is required to fund operations and necessary system investment, including times of adverse capital market conditions.  </w:t>
      </w:r>
    </w:p>
    <w:p w:rsidR="00FE360F" w:rsidRDefault="003C72A1">
      <w:pPr>
        <w:pStyle w:val="Answer2"/>
      </w:pPr>
      <w:r>
        <w:t>Moody’s has repeatedly warned investors of the risks associated with debt leverage and fixed obligations and advised utilities not to squander the opportunity to strengthen the balance sheet as a buffer against future uncertainties.</w:t>
      </w:r>
      <w:r>
        <w:rPr>
          <w:rStyle w:val="FootnoteReference"/>
          <w:szCs w:val="26"/>
        </w:rPr>
        <w:footnoteReference w:id="33"/>
      </w:r>
      <w:r>
        <w:t xml:space="preserve">  Similarly, S&amp;P noted that, “we generally consider a debt to capital level of 50% or greater to be aggressive or highly leveraged for utilities.”</w:t>
      </w:r>
      <w:r>
        <w:rPr>
          <w:rStyle w:val="FootnoteReference"/>
        </w:rPr>
        <w:footnoteReference w:id="34"/>
      </w:r>
      <w:r>
        <w:t xml:space="preserve">  </w:t>
      </w:r>
    </w:p>
    <w:p w:rsidR="00FE360F" w:rsidRDefault="003C72A1">
      <w:pPr>
        <w:pStyle w:val="Question0"/>
        <w:spacing w:line="480" w:lineRule="auto"/>
      </w:pPr>
      <w:r>
        <w:t>Q.</w:t>
      </w:r>
      <w:r>
        <w:tab/>
        <w:t>What other factors do investors consider in their assessment of a company’s capital structure?</w:t>
      </w:r>
    </w:p>
    <w:p w:rsidR="00825545" w:rsidRDefault="003C72A1" w:rsidP="00DB0D9E">
      <w:pPr>
        <w:pStyle w:val="Answer"/>
      </w:pPr>
      <w:r>
        <w:t>A.</w:t>
      </w:r>
      <w:r>
        <w:tab/>
      </w:r>
      <w:r w:rsidR="00825545">
        <w:rPr>
          <w:szCs w:val="26"/>
        </w:rPr>
        <w:t xml:space="preserve">Utilities are facing significant capital investment plans, uncertainties over accommodating future environmental mandates, and ongoing regulatory risks.  Coupled with the potential for turmoil in capital markets, these considerations warrant a stronger balance sheet to deal with an increasingly uncertain environment.  A more conservative financial profile, in the form of a higher common equity ratio, is consistent with increasing </w:t>
      </w:r>
      <w:r w:rsidR="00825545">
        <w:rPr>
          <w:szCs w:val="26"/>
        </w:rPr>
        <w:lastRenderedPageBreak/>
        <w:t xml:space="preserve">uncertainties and the need to maintain the continuous access to capital that is required to fund operations and necessary system investment, even </w:t>
      </w:r>
      <w:r w:rsidR="00825545">
        <w:t>during</w:t>
      </w:r>
      <w:r w:rsidR="00825545">
        <w:rPr>
          <w:szCs w:val="26"/>
        </w:rPr>
        <w:t xml:space="preserve"> times of adverse capital market conditions.  </w:t>
      </w:r>
    </w:p>
    <w:p w:rsidR="00FE360F" w:rsidRDefault="00DB0D9E">
      <w:pPr>
        <w:pStyle w:val="Answer"/>
      </w:pPr>
      <w:r>
        <w:t>In addition, d</w:t>
      </w:r>
      <w:r w:rsidR="003C72A1">
        <w:t>epending on their specific attributes, contractual agreements or other obligations that require the utility to make specified payments may be treated as debt in evaluating Avista’s financial risk.  Power purchase agreements (“PPAs”)</w:t>
      </w:r>
      <w:r w:rsidR="0035481B">
        <w:t>,</w:t>
      </w:r>
      <w:r w:rsidR="003C72A1">
        <w:t xml:space="preserve"> leases</w:t>
      </w:r>
      <w:r w:rsidR="0035481B">
        <w:t>, and pension obligations</w:t>
      </w:r>
      <w:r w:rsidR="003C72A1">
        <w:t xml:space="preserve"> typically </w:t>
      </w:r>
      <w:r w:rsidR="0035481B">
        <w:t xml:space="preserve">require </w:t>
      </w:r>
      <w:r w:rsidR="003C72A1">
        <w:t>the utility to make specified minimum contractual payments akin to those associated with traditional debt financing and investors consider a portion of these commitments as debt in evaluating total financial risks.  Because investors consider the debt impact of such fixed obligations in assessing a utility’s financial position, they imply greater risk and reduced financial flexibility.  In order to offset</w:t>
      </w:r>
      <w:r w:rsidR="003C72A1">
        <w:rPr>
          <w:szCs w:val="26"/>
        </w:rPr>
        <w:t xml:space="preserve"> the debt equivalent associated with off</w:t>
      </w:r>
      <w:r w:rsidR="003C72A1">
        <w:rPr>
          <w:szCs w:val="26"/>
        </w:rPr>
        <w:noBreakHyphen/>
        <w:t xml:space="preserve">balance sheet obligations, the utility must rebalance its capital structure by increasing its common equity in order to restore its effective capitalization ratios to previous levels.  </w:t>
      </w:r>
    </w:p>
    <w:p w:rsidR="00CD22CE" w:rsidRDefault="008036CA">
      <w:pPr>
        <w:pStyle w:val="Answer"/>
      </w:pPr>
      <w:r w:rsidRPr="008036CA">
        <w:t>These commitments have been repeatedly cited by major bond rating agencies in connection with assessments of utility financial risks.</w:t>
      </w:r>
      <w:r w:rsidRPr="008036CA">
        <w:rPr>
          <w:rStyle w:val="FootnoteReference"/>
          <w:szCs w:val="26"/>
        </w:rPr>
        <w:footnoteReference w:id="35"/>
      </w:r>
      <w:r w:rsidRPr="008036CA">
        <w:t xml:space="preserve">  The capital structure ratios presented earlier do not include imputed debt associated with power purchase agreements or the impact of other off-balance sheet obligations.  </w:t>
      </w:r>
      <w:r w:rsidRPr="008036CA">
        <w:rPr>
          <w:color w:val="000000"/>
        </w:rPr>
        <w:t xml:space="preserve">As discussed in the testimony of Mr. Scott L. Morris, Avista has continued to add to its purchased power portfolio with the recent addition of the </w:t>
      </w:r>
      <w:r w:rsidRPr="008036CA">
        <w:rPr>
          <w:color w:val="000000"/>
        </w:rPr>
        <w:lastRenderedPageBreak/>
        <w:t xml:space="preserve">Palouse Wind Project.  The Company began receiving power under this PPA in December 2012.  </w:t>
      </w:r>
    </w:p>
    <w:p w:rsidR="00FE360F" w:rsidRDefault="003C72A1">
      <w:pPr>
        <w:pStyle w:val="Question0"/>
        <w:spacing w:line="480" w:lineRule="auto"/>
      </w:pPr>
      <w:proofErr w:type="gramStart"/>
      <w:r>
        <w:t>Q.</w:t>
      </w:r>
      <w:r>
        <w:tab/>
        <w:t>What d</w:t>
      </w:r>
      <w:r w:rsidR="00DB0D9E">
        <w:t xml:space="preserve">oes this evidence indicate </w:t>
      </w:r>
      <w:r>
        <w:t>with respect to the Company’s capital structure?</w:t>
      </w:r>
      <w:proofErr w:type="gramEnd"/>
    </w:p>
    <w:p w:rsidR="00FE360F" w:rsidRDefault="003C72A1">
      <w:pPr>
        <w:pStyle w:val="Answer"/>
      </w:pPr>
      <w:r>
        <w:t>A.</w:t>
      </w:r>
      <w:r>
        <w:tab/>
        <w:t>Based on my evaluation, I concluded that Avista’s requested capital structure represents a reasonable mix of capital sources from which to calculate the Company’s overall rate of return.  While industry averages provide one benchmark for comparison, each firm must select its capitalization based on the risks and prospects it faces, as well its specific needs to access the capital markets.  A public utility with an obligation to serve must maintain ready access to capital under reasonable terms so that it can meet the service requirements of its customers.  Financial flexibility plays a crucial role in ensuring the wherewithal to meet the needs of customers, and utilities with higher leverage may be foreclosed from additional borrowing</w:t>
      </w:r>
      <w:r w:rsidR="0035481B">
        <w:t xml:space="preserve"> under reasonable terms</w:t>
      </w:r>
      <w:r>
        <w:t xml:space="preserve">, especially during times of stress.  </w:t>
      </w:r>
    </w:p>
    <w:p w:rsidR="00FE360F" w:rsidRDefault="003C72A1">
      <w:pPr>
        <w:pStyle w:val="Answer2"/>
      </w:pPr>
      <w:r>
        <w:t xml:space="preserve">Avista’s capital structure is consistent with industry benchmarks and reflects the challenges posed by its resource mix, the burden of significant capital spending requirements, and the Company’s ongoing efforts to strengthen its credit standing and support access to capital on reasonable terms.  The </w:t>
      </w:r>
      <w:r w:rsidR="00DB0D9E">
        <w:t xml:space="preserve">reasonableness of Avista’s requested capital structure is reinforced by the importance of supporting continued investment in system improvements, </w:t>
      </w:r>
      <w:r>
        <w:t xml:space="preserve">even during </w:t>
      </w:r>
      <w:r w:rsidR="00DB0D9E">
        <w:t xml:space="preserve">times of adverse industry of </w:t>
      </w:r>
      <w:r>
        <w:t xml:space="preserve">capital market conditions.  </w:t>
      </w:r>
    </w:p>
    <w:p w:rsidR="00FE360F" w:rsidRPr="00B16048" w:rsidRDefault="003C72A1">
      <w:pPr>
        <w:pStyle w:val="Heading1"/>
        <w:rPr>
          <w:u w:val="single"/>
        </w:rPr>
      </w:pPr>
      <w:bookmarkStart w:id="31" w:name="_Toc50231731"/>
      <w:bookmarkStart w:id="32" w:name="_Toc292455194"/>
      <w:bookmarkStart w:id="33" w:name="_Toc455330007"/>
      <w:bookmarkStart w:id="34" w:name="_Toc473452460"/>
      <w:bookmarkStart w:id="35" w:name="_Toc49155041"/>
      <w:r w:rsidRPr="00B16048">
        <w:rPr>
          <w:u w:val="single"/>
        </w:rPr>
        <w:lastRenderedPageBreak/>
        <w:t>CAPITAL MARKET ESTIMATES</w:t>
      </w:r>
      <w:bookmarkEnd w:id="31"/>
      <w:bookmarkEnd w:id="32"/>
    </w:p>
    <w:bookmarkEnd w:id="33"/>
    <w:bookmarkEnd w:id="34"/>
    <w:bookmarkEnd w:id="35"/>
    <w:p w:rsidR="00FE360F" w:rsidRDefault="003C72A1">
      <w:pPr>
        <w:pStyle w:val="Question0"/>
        <w:spacing w:line="480" w:lineRule="auto"/>
      </w:pPr>
      <w:r>
        <w:t>Q.</w:t>
      </w:r>
      <w:r>
        <w:tab/>
        <w:t>What is the purpose of this section?</w:t>
      </w:r>
    </w:p>
    <w:p w:rsidR="00FE360F" w:rsidRDefault="003C72A1">
      <w:pPr>
        <w:pStyle w:val="Answer"/>
      </w:pPr>
      <w:r>
        <w:t>A.</w:t>
      </w:r>
      <w:r>
        <w:tab/>
        <w:t>This section presents capital market estimates of the cost of equity.  The details of my quantitative analyses are contained in Exhibit No.__</w:t>
      </w:r>
      <w:proofErr w:type="gramStart"/>
      <w:r>
        <w:t>_(</w:t>
      </w:r>
      <w:proofErr w:type="gramEnd"/>
      <w:r w:rsidR="009D0D5E">
        <w:t>AMM-</w:t>
      </w:r>
      <w:r>
        <w:t>3), with the results being summarized below.</w:t>
      </w:r>
    </w:p>
    <w:p w:rsidR="00FE360F" w:rsidRDefault="003C72A1">
      <w:pPr>
        <w:pStyle w:val="Heading2"/>
        <w:numPr>
          <w:ilvl w:val="0"/>
          <w:numId w:val="14"/>
        </w:numPr>
      </w:pPr>
      <w:bookmarkStart w:id="36" w:name="_Toc535689229"/>
      <w:bookmarkStart w:id="37" w:name="_Toc50231732"/>
      <w:bookmarkStart w:id="38" w:name="_Toc292455195"/>
      <w:r>
        <w:t>Overview</w:t>
      </w:r>
      <w:bookmarkEnd w:id="36"/>
      <w:bookmarkEnd w:id="37"/>
      <w:bookmarkEnd w:id="38"/>
    </w:p>
    <w:p w:rsidR="00FE360F" w:rsidRDefault="003C72A1">
      <w:pPr>
        <w:pStyle w:val="Question0"/>
        <w:spacing w:line="480" w:lineRule="auto"/>
      </w:pPr>
      <w:r>
        <w:t>Q.</w:t>
      </w:r>
      <w:r>
        <w:tab/>
        <w:t>What role does the rate of return on common equity play in a utility’s rates?</w:t>
      </w:r>
    </w:p>
    <w:p w:rsidR="00FE360F" w:rsidRDefault="003C72A1">
      <w:pPr>
        <w:pStyle w:val="Answer"/>
      </w:pPr>
      <w:r>
        <w:t>A.</w:t>
      </w:r>
      <w:r>
        <w:tab/>
        <w:t>The return on common equity is the cost of inducing and retaining investment in the utility’s physical plant and assets.  This investment is necessary to finance the asset base needed to provide utility service.  Investors will commit money to a particular investment only if they expect it to produce a return commensurate with those from other investments with comparable risks.  Moreover, the return on common equity is integral in achieving the sound regulatory objectives of rates that are sufficient to: 1) fairly compensate capital investment in the utility, 2) enable the utility to offer a return adequate to attract new capital on reasonable terms, and 3) maintain the utility’s financial integrity.  These standards should allow the utility to fulfill its obligation to provide reliable service while meeting the needs of customers through necessary system replacement and expansion, but they can only be met if the utility has a reasonable opportunity to actually earn its allowed ROE.</w:t>
      </w:r>
    </w:p>
    <w:p w:rsidR="00FE360F" w:rsidRDefault="003C72A1">
      <w:pPr>
        <w:pStyle w:val="Question0"/>
        <w:spacing w:line="480" w:lineRule="auto"/>
      </w:pPr>
      <w:r>
        <w:t>Q.</w:t>
      </w:r>
      <w:r>
        <w:tab/>
        <w:t>Did you rely on a single method to estimate the cost of equity for Avista?</w:t>
      </w:r>
    </w:p>
    <w:p w:rsidR="00FE360F" w:rsidRDefault="003C72A1">
      <w:pPr>
        <w:pStyle w:val="Answer"/>
      </w:pPr>
      <w:r>
        <w:t>A.</w:t>
      </w:r>
      <w:r>
        <w:tab/>
        <w:t xml:space="preserve">No.  In my opinion, no single method or model should be relied upon to determine a utility’s cost of equity because no single approach can be regarded as wholly reliable.  Therefore, I used the DCF, CAPM, and risk premium methods to estimate the cost </w:t>
      </w:r>
      <w:r>
        <w:lastRenderedPageBreak/>
        <w:t xml:space="preserve">of common equity.  In addition, I also evaluated a fair ROE </w:t>
      </w:r>
      <w:r>
        <w:rPr>
          <w:szCs w:val="26"/>
        </w:rPr>
        <w:t>using an earnings approach based on investors’ current expectations in the capital markets</w:t>
      </w:r>
      <w:r>
        <w:t>.  In my opinion, comparing estimates produced by one method with those produced by other approaches ensures that the estimates of the cost of equity pass fundamental tests of reasonableness and economic logic.  My consideration of multiple methods and approaches is consistent with the conclusions of the WUTC:</w:t>
      </w:r>
    </w:p>
    <w:p w:rsidR="00FE360F" w:rsidRDefault="003C72A1">
      <w:pPr>
        <w:pStyle w:val="Quote1"/>
      </w:pPr>
      <w:r>
        <w:t>We value each of the methodologies used to calculate the cost of equity and do not find it appropriate to select a single method as being the most accurate or instructive.  Financial circumstances are constantly shifting and changing, and we welcome a robust and diverse record of evidence based on a variety of analytics and cost of capital methodologies.</w:t>
      </w:r>
      <w:r>
        <w:rPr>
          <w:rStyle w:val="FootnoteReference"/>
        </w:rPr>
        <w:t xml:space="preserve"> </w:t>
      </w:r>
      <w:r>
        <w:rPr>
          <w:rStyle w:val="FootnoteReference"/>
        </w:rPr>
        <w:footnoteReference w:id="36"/>
      </w:r>
    </w:p>
    <w:p w:rsidR="00FE360F" w:rsidRDefault="003C72A1">
      <w:pPr>
        <w:pStyle w:val="Question0"/>
        <w:spacing w:line="480" w:lineRule="auto"/>
      </w:pPr>
      <w:r>
        <w:t>Q.</w:t>
      </w:r>
      <w:r>
        <w:tab/>
        <w:t>What was your conclusion regarding a fair ROE for the proxy companies?</w:t>
      </w:r>
    </w:p>
    <w:p w:rsidR="00FE360F" w:rsidRDefault="003C72A1">
      <w:pPr>
        <w:pStyle w:val="Answer"/>
      </w:pPr>
      <w:bookmarkStart w:id="39" w:name="_Toc99568187"/>
      <w:r>
        <w:t>A.</w:t>
      </w:r>
      <w:r>
        <w:tab/>
        <w:t xml:space="preserve">Based on the results of my quantitative analyses, and my assessment of the relative strengths and weaknesses inherent in each method, I concluded that the cost of equity for the proxy companies is in the </w:t>
      </w:r>
      <w:r w:rsidR="00176C84">
        <w:t>9.5</w:t>
      </w:r>
      <w:r>
        <w:t xml:space="preserve"> percent to 11.</w:t>
      </w:r>
      <w:r w:rsidR="00176C84">
        <w:t>0</w:t>
      </w:r>
      <w:r>
        <w:t xml:space="preserve"> percent range, or </w:t>
      </w:r>
      <w:r w:rsidR="00176C84">
        <w:t>9.65</w:t>
      </w:r>
      <w:r>
        <w:t xml:space="preserve"> percent to 11.</w:t>
      </w:r>
      <w:r w:rsidR="00176C84">
        <w:t>15</w:t>
      </w:r>
      <w:r>
        <w:t xml:space="preserve"> percent after including a minimum adjustment for flotation costs.</w:t>
      </w:r>
      <w:bookmarkEnd w:id="39"/>
    </w:p>
    <w:p w:rsidR="00FE360F" w:rsidRDefault="003C72A1">
      <w:pPr>
        <w:pStyle w:val="Heading2"/>
      </w:pPr>
      <w:bookmarkStart w:id="40" w:name="_Toc292455196"/>
      <w:r>
        <w:t>Results of Quantitative Analyses</w:t>
      </w:r>
      <w:bookmarkEnd w:id="40"/>
    </w:p>
    <w:p w:rsidR="00FE360F" w:rsidRDefault="003C72A1">
      <w:pPr>
        <w:pStyle w:val="Question0"/>
      </w:pPr>
      <w:r>
        <w:t>Q.</w:t>
      </w:r>
      <w:r>
        <w:tab/>
        <w:t>What specific proxy group of utilities did you rely on for your analysis?</w:t>
      </w:r>
    </w:p>
    <w:p w:rsidR="00176C84" w:rsidRDefault="003C72A1">
      <w:pPr>
        <w:pStyle w:val="Answer"/>
      </w:pPr>
      <w:r>
        <w:rPr>
          <w:szCs w:val="26"/>
        </w:rPr>
        <w:t>A.</w:t>
      </w:r>
      <w:r>
        <w:rPr>
          <w:szCs w:val="26"/>
        </w:rPr>
        <w:tab/>
        <w:t>In estimating the cost of equity, the DCF model is typically applied to publicly traded firms engaged in similar business activities or with comparable investment risks.  As described in detail in Exhibit No.__</w:t>
      </w:r>
      <w:proofErr w:type="gramStart"/>
      <w:r>
        <w:rPr>
          <w:szCs w:val="26"/>
        </w:rPr>
        <w:t>_(</w:t>
      </w:r>
      <w:proofErr w:type="gramEnd"/>
      <w:r w:rsidR="009D0D5E">
        <w:rPr>
          <w:szCs w:val="26"/>
        </w:rPr>
        <w:t>AMM-</w:t>
      </w:r>
      <w:r>
        <w:rPr>
          <w:szCs w:val="26"/>
        </w:rPr>
        <w:t xml:space="preserve">3), I applied the DCF model to a </w:t>
      </w:r>
      <w:r>
        <w:t xml:space="preserve">utility proxy </w:t>
      </w:r>
      <w:r>
        <w:lastRenderedPageBreak/>
        <w:t xml:space="preserve">group composed of those dividend-paying companies included by Value Line in its Electric Utilities Industry groups with: </w:t>
      </w:r>
    </w:p>
    <w:p w:rsidR="00176C84" w:rsidRDefault="00176C84" w:rsidP="00176C84">
      <w:pPr>
        <w:pStyle w:val="Answer"/>
        <w:numPr>
          <w:ilvl w:val="0"/>
          <w:numId w:val="28"/>
        </w:numPr>
      </w:pPr>
      <w:r>
        <w:t xml:space="preserve">S&amp;P corporate credit ratings of “BBB-” to “BBB+;” </w:t>
      </w:r>
    </w:p>
    <w:p w:rsidR="00176C84" w:rsidRDefault="00176C84" w:rsidP="00176C84">
      <w:pPr>
        <w:pStyle w:val="Answer"/>
        <w:numPr>
          <w:ilvl w:val="0"/>
          <w:numId w:val="28"/>
        </w:numPr>
      </w:pPr>
      <w:r>
        <w:t>Value Line Safety Rank of “2” or “3”;</w:t>
      </w:r>
    </w:p>
    <w:p w:rsidR="00176C84" w:rsidRDefault="00176C84" w:rsidP="00176C84">
      <w:pPr>
        <w:pStyle w:val="Answer"/>
        <w:numPr>
          <w:ilvl w:val="0"/>
          <w:numId w:val="28"/>
        </w:numPr>
      </w:pPr>
      <w:r>
        <w:t>Value Line Financial Strength Rating of “B+” or higher;</w:t>
      </w:r>
    </w:p>
    <w:p w:rsidR="00176C84" w:rsidRDefault="00176C84" w:rsidP="00176C84">
      <w:pPr>
        <w:pStyle w:val="Answer"/>
        <w:numPr>
          <w:ilvl w:val="0"/>
          <w:numId w:val="28"/>
        </w:numPr>
      </w:pPr>
      <w:r>
        <w:t>No involvement in a major merger or acquisition; and,</w:t>
      </w:r>
    </w:p>
    <w:p w:rsidR="00176C84" w:rsidRDefault="00176C84" w:rsidP="00176C84">
      <w:pPr>
        <w:pStyle w:val="Answer"/>
        <w:numPr>
          <w:ilvl w:val="0"/>
          <w:numId w:val="28"/>
        </w:numPr>
      </w:pPr>
      <w:r>
        <w:t>No recent cuts in dividend payments.</w:t>
      </w:r>
    </w:p>
    <w:p w:rsidR="00FE360F" w:rsidRDefault="003C72A1" w:rsidP="00176C84">
      <w:pPr>
        <w:pStyle w:val="Answer"/>
        <w:ind w:firstLine="0"/>
      </w:pPr>
      <w:r>
        <w:t>I refer to this group of 2</w:t>
      </w:r>
      <w:r w:rsidR="00176C84">
        <w:t>5</w:t>
      </w:r>
      <w:r>
        <w:t xml:space="preserve"> comparable-risk firms as the “Utility Group.”</w:t>
      </w:r>
      <w:r>
        <w:rPr>
          <w:rStyle w:val="FootnoteReference"/>
        </w:rPr>
        <w:footnoteReference w:id="37"/>
      </w:r>
    </w:p>
    <w:p w:rsidR="00FE360F" w:rsidRDefault="003C72A1">
      <w:pPr>
        <w:pStyle w:val="Question0"/>
      </w:pPr>
      <w:r>
        <w:t>Q.</w:t>
      </w:r>
      <w:r>
        <w:tab/>
        <w:t>How do the overall risks of your proxy groups compare with Avista?</w:t>
      </w:r>
    </w:p>
    <w:p w:rsidR="00FE360F" w:rsidRDefault="003C72A1">
      <w:pPr>
        <w:pStyle w:val="Answer"/>
      </w:pPr>
      <w:r>
        <w:t>A.</w:t>
      </w:r>
      <w:r>
        <w:tab/>
        <w:t xml:space="preserve">Table </w:t>
      </w:r>
      <w:r w:rsidR="009D0D5E">
        <w:t>AMM-</w:t>
      </w:r>
      <w:r w:rsidR="00360E57">
        <w:t xml:space="preserve">3 </w:t>
      </w:r>
      <w:r>
        <w:t>compares the Utility Group with Avista across four key indicators of investment risk:</w:t>
      </w:r>
    </w:p>
    <w:p w:rsidR="00FE360F" w:rsidRDefault="003C72A1">
      <w:pPr>
        <w:pStyle w:val="TableCaption"/>
        <w:spacing w:before="120" w:after="240"/>
        <w:rPr>
          <w:rFonts w:ascii="Palatino Linotype" w:hAnsi="Palatino Linotype"/>
        </w:rPr>
      </w:pPr>
      <w:r>
        <w:rPr>
          <w:rFonts w:ascii="Palatino Linotype" w:hAnsi="Palatino Linotype"/>
        </w:rPr>
        <w:t xml:space="preserve">table </w:t>
      </w:r>
      <w:r w:rsidR="009D0D5E">
        <w:rPr>
          <w:rFonts w:ascii="Palatino Linotype" w:hAnsi="Palatino Linotype"/>
        </w:rPr>
        <w:t>AMM-</w:t>
      </w:r>
      <w:r w:rsidR="00360E57">
        <w:rPr>
          <w:rFonts w:ascii="Palatino Linotype" w:hAnsi="Palatino Linotype"/>
        </w:rPr>
        <w:t>3</w:t>
      </w:r>
      <w:r>
        <w:rPr>
          <w:rFonts w:ascii="Palatino Linotype" w:hAnsi="Palatino Linotype"/>
        </w:rPr>
        <w:br/>
        <w:t>COMPARISON OF RISK INDICATORS</w:t>
      </w:r>
    </w:p>
    <w:tbl>
      <w:tblPr>
        <w:tblW w:w="0" w:type="auto"/>
        <w:jc w:val="center"/>
        <w:tblInd w:w="-442" w:type="dxa"/>
        <w:tblLook w:val="0000"/>
      </w:tblPr>
      <w:tblGrid>
        <w:gridCol w:w="3034"/>
        <w:gridCol w:w="1008"/>
        <w:gridCol w:w="288"/>
        <w:gridCol w:w="937"/>
        <w:gridCol w:w="1257"/>
        <w:gridCol w:w="810"/>
      </w:tblGrid>
      <w:tr w:rsidR="00FE360F">
        <w:trPr>
          <w:cantSplit/>
          <w:jc w:val="center"/>
        </w:trPr>
        <w:tc>
          <w:tcPr>
            <w:tcW w:w="3034" w:type="dxa"/>
          </w:tcPr>
          <w:p w:rsidR="00FE360F" w:rsidRDefault="00FE360F">
            <w:pPr>
              <w:pStyle w:val="Answer2"/>
              <w:keepNext/>
              <w:tabs>
                <w:tab w:val="clear" w:pos="720"/>
                <w:tab w:val="clear" w:pos="1440"/>
              </w:tabs>
              <w:spacing w:line="240" w:lineRule="auto"/>
              <w:ind w:firstLine="0"/>
              <w:rPr>
                <w:b/>
                <w:bCs/>
                <w:u w:val="thick"/>
              </w:rPr>
            </w:pPr>
          </w:p>
        </w:tc>
        <w:tc>
          <w:tcPr>
            <w:tcW w:w="1008" w:type="dxa"/>
          </w:tcPr>
          <w:p w:rsidR="00FE360F" w:rsidRDefault="003C72A1">
            <w:pPr>
              <w:pStyle w:val="Answer2"/>
              <w:keepNext/>
              <w:spacing w:line="240" w:lineRule="auto"/>
              <w:ind w:firstLine="0"/>
              <w:jc w:val="center"/>
              <w:rPr>
                <w:b/>
                <w:bCs/>
              </w:rPr>
            </w:pPr>
            <w:r>
              <w:rPr>
                <w:b/>
                <w:bCs/>
              </w:rPr>
              <w:t>S&amp;P</w:t>
            </w:r>
          </w:p>
        </w:tc>
        <w:tc>
          <w:tcPr>
            <w:tcW w:w="288" w:type="dxa"/>
          </w:tcPr>
          <w:p w:rsidR="00FE360F" w:rsidRDefault="00FE360F">
            <w:pPr>
              <w:pStyle w:val="Answer2"/>
              <w:keepNext/>
              <w:spacing w:line="240" w:lineRule="auto"/>
              <w:ind w:firstLine="0"/>
              <w:jc w:val="center"/>
              <w:rPr>
                <w:b/>
                <w:bCs/>
              </w:rPr>
            </w:pPr>
          </w:p>
        </w:tc>
        <w:tc>
          <w:tcPr>
            <w:tcW w:w="3004" w:type="dxa"/>
            <w:gridSpan w:val="3"/>
            <w:tcBorders>
              <w:bottom w:val="single" w:sz="12" w:space="0" w:color="auto"/>
            </w:tcBorders>
          </w:tcPr>
          <w:p w:rsidR="00FE360F" w:rsidRDefault="003C72A1">
            <w:pPr>
              <w:pStyle w:val="Answer2"/>
              <w:keepNext/>
              <w:spacing w:line="240" w:lineRule="auto"/>
              <w:ind w:firstLine="0"/>
              <w:jc w:val="center"/>
              <w:rPr>
                <w:b/>
                <w:bCs/>
              </w:rPr>
            </w:pPr>
            <w:r>
              <w:rPr>
                <w:b/>
                <w:bCs/>
              </w:rPr>
              <w:t>Value Line</w:t>
            </w:r>
          </w:p>
        </w:tc>
      </w:tr>
      <w:tr w:rsidR="00FE360F">
        <w:trPr>
          <w:jc w:val="center"/>
        </w:trPr>
        <w:tc>
          <w:tcPr>
            <w:tcW w:w="3034" w:type="dxa"/>
          </w:tcPr>
          <w:p w:rsidR="00FE360F" w:rsidRDefault="00FE360F">
            <w:pPr>
              <w:pStyle w:val="Answer2"/>
              <w:keepNext/>
              <w:tabs>
                <w:tab w:val="clear" w:pos="720"/>
                <w:tab w:val="clear" w:pos="1440"/>
              </w:tabs>
              <w:spacing w:line="240" w:lineRule="auto"/>
              <w:ind w:firstLine="0"/>
              <w:rPr>
                <w:b/>
                <w:bCs/>
                <w:u w:val="thick"/>
              </w:rPr>
            </w:pPr>
          </w:p>
        </w:tc>
        <w:tc>
          <w:tcPr>
            <w:tcW w:w="1008" w:type="dxa"/>
          </w:tcPr>
          <w:p w:rsidR="00FE360F" w:rsidRDefault="003C72A1">
            <w:pPr>
              <w:pStyle w:val="Answer2"/>
              <w:keepNext/>
              <w:spacing w:line="240" w:lineRule="auto"/>
              <w:ind w:firstLine="0"/>
              <w:jc w:val="center"/>
              <w:rPr>
                <w:b/>
                <w:bCs/>
              </w:rPr>
            </w:pPr>
            <w:r>
              <w:rPr>
                <w:b/>
                <w:bCs/>
              </w:rPr>
              <w:t xml:space="preserve">Credit </w:t>
            </w:r>
            <w:r>
              <w:rPr>
                <w:b/>
                <w:bCs/>
                <w:u w:val="thick"/>
              </w:rPr>
              <w:t>Rating</w:t>
            </w:r>
          </w:p>
        </w:tc>
        <w:tc>
          <w:tcPr>
            <w:tcW w:w="288" w:type="dxa"/>
          </w:tcPr>
          <w:p w:rsidR="00FE360F" w:rsidRDefault="00FE360F">
            <w:pPr>
              <w:pStyle w:val="Answer2"/>
              <w:keepNext/>
              <w:spacing w:line="240" w:lineRule="auto"/>
              <w:ind w:firstLine="0"/>
              <w:jc w:val="center"/>
              <w:rPr>
                <w:b/>
                <w:bCs/>
              </w:rPr>
            </w:pPr>
          </w:p>
        </w:tc>
        <w:tc>
          <w:tcPr>
            <w:tcW w:w="937" w:type="dxa"/>
            <w:tcBorders>
              <w:top w:val="single" w:sz="12" w:space="0" w:color="auto"/>
            </w:tcBorders>
          </w:tcPr>
          <w:p w:rsidR="00FE360F" w:rsidRDefault="003C72A1">
            <w:pPr>
              <w:pStyle w:val="Answer2"/>
              <w:keepNext/>
              <w:spacing w:line="240" w:lineRule="auto"/>
              <w:ind w:firstLine="0"/>
              <w:jc w:val="center"/>
              <w:rPr>
                <w:b/>
                <w:bCs/>
              </w:rPr>
            </w:pPr>
            <w:r>
              <w:rPr>
                <w:b/>
                <w:bCs/>
              </w:rPr>
              <w:t xml:space="preserve">Safety </w:t>
            </w:r>
            <w:r>
              <w:rPr>
                <w:b/>
                <w:bCs/>
                <w:u w:val="thick"/>
              </w:rPr>
              <w:t>Rank</w:t>
            </w:r>
          </w:p>
        </w:tc>
        <w:tc>
          <w:tcPr>
            <w:tcW w:w="1257" w:type="dxa"/>
            <w:tcBorders>
              <w:top w:val="single" w:sz="12" w:space="0" w:color="auto"/>
            </w:tcBorders>
          </w:tcPr>
          <w:p w:rsidR="00FE360F" w:rsidRDefault="003C72A1">
            <w:pPr>
              <w:pStyle w:val="Answer2"/>
              <w:keepNext/>
              <w:spacing w:line="240" w:lineRule="auto"/>
              <w:ind w:firstLine="0"/>
              <w:jc w:val="center"/>
              <w:rPr>
                <w:b/>
                <w:bCs/>
              </w:rPr>
            </w:pPr>
            <w:r>
              <w:rPr>
                <w:b/>
                <w:bCs/>
              </w:rPr>
              <w:t xml:space="preserve">Financial </w:t>
            </w:r>
            <w:r>
              <w:rPr>
                <w:b/>
                <w:bCs/>
                <w:u w:val="thick"/>
              </w:rPr>
              <w:t>Strength</w:t>
            </w:r>
          </w:p>
        </w:tc>
        <w:tc>
          <w:tcPr>
            <w:tcW w:w="810" w:type="dxa"/>
            <w:tcBorders>
              <w:top w:val="single" w:sz="12" w:space="0" w:color="auto"/>
            </w:tcBorders>
          </w:tcPr>
          <w:p w:rsidR="00FE360F" w:rsidRDefault="00FE360F">
            <w:pPr>
              <w:pStyle w:val="Answer2"/>
              <w:keepNext/>
              <w:spacing w:line="240" w:lineRule="auto"/>
              <w:ind w:firstLine="0"/>
              <w:jc w:val="center"/>
              <w:rPr>
                <w:b/>
                <w:bCs/>
                <w:u w:val="thick"/>
              </w:rPr>
            </w:pPr>
          </w:p>
          <w:p w:rsidR="00FE360F" w:rsidRDefault="003C72A1">
            <w:pPr>
              <w:pStyle w:val="Answer2"/>
              <w:keepNext/>
              <w:spacing w:line="240" w:lineRule="auto"/>
              <w:ind w:firstLine="0"/>
              <w:jc w:val="center"/>
              <w:rPr>
                <w:b/>
                <w:bCs/>
                <w:u w:val="thick"/>
              </w:rPr>
            </w:pPr>
            <w:r>
              <w:rPr>
                <w:b/>
                <w:bCs/>
                <w:u w:val="thick"/>
              </w:rPr>
              <w:t>Beta</w:t>
            </w:r>
          </w:p>
        </w:tc>
      </w:tr>
      <w:tr w:rsidR="00FE360F">
        <w:trPr>
          <w:jc w:val="center"/>
        </w:trPr>
        <w:tc>
          <w:tcPr>
            <w:tcW w:w="3034" w:type="dxa"/>
          </w:tcPr>
          <w:p w:rsidR="00FE360F" w:rsidRDefault="003C72A1">
            <w:pPr>
              <w:pStyle w:val="Answer2"/>
              <w:keepNext/>
              <w:tabs>
                <w:tab w:val="clear" w:pos="720"/>
                <w:tab w:val="clear" w:pos="1440"/>
              </w:tabs>
              <w:spacing w:before="120" w:line="240" w:lineRule="auto"/>
              <w:ind w:firstLine="0"/>
            </w:pPr>
            <w:r>
              <w:rPr>
                <w:szCs w:val="22"/>
              </w:rPr>
              <w:t>Utility Group</w:t>
            </w:r>
          </w:p>
        </w:tc>
        <w:tc>
          <w:tcPr>
            <w:tcW w:w="1008" w:type="dxa"/>
          </w:tcPr>
          <w:p w:rsidR="00FE360F" w:rsidRDefault="003C72A1">
            <w:pPr>
              <w:pStyle w:val="Answer2"/>
              <w:keepNext/>
              <w:tabs>
                <w:tab w:val="clear" w:pos="720"/>
                <w:tab w:val="clear" w:pos="1440"/>
              </w:tabs>
              <w:spacing w:before="120" w:line="240" w:lineRule="auto"/>
              <w:ind w:firstLine="0"/>
            </w:pPr>
            <w:r>
              <w:t xml:space="preserve">  BBB</w:t>
            </w:r>
          </w:p>
        </w:tc>
        <w:tc>
          <w:tcPr>
            <w:tcW w:w="288" w:type="dxa"/>
          </w:tcPr>
          <w:p w:rsidR="00FE360F" w:rsidRDefault="00FE360F">
            <w:pPr>
              <w:pStyle w:val="Answer2"/>
              <w:keepNext/>
              <w:spacing w:before="120" w:line="240" w:lineRule="auto"/>
              <w:ind w:firstLine="0"/>
            </w:pPr>
          </w:p>
        </w:tc>
        <w:tc>
          <w:tcPr>
            <w:tcW w:w="937" w:type="dxa"/>
          </w:tcPr>
          <w:p w:rsidR="00FE360F" w:rsidRDefault="003C72A1">
            <w:pPr>
              <w:pStyle w:val="Answer2"/>
              <w:keepNext/>
              <w:spacing w:before="120" w:line="240" w:lineRule="auto"/>
              <w:ind w:firstLine="0"/>
              <w:jc w:val="center"/>
            </w:pPr>
            <w:r>
              <w:t>2</w:t>
            </w:r>
          </w:p>
        </w:tc>
        <w:tc>
          <w:tcPr>
            <w:tcW w:w="1257" w:type="dxa"/>
          </w:tcPr>
          <w:p w:rsidR="00FE360F" w:rsidRDefault="003C72A1">
            <w:pPr>
              <w:pStyle w:val="Answer2"/>
              <w:keepNext/>
              <w:tabs>
                <w:tab w:val="clear" w:pos="720"/>
                <w:tab w:val="clear" w:pos="1440"/>
              </w:tabs>
              <w:spacing w:before="120" w:line="240" w:lineRule="auto"/>
              <w:ind w:firstLine="0"/>
            </w:pPr>
            <w:r>
              <w:t xml:space="preserve">     B++</w:t>
            </w:r>
          </w:p>
        </w:tc>
        <w:tc>
          <w:tcPr>
            <w:tcW w:w="810" w:type="dxa"/>
          </w:tcPr>
          <w:p w:rsidR="00FE360F" w:rsidRDefault="003C72A1" w:rsidP="00176C84">
            <w:pPr>
              <w:pStyle w:val="Answer2"/>
              <w:keepNext/>
              <w:spacing w:before="120" w:line="240" w:lineRule="auto"/>
              <w:ind w:firstLine="0"/>
              <w:jc w:val="center"/>
            </w:pPr>
            <w:r>
              <w:t>0.7</w:t>
            </w:r>
            <w:r w:rsidR="00176C84">
              <w:t>4</w:t>
            </w:r>
          </w:p>
        </w:tc>
      </w:tr>
      <w:tr w:rsidR="00FE360F">
        <w:trPr>
          <w:jc w:val="center"/>
        </w:trPr>
        <w:tc>
          <w:tcPr>
            <w:tcW w:w="3034" w:type="dxa"/>
          </w:tcPr>
          <w:p w:rsidR="00FE360F" w:rsidRDefault="003C72A1">
            <w:pPr>
              <w:pStyle w:val="Answer2"/>
              <w:tabs>
                <w:tab w:val="clear" w:pos="720"/>
                <w:tab w:val="clear" w:pos="1440"/>
              </w:tabs>
              <w:spacing w:before="120" w:after="240" w:line="240" w:lineRule="auto"/>
              <w:ind w:firstLine="0"/>
            </w:pPr>
            <w:r>
              <w:rPr>
                <w:szCs w:val="22"/>
              </w:rPr>
              <w:t>Avista</w:t>
            </w:r>
          </w:p>
        </w:tc>
        <w:tc>
          <w:tcPr>
            <w:tcW w:w="1008" w:type="dxa"/>
          </w:tcPr>
          <w:p w:rsidR="00FE360F" w:rsidRDefault="003C72A1">
            <w:pPr>
              <w:pStyle w:val="Answer2"/>
              <w:tabs>
                <w:tab w:val="clear" w:pos="720"/>
                <w:tab w:val="clear" w:pos="1440"/>
              </w:tabs>
              <w:spacing w:before="120" w:after="240" w:line="240" w:lineRule="auto"/>
              <w:ind w:firstLine="0"/>
            </w:pPr>
            <w:r>
              <w:t xml:space="preserve">  BBB</w:t>
            </w:r>
          </w:p>
        </w:tc>
        <w:tc>
          <w:tcPr>
            <w:tcW w:w="288" w:type="dxa"/>
          </w:tcPr>
          <w:p w:rsidR="00FE360F" w:rsidRDefault="00FE360F">
            <w:pPr>
              <w:pStyle w:val="Answer2"/>
              <w:spacing w:before="120" w:after="240" w:line="240" w:lineRule="auto"/>
              <w:ind w:firstLine="0"/>
            </w:pPr>
          </w:p>
        </w:tc>
        <w:tc>
          <w:tcPr>
            <w:tcW w:w="937" w:type="dxa"/>
          </w:tcPr>
          <w:p w:rsidR="00FE360F" w:rsidRDefault="003C72A1">
            <w:pPr>
              <w:pStyle w:val="Answer2"/>
              <w:spacing w:before="120" w:after="240" w:line="240" w:lineRule="auto"/>
              <w:ind w:firstLine="0"/>
              <w:jc w:val="center"/>
            </w:pPr>
            <w:r>
              <w:t>2</w:t>
            </w:r>
          </w:p>
        </w:tc>
        <w:tc>
          <w:tcPr>
            <w:tcW w:w="1257" w:type="dxa"/>
          </w:tcPr>
          <w:p w:rsidR="00FE360F" w:rsidRDefault="003C72A1" w:rsidP="00176C84">
            <w:pPr>
              <w:pStyle w:val="Answer2"/>
              <w:tabs>
                <w:tab w:val="clear" w:pos="720"/>
                <w:tab w:val="clear" w:pos="1440"/>
              </w:tabs>
              <w:spacing w:before="120" w:after="240" w:line="240" w:lineRule="auto"/>
              <w:ind w:firstLine="0"/>
            </w:pPr>
            <w:r>
              <w:t xml:space="preserve"> </w:t>
            </w:r>
            <w:r w:rsidR="00176C84">
              <w:t xml:space="preserve"> </w:t>
            </w:r>
            <w:r>
              <w:t xml:space="preserve">   </w:t>
            </w:r>
            <w:r w:rsidR="00176C84">
              <w:t>A</w:t>
            </w:r>
          </w:p>
        </w:tc>
        <w:tc>
          <w:tcPr>
            <w:tcW w:w="810" w:type="dxa"/>
          </w:tcPr>
          <w:p w:rsidR="00FE360F" w:rsidRDefault="003C72A1">
            <w:pPr>
              <w:pStyle w:val="Answer2"/>
              <w:spacing w:before="120" w:after="240" w:line="240" w:lineRule="auto"/>
              <w:ind w:firstLine="0"/>
              <w:jc w:val="center"/>
            </w:pPr>
            <w:r>
              <w:t>0.70</w:t>
            </w:r>
          </w:p>
        </w:tc>
      </w:tr>
    </w:tbl>
    <w:p w:rsidR="00FE360F" w:rsidRDefault="003C72A1">
      <w:pPr>
        <w:pStyle w:val="Question0"/>
      </w:pPr>
      <w:r>
        <w:t>Q.</w:t>
      </w:r>
      <w:r>
        <w:tab/>
        <w:t>Do these comparisons indicate that investors would view the firms in your proxy groups as risk-comparable to the Company?</w:t>
      </w:r>
    </w:p>
    <w:p w:rsidR="00FE360F" w:rsidRDefault="003C72A1">
      <w:pPr>
        <w:pStyle w:val="Answer"/>
      </w:pPr>
      <w:r>
        <w:t>A.</w:t>
      </w:r>
      <w:r>
        <w:tab/>
        <w:t xml:space="preserve">Yes.  Considered together, a comparison of these objective measures, which consider of a broad spectrum of risks, including financial and business position, and exposure to firm-specific factors, indicates that investors would likely conclude that the overall </w:t>
      </w:r>
      <w:r>
        <w:lastRenderedPageBreak/>
        <w:t xml:space="preserve">investment risks for Avista are generally comparable to those of the firms in the Utility Group.  </w:t>
      </w:r>
    </w:p>
    <w:p w:rsidR="00FE360F" w:rsidRDefault="003C72A1">
      <w:pPr>
        <w:pStyle w:val="Question0"/>
        <w:spacing w:line="480" w:lineRule="auto"/>
      </w:pPr>
      <w:r>
        <w:t>Q.</w:t>
      </w:r>
      <w:r>
        <w:tab/>
        <w:t>What cost of equity is implied by your DCF results for the Utility Group?</w:t>
      </w:r>
    </w:p>
    <w:p w:rsidR="00FE360F" w:rsidRDefault="003C72A1">
      <w:pPr>
        <w:pStyle w:val="Answer"/>
      </w:pPr>
      <w:r>
        <w:t>A.</w:t>
      </w:r>
      <w:r>
        <w:tab/>
        <w:t>My application of the DCF model, which is discussed in greater detail in Exhibit No.___(</w:t>
      </w:r>
      <w:r w:rsidR="009D0D5E">
        <w:t>AMM-</w:t>
      </w:r>
      <w:r w:rsidR="00176C84">
        <w:t>3</w:t>
      </w:r>
      <w:r>
        <w:t xml:space="preserve">), considered three alternative measures of expected earnings growth, as well as the sustainable growth rate based on </w:t>
      </w:r>
      <w:r>
        <w:rPr>
          <w:szCs w:val="26"/>
        </w:rPr>
        <w:t xml:space="preserve">the </w:t>
      </w:r>
      <w:r>
        <w:t>relationship</w:t>
      </w:r>
      <w:r>
        <w:rPr>
          <w:szCs w:val="26"/>
        </w:rPr>
        <w:t xml:space="preserve"> between expected retained earnings and earned rates of return (“br+sv”).  </w:t>
      </w:r>
      <w:r>
        <w:t>As shown on Exhibit No.___(</w:t>
      </w:r>
      <w:r w:rsidR="009D0D5E">
        <w:t>AMM-</w:t>
      </w:r>
      <w:r w:rsidR="00176C84">
        <w:t>6</w:t>
      </w:r>
      <w:r>
        <w:t xml:space="preserve">) and summarized below in Table </w:t>
      </w:r>
      <w:r w:rsidR="009D0D5E">
        <w:t>AMM-</w:t>
      </w:r>
      <w:r w:rsidR="00360E57">
        <w:t>4</w:t>
      </w:r>
      <w:r>
        <w:t>, after eliminating illogical values, application of the constant growth DCF model resulted in the following cost of equity estimates:</w:t>
      </w:r>
    </w:p>
    <w:p w:rsidR="00FE360F" w:rsidRDefault="00B16048">
      <w:pPr>
        <w:pStyle w:val="TableCaption"/>
        <w:spacing w:before="120" w:after="240"/>
        <w:rPr>
          <w:rFonts w:ascii="Palatino Linotype" w:hAnsi="Palatino Linotype"/>
        </w:rPr>
      </w:pPr>
      <w:r>
        <w:rPr>
          <w:rFonts w:ascii="Palatino Linotype" w:hAnsi="Palatino Linotype"/>
          <w:noProof/>
        </w:rPr>
        <w:drawing>
          <wp:anchor distT="0" distB="0" distL="114300" distR="114300" simplePos="0" relativeHeight="251662336" behindDoc="0" locked="0" layoutInCell="1" allowOverlap="1">
            <wp:simplePos x="0" y="0"/>
            <wp:positionH relativeFrom="column">
              <wp:posOffset>1609725</wp:posOffset>
            </wp:positionH>
            <wp:positionV relativeFrom="paragraph">
              <wp:posOffset>493395</wp:posOffset>
            </wp:positionV>
            <wp:extent cx="2600325" cy="12477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0325" cy="1247775"/>
                    </a:xfrm>
                    <a:prstGeom prst="rect">
                      <a:avLst/>
                    </a:prstGeom>
                    <a:noFill/>
                    <a:ln>
                      <a:noFill/>
                    </a:ln>
                  </pic:spPr>
                </pic:pic>
              </a:graphicData>
            </a:graphic>
          </wp:anchor>
        </w:drawing>
      </w:r>
      <w:r w:rsidR="003C72A1">
        <w:rPr>
          <w:rFonts w:ascii="Palatino Linotype" w:hAnsi="Palatino Linotype"/>
        </w:rPr>
        <w:t xml:space="preserve">table </w:t>
      </w:r>
      <w:r w:rsidR="009D0D5E">
        <w:rPr>
          <w:rFonts w:ascii="Palatino Linotype" w:hAnsi="Palatino Linotype"/>
        </w:rPr>
        <w:t>AMM-</w:t>
      </w:r>
      <w:r w:rsidR="00360E57">
        <w:rPr>
          <w:rFonts w:ascii="Palatino Linotype" w:hAnsi="Palatino Linotype"/>
        </w:rPr>
        <w:t>4</w:t>
      </w:r>
      <w:r w:rsidR="003C72A1">
        <w:rPr>
          <w:rFonts w:ascii="Palatino Linotype" w:hAnsi="Palatino Linotype"/>
        </w:rPr>
        <w:br/>
        <w:t>DCF RESULTS – UTILITY GROUP</w:t>
      </w:r>
    </w:p>
    <w:p w:rsidR="00B16048" w:rsidRDefault="00B16048" w:rsidP="00B16048">
      <w:pPr>
        <w:pStyle w:val="Table"/>
      </w:pPr>
    </w:p>
    <w:p w:rsidR="00B16048" w:rsidRDefault="00B16048" w:rsidP="00B16048">
      <w:pPr>
        <w:pStyle w:val="Table"/>
      </w:pPr>
    </w:p>
    <w:p w:rsidR="00B16048" w:rsidRDefault="00B16048" w:rsidP="00B16048">
      <w:pPr>
        <w:pStyle w:val="Table"/>
      </w:pPr>
    </w:p>
    <w:p w:rsidR="00B16048" w:rsidRDefault="00B16048" w:rsidP="00B16048">
      <w:pPr>
        <w:pStyle w:val="Table"/>
      </w:pPr>
    </w:p>
    <w:p w:rsidR="00B16048" w:rsidRDefault="00B16048" w:rsidP="00B16048">
      <w:pPr>
        <w:pStyle w:val="Table"/>
      </w:pPr>
    </w:p>
    <w:p w:rsidR="00B16048" w:rsidRPr="00B16048" w:rsidRDefault="00B16048" w:rsidP="00B16048">
      <w:pPr>
        <w:pStyle w:val="Table"/>
      </w:pPr>
    </w:p>
    <w:p w:rsidR="00FE360F" w:rsidRDefault="00FE360F">
      <w:pPr>
        <w:pStyle w:val="Question0"/>
        <w:spacing w:line="480" w:lineRule="auto"/>
        <w:ind w:left="864" w:firstLine="1440"/>
      </w:pPr>
    </w:p>
    <w:p w:rsidR="00FE360F" w:rsidRDefault="003C72A1">
      <w:pPr>
        <w:pStyle w:val="Question0"/>
        <w:spacing w:line="480" w:lineRule="auto"/>
      </w:pPr>
      <w:r>
        <w:t>Q.</w:t>
      </w:r>
      <w:r>
        <w:tab/>
        <w:t xml:space="preserve">How did you apply the </w:t>
      </w:r>
      <w:r w:rsidR="00176C84">
        <w:t>E</w:t>
      </w:r>
      <w:r>
        <w:t>CAPM to estimate the cost of equity?</w:t>
      </w:r>
    </w:p>
    <w:p w:rsidR="00FE360F" w:rsidRDefault="003C72A1">
      <w:pPr>
        <w:pStyle w:val="Answer"/>
        <w:rPr>
          <w:szCs w:val="26"/>
        </w:rPr>
      </w:pPr>
      <w:r>
        <w:t>A.</w:t>
      </w:r>
      <w:r>
        <w:tab/>
        <w:t xml:space="preserve">Like the DCF model, the </w:t>
      </w:r>
      <w:r w:rsidR="00176C84">
        <w:t>E</w:t>
      </w:r>
      <w:r>
        <w:t xml:space="preserve">CAPM is an </w:t>
      </w:r>
      <w:r>
        <w:rPr>
          <w:i/>
          <w:iCs/>
        </w:rPr>
        <w:t xml:space="preserve">ex-ante, </w:t>
      </w:r>
      <w:r>
        <w:t xml:space="preserve">or forward-looking model based on expectations of the future.  As a result, in order to produce a meaningful estimate of investors’ required rate of return, the </w:t>
      </w:r>
      <w:r w:rsidR="00176C84">
        <w:t>E</w:t>
      </w:r>
      <w:r>
        <w:t xml:space="preserve">CAPM is best applied using estimates that reflect the expectations of actual investors in the market, not with backward-looking, historical data.  Accordingly, I applied the </w:t>
      </w:r>
      <w:r w:rsidR="00176C84">
        <w:t>E</w:t>
      </w:r>
      <w:r>
        <w:t xml:space="preserve">CAPM to the </w:t>
      </w:r>
      <w:r w:rsidR="008340D7">
        <w:t xml:space="preserve">Utility Group </w:t>
      </w:r>
      <w:r>
        <w:t>based on a forward-looking estimate for investors' required rate of return from common stocks.  Because t</w:t>
      </w:r>
      <w:r>
        <w:rPr>
          <w:szCs w:val="26"/>
        </w:rPr>
        <w:t xml:space="preserve">his forward-looking application of the </w:t>
      </w:r>
      <w:r w:rsidR="00176C84">
        <w:rPr>
          <w:szCs w:val="26"/>
        </w:rPr>
        <w:t>E</w:t>
      </w:r>
      <w:r>
        <w:rPr>
          <w:szCs w:val="26"/>
        </w:rPr>
        <w:t xml:space="preserve">CAPM looks directly at investors’ expectations in the capital markets, it </w:t>
      </w:r>
      <w:r>
        <w:rPr>
          <w:szCs w:val="26"/>
        </w:rPr>
        <w:lastRenderedPageBreak/>
        <w:t xml:space="preserve">provides a more meaningful guide to the expected rate of return required to implement the </w:t>
      </w:r>
      <w:r w:rsidR="00176C84">
        <w:rPr>
          <w:szCs w:val="26"/>
        </w:rPr>
        <w:t>E</w:t>
      </w:r>
      <w:r>
        <w:rPr>
          <w:szCs w:val="26"/>
        </w:rPr>
        <w:t xml:space="preserve">CAPM.  </w:t>
      </w:r>
    </w:p>
    <w:p w:rsidR="00FE360F" w:rsidRDefault="003C72A1">
      <w:pPr>
        <w:pStyle w:val="Answer"/>
        <w:rPr>
          <w:szCs w:val="26"/>
        </w:rPr>
      </w:pPr>
      <w:r>
        <w:t xml:space="preserve">Empirical research indicates that the </w:t>
      </w:r>
      <w:r w:rsidR="00176C84">
        <w:t>E</w:t>
      </w:r>
      <w:r>
        <w:t xml:space="preserve">CAPM does not fully account for observed differences in rates of return attributable to firm size.  The need for an adjustment to account for relative market capitalization arises because differences in investors’ required rates of return that are related to firm size are not fully captured by beta.  Accordingly, my </w:t>
      </w:r>
      <w:r w:rsidR="00176C84">
        <w:t>E</w:t>
      </w:r>
      <w:r>
        <w:t>CAPM analyses incorporated an adjustment to recognize the impact of size distinctions, as developed by Morningstar.</w:t>
      </w:r>
    </w:p>
    <w:p w:rsidR="00FE360F" w:rsidRDefault="003C72A1">
      <w:pPr>
        <w:pStyle w:val="Question0"/>
        <w:spacing w:line="480" w:lineRule="auto"/>
      </w:pPr>
      <w:r>
        <w:t>Q.</w:t>
      </w:r>
      <w:r>
        <w:tab/>
        <w:t xml:space="preserve">What cost of equity was indicated by the </w:t>
      </w:r>
      <w:r w:rsidR="00176C84">
        <w:t>E</w:t>
      </w:r>
      <w:r>
        <w:t>CAPM approach?</w:t>
      </w:r>
    </w:p>
    <w:p w:rsidR="00CD22CE" w:rsidRDefault="003C72A1">
      <w:pPr>
        <w:pStyle w:val="Answer"/>
      </w:pPr>
      <w:r>
        <w:t>A.</w:t>
      </w:r>
      <w:r>
        <w:tab/>
        <w:t>As shown on page 1 of Exhibit No.__</w:t>
      </w:r>
      <w:proofErr w:type="gramStart"/>
      <w:r>
        <w:t>_(</w:t>
      </w:r>
      <w:proofErr w:type="gramEnd"/>
      <w:r w:rsidR="009D0D5E">
        <w:t>AMM-</w:t>
      </w:r>
      <w:r w:rsidR="00176C84">
        <w:t>8</w:t>
      </w:r>
      <w:r>
        <w:t xml:space="preserve">), my forward-looking application of the </w:t>
      </w:r>
      <w:r w:rsidR="00176C84">
        <w:t>E</w:t>
      </w:r>
      <w:r>
        <w:t>CAPM model indicated an ROE of 10.</w:t>
      </w:r>
      <w:r w:rsidR="00176C84">
        <w:t>7</w:t>
      </w:r>
      <w:r>
        <w:t xml:space="preserve"> percent for the </w:t>
      </w:r>
      <w:r w:rsidR="00176C84">
        <w:t>U</w:t>
      </w:r>
      <w:r>
        <w:t xml:space="preserve">tility </w:t>
      </w:r>
      <w:r w:rsidR="00176C84">
        <w:t>G</w:t>
      </w:r>
      <w:r>
        <w:t xml:space="preserve">roup.  </w:t>
      </w:r>
      <w:proofErr w:type="gramStart"/>
      <w:r>
        <w:t>A</w:t>
      </w:r>
      <w:r>
        <w:rPr>
          <w:rFonts w:cs="Arial"/>
        </w:rPr>
        <w:t>djusting the 10.</w:t>
      </w:r>
      <w:r w:rsidR="00176C84">
        <w:rPr>
          <w:rFonts w:cs="Arial"/>
        </w:rPr>
        <w:t>7</w:t>
      </w:r>
      <w:r>
        <w:rPr>
          <w:rFonts w:cs="Arial"/>
        </w:rPr>
        <w:t xml:space="preserve"> percent theoretical </w:t>
      </w:r>
      <w:r w:rsidR="00176C84">
        <w:rPr>
          <w:rFonts w:cs="Arial"/>
        </w:rPr>
        <w:t>E</w:t>
      </w:r>
      <w:r>
        <w:rPr>
          <w:rFonts w:cs="Arial"/>
        </w:rPr>
        <w:t>CAPM result to incorporate</w:t>
      </w:r>
      <w:r>
        <w:t xml:space="preserve"> the size adjustment results in an indicated cost of common equity of 11.</w:t>
      </w:r>
      <w:r w:rsidR="00176C84">
        <w:t>7</w:t>
      </w:r>
      <w:r>
        <w:t xml:space="preserve"> percent.</w:t>
      </w:r>
      <w:proofErr w:type="gramEnd"/>
      <w:r>
        <w:t xml:space="preserve"> </w:t>
      </w:r>
    </w:p>
    <w:p w:rsidR="00FE360F" w:rsidRDefault="003C72A1">
      <w:pPr>
        <w:pStyle w:val="Question0"/>
        <w:spacing w:line="480" w:lineRule="auto"/>
      </w:pPr>
      <w:r>
        <w:t>Q.</w:t>
      </w:r>
      <w:r>
        <w:tab/>
        <w:t xml:space="preserve">Did you also apply the </w:t>
      </w:r>
      <w:r w:rsidR="00176C84">
        <w:t>E</w:t>
      </w:r>
      <w:r>
        <w:t>CAPM using forecasted bond yields?</w:t>
      </w:r>
    </w:p>
    <w:p w:rsidR="00FE360F" w:rsidRDefault="003C72A1">
      <w:pPr>
        <w:pStyle w:val="Answer"/>
      </w:pPr>
      <w:r>
        <w:t>A.</w:t>
      </w:r>
      <w:r>
        <w:tab/>
        <w:t>Yes.  As discussed earlier, there is widespread consensus that interest rates will increase materially as the economy continues to strengthen.  Accordingly, in addition to the use of current bond yields, I also applied the CAPM based on the forecasted long-term Treasury bond yields developed based on projections published by Value Line, IHS Global Insight and Blue Chip.  As shown on page 2 of Exhibit No.__</w:t>
      </w:r>
      <w:proofErr w:type="gramStart"/>
      <w:r>
        <w:t>_(</w:t>
      </w:r>
      <w:proofErr w:type="gramEnd"/>
      <w:r w:rsidR="009D0D5E">
        <w:t>AMM-</w:t>
      </w:r>
      <w:r w:rsidR="00176C84">
        <w:t>8</w:t>
      </w:r>
      <w:r>
        <w:t>), incorporating a forecasted Treasury bond yield for 201</w:t>
      </w:r>
      <w:r w:rsidR="00176C84">
        <w:t>4</w:t>
      </w:r>
      <w:r>
        <w:t>-201</w:t>
      </w:r>
      <w:r w:rsidR="00176C84">
        <w:t>8</w:t>
      </w:r>
      <w:r>
        <w:t xml:space="preserve"> implied a cost of equity of approximately 1</w:t>
      </w:r>
      <w:r w:rsidR="00176C84">
        <w:t>0.8 percent</w:t>
      </w:r>
      <w:r>
        <w:t xml:space="preserve"> for the Utility Group, or 1</w:t>
      </w:r>
      <w:r w:rsidR="00176C84">
        <w:t>1.8 percent</w:t>
      </w:r>
      <w:r>
        <w:t xml:space="preserve"> after adjusting for the impact of relative size.</w:t>
      </w:r>
    </w:p>
    <w:p w:rsidR="00FE360F" w:rsidRDefault="003C72A1">
      <w:pPr>
        <w:pStyle w:val="Question0"/>
        <w:spacing w:line="480" w:lineRule="auto"/>
      </w:pPr>
      <w:r>
        <w:lastRenderedPageBreak/>
        <w:t>Q.</w:t>
      </w:r>
      <w:r>
        <w:tab/>
        <w:t>How did you implement the risk premium method?</w:t>
      </w:r>
    </w:p>
    <w:p w:rsidR="00FE360F" w:rsidRDefault="003C72A1">
      <w:pPr>
        <w:pStyle w:val="Answer"/>
      </w:pPr>
      <w:r>
        <w:t>A.</w:t>
      </w:r>
      <w:r>
        <w:tab/>
        <w:t>I based my estimates of equity risk premiums for electric utilities on surveys of previously authorized rates of return on common equity, which are frequently referenced as the basis for estimating equity risk premiums.  My application of the risk premium method also considered the inverse relationship between equity risk premiums and interest rates, which suggests that when interest rate levels are relatively high, equity risk premiums narrow, and when interest rates are relatively low, equity risk premiums widen.</w:t>
      </w:r>
    </w:p>
    <w:p w:rsidR="00FE360F" w:rsidRDefault="003C72A1">
      <w:pPr>
        <w:pStyle w:val="Question0"/>
        <w:spacing w:line="480" w:lineRule="auto"/>
      </w:pPr>
      <w:r>
        <w:t>Q.</w:t>
      </w:r>
      <w:r>
        <w:tab/>
        <w:t>What cost of equity was indicated by the risk premium approach?</w:t>
      </w:r>
    </w:p>
    <w:p w:rsidR="00FE360F" w:rsidRDefault="003C72A1">
      <w:pPr>
        <w:pStyle w:val="Answer"/>
      </w:pPr>
      <w:r>
        <w:t>A.</w:t>
      </w:r>
      <w:r>
        <w:tab/>
        <w:t>As shown on page 1 of Exhibit No.__</w:t>
      </w:r>
      <w:proofErr w:type="gramStart"/>
      <w:r>
        <w:t>_(</w:t>
      </w:r>
      <w:proofErr w:type="gramEnd"/>
      <w:r w:rsidR="009D0D5E">
        <w:t>AMM-</w:t>
      </w:r>
      <w:r w:rsidR="00176C84">
        <w:t>9</w:t>
      </w:r>
      <w:r>
        <w:t>), adding an adjusted risk premium of 5.</w:t>
      </w:r>
      <w:r w:rsidR="00176C84">
        <w:t>15</w:t>
      </w:r>
      <w:r>
        <w:t xml:space="preserve">3 percent to the </w:t>
      </w:r>
      <w:r w:rsidR="00176C84">
        <w:t>December 2013</w:t>
      </w:r>
      <w:r>
        <w:t xml:space="preserve"> average yield on triple-B utility bonds of 5.</w:t>
      </w:r>
      <w:r w:rsidR="00176C84">
        <w:t>25</w:t>
      </w:r>
      <w:r>
        <w:t xml:space="preserve"> percent resulted in an implied cost of equity of approximately 10.</w:t>
      </w:r>
      <w:r w:rsidR="00176C84">
        <w:t>4</w:t>
      </w:r>
      <w:r>
        <w:t xml:space="preserve"> percent.  As shown on page 2 of Exhibit No.__</w:t>
      </w:r>
      <w:proofErr w:type="gramStart"/>
      <w:r>
        <w:t>_(</w:t>
      </w:r>
      <w:proofErr w:type="gramEnd"/>
      <w:r w:rsidR="009D0D5E">
        <w:t>AMM-</w:t>
      </w:r>
      <w:r w:rsidR="00176C84">
        <w:t>9</w:t>
      </w:r>
      <w:r>
        <w:t>), incorporating a forecasted yield for 201</w:t>
      </w:r>
      <w:r w:rsidR="00176C84">
        <w:t>4</w:t>
      </w:r>
      <w:r>
        <w:t>-201</w:t>
      </w:r>
      <w:r w:rsidR="00176C84">
        <w:t>8</w:t>
      </w:r>
      <w:r>
        <w:t xml:space="preserve"> and adjusting for changes in interest rates since the study period implied a cost of equity of approximately 11.</w:t>
      </w:r>
      <w:r w:rsidR="00176C84">
        <w:t>2 percent</w:t>
      </w:r>
      <w:r>
        <w:t>.</w:t>
      </w:r>
    </w:p>
    <w:p w:rsidR="00FE360F" w:rsidRDefault="003C72A1">
      <w:pPr>
        <w:pStyle w:val="Heading2"/>
      </w:pPr>
      <w:bookmarkStart w:id="41" w:name="_Toc108407683"/>
      <w:bookmarkStart w:id="42" w:name="_Toc159816092"/>
      <w:bookmarkStart w:id="43" w:name="_Toc292455197"/>
      <w:bookmarkStart w:id="44" w:name="_Toc531491562"/>
      <w:r>
        <w:t>Flotation Costs</w:t>
      </w:r>
      <w:bookmarkEnd w:id="41"/>
      <w:bookmarkEnd w:id="42"/>
      <w:bookmarkEnd w:id="43"/>
    </w:p>
    <w:p w:rsidR="00FE360F" w:rsidRDefault="003C72A1">
      <w:pPr>
        <w:pStyle w:val="Question0"/>
        <w:spacing w:line="480" w:lineRule="auto"/>
      </w:pPr>
      <w:r>
        <w:t>Q.</w:t>
      </w:r>
      <w:r>
        <w:tab/>
        <w:t>What other considerations are relevant in setting the return on equity for a utility?</w:t>
      </w:r>
    </w:p>
    <w:p w:rsidR="00FE360F" w:rsidRDefault="003C72A1">
      <w:pPr>
        <w:pStyle w:val="Answer"/>
      </w:pPr>
      <w:r>
        <w:t>A.</w:t>
      </w:r>
      <w:r>
        <w:tab/>
        <w:t xml:space="preserve">The common equity used to finance the investment in utility assets is provided from either the sale of stock in the capital markets or from retained earnings not paid out as dividends.  When equity is raised through the sale of common stock, there are costs associated with “floating” the new equity securities.  These flotation costs include services such as legal, accounting, and printing, as well as the fees and discounts paid to compensate brokers for selling the stock to the public.  Also, some argue that the “market pressure” from </w:t>
      </w:r>
      <w:r>
        <w:lastRenderedPageBreak/>
        <w:t xml:space="preserve">the additional supply of common stock and other market factors may further reduce the amount of funds </w:t>
      </w:r>
      <w:proofErr w:type="gramStart"/>
      <w:r>
        <w:t>a utility nets</w:t>
      </w:r>
      <w:proofErr w:type="gramEnd"/>
      <w:r>
        <w:t xml:space="preserve"> when it issues common equity. </w:t>
      </w:r>
    </w:p>
    <w:p w:rsidR="00FE360F" w:rsidRDefault="003C72A1">
      <w:pPr>
        <w:pStyle w:val="Question0"/>
        <w:spacing w:line="480" w:lineRule="auto"/>
      </w:pPr>
      <w:r>
        <w:t>Q.</w:t>
      </w:r>
      <w:r>
        <w:tab/>
        <w:t>Is there an established mechanism for a utility to recognize equity issuance costs?</w:t>
      </w:r>
    </w:p>
    <w:p w:rsidR="00FE360F" w:rsidRDefault="003C72A1">
      <w:pPr>
        <w:pStyle w:val="Answer"/>
        <w:rPr>
          <w:spacing w:val="-2"/>
        </w:rPr>
      </w:pPr>
      <w:r>
        <w:t>A.</w:t>
      </w:r>
      <w:r>
        <w:tab/>
        <w:t>No.  While debt flotation costs are recorded on the books of the utility, amortized over the life of the issue, and thus increase the effective cost of debt capital, there is no similar accounting treatment to ensure that equity flotation costs are recorded and ultimately recognized.  No rate of return</w:t>
      </w:r>
      <w:r>
        <w:rPr>
          <w:spacing w:val="-2"/>
        </w:rPr>
        <w:t xml:space="preserve"> is authorized on flotation costs necessarily incurred to obtain a portion of the equity capital used to finance plant.  In other words, equity flotation costs are not included in a utility’s rate base because neither that portion of the gross proceeds from the sale of common stock used to pay flotation costs is available to invest in plant and equipment, nor are flotation costs capitalized as an intangible asset.  Unless some provision is made to recognize these issuance costs, a utility’s revenue requirements will not fully reflect all of the costs incurred for the use of investors’ funds.  Because there is no accounting convention to accumulate the flotation costs associated with equity issues, they</w:t>
      </w:r>
      <w:r>
        <w:t xml:space="preserve"> must be accounted for indirectly, with an upward adjustment to the cost of equity being the most </w:t>
      </w:r>
      <w:r w:rsidR="00176C84">
        <w:t xml:space="preserve">appropriate </w:t>
      </w:r>
      <w:r>
        <w:t>mechanism.</w:t>
      </w:r>
    </w:p>
    <w:p w:rsidR="00176C84" w:rsidRDefault="00176C84" w:rsidP="00176C84">
      <w:pPr>
        <w:pStyle w:val="Question0"/>
      </w:pPr>
      <w:bookmarkStart w:id="45" w:name="OLE_LINK1"/>
      <w:r>
        <w:t>Q.</w:t>
      </w:r>
      <w:r>
        <w:tab/>
        <w:t>Is there a theoretical and practical basis to include a flotation cost adjustment in this case?</w:t>
      </w:r>
    </w:p>
    <w:bookmarkEnd w:id="45"/>
    <w:p w:rsidR="00176C84" w:rsidRDefault="00176C84" w:rsidP="00176C84">
      <w:pPr>
        <w:pStyle w:val="Answer"/>
      </w:pPr>
      <w:r>
        <w:t>A.</w:t>
      </w:r>
      <w:r>
        <w:tab/>
        <w:t xml:space="preserve">Yes.  First, an adjustment for flotation costs associated with past equity issues is appropriate, even when the utility is not contemplating any new sales of common stock.  The need for a flotation cost adjustment to compensate for past equity issues been recognized in the financial literature.  In a </w:t>
      </w:r>
      <w:r>
        <w:rPr>
          <w:i/>
        </w:rPr>
        <w:t xml:space="preserve">Public Utilities Fortnightly </w:t>
      </w:r>
      <w:r>
        <w:t xml:space="preserve">article, for example, Brigham, </w:t>
      </w:r>
      <w:r>
        <w:lastRenderedPageBreak/>
        <w:t>Aberwald, and Gapenski demonstrated that even if no further stock issues are contemplated, a flotation cost adjustment in all future years is required to keep shareholders whole, and that the flotation cost adjustment must consider total equity, including retained earnings.</w:t>
      </w:r>
      <w:r>
        <w:rPr>
          <w:rStyle w:val="FootnoteReference"/>
        </w:rPr>
        <w:footnoteReference w:id="38"/>
      </w:r>
      <w:r>
        <w:t xml:space="preserve">  Similarly, </w:t>
      </w:r>
      <w:r>
        <w:rPr>
          <w:i/>
          <w:iCs/>
        </w:rPr>
        <w:t>New R</w:t>
      </w:r>
      <w:r>
        <w:rPr>
          <w:i/>
        </w:rPr>
        <w:t xml:space="preserve">egulatory Finance </w:t>
      </w:r>
      <w:r>
        <w:t>contains the following discussion:</w:t>
      </w:r>
    </w:p>
    <w:p w:rsidR="00176C84" w:rsidRDefault="00176C84" w:rsidP="00176C84">
      <w:pPr>
        <w:pStyle w:val="Quote1"/>
      </w:pPr>
      <w:r>
        <w:t>Another controversy is whether the flotation cost allowance should still be applied when the utility is not contemplating an imminent common stock issue.  Some argue that flotation costs are real and should be recognized in calculating the fair rate of return on equity, but only at the time when the expenses are incurred.  In other words, the flotation cost allowance should not continue indefinitely, but should be made in the year in which the sale of securities occurs, with no need for continuing compensation in future years.  This argument implies that the company has already been compensated for these costs and/or the initial contributed capital was obtained freely, devoid of any flotation costs, which is an unlikely assumption, and certainly not applicable to most utilities. … The flotation cost adjustment cannot be strictly forward-looking unless all past flotation costs associated with past issues have been recovered.</w:t>
      </w:r>
      <w:r>
        <w:rPr>
          <w:rStyle w:val="FootnoteReference"/>
        </w:rPr>
        <w:footnoteReference w:id="39"/>
      </w:r>
    </w:p>
    <w:p w:rsidR="00FE360F" w:rsidRDefault="003C72A1">
      <w:pPr>
        <w:pStyle w:val="Question0"/>
        <w:spacing w:line="480" w:lineRule="auto"/>
      </w:pPr>
      <w:r>
        <w:t>Q.</w:t>
      </w:r>
      <w:r>
        <w:tab/>
        <w:t>What is the magnitude of the adjustment to the “bare bones” cost of equity to account for issuance costs?</w:t>
      </w:r>
    </w:p>
    <w:p w:rsidR="00FE360F" w:rsidRDefault="003C72A1">
      <w:pPr>
        <w:pStyle w:val="Answer"/>
      </w:pPr>
      <w:r>
        <w:t>A.</w:t>
      </w:r>
      <w:r>
        <w:tab/>
        <w:t xml:space="preserve">While there are a number of ways in which a flotation cost adjustment can be calculated, one of the most common methods used to account for flotation costs in regulatory proceedings is to apply an average flotation-cost percentage to a utility’s dividend yield.  Based on a review of the finance literature, </w:t>
      </w:r>
      <w:r>
        <w:rPr>
          <w:i/>
          <w:iCs/>
        </w:rPr>
        <w:t xml:space="preserve">New </w:t>
      </w:r>
      <w:r>
        <w:rPr>
          <w:i/>
        </w:rPr>
        <w:t>Regulatory Finance</w:t>
      </w:r>
      <w:r>
        <w:t xml:space="preserve"> concluded:</w:t>
      </w:r>
    </w:p>
    <w:p w:rsidR="00FE360F" w:rsidRDefault="003C72A1">
      <w:pPr>
        <w:pStyle w:val="Quote1"/>
      </w:pPr>
      <w:r>
        <w:t>The flotation cost allowance requires an estimated adjustment to the return on equity of approximately 5% to 10%, depending on the size and risk of the issue.</w:t>
      </w:r>
      <w:r>
        <w:rPr>
          <w:rStyle w:val="FootnoteReference"/>
        </w:rPr>
        <w:footnoteReference w:id="40"/>
      </w:r>
    </w:p>
    <w:p w:rsidR="00FE360F" w:rsidRDefault="003C72A1">
      <w:pPr>
        <w:pStyle w:val="Answer"/>
        <w:ind w:firstLine="0"/>
        <w:rPr>
          <w:szCs w:val="26"/>
        </w:rPr>
      </w:pPr>
      <w:r>
        <w:rPr>
          <w:szCs w:val="26"/>
        </w:rPr>
        <w:lastRenderedPageBreak/>
        <w:t xml:space="preserve">Alternatively, a study of data from Morgan Stanley regarding issuance costs associated with utility </w:t>
      </w:r>
      <w:r>
        <w:t>common</w:t>
      </w:r>
      <w:r>
        <w:rPr>
          <w:szCs w:val="26"/>
        </w:rPr>
        <w:t xml:space="preserve"> stock issuances suggests an average flotation cost percentage of 3.6 percent.</w:t>
      </w:r>
      <w:r>
        <w:rPr>
          <w:rStyle w:val="FootnoteReference"/>
          <w:szCs w:val="26"/>
        </w:rPr>
        <w:footnoteReference w:id="41"/>
      </w:r>
      <w:r>
        <w:rPr>
          <w:szCs w:val="26"/>
        </w:rPr>
        <w:t xml:space="preserve"> </w:t>
      </w:r>
    </w:p>
    <w:p w:rsidR="00FE360F" w:rsidRDefault="003C72A1">
      <w:pPr>
        <w:pStyle w:val="Answer"/>
      </w:pPr>
      <w:r>
        <w:t>Issuance costs are a legitimate consideration in setting the ROE for a utility, and applying these expense percentages to the average dividend yield for the Utility Group of 4.</w:t>
      </w:r>
      <w:r w:rsidR="00176C84">
        <w:t>2</w:t>
      </w:r>
      <w:r>
        <w:t xml:space="preserve"> percent implies a flotation cost adjustment on the order of 1</w:t>
      </w:r>
      <w:r w:rsidR="00176C84">
        <w:t>5</w:t>
      </w:r>
      <w:r>
        <w:t xml:space="preserve"> to 4</w:t>
      </w:r>
      <w:r w:rsidR="00176C84">
        <w:t>2</w:t>
      </w:r>
      <w:r>
        <w:t xml:space="preserve"> basis points.  </w:t>
      </w:r>
    </w:p>
    <w:p w:rsidR="00FE360F" w:rsidRDefault="003C72A1">
      <w:pPr>
        <w:pStyle w:val="Question0"/>
        <w:spacing w:line="480" w:lineRule="auto"/>
      </w:pPr>
      <w:r>
        <w:t>Q.</w:t>
      </w:r>
      <w:r>
        <w:tab/>
        <w:t>Has the WUTC previously recognized that flotation costs are properly considered in setting the allowed ROE?</w:t>
      </w:r>
    </w:p>
    <w:p w:rsidR="00FE360F" w:rsidRDefault="003C72A1">
      <w:pPr>
        <w:pStyle w:val="Answer"/>
      </w:pPr>
      <w:r>
        <w:t>A.</w:t>
      </w:r>
      <w:r>
        <w:tab/>
        <w:t xml:space="preserve">Yes.  </w:t>
      </w:r>
      <w:proofErr w:type="gramStart"/>
      <w:r>
        <w:t>For example, in Docket No.</w:t>
      </w:r>
      <w:proofErr w:type="gramEnd"/>
      <w:r>
        <w:t xml:space="preserve"> UE-991606 the WUTC concluded that a flotation cost adjustment of 25 basis points should be included in the allowed return on equity:</w:t>
      </w:r>
    </w:p>
    <w:p w:rsidR="00FE360F" w:rsidRDefault="003C72A1">
      <w:pPr>
        <w:pStyle w:val="Quote1"/>
      </w:pPr>
      <w:r>
        <w:t xml:space="preserve">The Commission also agrees with both Dr. Avera and Dr. </w:t>
      </w:r>
      <w:proofErr w:type="spellStart"/>
      <w:r>
        <w:t>Lurito</w:t>
      </w:r>
      <w:proofErr w:type="spellEnd"/>
      <w:r>
        <w:t xml:space="preserve"> that a 25 basis point markup for flotation costs should be made.  This amount compensates the Company for costs incurred from past issues of common stock.  Flotation costs incurred in connection with a sale of common stock are not included in a utility's rate base because the portion of gross proceeds that is used to pay these costs is not available to invest in plant and equipment.</w:t>
      </w:r>
      <w:r>
        <w:rPr>
          <w:rStyle w:val="FootnoteReference"/>
        </w:rPr>
        <w:footnoteReference w:id="42"/>
      </w:r>
    </w:p>
    <w:p w:rsidR="00176C84" w:rsidRDefault="009A1774" w:rsidP="009A1774">
      <w:pPr>
        <w:pStyle w:val="Heading2"/>
      </w:pPr>
      <w:r>
        <w:t>Other ROE Benchmarks</w:t>
      </w:r>
    </w:p>
    <w:p w:rsidR="009A1774" w:rsidRDefault="009A1774" w:rsidP="009A1774">
      <w:pPr>
        <w:pStyle w:val="Question0"/>
        <w:spacing w:line="480" w:lineRule="auto"/>
      </w:pPr>
      <w:r>
        <w:t>Q.</w:t>
      </w:r>
      <w:r>
        <w:tab/>
        <w:t>What other analyses did you conduct to estimate the cost of equity?</w:t>
      </w:r>
    </w:p>
    <w:p w:rsidR="00176C84" w:rsidRDefault="009A1774" w:rsidP="009A1774">
      <w:pPr>
        <w:pStyle w:val="Answer"/>
      </w:pPr>
      <w:r>
        <w:t>A.</w:t>
      </w:r>
      <w:r>
        <w:tab/>
        <w:t xml:space="preserve">As indicated earlier, I also conducted alternative tests to demonstrate that the end results of the analyses discussed above are reasonable and do not exceed a fair ROE.  The first test is based on applications of the traditional CAPM analysis using current and projected interest rates.  The second test is based on expected earned returns for electric </w:t>
      </w:r>
      <w:r>
        <w:lastRenderedPageBreak/>
        <w:t xml:space="preserve">utilities.  Finally, I present a DCF analysis for a low risk group of non-utility firms, with which Avista must compete for investors’ money.  </w:t>
      </w:r>
    </w:p>
    <w:p w:rsidR="009A1774" w:rsidRDefault="009A1774" w:rsidP="009A1774">
      <w:pPr>
        <w:pStyle w:val="Question0"/>
      </w:pPr>
      <w:r>
        <w:t>Q.</w:t>
      </w:r>
      <w:r>
        <w:tab/>
        <w:t>What cost of equity estimates were indicated by the traditional CAPM?</w:t>
      </w:r>
    </w:p>
    <w:p w:rsidR="009A1774" w:rsidRDefault="009A1774" w:rsidP="009A1774">
      <w:pPr>
        <w:pStyle w:val="Answer"/>
      </w:pPr>
      <w:r>
        <w:t>A.</w:t>
      </w:r>
      <w:r>
        <w:tab/>
        <w:t>My applications of the traditional CAPM were based on the same forward-looking market rate of return, risk-free rates, and beta values discussed earlier in connections with the ECAPM.  As shown on page 1 of Exhibit No.__</w:t>
      </w:r>
      <w:proofErr w:type="gramStart"/>
      <w:r>
        <w:t>_(</w:t>
      </w:r>
      <w:proofErr w:type="gramEnd"/>
      <w:r>
        <w:t xml:space="preserve">AMM-10), applying the forward-looking CAPM approach to the firms in the Utility Group results in an average theoretical cost of equity estimate of 10.2 percent, or 11.1 percent after incorporating the size adjustment corresponding to the market capitalization of the individual utilities.  </w:t>
      </w:r>
    </w:p>
    <w:p w:rsidR="009A1774" w:rsidRDefault="009A1774" w:rsidP="009A1774">
      <w:pPr>
        <w:pStyle w:val="Answer"/>
      </w:pPr>
      <w:r>
        <w:t>As shown on page 2 of Exhibit No.__</w:t>
      </w:r>
      <w:proofErr w:type="gramStart"/>
      <w:r>
        <w:t>_(</w:t>
      </w:r>
      <w:proofErr w:type="gramEnd"/>
      <w:r>
        <w:t xml:space="preserve">AMM-10), incorporating a forecasted Treasury bond yield for </w:t>
      </w:r>
      <w:r w:rsidR="0035481B">
        <w:t>2014</w:t>
      </w:r>
      <w:r>
        <w:t>-</w:t>
      </w:r>
      <w:r w:rsidR="0035481B">
        <w:t xml:space="preserve">2018 </w:t>
      </w:r>
      <w:r>
        <w:t xml:space="preserve">implied a cost of equity of approximately 10.3 percent for the Utility Group, or 11.2 percent after adjusting for the impact of relative size.  </w:t>
      </w:r>
    </w:p>
    <w:p w:rsidR="00176C84" w:rsidRDefault="00176C84" w:rsidP="00176C84">
      <w:pPr>
        <w:pStyle w:val="Question0"/>
        <w:spacing w:line="480" w:lineRule="auto"/>
      </w:pPr>
      <w:r>
        <w:t>Q.</w:t>
      </w:r>
      <w:r>
        <w:tab/>
        <w:t xml:space="preserve">What other </w:t>
      </w:r>
      <w:r w:rsidR="009A1774">
        <w:t xml:space="preserve">test </w:t>
      </w:r>
      <w:r>
        <w:t xml:space="preserve">did you conduct to </w:t>
      </w:r>
      <w:r w:rsidR="009A1774">
        <w:t xml:space="preserve">evaluate </w:t>
      </w:r>
      <w:r>
        <w:t>the cost of equity?</w:t>
      </w:r>
    </w:p>
    <w:p w:rsidR="00176C84" w:rsidRDefault="00176C84" w:rsidP="00176C84">
      <w:pPr>
        <w:pStyle w:val="Answer"/>
      </w:pPr>
      <w:r>
        <w:t>A.</w:t>
      </w:r>
      <w:r>
        <w:tab/>
        <w:t xml:space="preserve">As I noted earlier, I also evaluated the cost of equity using the expected earnings approach.  Reference to rates of return available from alternative investments of comparable risk can provide an important benchmark in assessing the return necessary to assure confidence in the financial integrity of a firm and its ability to attract capital.  This expected earnings approach is consistent with the economic underpinnings for a fair rate of return established by the U.S. Supreme Court.  Moreover, it avoids the complexities and limitations of capital market methods and instead focuses on the returns earned on book equity, which are readily available to investors.  </w:t>
      </w:r>
    </w:p>
    <w:p w:rsidR="00176C84" w:rsidRDefault="00176C84" w:rsidP="00176C84">
      <w:pPr>
        <w:pStyle w:val="Answer"/>
        <w:rPr>
          <w:b/>
        </w:rPr>
      </w:pPr>
      <w:r>
        <w:rPr>
          <w:b/>
        </w:rPr>
        <w:t>Q.</w:t>
      </w:r>
      <w:r>
        <w:rPr>
          <w:b/>
        </w:rPr>
        <w:tab/>
        <w:t>What rates of return on equity are indicated for utilities based on the expected earnings approach?</w:t>
      </w:r>
    </w:p>
    <w:p w:rsidR="00176C84" w:rsidRDefault="00176C84" w:rsidP="00176C84">
      <w:pPr>
        <w:pStyle w:val="Answer"/>
        <w:rPr>
          <w:szCs w:val="26"/>
        </w:rPr>
      </w:pPr>
      <w:r>
        <w:rPr>
          <w:szCs w:val="26"/>
        </w:rPr>
        <w:lastRenderedPageBreak/>
        <w:t>A.</w:t>
      </w:r>
      <w:r>
        <w:rPr>
          <w:szCs w:val="26"/>
        </w:rPr>
        <w:tab/>
      </w:r>
      <w:r w:rsidR="009A1774">
        <w:t xml:space="preserve">Value Line’s projections imply an average rate of return on common equity for the electric </w:t>
      </w:r>
      <w:r w:rsidR="00A00BFA">
        <w:t xml:space="preserve">and gas </w:t>
      </w:r>
      <w:r w:rsidR="009A1774">
        <w:t>utility industr</w:t>
      </w:r>
      <w:r w:rsidR="00A00BFA">
        <w:t>ies</w:t>
      </w:r>
      <w:r w:rsidR="009A1774">
        <w:t xml:space="preserve"> of 10.4 percent </w:t>
      </w:r>
      <w:r w:rsidR="00A00BFA">
        <w:t xml:space="preserve">and 11.2 percent, respectively, </w:t>
      </w:r>
      <w:r w:rsidR="009A1774">
        <w:t>over its 2016-2018 forecast horizon.</w:t>
      </w:r>
      <w:r w:rsidR="009A1774">
        <w:rPr>
          <w:rStyle w:val="FootnoteReference"/>
        </w:rPr>
        <w:footnoteReference w:id="43"/>
      </w:r>
      <w:r w:rsidR="009A1774">
        <w:t xml:space="preserve">  </w:t>
      </w:r>
      <w:r w:rsidR="00A00BFA">
        <w:t xml:space="preserve">As </w:t>
      </w:r>
      <w:r w:rsidR="009A1774">
        <w:t>shown on Exhibit No.__</w:t>
      </w:r>
      <w:proofErr w:type="gramStart"/>
      <w:r w:rsidR="009A1774">
        <w:t>_(</w:t>
      </w:r>
      <w:proofErr w:type="gramEnd"/>
      <w:r w:rsidR="009A1774">
        <w:t>AMM-11)</w:t>
      </w:r>
      <w:r w:rsidR="00A00BFA">
        <w:t xml:space="preserve">, </w:t>
      </w:r>
      <w:r w:rsidR="009A1774">
        <w:t xml:space="preserve">Value Line’s projections for the Utility Group suggest an average ROE of approximately 9.7 percent, with a midpoint value of 10.8 percent.  </w:t>
      </w:r>
    </w:p>
    <w:p w:rsidR="00176C84" w:rsidRDefault="00176C84" w:rsidP="00176C84">
      <w:pPr>
        <w:pStyle w:val="Question0"/>
      </w:pPr>
      <w:r>
        <w:t>Q.</w:t>
      </w:r>
      <w:r>
        <w:tab/>
        <w:t>What other proxy group did you consider in evaluating a fair ROE for Avista?</w:t>
      </w:r>
    </w:p>
    <w:p w:rsidR="00176C84" w:rsidRDefault="00176C84" w:rsidP="00176C84">
      <w:pPr>
        <w:pStyle w:val="Answer"/>
      </w:pPr>
      <w:r>
        <w:t>A.</w:t>
      </w:r>
      <w:r>
        <w:tab/>
        <w:t xml:space="preserve">Under the regulatory </w:t>
      </w:r>
      <w:r>
        <w:rPr>
          <w:szCs w:val="26"/>
        </w:rPr>
        <w:t>standards</w:t>
      </w:r>
      <w:r>
        <w:t xml:space="preserve"> established by </w:t>
      </w:r>
      <w:r>
        <w:rPr>
          <w:i/>
          <w:iCs/>
        </w:rPr>
        <w:t xml:space="preserve">Hope </w:t>
      </w:r>
      <w:r>
        <w:t xml:space="preserve">and </w:t>
      </w:r>
      <w:r>
        <w:rPr>
          <w:i/>
          <w:iCs/>
        </w:rPr>
        <w:t>Bluefield</w:t>
      </w:r>
      <w:r>
        <w:t>,</w:t>
      </w:r>
      <w:r>
        <w:rPr>
          <w:i/>
          <w:iCs/>
        </w:rPr>
        <w:t xml:space="preserve"> </w:t>
      </w:r>
      <w:r>
        <w:t>the salient criterion in establishing a meaningful benchmark to evaluate a fair ROE is relative risk, not the particular business activity or degree of regulation.  With regulation taking the place of competitive market forces, required returns for utilities should be in line with those of non-utility firms of comparable risk operating under the constraints of free competition.  Consistent with this accepted regulatory standard, I also applied the DCF model to a reference group of low-risk companies in the non-utility sectors of the economy.  I refer to this group as the “Non-Utility Group”.</w:t>
      </w:r>
    </w:p>
    <w:p w:rsidR="00176C84" w:rsidRDefault="00176C84" w:rsidP="00176C84">
      <w:pPr>
        <w:pStyle w:val="Question0"/>
      </w:pPr>
      <w:r>
        <w:t>Q.</w:t>
      </w:r>
      <w:r>
        <w:tab/>
        <w:t>Do utilities have to compete with non-regulated firms for capital?</w:t>
      </w:r>
    </w:p>
    <w:p w:rsidR="00176C84" w:rsidRDefault="00176C84" w:rsidP="00176C84">
      <w:pPr>
        <w:pStyle w:val="Answer"/>
      </w:pPr>
      <w:r>
        <w:t>A.</w:t>
      </w:r>
      <w:r>
        <w:tab/>
        <w:t xml:space="preserve">Yes.  The cost of capital is an opportunity cost based on the returns that investors could realize by putting their money in other alternatives.  Clearly, the total capital invested in utility stocks is only the tip of the iceberg of total common stock investment, and there are a plethora of other enterprises available to investors beyond those in the utility industry.  Utilities must compete for capital, not just against firms in their own industry, but </w:t>
      </w:r>
      <w:r>
        <w:lastRenderedPageBreak/>
        <w:t>with other investment opportunities of comparable risk.  Indeed, modern portfolio theory is built on the assumption that rational investors will hold a diverse portfolio of stocks, not just companies in a single industry.</w:t>
      </w:r>
    </w:p>
    <w:p w:rsidR="00176C84" w:rsidRDefault="00176C84" w:rsidP="00176C84">
      <w:pPr>
        <w:pStyle w:val="Question0"/>
      </w:pPr>
      <w:r>
        <w:t>Q.</w:t>
      </w:r>
      <w:r>
        <w:tab/>
        <w:t xml:space="preserve">Is it consistent with the </w:t>
      </w:r>
      <w:r>
        <w:rPr>
          <w:i/>
          <w:iCs/>
        </w:rPr>
        <w:t xml:space="preserve">Bluefield </w:t>
      </w:r>
      <w:r>
        <w:t xml:space="preserve">and </w:t>
      </w:r>
      <w:r>
        <w:rPr>
          <w:i/>
          <w:iCs/>
        </w:rPr>
        <w:t xml:space="preserve">Hope </w:t>
      </w:r>
      <w:r>
        <w:t>cases to consider required returns for non-utility companies?</w:t>
      </w:r>
    </w:p>
    <w:p w:rsidR="00176C84" w:rsidRDefault="00176C84" w:rsidP="00176C84">
      <w:pPr>
        <w:pStyle w:val="Answer"/>
      </w:pPr>
      <w:r>
        <w:t>A.</w:t>
      </w:r>
      <w:r>
        <w:tab/>
        <w:t xml:space="preserve">Yes.  Returns in the competitive sector of the economy form the very underpinning for utility ROEs because regulation purports to serve as a substitute for the actions of competitive markets.  The Supreme Court has recognized that it is the degree of risk, not the nature of the business, which is relevant in evaluating an allowed ROE for a utility.  The </w:t>
      </w:r>
      <w:r>
        <w:rPr>
          <w:i/>
          <w:iCs/>
        </w:rPr>
        <w:t xml:space="preserve">Bluefield </w:t>
      </w:r>
      <w:r>
        <w:t>case refers to “business undertakings attended with comparable risks and uncertainties.”</w:t>
      </w:r>
      <w:r>
        <w:rPr>
          <w:rStyle w:val="FootnoteReference"/>
        </w:rPr>
        <w:t xml:space="preserve"> </w:t>
      </w:r>
      <w:r>
        <w:rPr>
          <w:rStyle w:val="FootnoteReference"/>
        </w:rPr>
        <w:footnoteReference w:id="44"/>
      </w:r>
      <w:r>
        <w:t xml:space="preserve">  It does not restrict consideration to other utilities.  Similarly, the </w:t>
      </w:r>
      <w:r>
        <w:rPr>
          <w:i/>
          <w:iCs/>
        </w:rPr>
        <w:t>Hope</w:t>
      </w:r>
      <w:r>
        <w:t xml:space="preserve"> case states:</w:t>
      </w:r>
    </w:p>
    <w:p w:rsidR="00176C84" w:rsidRDefault="00176C84" w:rsidP="00176C84">
      <w:pPr>
        <w:pStyle w:val="Quote1"/>
      </w:pPr>
      <w:r>
        <w:t>By that standard the return to the equity owner should be commensurate with returns on investments in other enterprises having corresponding risks.</w:t>
      </w:r>
      <w:r>
        <w:rPr>
          <w:rStyle w:val="FootnoteReference"/>
        </w:rPr>
        <w:footnoteReference w:id="45"/>
      </w:r>
    </w:p>
    <w:p w:rsidR="00176C84" w:rsidRDefault="00176C84" w:rsidP="00176C84">
      <w:pPr>
        <w:pStyle w:val="Answer"/>
        <w:ind w:firstLine="0"/>
      </w:pPr>
      <w:r>
        <w:t xml:space="preserve">As in the </w:t>
      </w:r>
      <w:r>
        <w:rPr>
          <w:i/>
          <w:iCs/>
        </w:rPr>
        <w:t xml:space="preserve">Bluefield </w:t>
      </w:r>
      <w:r>
        <w:t xml:space="preserve">decision, there is nothing to restrict “other enterprises” solely to the utility industry.  </w:t>
      </w:r>
    </w:p>
    <w:p w:rsidR="00176C84" w:rsidRDefault="00176C84" w:rsidP="00176C84">
      <w:pPr>
        <w:pStyle w:val="Question0"/>
      </w:pPr>
      <w:r>
        <w:t>Q.</w:t>
      </w:r>
      <w:r>
        <w:tab/>
        <w:t xml:space="preserve">Does consideration of the results for the Non-Utility Group </w:t>
      </w:r>
      <w:proofErr w:type="gramStart"/>
      <w:r>
        <w:t>make</w:t>
      </w:r>
      <w:proofErr w:type="gramEnd"/>
      <w:r>
        <w:t xml:space="preserve"> the estimation of the cost of equity using the DCF model more reliable</w:t>
      </w:r>
      <w:r>
        <w:rPr>
          <w:i/>
          <w:iCs/>
        </w:rPr>
        <w:t>?</w:t>
      </w:r>
    </w:p>
    <w:p w:rsidR="00176C84" w:rsidRDefault="00176C84" w:rsidP="00DF061B">
      <w:pPr>
        <w:pStyle w:val="Answer"/>
      </w:pPr>
      <w:r>
        <w:t>A.</w:t>
      </w:r>
      <w:r>
        <w:tab/>
        <w:t xml:space="preserve">Yes.  The estimates of growth from the DCF model depend on analysts’ forecasts.  It is possible for utility growth rates to be distorted by short-term trends in the industry or the </w:t>
      </w:r>
      <w:proofErr w:type="gramStart"/>
      <w:r>
        <w:t>industry falling into favor</w:t>
      </w:r>
      <w:proofErr w:type="gramEnd"/>
      <w:r>
        <w:t xml:space="preserve"> or disfavor by analysts.  The result of such distortions would be to bias the DCF estimates for utilities. </w:t>
      </w:r>
      <w:r w:rsidR="00DF061B">
        <w:t xml:space="preserve"> </w:t>
      </w:r>
      <w:r>
        <w:t xml:space="preserve">Because the Non-Utility Group </w:t>
      </w:r>
      <w:r>
        <w:lastRenderedPageBreak/>
        <w:t xml:space="preserve">includes low risk companies from many industries, it diversifies away any distortion that may be caused by the ebb and flow of enthusiasm for a particular sector.  </w:t>
      </w:r>
    </w:p>
    <w:p w:rsidR="00176C84" w:rsidRDefault="00176C84" w:rsidP="00176C84">
      <w:pPr>
        <w:pStyle w:val="Question0"/>
        <w:rPr>
          <w:rFonts w:cs="Arial"/>
        </w:rPr>
      </w:pPr>
      <w:r>
        <w:rPr>
          <w:rFonts w:cs="Arial"/>
        </w:rPr>
        <w:t>Q.</w:t>
      </w:r>
      <w:r>
        <w:rPr>
          <w:rFonts w:cs="Arial"/>
        </w:rPr>
        <w:tab/>
        <w:t>What criteria did you apply to develop the Non-Utility Group?</w:t>
      </w:r>
    </w:p>
    <w:p w:rsidR="00DF061B" w:rsidRDefault="00176C84" w:rsidP="00176C84">
      <w:pPr>
        <w:pStyle w:val="Answer"/>
        <w:rPr>
          <w:rFonts w:cs="Arial"/>
        </w:rPr>
      </w:pPr>
      <w:r>
        <w:rPr>
          <w:rFonts w:cs="Arial"/>
        </w:rPr>
        <w:t>A.</w:t>
      </w:r>
      <w:r>
        <w:rPr>
          <w:rFonts w:cs="Arial"/>
        </w:rPr>
        <w:tab/>
        <w:t xml:space="preserve">My comparable risk proxy group of non-utility firms was composed of those U.S. companies followed by Value Line that: </w:t>
      </w:r>
    </w:p>
    <w:p w:rsidR="00DF061B" w:rsidRPr="0035481B" w:rsidRDefault="008036CA" w:rsidP="00DF061B">
      <w:pPr>
        <w:spacing w:before="120" w:line="360" w:lineRule="auto"/>
        <w:ind w:left="1440"/>
        <w:jc w:val="both"/>
        <w:rPr>
          <w:rFonts w:ascii="Times New Roman" w:hAnsi="Times New Roman"/>
        </w:rPr>
      </w:pPr>
      <w:r w:rsidRPr="008036CA">
        <w:rPr>
          <w:rFonts w:ascii="Times New Roman" w:hAnsi="Times New Roman"/>
        </w:rPr>
        <w:t xml:space="preserve">1) </w:t>
      </w:r>
      <w:proofErr w:type="gramStart"/>
      <w:r w:rsidRPr="008036CA">
        <w:rPr>
          <w:rFonts w:ascii="Times New Roman" w:hAnsi="Times New Roman"/>
        </w:rPr>
        <w:t>pay</w:t>
      </w:r>
      <w:proofErr w:type="gramEnd"/>
      <w:r w:rsidRPr="008036CA">
        <w:rPr>
          <w:rFonts w:ascii="Times New Roman" w:hAnsi="Times New Roman"/>
        </w:rPr>
        <w:t xml:space="preserve"> common dividends; </w:t>
      </w:r>
    </w:p>
    <w:p w:rsidR="00DF061B" w:rsidRPr="0035481B" w:rsidRDefault="008036CA" w:rsidP="00DF061B">
      <w:pPr>
        <w:spacing w:line="360" w:lineRule="auto"/>
        <w:ind w:left="1440"/>
        <w:jc w:val="both"/>
        <w:rPr>
          <w:rFonts w:ascii="Times New Roman" w:hAnsi="Times New Roman"/>
        </w:rPr>
      </w:pPr>
      <w:r w:rsidRPr="008036CA">
        <w:rPr>
          <w:rFonts w:ascii="Times New Roman" w:hAnsi="Times New Roman"/>
        </w:rPr>
        <w:t xml:space="preserve">2) have a Safety Rank of “1”; </w:t>
      </w:r>
    </w:p>
    <w:p w:rsidR="00DF061B" w:rsidRPr="0035481B" w:rsidRDefault="008036CA" w:rsidP="00DF061B">
      <w:pPr>
        <w:spacing w:line="360" w:lineRule="auto"/>
        <w:ind w:left="1440"/>
        <w:rPr>
          <w:rFonts w:ascii="Times New Roman" w:hAnsi="Times New Roman"/>
        </w:rPr>
      </w:pPr>
      <w:r w:rsidRPr="008036CA">
        <w:rPr>
          <w:rFonts w:ascii="Times New Roman" w:hAnsi="Times New Roman"/>
        </w:rPr>
        <w:t xml:space="preserve">3) </w:t>
      </w:r>
      <w:proofErr w:type="gramStart"/>
      <w:r w:rsidRPr="008036CA">
        <w:rPr>
          <w:rFonts w:ascii="Times New Roman" w:hAnsi="Times New Roman"/>
        </w:rPr>
        <w:t>have</w:t>
      </w:r>
      <w:proofErr w:type="gramEnd"/>
      <w:r w:rsidRPr="008036CA">
        <w:rPr>
          <w:rFonts w:ascii="Times New Roman" w:hAnsi="Times New Roman"/>
        </w:rPr>
        <w:t xml:space="preserve"> a Financial Strength Rating of “B++” or greater; </w:t>
      </w:r>
    </w:p>
    <w:p w:rsidR="00DF061B" w:rsidRPr="0035481B" w:rsidRDefault="008036CA" w:rsidP="00DF061B">
      <w:pPr>
        <w:spacing w:line="360" w:lineRule="auto"/>
        <w:ind w:left="1440"/>
        <w:rPr>
          <w:rFonts w:ascii="Times New Roman" w:hAnsi="Times New Roman"/>
        </w:rPr>
      </w:pPr>
      <w:r w:rsidRPr="008036CA">
        <w:rPr>
          <w:rFonts w:ascii="Times New Roman" w:hAnsi="Times New Roman"/>
        </w:rPr>
        <w:t xml:space="preserve">4) </w:t>
      </w:r>
      <w:proofErr w:type="gramStart"/>
      <w:r w:rsidRPr="008036CA">
        <w:rPr>
          <w:rFonts w:ascii="Times New Roman" w:hAnsi="Times New Roman"/>
        </w:rPr>
        <w:t>have</w:t>
      </w:r>
      <w:proofErr w:type="gramEnd"/>
      <w:r w:rsidRPr="008036CA">
        <w:rPr>
          <w:rFonts w:ascii="Times New Roman" w:hAnsi="Times New Roman"/>
        </w:rPr>
        <w:t xml:space="preserve"> a beta of 0.60 or less; and </w:t>
      </w:r>
    </w:p>
    <w:p w:rsidR="00DF061B" w:rsidRPr="0035481B" w:rsidRDefault="008036CA" w:rsidP="00DF061B">
      <w:pPr>
        <w:spacing w:line="360" w:lineRule="auto"/>
        <w:ind w:left="1440"/>
        <w:rPr>
          <w:rFonts w:ascii="Times New Roman" w:hAnsi="Times New Roman"/>
        </w:rPr>
      </w:pPr>
      <w:r w:rsidRPr="008036CA">
        <w:rPr>
          <w:rFonts w:ascii="Times New Roman" w:hAnsi="Times New Roman"/>
        </w:rPr>
        <w:t xml:space="preserve">5) </w:t>
      </w:r>
      <w:proofErr w:type="gramStart"/>
      <w:r w:rsidRPr="008036CA">
        <w:rPr>
          <w:rFonts w:ascii="Times New Roman" w:hAnsi="Times New Roman"/>
        </w:rPr>
        <w:t>have</w:t>
      </w:r>
      <w:proofErr w:type="gramEnd"/>
      <w:r w:rsidRPr="008036CA">
        <w:rPr>
          <w:rFonts w:ascii="Times New Roman" w:hAnsi="Times New Roman"/>
        </w:rPr>
        <w:t xml:space="preserve"> investment grade credit ratings from S&amp;P.  </w:t>
      </w:r>
    </w:p>
    <w:p w:rsidR="00176C84" w:rsidRDefault="00176C84" w:rsidP="00176C84">
      <w:pPr>
        <w:pStyle w:val="Question0"/>
        <w:spacing w:line="480" w:lineRule="auto"/>
      </w:pPr>
      <w:r>
        <w:t>Q.</w:t>
      </w:r>
      <w:r>
        <w:tab/>
        <w:t>What were the results of your DCF analysis for the Non-Utility Group?</w:t>
      </w:r>
    </w:p>
    <w:p w:rsidR="00176C84" w:rsidRDefault="00176C84" w:rsidP="00176C84">
      <w:pPr>
        <w:pStyle w:val="Answer"/>
      </w:pPr>
      <w:r>
        <w:rPr>
          <w:bCs/>
          <w:iCs/>
        </w:rPr>
        <w:t>A.</w:t>
      </w:r>
      <w:r>
        <w:rPr>
          <w:bCs/>
          <w:iCs/>
        </w:rPr>
        <w:tab/>
        <w:t>As shown on Exhibit No.__</w:t>
      </w:r>
      <w:proofErr w:type="gramStart"/>
      <w:r>
        <w:rPr>
          <w:bCs/>
          <w:iCs/>
        </w:rPr>
        <w:t>_(</w:t>
      </w:r>
      <w:proofErr w:type="gramEnd"/>
      <w:r>
        <w:rPr>
          <w:bCs/>
          <w:iCs/>
        </w:rPr>
        <w:t>AMM-</w:t>
      </w:r>
      <w:r w:rsidR="00DF061B">
        <w:rPr>
          <w:bCs/>
          <w:iCs/>
        </w:rPr>
        <w:t>12</w:t>
      </w:r>
      <w:r>
        <w:rPr>
          <w:bCs/>
          <w:iCs/>
        </w:rPr>
        <w:t xml:space="preserve">), I applied the DCF model to the non-utility companies </w:t>
      </w:r>
      <w:r w:rsidR="00DF061B">
        <w:rPr>
          <w:bCs/>
          <w:iCs/>
        </w:rPr>
        <w:t xml:space="preserve">using the same analysts EPS growth projections </w:t>
      </w:r>
      <w:r>
        <w:rPr>
          <w:bCs/>
          <w:iCs/>
        </w:rPr>
        <w:t xml:space="preserve">described earlier for the Utility Group.  </w:t>
      </w:r>
      <w:r>
        <w:t>As summarized below in Table AMM-</w:t>
      </w:r>
      <w:r w:rsidR="00167D1B">
        <w:t>5</w:t>
      </w:r>
      <w:r>
        <w:t>, after eliminating illogical values, application of the constant growth DCF model resulted in the following cost of equity estimates:</w:t>
      </w:r>
    </w:p>
    <w:p w:rsidR="00176C84" w:rsidRDefault="00176C84" w:rsidP="00176C84">
      <w:pPr>
        <w:pStyle w:val="TableCaption"/>
        <w:spacing w:before="120" w:after="240"/>
        <w:rPr>
          <w:rFonts w:ascii="Palatino Linotype" w:hAnsi="Palatino Linotype"/>
        </w:rPr>
      </w:pPr>
      <w:r>
        <w:rPr>
          <w:rFonts w:ascii="Palatino Linotype" w:hAnsi="Palatino Linotype"/>
        </w:rPr>
        <w:lastRenderedPageBreak/>
        <w:t>table AMM-</w:t>
      </w:r>
      <w:r w:rsidR="00167D1B">
        <w:rPr>
          <w:rFonts w:ascii="Palatino Linotype" w:hAnsi="Palatino Linotype"/>
        </w:rPr>
        <w:t>5</w:t>
      </w:r>
      <w:r>
        <w:rPr>
          <w:rFonts w:ascii="Palatino Linotype" w:hAnsi="Palatino Linotype"/>
        </w:rPr>
        <w:br/>
        <w:t>DCF RESULTS – NON-UTILITY GROUP</w:t>
      </w:r>
    </w:p>
    <w:p w:rsidR="00B16048" w:rsidRDefault="00B16048" w:rsidP="00B16048">
      <w:pPr>
        <w:pStyle w:val="Table"/>
      </w:pPr>
      <w:r>
        <w:rPr>
          <w:noProof/>
        </w:rPr>
        <w:drawing>
          <wp:anchor distT="0" distB="0" distL="114300" distR="114300" simplePos="0" relativeHeight="251663360" behindDoc="0" locked="0" layoutInCell="1" allowOverlap="1">
            <wp:simplePos x="0" y="0"/>
            <wp:positionH relativeFrom="column">
              <wp:posOffset>1514475</wp:posOffset>
            </wp:positionH>
            <wp:positionV relativeFrom="paragraph">
              <wp:posOffset>0</wp:posOffset>
            </wp:positionV>
            <wp:extent cx="2600325" cy="1038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0325" cy="1038225"/>
                    </a:xfrm>
                    <a:prstGeom prst="rect">
                      <a:avLst/>
                    </a:prstGeom>
                    <a:noFill/>
                    <a:ln>
                      <a:noFill/>
                    </a:ln>
                  </pic:spPr>
                </pic:pic>
              </a:graphicData>
            </a:graphic>
          </wp:anchor>
        </w:drawing>
      </w:r>
    </w:p>
    <w:p w:rsidR="00B16048" w:rsidRDefault="00B16048" w:rsidP="00B16048">
      <w:pPr>
        <w:pStyle w:val="Table"/>
      </w:pPr>
    </w:p>
    <w:p w:rsidR="00B16048" w:rsidRDefault="00B16048" w:rsidP="00B16048">
      <w:pPr>
        <w:pStyle w:val="Table"/>
      </w:pPr>
    </w:p>
    <w:p w:rsidR="00B16048" w:rsidRDefault="00B16048" w:rsidP="00B16048">
      <w:pPr>
        <w:pStyle w:val="Table"/>
      </w:pPr>
    </w:p>
    <w:p w:rsidR="00B16048" w:rsidRPr="00B16048" w:rsidRDefault="00B16048" w:rsidP="00B16048">
      <w:pPr>
        <w:pStyle w:val="Table"/>
      </w:pPr>
    </w:p>
    <w:p w:rsidR="00176C84" w:rsidRDefault="00176C84" w:rsidP="00176C84">
      <w:pPr>
        <w:pStyle w:val="Question0"/>
        <w:spacing w:line="480" w:lineRule="auto"/>
        <w:ind w:left="864" w:firstLine="1440"/>
      </w:pPr>
    </w:p>
    <w:p w:rsidR="00176C84" w:rsidRDefault="00176C84" w:rsidP="00176C84">
      <w:pPr>
        <w:pStyle w:val="Question0"/>
        <w:spacing w:line="480" w:lineRule="auto"/>
        <w:rPr>
          <w:rFonts w:cs="Arial"/>
        </w:rPr>
      </w:pPr>
      <w:r>
        <w:rPr>
          <w:rFonts w:cs="Arial"/>
        </w:rPr>
        <w:t>Q.</w:t>
      </w:r>
      <w:r>
        <w:rPr>
          <w:rFonts w:cs="Arial"/>
        </w:rPr>
        <w:tab/>
        <w:t>How can you reconcile these DCF results for the Non-Utility Group against the significantly lower estimates produced for your comparable-risk group of utilities?</w:t>
      </w:r>
    </w:p>
    <w:p w:rsidR="00176C84" w:rsidRDefault="00176C84" w:rsidP="00176C84">
      <w:pPr>
        <w:pStyle w:val="Answer"/>
      </w:pPr>
      <w:r>
        <w:rPr>
          <w:rFonts w:cs="Arial"/>
        </w:rPr>
        <w:t>A.</w:t>
      </w:r>
      <w:r>
        <w:rPr>
          <w:rFonts w:cs="Arial"/>
        </w:rPr>
        <w:tab/>
        <w:t xml:space="preserve">First, it is important to be clear that the higher DCF results for the Non-Utility Group cannot be attributed to risk differences.  As documented </w:t>
      </w:r>
      <w:r w:rsidR="00DF061B">
        <w:rPr>
          <w:rFonts w:cs="Arial"/>
        </w:rPr>
        <w:t>in Exhibit No.__</w:t>
      </w:r>
      <w:proofErr w:type="gramStart"/>
      <w:r w:rsidR="00DF061B">
        <w:rPr>
          <w:rFonts w:cs="Arial"/>
        </w:rPr>
        <w:t>_(</w:t>
      </w:r>
      <w:proofErr w:type="gramEnd"/>
      <w:r w:rsidR="00CB4D49">
        <w:rPr>
          <w:rFonts w:cs="Arial"/>
        </w:rPr>
        <w:t>AMM</w:t>
      </w:r>
      <w:r w:rsidR="00DF061B">
        <w:rPr>
          <w:rFonts w:cs="Arial"/>
        </w:rPr>
        <w:t xml:space="preserve">-3), </w:t>
      </w:r>
      <w:r>
        <w:t>the risks that investors associate with the group of non-utility firms - as measured by S&amp;P’s credit ratings and Value Line’s Safety Rank, Financial Strength, and Beta – are lower than the risks investors associate with the Utility Group</w:t>
      </w:r>
      <w:r w:rsidR="00DF061B">
        <w:t xml:space="preserve"> and Avista</w:t>
      </w:r>
      <w:r>
        <w:t>.  The objective evidence provided by these observable risk measures rules out a conclusion that the higher non-utility DCF estimates are associated with higher investment risk.</w:t>
      </w:r>
    </w:p>
    <w:p w:rsidR="00176C84" w:rsidRDefault="00176C84" w:rsidP="00176C84">
      <w:pPr>
        <w:pStyle w:val="Answer"/>
      </w:pPr>
      <w:r>
        <w:rPr>
          <w:rFonts w:cs="Arial"/>
        </w:rPr>
        <w:t xml:space="preserve">Rather, the divergence between the DCF results for these two groups of utility and non-utility firms can be attributed to the fact that </w:t>
      </w:r>
      <w:r>
        <w:t xml:space="preserve">DCF estimates invariably depart from the returns that investors actually require because their expectations may not be captured by the inputs to the model, particularly the assumed growth rate.  Because the actual cost of equity is unobservable, and DCF results inherently incorporate a degree of error, the </w:t>
      </w:r>
      <w:proofErr w:type="gramStart"/>
      <w:r>
        <w:t xml:space="preserve">cost of equity estimates for the Non-Utility </w:t>
      </w:r>
      <w:r w:rsidR="0010609B">
        <w:t>G</w:t>
      </w:r>
      <w:r>
        <w:t>roup provide</w:t>
      </w:r>
      <w:proofErr w:type="gramEnd"/>
      <w:r>
        <w:t xml:space="preserve"> an important benchmark in evaluating a fair ROE for Avista.  There is no basis to conclude that DCF results for a group of utilities would be inherently more reliable than those for firms in the competitive sector, and the divergence </w:t>
      </w:r>
      <w:r>
        <w:lastRenderedPageBreak/>
        <w:t>between the DCF estimates for the Utility and Non-Utility Groups suggests that both should be considered to ensure a balanced end-result.</w:t>
      </w:r>
    </w:p>
    <w:p w:rsidR="00FE360F" w:rsidRPr="00B16048" w:rsidRDefault="003C72A1">
      <w:pPr>
        <w:pStyle w:val="Heading1"/>
        <w:rPr>
          <w:u w:val="single"/>
        </w:rPr>
      </w:pPr>
      <w:bookmarkStart w:id="46" w:name="_Toc292455198"/>
      <w:bookmarkStart w:id="47" w:name="_Toc117662449"/>
      <w:bookmarkStart w:id="48" w:name="_Toc159816094"/>
      <w:bookmarkStart w:id="49" w:name="_Toc292455199"/>
      <w:bookmarkEnd w:id="44"/>
      <w:bookmarkEnd w:id="46"/>
      <w:r w:rsidRPr="00B16048">
        <w:rPr>
          <w:u w:val="single"/>
        </w:rPr>
        <w:t>RETURN ON EQUITY RECOMMENDATION</w:t>
      </w:r>
      <w:bookmarkEnd w:id="47"/>
      <w:bookmarkEnd w:id="48"/>
      <w:bookmarkEnd w:id="49"/>
    </w:p>
    <w:p w:rsidR="00FE360F" w:rsidRDefault="003C72A1">
      <w:pPr>
        <w:pStyle w:val="Question0"/>
        <w:spacing w:line="480" w:lineRule="auto"/>
      </w:pPr>
      <w:r>
        <w:t>Q.</w:t>
      </w:r>
      <w:r>
        <w:tab/>
        <w:t xml:space="preserve">What did you conclude with respect to the cost of equity implied by your analyses for the </w:t>
      </w:r>
      <w:r w:rsidR="004260DA">
        <w:t>Utility G</w:t>
      </w:r>
      <w:r>
        <w:t>roup?</w:t>
      </w:r>
    </w:p>
    <w:p w:rsidR="00B414CD" w:rsidRPr="00B414CD" w:rsidRDefault="003C72A1" w:rsidP="00B414CD">
      <w:pPr>
        <w:pStyle w:val="Answer"/>
        <w:rPr>
          <w:szCs w:val="24"/>
        </w:rPr>
      </w:pPr>
      <w:r>
        <w:t>A.</w:t>
      </w:r>
      <w:r>
        <w:tab/>
      </w:r>
      <w:r w:rsidR="00B414CD">
        <w:t xml:space="preserve">The cost of </w:t>
      </w:r>
      <w:r w:rsidR="00B414CD" w:rsidRPr="00B414CD">
        <w:rPr>
          <w:rFonts w:cs="Arial"/>
        </w:rPr>
        <w:t>common</w:t>
      </w:r>
      <w:r w:rsidR="00B414CD">
        <w:t xml:space="preserve"> equity estimates produced by the DCF, ECAPM, and risk premium analyses described subsequently are presented on page 1 of Exhibit No.__</w:t>
      </w:r>
      <w:proofErr w:type="gramStart"/>
      <w:r w:rsidR="00B414CD">
        <w:t>_(</w:t>
      </w:r>
      <w:proofErr w:type="gramEnd"/>
      <w:r w:rsidR="00B414CD">
        <w:t>AMM-4).  My evaluation of these results indicates that the 10.1% ROE requested for Avista’s utility operations represents a conservative estimate of investors’ required rate of return.</w:t>
      </w:r>
      <w:r w:rsidR="00B414CD">
        <w:rPr>
          <w:szCs w:val="26"/>
        </w:rPr>
        <w:t xml:space="preserve">  The bases for my conclusion are summarized bel</w:t>
      </w:r>
      <w:r w:rsidR="00B414CD" w:rsidRPr="00B414CD">
        <w:rPr>
          <w:szCs w:val="24"/>
        </w:rPr>
        <w:t>ow:</w:t>
      </w:r>
    </w:p>
    <w:p w:rsidR="00B414CD" w:rsidRPr="0035481B" w:rsidRDefault="008036CA" w:rsidP="00B414CD">
      <w:pPr>
        <w:numPr>
          <w:ilvl w:val="0"/>
          <w:numId w:val="15"/>
        </w:numPr>
        <w:tabs>
          <w:tab w:val="clear" w:pos="360"/>
          <w:tab w:val="num" w:pos="1080"/>
        </w:tabs>
        <w:autoSpaceDE w:val="0"/>
        <w:autoSpaceDN w:val="0"/>
        <w:spacing w:before="120" w:line="360" w:lineRule="auto"/>
        <w:ind w:left="1440"/>
        <w:jc w:val="both"/>
        <w:rPr>
          <w:rFonts w:ascii="Times New Roman" w:hAnsi="Times New Roman"/>
          <w:szCs w:val="24"/>
        </w:rPr>
      </w:pPr>
      <w:r w:rsidRPr="008036CA">
        <w:rPr>
          <w:rFonts w:ascii="Times New Roman" w:hAnsi="Times New Roman"/>
          <w:szCs w:val="24"/>
        </w:rPr>
        <w:t>In order to reflect the risks and prospects associated with Avista’s jurisdictional utility operations, my analyses focused on a proxy group of 25 other utilities with comparable investment risks;</w:t>
      </w:r>
    </w:p>
    <w:p w:rsidR="00B414CD" w:rsidRPr="0035481B" w:rsidRDefault="008036CA" w:rsidP="00B414CD">
      <w:pPr>
        <w:numPr>
          <w:ilvl w:val="0"/>
          <w:numId w:val="15"/>
        </w:numPr>
        <w:tabs>
          <w:tab w:val="clear" w:pos="360"/>
          <w:tab w:val="num" w:pos="1080"/>
        </w:tabs>
        <w:autoSpaceDE w:val="0"/>
        <w:autoSpaceDN w:val="0"/>
        <w:spacing w:before="120" w:line="360" w:lineRule="auto"/>
        <w:ind w:left="1440"/>
        <w:jc w:val="both"/>
        <w:rPr>
          <w:rFonts w:ascii="Times New Roman" w:hAnsi="Times New Roman"/>
          <w:szCs w:val="24"/>
        </w:rPr>
      </w:pPr>
      <w:r w:rsidRPr="008036CA">
        <w:rPr>
          <w:rFonts w:ascii="Times New Roman" w:hAnsi="Times New Roman"/>
          <w:szCs w:val="24"/>
        </w:rPr>
        <w:t>Based on my evaluation of the strengths and weaknesses of the DCF, ECAPM, and risk premium methods, I concluded that a fair ROE for the proxy group of utilities is in the 9.65 percent to 11.15 percent range:</w:t>
      </w:r>
    </w:p>
    <w:p w:rsidR="00B414CD" w:rsidRPr="0035481B" w:rsidRDefault="008036CA" w:rsidP="00B414CD">
      <w:pPr>
        <w:numPr>
          <w:ilvl w:val="2"/>
          <w:numId w:val="30"/>
        </w:numPr>
        <w:tabs>
          <w:tab w:val="left" w:pos="720"/>
        </w:tabs>
        <w:spacing w:after="120" w:line="320" w:lineRule="exact"/>
        <w:ind w:right="360"/>
        <w:jc w:val="both"/>
        <w:rPr>
          <w:rFonts w:ascii="Times New Roman" w:hAnsi="Times New Roman"/>
          <w:szCs w:val="24"/>
        </w:rPr>
      </w:pPr>
      <w:r w:rsidRPr="008036CA">
        <w:rPr>
          <w:rFonts w:ascii="Times New Roman" w:hAnsi="Times New Roman"/>
          <w:szCs w:val="24"/>
        </w:rPr>
        <w:t xml:space="preserve">In evaluating the results of the DCF model, I considered the relative merits of the </w:t>
      </w:r>
      <w:r w:rsidRPr="008036CA">
        <w:rPr>
          <w:rFonts w:ascii="Times New Roman" w:hAnsi="Times New Roman"/>
          <w:iCs/>
          <w:szCs w:val="24"/>
        </w:rPr>
        <w:t>alternative</w:t>
      </w:r>
      <w:r w:rsidRPr="008036CA">
        <w:rPr>
          <w:rFonts w:ascii="Times New Roman" w:hAnsi="Times New Roman"/>
          <w:szCs w:val="24"/>
        </w:rPr>
        <w:t xml:space="preserve"> growth rates, giving little weight to the internal, “br+sv” growth measures;</w:t>
      </w:r>
    </w:p>
    <w:p w:rsidR="00E83368" w:rsidRPr="0035481B" w:rsidRDefault="008036CA" w:rsidP="00B414CD">
      <w:pPr>
        <w:numPr>
          <w:ilvl w:val="2"/>
          <w:numId w:val="30"/>
        </w:numPr>
        <w:tabs>
          <w:tab w:val="left" w:pos="720"/>
        </w:tabs>
        <w:spacing w:after="120" w:line="320" w:lineRule="exact"/>
        <w:ind w:right="360"/>
        <w:jc w:val="both"/>
        <w:rPr>
          <w:rFonts w:ascii="Times New Roman" w:hAnsi="Times New Roman"/>
          <w:szCs w:val="24"/>
        </w:rPr>
      </w:pPr>
      <w:r w:rsidRPr="008036CA">
        <w:rPr>
          <w:rFonts w:ascii="Times New Roman" w:hAnsi="Times New Roman"/>
          <w:szCs w:val="24"/>
        </w:rPr>
        <w:t>After eliminating low and high end outliers, the DCF results implied an ROE in the 9.5 percent to 10.0 percent range;</w:t>
      </w:r>
    </w:p>
    <w:p w:rsidR="00B414CD" w:rsidRPr="0035481B" w:rsidRDefault="008036CA" w:rsidP="00B414CD">
      <w:pPr>
        <w:numPr>
          <w:ilvl w:val="2"/>
          <w:numId w:val="30"/>
        </w:numPr>
        <w:tabs>
          <w:tab w:val="left" w:pos="720"/>
        </w:tabs>
        <w:spacing w:after="120" w:line="320" w:lineRule="exact"/>
        <w:ind w:right="360"/>
        <w:rPr>
          <w:rFonts w:ascii="Times New Roman" w:hAnsi="Times New Roman"/>
          <w:szCs w:val="24"/>
        </w:rPr>
      </w:pPr>
      <w:r w:rsidRPr="008036CA">
        <w:rPr>
          <w:rFonts w:ascii="Times New Roman" w:hAnsi="Times New Roman"/>
          <w:szCs w:val="24"/>
        </w:rPr>
        <w:t>The forward-looking ECAPM estimates suggested an ROE in the range of 10.7 percent to 11.8 percent;</w:t>
      </w:r>
    </w:p>
    <w:p w:rsidR="00B414CD" w:rsidRPr="0035481B" w:rsidRDefault="008036CA" w:rsidP="00B414CD">
      <w:pPr>
        <w:numPr>
          <w:ilvl w:val="2"/>
          <w:numId w:val="30"/>
        </w:numPr>
        <w:tabs>
          <w:tab w:val="left" w:pos="720"/>
        </w:tabs>
        <w:spacing w:after="120" w:line="320" w:lineRule="exact"/>
        <w:ind w:right="360"/>
        <w:jc w:val="both"/>
        <w:rPr>
          <w:rFonts w:ascii="Times New Roman" w:hAnsi="Times New Roman"/>
          <w:szCs w:val="24"/>
        </w:rPr>
      </w:pPr>
      <w:r w:rsidRPr="008036CA">
        <w:rPr>
          <w:rFonts w:ascii="Times New Roman" w:hAnsi="Times New Roman"/>
          <w:szCs w:val="24"/>
        </w:rPr>
        <w:t>The utility risk premium approach implies an ROE estimate on the order of 10.4 percent to 11.2 percent;</w:t>
      </w:r>
    </w:p>
    <w:p w:rsidR="00B414CD" w:rsidRPr="0035481B" w:rsidRDefault="008036CA" w:rsidP="00B414CD">
      <w:pPr>
        <w:numPr>
          <w:ilvl w:val="2"/>
          <w:numId w:val="30"/>
        </w:numPr>
        <w:tabs>
          <w:tab w:val="left" w:pos="720"/>
        </w:tabs>
        <w:spacing w:after="120" w:line="320" w:lineRule="exact"/>
        <w:ind w:right="360"/>
        <w:jc w:val="both"/>
        <w:rPr>
          <w:rFonts w:ascii="Times New Roman" w:hAnsi="Times New Roman"/>
          <w:szCs w:val="24"/>
        </w:rPr>
      </w:pPr>
      <w:r w:rsidRPr="008036CA">
        <w:rPr>
          <w:rFonts w:ascii="Times New Roman" w:hAnsi="Times New Roman"/>
          <w:szCs w:val="24"/>
        </w:rPr>
        <w:lastRenderedPageBreak/>
        <w:t>Taken together, these results indicated that the “bare bones cost of equity,” that is, the cost of equity before flotation costs, falls within a range of 9.5 percent to 11.0 percent;</w:t>
      </w:r>
    </w:p>
    <w:p w:rsidR="00B414CD" w:rsidRPr="0035481B" w:rsidRDefault="008036CA" w:rsidP="00B414CD">
      <w:pPr>
        <w:numPr>
          <w:ilvl w:val="2"/>
          <w:numId w:val="30"/>
        </w:numPr>
        <w:tabs>
          <w:tab w:val="left" w:pos="720"/>
        </w:tabs>
        <w:spacing w:after="120" w:line="320" w:lineRule="exact"/>
        <w:ind w:right="360"/>
        <w:jc w:val="both"/>
        <w:rPr>
          <w:rFonts w:ascii="Times New Roman" w:hAnsi="Times New Roman"/>
          <w:szCs w:val="24"/>
        </w:rPr>
      </w:pPr>
      <w:r w:rsidRPr="008036CA">
        <w:rPr>
          <w:rFonts w:ascii="Times New Roman" w:hAnsi="Times New Roman"/>
          <w:szCs w:val="24"/>
        </w:rPr>
        <w:t>Adding a flotation cost adjustment of 15 basis points to this bare bones cost of equity range resulted in an ROE range for the Utility Group of 9.65% to 11.15%.</w:t>
      </w:r>
    </w:p>
    <w:p w:rsidR="00B414CD" w:rsidRPr="0035481B" w:rsidRDefault="008036CA" w:rsidP="00B414CD">
      <w:pPr>
        <w:numPr>
          <w:ilvl w:val="0"/>
          <w:numId w:val="15"/>
        </w:numPr>
        <w:tabs>
          <w:tab w:val="clear" w:pos="360"/>
          <w:tab w:val="num" w:pos="1080"/>
        </w:tabs>
        <w:autoSpaceDE w:val="0"/>
        <w:autoSpaceDN w:val="0"/>
        <w:spacing w:before="120" w:line="360" w:lineRule="auto"/>
        <w:ind w:left="1440"/>
        <w:jc w:val="both"/>
        <w:rPr>
          <w:rFonts w:ascii="Times New Roman" w:hAnsi="Times New Roman"/>
          <w:szCs w:val="24"/>
        </w:rPr>
      </w:pPr>
      <w:r w:rsidRPr="008036CA">
        <w:rPr>
          <w:rFonts w:ascii="Times New Roman" w:hAnsi="Times New Roman"/>
          <w:szCs w:val="24"/>
        </w:rPr>
        <w:t>These results indicate that the 10.1 percent ROE requested by Avista is reasonable and should be approved:</w:t>
      </w:r>
    </w:p>
    <w:p w:rsidR="00B414CD" w:rsidRPr="0035481B" w:rsidRDefault="008036CA" w:rsidP="00B414CD">
      <w:pPr>
        <w:numPr>
          <w:ilvl w:val="2"/>
          <w:numId w:val="30"/>
        </w:numPr>
        <w:tabs>
          <w:tab w:val="left" w:pos="720"/>
        </w:tabs>
        <w:spacing w:after="120" w:line="320" w:lineRule="exact"/>
        <w:ind w:right="360"/>
        <w:jc w:val="both"/>
        <w:rPr>
          <w:rFonts w:ascii="Times New Roman" w:hAnsi="Times New Roman"/>
          <w:iCs/>
          <w:szCs w:val="24"/>
        </w:rPr>
      </w:pPr>
      <w:r w:rsidRPr="008036CA">
        <w:rPr>
          <w:rFonts w:ascii="Times New Roman" w:hAnsi="Times New Roman"/>
          <w:iCs/>
          <w:szCs w:val="24"/>
        </w:rPr>
        <w:t>An ROE of 10.1 percent falls below the 10.40 percent midpoint of the proxy group range;</w:t>
      </w:r>
    </w:p>
    <w:p w:rsidR="00B414CD" w:rsidRPr="0035481B" w:rsidRDefault="008036CA" w:rsidP="00B414CD">
      <w:pPr>
        <w:numPr>
          <w:ilvl w:val="2"/>
          <w:numId w:val="30"/>
        </w:numPr>
        <w:tabs>
          <w:tab w:val="left" w:pos="720"/>
        </w:tabs>
        <w:spacing w:after="120" w:line="320" w:lineRule="exact"/>
        <w:ind w:right="360"/>
        <w:jc w:val="both"/>
        <w:rPr>
          <w:rFonts w:ascii="Times New Roman" w:hAnsi="Times New Roman"/>
          <w:iCs/>
          <w:szCs w:val="24"/>
        </w:rPr>
      </w:pPr>
      <w:r w:rsidRPr="008036CA">
        <w:rPr>
          <w:rFonts w:ascii="Times New Roman" w:hAnsi="Times New Roman"/>
          <w:szCs w:val="24"/>
        </w:rPr>
        <w:t>An ROE from above the midpoint of the range is supported by the fact that current bond yields are anomalous, and result in DCF values that are understated;</w:t>
      </w:r>
    </w:p>
    <w:p w:rsidR="00B414CD" w:rsidRPr="0035481B" w:rsidRDefault="008036CA" w:rsidP="00B414CD">
      <w:pPr>
        <w:numPr>
          <w:ilvl w:val="2"/>
          <w:numId w:val="30"/>
        </w:numPr>
        <w:tabs>
          <w:tab w:val="left" w:pos="720"/>
        </w:tabs>
        <w:spacing w:after="120" w:line="320" w:lineRule="exact"/>
        <w:ind w:right="360"/>
        <w:jc w:val="both"/>
        <w:rPr>
          <w:rFonts w:ascii="Times New Roman" w:hAnsi="Times New Roman"/>
          <w:iCs/>
          <w:szCs w:val="24"/>
        </w:rPr>
      </w:pPr>
      <w:r w:rsidRPr="008036CA">
        <w:rPr>
          <w:rFonts w:ascii="Times New Roman" w:hAnsi="Times New Roman"/>
          <w:szCs w:val="24"/>
        </w:rPr>
        <w:t>Widespread expectations for higher interest rates emphasize the implication of considering the impact of projected bond yields in evaluating the results of the ECAPM and risk premium methods;</w:t>
      </w:r>
    </w:p>
    <w:p w:rsidR="00B414CD" w:rsidRPr="0035481B" w:rsidRDefault="008036CA" w:rsidP="00B414CD">
      <w:pPr>
        <w:numPr>
          <w:ilvl w:val="2"/>
          <w:numId w:val="30"/>
        </w:numPr>
        <w:tabs>
          <w:tab w:val="left" w:pos="720"/>
        </w:tabs>
        <w:spacing w:after="120" w:line="320" w:lineRule="exact"/>
        <w:ind w:right="360"/>
        <w:jc w:val="both"/>
        <w:rPr>
          <w:rFonts w:ascii="Times New Roman" w:hAnsi="Times New Roman"/>
          <w:szCs w:val="24"/>
        </w:rPr>
      </w:pPr>
      <w:r w:rsidRPr="008036CA">
        <w:rPr>
          <w:rFonts w:ascii="Times New Roman" w:hAnsi="Times New Roman"/>
          <w:szCs w:val="24"/>
        </w:rPr>
        <w:t>Apart from the expected upward trend in capital costs, a cost of equity of 10.1 percent is consistent with the need to support financial integrity and fund capital investment even under adverse circumstances.</w:t>
      </w:r>
    </w:p>
    <w:p w:rsidR="00B414CD" w:rsidRPr="0035481B" w:rsidRDefault="008036CA" w:rsidP="0001138F">
      <w:pPr>
        <w:pStyle w:val="Question0"/>
        <w:spacing w:line="480" w:lineRule="auto"/>
        <w:rPr>
          <w:szCs w:val="24"/>
        </w:rPr>
      </w:pPr>
      <w:r w:rsidRPr="008036CA">
        <w:rPr>
          <w:szCs w:val="24"/>
        </w:rPr>
        <w:t>Q.</w:t>
      </w:r>
      <w:r w:rsidRPr="008036CA">
        <w:rPr>
          <w:szCs w:val="24"/>
        </w:rPr>
        <w:tab/>
        <w:t xml:space="preserve">Does an ROE </w:t>
      </w:r>
      <w:r w:rsidRPr="008036CA">
        <w:t>of</w:t>
      </w:r>
      <w:r w:rsidRPr="008036CA">
        <w:rPr>
          <w:szCs w:val="24"/>
        </w:rPr>
        <w:t xml:space="preserve"> 10.1% represent a reasonable cost for Avista’s customers to pay?</w:t>
      </w:r>
    </w:p>
    <w:p w:rsidR="00B414CD" w:rsidRPr="0035481B" w:rsidRDefault="008036CA" w:rsidP="0001138F">
      <w:pPr>
        <w:pStyle w:val="Answer"/>
        <w:rPr>
          <w:szCs w:val="24"/>
        </w:rPr>
      </w:pPr>
      <w:r w:rsidRPr="008036CA">
        <w:rPr>
          <w:szCs w:val="24"/>
        </w:rPr>
        <w:t>A.</w:t>
      </w:r>
      <w:r w:rsidRPr="008036CA">
        <w:rPr>
          <w:szCs w:val="24"/>
        </w:rPr>
        <w:tab/>
        <w:t xml:space="preserve">Yes.  Investors have many options vying for their money.  They make investment capital available to Avista only if the expected returns justify the risk.  Customers will enjoy reliable and efficient service so long as investors are </w:t>
      </w:r>
      <w:r w:rsidRPr="008036CA">
        <w:t>willing</w:t>
      </w:r>
      <w:r w:rsidRPr="008036CA">
        <w:rPr>
          <w:szCs w:val="24"/>
        </w:rPr>
        <w:t xml:space="preserve"> to make the capital investments necessary to maintain and improve Avista’s utility system.  Providing an adequate return to investors is a necessary cost to ensure that capital is available to Avista now and in the future.  If regulatory decisions increase risk or limit returns to levels that are insufficient to justify the risk, investors will look elsewhere to invest capital.  </w:t>
      </w:r>
    </w:p>
    <w:p w:rsidR="00B414CD" w:rsidRDefault="008036CA" w:rsidP="0001138F">
      <w:pPr>
        <w:pStyle w:val="Answer"/>
      </w:pPr>
      <w:r w:rsidRPr="008036CA">
        <w:rPr>
          <w:szCs w:val="24"/>
        </w:rPr>
        <w:lastRenderedPageBreak/>
        <w:t xml:space="preserve">Apart from the results of the quantitative methods described above, it is crucial to </w:t>
      </w:r>
      <w:r w:rsidRPr="008036CA">
        <w:t>recognize</w:t>
      </w:r>
      <w:r w:rsidRPr="008036CA">
        <w:rPr>
          <w:szCs w:val="24"/>
        </w:rPr>
        <w:t xml:space="preserve"> the importance of maintaining a strong financial position so that Avista remains</w:t>
      </w:r>
      <w:r w:rsidR="00B414CD" w:rsidRPr="00B414CD">
        <w:rPr>
          <w:szCs w:val="24"/>
        </w:rPr>
        <w:t xml:space="preserve"> prepared to respond to unforeseen events that may materialize in the future.  While this imperative is reinforced by current capital market conditions, it extends well beyond the financial markets and includes the Company’s ability to absorb potential shocks associated with natural disasters such as catastrophic storms and unexpected events.  Recent challenges in the capital markets and ongoing economic uncertainties highlight the benefits of bolstering </w:t>
      </w:r>
      <w:r w:rsidR="00E83368">
        <w:rPr>
          <w:szCs w:val="24"/>
        </w:rPr>
        <w:t xml:space="preserve">Avista’s </w:t>
      </w:r>
      <w:r w:rsidR="00B414CD">
        <w:t xml:space="preserve">financial standing to ensure that the Company can attract the capital needed to secure reliable service at a lower cost for customers.  Changing course from the path of financial strength would be extremely shortsighted, especially considering that a combination of events could adversely impact </w:t>
      </w:r>
      <w:r w:rsidR="00E83368">
        <w:t xml:space="preserve">Avista’s </w:t>
      </w:r>
      <w:r w:rsidR="00B414CD">
        <w:t xml:space="preserve">ability to serve customers if its current financial strength were not maintained.  </w:t>
      </w:r>
    </w:p>
    <w:p w:rsidR="00B414CD" w:rsidRDefault="00E83368" w:rsidP="00E83368">
      <w:pPr>
        <w:pStyle w:val="Question0"/>
        <w:spacing w:line="480" w:lineRule="auto"/>
      </w:pPr>
      <w:r>
        <w:t>Q.</w:t>
      </w:r>
      <w:r>
        <w:tab/>
      </w:r>
      <w:r w:rsidR="00B414CD">
        <w:t xml:space="preserve">What did the </w:t>
      </w:r>
      <w:r w:rsidR="00B414CD" w:rsidRPr="00E83368">
        <w:rPr>
          <w:szCs w:val="24"/>
        </w:rPr>
        <w:t>results</w:t>
      </w:r>
      <w:r w:rsidR="00B414CD">
        <w:t xml:space="preserve"> of alternative ROE benchmarks indicate with respect to your evaluation?</w:t>
      </w:r>
    </w:p>
    <w:p w:rsidR="00B414CD" w:rsidRDefault="00E83368" w:rsidP="0001138F">
      <w:pPr>
        <w:pStyle w:val="Answer"/>
        <w:rPr>
          <w:iCs/>
        </w:rPr>
      </w:pPr>
      <w:r>
        <w:t>A.</w:t>
      </w:r>
      <w:r>
        <w:tab/>
      </w:r>
      <w:r w:rsidR="00B414CD">
        <w:t xml:space="preserve">The results of alternative ROE </w:t>
      </w:r>
      <w:r w:rsidR="00B414CD">
        <w:rPr>
          <w:iCs/>
        </w:rPr>
        <w:t xml:space="preserve">benchmarks, which are presented on page 2 of Exhibit </w:t>
      </w:r>
      <w:r>
        <w:rPr>
          <w:iCs/>
        </w:rPr>
        <w:t>No.__</w:t>
      </w:r>
      <w:proofErr w:type="gramStart"/>
      <w:r>
        <w:rPr>
          <w:iCs/>
        </w:rPr>
        <w:t>_(</w:t>
      </w:r>
      <w:proofErr w:type="gramEnd"/>
      <w:r>
        <w:rPr>
          <w:iCs/>
        </w:rPr>
        <w:t>AMM-4)</w:t>
      </w:r>
      <w:r w:rsidR="00B414CD">
        <w:rPr>
          <w:iCs/>
        </w:rPr>
        <w:t>, confirm the conclusion that the 10.</w:t>
      </w:r>
      <w:r>
        <w:rPr>
          <w:iCs/>
        </w:rPr>
        <w:t xml:space="preserve">1 percent </w:t>
      </w:r>
      <w:r w:rsidR="00B414CD">
        <w:rPr>
          <w:iCs/>
        </w:rPr>
        <w:t xml:space="preserve">ROE requested </w:t>
      </w:r>
      <w:r w:rsidR="00B414CD">
        <w:t xml:space="preserve">for </w:t>
      </w:r>
      <w:r>
        <w:t xml:space="preserve">Avista </w:t>
      </w:r>
      <w:r w:rsidR="00B414CD">
        <w:t xml:space="preserve">is reasonable: </w:t>
      </w:r>
    </w:p>
    <w:p w:rsidR="00B414CD" w:rsidRPr="0035481B" w:rsidRDefault="008036CA" w:rsidP="00B414CD">
      <w:pPr>
        <w:numPr>
          <w:ilvl w:val="0"/>
          <w:numId w:val="15"/>
        </w:numPr>
        <w:tabs>
          <w:tab w:val="clear" w:pos="360"/>
          <w:tab w:val="num" w:pos="1080"/>
        </w:tabs>
        <w:autoSpaceDE w:val="0"/>
        <w:autoSpaceDN w:val="0"/>
        <w:spacing w:before="120" w:line="360" w:lineRule="auto"/>
        <w:ind w:left="1440"/>
        <w:jc w:val="both"/>
        <w:rPr>
          <w:rFonts w:ascii="Times New Roman" w:hAnsi="Times New Roman"/>
          <w:szCs w:val="24"/>
        </w:rPr>
      </w:pPr>
      <w:r w:rsidRPr="008036CA">
        <w:rPr>
          <w:rFonts w:ascii="Times New Roman" w:hAnsi="Times New Roman"/>
          <w:szCs w:val="24"/>
        </w:rPr>
        <w:t>Applying the traditional CAPM approach implied a current cost of equity on the order of 10.2 percent to 11.2 percent;</w:t>
      </w:r>
    </w:p>
    <w:p w:rsidR="00B414CD" w:rsidRPr="0035481B" w:rsidRDefault="008036CA" w:rsidP="00B414CD">
      <w:pPr>
        <w:numPr>
          <w:ilvl w:val="0"/>
          <w:numId w:val="15"/>
        </w:numPr>
        <w:tabs>
          <w:tab w:val="clear" w:pos="360"/>
          <w:tab w:val="num" w:pos="1080"/>
        </w:tabs>
        <w:autoSpaceDE w:val="0"/>
        <w:autoSpaceDN w:val="0"/>
        <w:spacing w:before="120" w:line="360" w:lineRule="auto"/>
        <w:ind w:left="1440"/>
        <w:jc w:val="both"/>
        <w:rPr>
          <w:rFonts w:ascii="Times New Roman" w:hAnsi="Times New Roman"/>
          <w:szCs w:val="24"/>
        </w:rPr>
      </w:pPr>
      <w:r w:rsidRPr="008036CA">
        <w:rPr>
          <w:rFonts w:ascii="Times New Roman" w:hAnsi="Times New Roman"/>
          <w:szCs w:val="24"/>
        </w:rPr>
        <w:t xml:space="preserve">Expected returns for electric utilities suggested an ROE range of 9.7 percent to 10.8 percent, excluding any adjustment for flotation costs; </w:t>
      </w:r>
    </w:p>
    <w:p w:rsidR="00B414CD" w:rsidRPr="0035481B" w:rsidRDefault="008036CA" w:rsidP="00B414CD">
      <w:pPr>
        <w:numPr>
          <w:ilvl w:val="0"/>
          <w:numId w:val="15"/>
        </w:numPr>
        <w:tabs>
          <w:tab w:val="clear" w:pos="360"/>
          <w:tab w:val="num" w:pos="1080"/>
        </w:tabs>
        <w:autoSpaceDE w:val="0"/>
        <w:autoSpaceDN w:val="0"/>
        <w:spacing w:before="120" w:line="360" w:lineRule="auto"/>
        <w:ind w:left="1440"/>
        <w:jc w:val="both"/>
        <w:rPr>
          <w:rFonts w:ascii="Times New Roman" w:hAnsi="Times New Roman"/>
          <w:szCs w:val="24"/>
        </w:rPr>
      </w:pPr>
      <w:r w:rsidRPr="008036CA">
        <w:rPr>
          <w:rFonts w:ascii="Times New Roman" w:hAnsi="Times New Roman"/>
          <w:szCs w:val="24"/>
        </w:rPr>
        <w:t>DCF estimates for a low-risk group of non-utility firms resulted in an ROE range of 11.1 percent to 11.6 percent.</w:t>
      </w:r>
    </w:p>
    <w:p w:rsidR="00B414CD" w:rsidRPr="0035481B" w:rsidRDefault="008036CA" w:rsidP="00AB0EFF">
      <w:pPr>
        <w:pStyle w:val="Answer"/>
        <w:ind w:firstLine="0"/>
      </w:pPr>
      <w:r w:rsidRPr="008036CA">
        <w:lastRenderedPageBreak/>
        <w:t xml:space="preserve">These tests of reasonableness confirm that a 10.1 percent ROE falls in the lower end of the reasonable range to maintain Avista’s financial integrity, provides a return commensurate with investments of comparable risk, and supports the Company’s ability to attract capital.  </w:t>
      </w:r>
    </w:p>
    <w:p w:rsidR="00FE360F" w:rsidRPr="0035481B" w:rsidRDefault="008036CA">
      <w:pPr>
        <w:pStyle w:val="Question0"/>
        <w:spacing w:line="480" w:lineRule="auto"/>
      </w:pPr>
      <w:r w:rsidRPr="008036CA">
        <w:t>Q.</w:t>
      </w:r>
      <w:r w:rsidRPr="008036CA">
        <w:tab/>
        <w:t>Does this conclude your pre-filed direct testimony?</w:t>
      </w:r>
    </w:p>
    <w:p w:rsidR="003C72A1" w:rsidRPr="0035481B" w:rsidRDefault="008036CA">
      <w:pPr>
        <w:pStyle w:val="Answer"/>
        <w:tabs>
          <w:tab w:val="left" w:pos="2430"/>
        </w:tabs>
      </w:pPr>
      <w:r w:rsidRPr="008036CA">
        <w:t>A.</w:t>
      </w:r>
      <w:r w:rsidRPr="008036CA">
        <w:tab/>
        <w:t>Y</w:t>
      </w:r>
      <w:r>
        <w:rPr>
          <w:rStyle w:val="LineNumber"/>
        </w:rPr>
        <w:t>es.</w:t>
      </w:r>
      <w:r>
        <w:t xml:space="preserve"> </w:t>
      </w:r>
    </w:p>
    <w:sectPr w:rsidR="003C72A1" w:rsidRPr="0035481B" w:rsidSect="009B5DD2">
      <w:footerReference w:type="default" r:id="rId15"/>
      <w:pgSz w:w="12240" w:h="15840" w:code="1"/>
      <w:pgMar w:top="1440" w:right="1440" w:bottom="1800" w:left="1800" w:header="720" w:footer="576" w:gutter="0"/>
      <w:lnNumType w:countBy="1" w:distance="576"/>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2CE" w:rsidRDefault="00CD22CE">
      <w:r>
        <w:separator/>
      </w:r>
    </w:p>
  </w:endnote>
  <w:endnote w:type="continuationSeparator" w:id="0">
    <w:p w:rsidR="00CD22CE" w:rsidRDefault="00CD22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2CE" w:rsidRPr="00B14977" w:rsidRDefault="00CD22CE">
    <w:pPr>
      <w:pStyle w:val="Footer"/>
      <w:tabs>
        <w:tab w:val="clear" w:pos="4320"/>
        <w:tab w:val="clear" w:pos="8640"/>
        <w:tab w:val="left" w:pos="180"/>
        <w:tab w:val="right" w:pos="9360"/>
      </w:tabs>
      <w:rPr>
        <w:rFonts w:ascii="Times New Roman" w:hAnsi="Times New Roman"/>
        <w:szCs w:val="24"/>
      </w:rPr>
    </w:pPr>
    <w:r w:rsidRPr="008036CA">
      <w:rPr>
        <w:rFonts w:ascii="Times New Roman" w:hAnsi="Times New Roman"/>
        <w:szCs w:val="24"/>
      </w:rPr>
      <w:t>Direct Testimony of Adrien M. McKenzie</w:t>
    </w:r>
  </w:p>
  <w:p w:rsidR="00CD22CE" w:rsidRPr="00B14977" w:rsidRDefault="00CD22CE">
    <w:pPr>
      <w:pStyle w:val="Footer"/>
      <w:tabs>
        <w:tab w:val="clear" w:pos="4320"/>
        <w:tab w:val="clear" w:pos="8640"/>
        <w:tab w:val="left" w:pos="180"/>
        <w:tab w:val="right" w:pos="8910"/>
      </w:tabs>
      <w:rPr>
        <w:rStyle w:val="PageNumber"/>
        <w:szCs w:val="24"/>
      </w:rPr>
    </w:pPr>
    <w:r w:rsidRPr="008036CA">
      <w:rPr>
        <w:rFonts w:ascii="Times New Roman" w:hAnsi="Times New Roman"/>
        <w:szCs w:val="24"/>
      </w:rPr>
      <w:t>Avista Corporation</w:t>
    </w:r>
  </w:p>
  <w:p w:rsidR="00CD22CE" w:rsidRPr="00B14977" w:rsidRDefault="00CD22CE">
    <w:pPr>
      <w:pStyle w:val="Footer"/>
      <w:tabs>
        <w:tab w:val="clear" w:pos="4320"/>
        <w:tab w:val="clear" w:pos="8640"/>
        <w:tab w:val="right" w:pos="8910"/>
      </w:tabs>
      <w:ind w:right="360"/>
      <w:rPr>
        <w:rFonts w:ascii="Times New Roman" w:hAnsi="Times New Roman"/>
        <w:szCs w:val="24"/>
        <w:lang w:val="fr-FR"/>
      </w:rPr>
    </w:pPr>
    <w:r w:rsidRPr="008036CA">
      <w:rPr>
        <w:rFonts w:ascii="Times New Roman" w:hAnsi="Times New Roman"/>
        <w:szCs w:val="24"/>
        <w:lang w:val="fr-FR"/>
      </w:rPr>
      <w:t>Docket Nos. UE-14-____ &amp; UG-14-____</w:t>
    </w:r>
    <w:r w:rsidRPr="008036CA">
      <w:rPr>
        <w:rFonts w:ascii="Times New Roman" w:hAnsi="Times New Roman"/>
        <w:szCs w:val="24"/>
        <w:lang w:val="fr-FR"/>
      </w:rPr>
      <w:tab/>
      <w:t xml:space="preserve">Page </w:t>
    </w:r>
    <w:r w:rsidR="00730F82" w:rsidRPr="008036CA">
      <w:rPr>
        <w:rStyle w:val="PageNumber"/>
        <w:szCs w:val="24"/>
      </w:rPr>
      <w:fldChar w:fldCharType="begin"/>
    </w:r>
    <w:r w:rsidRPr="008036CA">
      <w:rPr>
        <w:rStyle w:val="PageNumber"/>
        <w:szCs w:val="24"/>
        <w:lang w:val="fr-FR"/>
      </w:rPr>
      <w:instrText xml:space="preserve"> PAGE </w:instrText>
    </w:r>
    <w:r w:rsidR="00730F82" w:rsidRPr="008036CA">
      <w:rPr>
        <w:rStyle w:val="PageNumber"/>
        <w:szCs w:val="24"/>
      </w:rPr>
      <w:fldChar w:fldCharType="separate"/>
    </w:r>
    <w:r w:rsidR="00264A15">
      <w:rPr>
        <w:rStyle w:val="PageNumber"/>
        <w:noProof/>
        <w:szCs w:val="24"/>
        <w:lang w:val="fr-FR"/>
      </w:rPr>
      <w:t>5</w:t>
    </w:r>
    <w:r w:rsidR="00730F82" w:rsidRPr="008036CA">
      <w:rPr>
        <w:rStyle w:val="PageNumber"/>
        <w:szCs w:val="24"/>
      </w:rPr>
      <w:fldChar w:fldCharType="end"/>
    </w:r>
  </w:p>
  <w:p w:rsidR="00CD22CE" w:rsidRPr="00B14977" w:rsidRDefault="00CD22CE">
    <w:pPr>
      <w:pStyle w:val="Footer"/>
      <w:rPr>
        <w:rFonts w:ascii="Times New Roman" w:hAnsi="Times New Roman"/>
        <w:szCs w:val="24"/>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2CE" w:rsidRDefault="00CD22CE">
      <w:pPr>
        <w:pStyle w:val="Answer2"/>
        <w:spacing w:line="360" w:lineRule="auto"/>
        <w:ind w:firstLine="0"/>
        <w:rPr>
          <w:kern w:val="0"/>
          <w:sz w:val="22"/>
          <w:szCs w:val="24"/>
        </w:rPr>
      </w:pPr>
      <w:r>
        <w:separator/>
      </w:r>
    </w:p>
  </w:footnote>
  <w:footnote w:type="continuationSeparator" w:id="0">
    <w:p w:rsidR="00CD22CE" w:rsidRDefault="00CD22CE">
      <w:pPr>
        <w:pStyle w:val="Answer2"/>
        <w:spacing w:line="360" w:lineRule="auto"/>
        <w:ind w:firstLine="0"/>
        <w:rPr>
          <w:kern w:val="0"/>
          <w:sz w:val="22"/>
          <w:szCs w:val="24"/>
        </w:rPr>
      </w:pPr>
      <w:r>
        <w:continuationSeparator/>
      </w:r>
    </w:p>
  </w:footnote>
  <w:footnote w:type="continuationNotice" w:id="1">
    <w:p w:rsidR="00CD22CE" w:rsidRDefault="00CD22CE"/>
  </w:footnote>
  <w:footnote w:id="2">
    <w:p w:rsidR="00CD22CE" w:rsidRDefault="00CD22CE" w:rsidP="00176941">
      <w:pPr>
        <w:pStyle w:val="FootnoteText"/>
        <w:jc w:val="both"/>
      </w:pPr>
      <w:r>
        <w:rPr>
          <w:rStyle w:val="FootnoteReference"/>
        </w:rPr>
        <w:footnoteRef/>
      </w:r>
      <w:r>
        <w:t xml:space="preserve"> </w:t>
      </w:r>
      <w:proofErr w:type="gramStart"/>
      <w:r>
        <w:rPr>
          <w:i/>
          <w:iCs/>
        </w:rPr>
        <w:t>Bluefield Water Works &amp; Improvement Co. v. Pub.</w:t>
      </w:r>
      <w:proofErr w:type="gramEnd"/>
      <w:r>
        <w:rPr>
          <w:i/>
          <w:iCs/>
        </w:rPr>
        <w:t xml:space="preserve"> </w:t>
      </w:r>
      <w:proofErr w:type="gramStart"/>
      <w:r>
        <w:rPr>
          <w:i/>
          <w:iCs/>
        </w:rPr>
        <w:t xml:space="preserve">Serv. </w:t>
      </w:r>
      <w:proofErr w:type="spellStart"/>
      <w:r>
        <w:rPr>
          <w:i/>
          <w:iCs/>
        </w:rPr>
        <w:t>Comm'n</w:t>
      </w:r>
      <w:proofErr w:type="spellEnd"/>
      <w:r>
        <w:t>, 262 U.S. 679 (1923).</w:t>
      </w:r>
      <w:proofErr w:type="gramEnd"/>
    </w:p>
  </w:footnote>
  <w:footnote w:id="3">
    <w:p w:rsidR="00CD22CE" w:rsidRDefault="00CD22CE" w:rsidP="00176941">
      <w:pPr>
        <w:pStyle w:val="FootnoteText"/>
        <w:jc w:val="both"/>
      </w:pPr>
      <w:r>
        <w:rPr>
          <w:rStyle w:val="FootnoteReference"/>
        </w:rPr>
        <w:footnoteRef/>
      </w:r>
      <w:r>
        <w:t xml:space="preserve"> </w:t>
      </w:r>
      <w:proofErr w:type="gramStart"/>
      <w:r>
        <w:t>Fed.</w:t>
      </w:r>
      <w:proofErr w:type="gramEnd"/>
      <w:r>
        <w:t xml:space="preserve"> </w:t>
      </w:r>
      <w:proofErr w:type="gramStart"/>
      <w:r>
        <w:t xml:space="preserve">Power </w:t>
      </w:r>
      <w:proofErr w:type="spellStart"/>
      <w:r>
        <w:t>Comm'n</w:t>
      </w:r>
      <w:proofErr w:type="spellEnd"/>
      <w:r>
        <w:t xml:space="preserve"> v. Hope Natural Gas Co., 320 U.S. 591 (1944).</w:t>
      </w:r>
      <w:proofErr w:type="gramEnd"/>
    </w:p>
  </w:footnote>
  <w:footnote w:id="4">
    <w:p w:rsidR="00CD22CE" w:rsidRDefault="00CD22CE" w:rsidP="00176941">
      <w:pPr>
        <w:pStyle w:val="FootnoteText"/>
        <w:jc w:val="both"/>
      </w:pPr>
      <w:r>
        <w:rPr>
          <w:rStyle w:val="FootnoteReference"/>
        </w:rPr>
        <w:footnoteRef/>
      </w:r>
      <w:r>
        <w:t xml:space="preserve"> </w:t>
      </w:r>
      <w:proofErr w:type="gramStart"/>
      <w:r>
        <w:t xml:space="preserve">Standard &amp; Poor’s Corporation, “Avista Corp.,” </w:t>
      </w:r>
      <w:proofErr w:type="spellStart"/>
      <w:r>
        <w:rPr>
          <w:i/>
          <w:iCs/>
        </w:rPr>
        <w:t>RatingsDirect</w:t>
      </w:r>
      <w:proofErr w:type="spellEnd"/>
      <w:r>
        <w:rPr>
          <w:i/>
          <w:iCs/>
        </w:rPr>
        <w:t xml:space="preserve"> </w:t>
      </w:r>
      <w:r>
        <w:t>(Jul. 26, 2011).</w:t>
      </w:r>
      <w:proofErr w:type="gramEnd"/>
    </w:p>
  </w:footnote>
  <w:footnote w:id="5">
    <w:p w:rsidR="00CD22CE" w:rsidRDefault="00CD22CE" w:rsidP="00176941">
      <w:pPr>
        <w:pStyle w:val="FootnoteText"/>
        <w:jc w:val="both"/>
      </w:pPr>
      <w:r>
        <w:rPr>
          <w:rStyle w:val="FootnoteReference"/>
        </w:rPr>
        <w:footnoteRef/>
      </w:r>
      <w:r>
        <w:t xml:space="preserve"> </w:t>
      </w:r>
      <w:proofErr w:type="gramStart"/>
      <w:r>
        <w:t xml:space="preserve">Standard &amp; Poor’s Corporation, “Pacific Northwest Hydrology And Its Impact On Investor-Owned Utilities’ Credit Quality,” </w:t>
      </w:r>
      <w:r>
        <w:rPr>
          <w:i/>
          <w:iCs/>
        </w:rPr>
        <w:t xml:space="preserve">RatingsDirect </w:t>
      </w:r>
      <w:r>
        <w:t>(Jan. 28, 2008).</w:t>
      </w:r>
      <w:proofErr w:type="gramEnd"/>
    </w:p>
  </w:footnote>
  <w:footnote w:id="6">
    <w:p w:rsidR="00CD22CE" w:rsidRDefault="00CD22CE" w:rsidP="00176941">
      <w:pPr>
        <w:pStyle w:val="FootnoteText"/>
        <w:jc w:val="both"/>
      </w:pPr>
      <w:r>
        <w:rPr>
          <w:rStyle w:val="FootnoteReference"/>
        </w:rPr>
        <w:footnoteRef/>
      </w:r>
      <w:r>
        <w:t xml:space="preserve"> </w:t>
      </w:r>
      <w:r>
        <w:rPr>
          <w:i/>
          <w:iCs/>
        </w:rPr>
        <w:t>Id</w:t>
      </w:r>
      <w:r>
        <w:t>.</w:t>
      </w:r>
    </w:p>
  </w:footnote>
  <w:footnote w:id="7">
    <w:p w:rsidR="00CD22CE" w:rsidRDefault="00CD22CE" w:rsidP="00176941">
      <w:pPr>
        <w:pStyle w:val="FootnoteText"/>
        <w:jc w:val="both"/>
      </w:pPr>
      <w:r>
        <w:rPr>
          <w:rStyle w:val="FootnoteReference"/>
        </w:rPr>
        <w:footnoteRef/>
      </w:r>
      <w:r>
        <w:t xml:space="preserve"> Standard &amp; Poor’s Corporation, “Summary: Avista Corp,” </w:t>
      </w:r>
      <w:r>
        <w:rPr>
          <w:i/>
          <w:iCs/>
        </w:rPr>
        <w:t xml:space="preserve">RatingsDirect </w:t>
      </w:r>
      <w:r>
        <w:t>(Jan. 26, 2012).</w:t>
      </w:r>
    </w:p>
  </w:footnote>
  <w:footnote w:id="8">
    <w:p w:rsidR="00CD22CE" w:rsidRPr="009D0D18" w:rsidRDefault="00CD22CE" w:rsidP="00176941">
      <w:pPr>
        <w:pStyle w:val="FootnoteText"/>
        <w:jc w:val="both"/>
      </w:pPr>
      <w:r>
        <w:rPr>
          <w:rStyle w:val="FootnoteReference"/>
        </w:rPr>
        <w:footnoteRef/>
      </w:r>
      <w:r>
        <w:t xml:space="preserve"> </w:t>
      </w:r>
      <w:proofErr w:type="gramStart"/>
      <w:r>
        <w:t>Standard &amp; Poor’s Corporation, “</w:t>
      </w:r>
      <w:r w:rsidRPr="009D0D18">
        <w:t>Industry Report Card</w:t>
      </w:r>
      <w:r>
        <w:t xml:space="preserve">,” </w:t>
      </w:r>
      <w:proofErr w:type="spellStart"/>
      <w:r>
        <w:rPr>
          <w:i/>
        </w:rPr>
        <w:t>RatingsDirect</w:t>
      </w:r>
      <w:proofErr w:type="spellEnd"/>
      <w:r>
        <w:rPr>
          <w:i/>
        </w:rPr>
        <w:t xml:space="preserve"> </w:t>
      </w:r>
      <w:r>
        <w:t>(Apr. 19, 2013).</w:t>
      </w:r>
      <w:proofErr w:type="gramEnd"/>
    </w:p>
  </w:footnote>
  <w:footnote w:id="9">
    <w:p w:rsidR="00CD22CE" w:rsidRDefault="00CD22CE" w:rsidP="00176941">
      <w:pPr>
        <w:pStyle w:val="FootnoteText"/>
        <w:jc w:val="both"/>
      </w:pPr>
      <w:r>
        <w:rPr>
          <w:rStyle w:val="FootnoteReference"/>
        </w:rPr>
        <w:footnoteRef/>
      </w:r>
      <w:r>
        <w:t xml:space="preserve"> Moody’s Investors Service, “Credit Opinion: Avista Corp.,” </w:t>
      </w:r>
      <w:r>
        <w:rPr>
          <w:i/>
          <w:iCs/>
        </w:rPr>
        <w:t xml:space="preserve">Global Credit Research </w:t>
      </w:r>
      <w:r>
        <w:t>(Mar. 17, 2011).</w:t>
      </w:r>
    </w:p>
  </w:footnote>
  <w:footnote w:id="10">
    <w:p w:rsidR="00CD22CE" w:rsidRDefault="00CD22CE" w:rsidP="00176941">
      <w:pPr>
        <w:pStyle w:val="FootnoteText"/>
        <w:jc w:val="both"/>
      </w:pPr>
      <w:r>
        <w:rPr>
          <w:rStyle w:val="FootnoteReference"/>
        </w:rPr>
        <w:footnoteRef/>
      </w:r>
      <w:r>
        <w:t xml:space="preserve"> Standard &amp; Poor’s Corporation, “Industry Economic </w:t>
      </w:r>
      <w:proofErr w:type="gramStart"/>
      <w:r>
        <w:t>And</w:t>
      </w:r>
      <w:proofErr w:type="gramEnd"/>
      <w:r>
        <w:t xml:space="preserve"> Ratings Outlook,” </w:t>
      </w:r>
      <w:r>
        <w:rPr>
          <w:i/>
          <w:iCs/>
        </w:rPr>
        <w:t xml:space="preserve">RatingsDirect </w:t>
      </w:r>
      <w:r>
        <w:t>(Feb. 2, 2010).</w:t>
      </w:r>
    </w:p>
  </w:footnote>
  <w:footnote w:id="11">
    <w:p w:rsidR="00CD22CE" w:rsidRDefault="00CD22CE" w:rsidP="00176941">
      <w:pPr>
        <w:pStyle w:val="FootnoteText"/>
        <w:jc w:val="both"/>
      </w:pPr>
      <w:r>
        <w:rPr>
          <w:rStyle w:val="FootnoteReference"/>
        </w:rPr>
        <w:footnoteRef/>
      </w:r>
      <w:r>
        <w:t xml:space="preserve"> Moody’s Investors Service, “Regulation Provides Stability </w:t>
      </w:r>
      <w:proofErr w:type="gramStart"/>
      <w:r>
        <w:t>As</w:t>
      </w:r>
      <w:proofErr w:type="gramEnd"/>
      <w:r>
        <w:t xml:space="preserve"> Risks Mount,” </w:t>
      </w:r>
      <w:r>
        <w:rPr>
          <w:i/>
          <w:iCs/>
        </w:rPr>
        <w:t xml:space="preserve">Industry Outlook </w:t>
      </w:r>
      <w:r>
        <w:t>(Jan. 19, 2011).</w:t>
      </w:r>
    </w:p>
  </w:footnote>
  <w:footnote w:id="12">
    <w:p w:rsidR="00CD22CE" w:rsidRDefault="00CD22CE" w:rsidP="00176941">
      <w:pPr>
        <w:pStyle w:val="FootnoteText"/>
        <w:jc w:val="both"/>
      </w:pPr>
      <w:r>
        <w:rPr>
          <w:rStyle w:val="FootnoteReference"/>
        </w:rPr>
        <w:footnoteRef/>
      </w:r>
      <w:r>
        <w:t xml:space="preserve"> Moody’s Investors Service, “Credit Opinion: Avista Corp.,” </w:t>
      </w:r>
      <w:r>
        <w:rPr>
          <w:i/>
          <w:iCs/>
        </w:rPr>
        <w:t xml:space="preserve">Global Credit Research </w:t>
      </w:r>
      <w:r>
        <w:t>(Mar. 17, 2011).</w:t>
      </w:r>
    </w:p>
  </w:footnote>
  <w:footnote w:id="13">
    <w:p w:rsidR="00CD22CE" w:rsidRDefault="00CD22CE" w:rsidP="00176941">
      <w:pPr>
        <w:pStyle w:val="FootnoteText"/>
        <w:jc w:val="both"/>
      </w:pPr>
      <w:r>
        <w:rPr>
          <w:rStyle w:val="FootnoteReference"/>
          <w:color w:val="000000"/>
        </w:rPr>
        <w:footnoteRef/>
      </w:r>
      <w:r>
        <w:rPr>
          <w:color w:val="000000"/>
        </w:rPr>
        <w:t xml:space="preserve"> www.valueline.com</w:t>
      </w:r>
      <w:r>
        <w:t xml:space="preserve"> (retrieved Jan. 17, 2014).  </w:t>
      </w:r>
    </w:p>
  </w:footnote>
  <w:footnote w:id="14">
    <w:p w:rsidR="00CD22CE" w:rsidRDefault="00CD22CE" w:rsidP="00176941">
      <w:pPr>
        <w:pStyle w:val="FootnoteText"/>
        <w:jc w:val="both"/>
      </w:pPr>
      <w:r>
        <w:rPr>
          <w:rStyle w:val="FootnoteReference"/>
        </w:rPr>
        <w:footnoteRef/>
      </w:r>
      <w:r>
        <w:t xml:space="preserve"> It is well established in the financial literature that smaller firms are more risky than larger firms.  </w:t>
      </w:r>
      <w:r>
        <w:rPr>
          <w:i/>
          <w:iCs/>
        </w:rPr>
        <w:t>See</w:t>
      </w:r>
      <w:r>
        <w:t xml:space="preserve">, </w:t>
      </w:r>
      <w:r>
        <w:rPr>
          <w:i/>
          <w:iCs/>
        </w:rPr>
        <w:t>e.g.</w:t>
      </w:r>
      <w:r>
        <w:t xml:space="preserve">, Eugene F. </w:t>
      </w:r>
      <w:proofErr w:type="spellStart"/>
      <w:r>
        <w:t>Fama</w:t>
      </w:r>
      <w:proofErr w:type="spellEnd"/>
      <w:r>
        <w:t xml:space="preserve"> and Kenneth R. French, “The Cross-Section of Expected Stock Returns”, </w:t>
      </w:r>
      <w:r>
        <w:rPr>
          <w:i/>
        </w:rPr>
        <w:t>The Journal of Finance</w:t>
      </w:r>
      <w:r>
        <w:t xml:space="preserve"> (June 1992); George E. Pinches, J. Clay Singleton, and Ali </w:t>
      </w:r>
      <w:proofErr w:type="spellStart"/>
      <w:r>
        <w:t>Jahankhani</w:t>
      </w:r>
      <w:proofErr w:type="spellEnd"/>
      <w:r>
        <w:t xml:space="preserve">, “Fixed Coverage as a Determinant of Electric Utility Bond Ratings”, </w:t>
      </w:r>
      <w:r>
        <w:rPr>
          <w:i/>
        </w:rPr>
        <w:t>Financial Management</w:t>
      </w:r>
      <w:r>
        <w:t xml:space="preserve"> (Summer 1978).</w:t>
      </w:r>
    </w:p>
  </w:footnote>
  <w:footnote w:id="15">
    <w:p w:rsidR="00CD22CE" w:rsidRDefault="00CD22CE" w:rsidP="00176941">
      <w:pPr>
        <w:pStyle w:val="FootnoteText"/>
        <w:jc w:val="both"/>
        <w:rPr>
          <w:i/>
        </w:rPr>
      </w:pPr>
      <w:r>
        <w:rPr>
          <w:rStyle w:val="FootnoteReference"/>
        </w:rPr>
        <w:footnoteRef/>
      </w:r>
      <w:r>
        <w:t xml:space="preserve"> See for example Rolf W. </w:t>
      </w:r>
      <w:proofErr w:type="spellStart"/>
      <w:r>
        <w:t>Banz</w:t>
      </w:r>
      <w:proofErr w:type="spellEnd"/>
      <w:r>
        <w:t xml:space="preserve">, “The Relationship </w:t>
      </w:r>
      <w:proofErr w:type="gramStart"/>
      <w:r>
        <w:t>Between</w:t>
      </w:r>
      <w:proofErr w:type="gramEnd"/>
      <w:r>
        <w:t xml:space="preserve"> Return and Market Value of Common Stocks”, </w:t>
      </w:r>
      <w:r>
        <w:rPr>
          <w:i/>
        </w:rPr>
        <w:t>Journal of Financial Economics</w:t>
      </w:r>
      <w:r>
        <w:t xml:space="preserve"> (September 1981) at 16.</w:t>
      </w:r>
    </w:p>
  </w:footnote>
  <w:footnote w:id="16">
    <w:p w:rsidR="00CD22CE" w:rsidRPr="00B14977" w:rsidRDefault="00CD22CE" w:rsidP="00176941">
      <w:pPr>
        <w:pStyle w:val="FootnoteText"/>
        <w:jc w:val="both"/>
        <w:rPr>
          <w:rStyle w:val="FootnoteTextChar"/>
        </w:rPr>
      </w:pPr>
      <w:r>
        <w:rPr>
          <w:rStyle w:val="FootnoteReference"/>
        </w:rPr>
        <w:footnoteRef/>
      </w:r>
      <w:r>
        <w:t xml:space="preserve"> </w:t>
      </w:r>
      <w:proofErr w:type="gramStart"/>
      <w:r w:rsidRPr="008036CA">
        <w:rPr>
          <w:rStyle w:val="FootnoteTextChar"/>
        </w:rPr>
        <w:t xml:space="preserve">Standard &amp; </w:t>
      </w:r>
      <w:r>
        <w:t>Poor’s</w:t>
      </w:r>
      <w:r w:rsidRPr="008036CA">
        <w:rPr>
          <w:rStyle w:val="FootnoteTextChar"/>
        </w:rPr>
        <w:t xml:space="preserve"> Corporation, “Assessing U.S. Utility Regulatory Environments,” </w:t>
      </w:r>
      <w:proofErr w:type="spellStart"/>
      <w:r w:rsidRPr="008036CA">
        <w:rPr>
          <w:rStyle w:val="FootnoteTextChar"/>
        </w:rPr>
        <w:t>RatingsDirect</w:t>
      </w:r>
      <w:proofErr w:type="spellEnd"/>
      <w:r w:rsidRPr="008036CA">
        <w:rPr>
          <w:rStyle w:val="FootnoteTextChar"/>
        </w:rPr>
        <w:t xml:space="preserve"> (Nov. 7, 2008).</w:t>
      </w:r>
      <w:proofErr w:type="gramEnd"/>
    </w:p>
  </w:footnote>
  <w:footnote w:id="17">
    <w:p w:rsidR="00CD22CE" w:rsidRDefault="00CD22CE" w:rsidP="00176941">
      <w:pPr>
        <w:pStyle w:val="FootnoteText"/>
        <w:jc w:val="both"/>
      </w:pPr>
      <w:r>
        <w:rPr>
          <w:rStyle w:val="FootnoteReference"/>
        </w:rPr>
        <w:footnoteRef/>
      </w:r>
      <w:r>
        <w:t xml:space="preserve"> Moody’s Investors Service, “Electric Utilities Face Challenges </w:t>
      </w:r>
      <w:proofErr w:type="gramStart"/>
      <w:r>
        <w:t>Beyond</w:t>
      </w:r>
      <w:proofErr w:type="gramEnd"/>
      <w:r>
        <w:t xml:space="preserve"> Near-Term,” </w:t>
      </w:r>
      <w:r>
        <w:rPr>
          <w:i/>
          <w:iCs/>
        </w:rPr>
        <w:t xml:space="preserve">Industry Outlook </w:t>
      </w:r>
      <w:r>
        <w:t>(Jan. 2010).</w:t>
      </w:r>
    </w:p>
  </w:footnote>
  <w:footnote w:id="18">
    <w:p w:rsidR="00CD22CE" w:rsidRDefault="00CD22CE" w:rsidP="00176941">
      <w:pPr>
        <w:pStyle w:val="FootnoteText"/>
        <w:jc w:val="both"/>
      </w:pPr>
      <w:r>
        <w:rPr>
          <w:rStyle w:val="FootnoteReference"/>
        </w:rPr>
        <w:footnoteRef/>
      </w:r>
      <w:r>
        <w:t xml:space="preserve"> Standard &amp; Poor’s Corporation, “Summary: Avista Corp.,” </w:t>
      </w:r>
      <w:r>
        <w:rPr>
          <w:i/>
          <w:iCs/>
        </w:rPr>
        <w:t xml:space="preserve">RatingsDirect </w:t>
      </w:r>
      <w:r>
        <w:t>(Feb. 18, 2010).</w:t>
      </w:r>
    </w:p>
  </w:footnote>
  <w:footnote w:id="19">
    <w:p w:rsidR="00CD22CE" w:rsidRDefault="00CD22CE" w:rsidP="00176941">
      <w:pPr>
        <w:pStyle w:val="FootnoteText"/>
        <w:jc w:val="both"/>
      </w:pPr>
      <w:r>
        <w:rPr>
          <w:rStyle w:val="FootnoteReference"/>
        </w:rPr>
        <w:footnoteRef/>
      </w:r>
      <w:r>
        <w:t xml:space="preserve"> </w:t>
      </w:r>
      <w:proofErr w:type="gramStart"/>
      <w:r>
        <w:t xml:space="preserve">Standard &amp; Poor’s Corporation, “Avista Corp.,” </w:t>
      </w:r>
      <w:r>
        <w:rPr>
          <w:i/>
          <w:iCs/>
        </w:rPr>
        <w:t xml:space="preserve">RatingsDirect </w:t>
      </w:r>
      <w:r>
        <w:t>(Jul. 26, 2011).</w:t>
      </w:r>
      <w:proofErr w:type="gramEnd"/>
    </w:p>
  </w:footnote>
  <w:footnote w:id="20">
    <w:p w:rsidR="00CD22CE" w:rsidRDefault="00CD22CE" w:rsidP="00176941">
      <w:pPr>
        <w:pStyle w:val="FootnoteText"/>
        <w:jc w:val="both"/>
      </w:pPr>
      <w:r>
        <w:rPr>
          <w:rStyle w:val="FootnoteReference"/>
        </w:rPr>
        <w:footnoteRef/>
      </w:r>
      <w:r>
        <w:t xml:space="preserve"> The Value Line Investment Survey (Nov. 1, 2013).</w:t>
      </w:r>
    </w:p>
  </w:footnote>
  <w:footnote w:id="21">
    <w:p w:rsidR="00CD22CE" w:rsidRDefault="00CD22CE" w:rsidP="00176941">
      <w:pPr>
        <w:pStyle w:val="FootnoteText"/>
        <w:keepLines w:val="0"/>
        <w:jc w:val="both"/>
      </w:pPr>
      <w:r>
        <w:rPr>
          <w:rStyle w:val="FootnoteReference"/>
        </w:rPr>
        <w:footnoteRef/>
      </w:r>
      <w:r>
        <w:t xml:space="preserve"> </w:t>
      </w:r>
      <w:proofErr w:type="gramStart"/>
      <w:r>
        <w:rPr>
          <w:i/>
          <w:iCs/>
        </w:rPr>
        <w:t>Verizon Communications, et al v. Federal Communications Commission, et al</w:t>
      </w:r>
      <w:r>
        <w:t>, 535 U.S. 467 (2002).</w:t>
      </w:r>
      <w:proofErr w:type="gramEnd"/>
      <w:r>
        <w:t xml:space="preserve">  While I cannot comment on the legal significance of this case, I found the economic wisdom of looking to the reasonable expectations of actual investors compelling.  Economic logic and common sense confirm that a utility cannot attract capital on reasonable terms if investors expect future returns to fall short of those offered by comparable investments. </w:t>
      </w:r>
    </w:p>
  </w:footnote>
  <w:footnote w:id="22">
    <w:p w:rsidR="00CD22CE" w:rsidRDefault="00CD22CE" w:rsidP="00176941">
      <w:pPr>
        <w:pStyle w:val="FootnoteText"/>
        <w:jc w:val="both"/>
      </w:pPr>
      <w:r>
        <w:rPr>
          <w:rStyle w:val="FootnoteReference"/>
        </w:rPr>
        <w:footnoteRef/>
      </w:r>
      <w:r>
        <w:t xml:space="preserve"> </w:t>
      </w:r>
      <w:r>
        <w:rPr>
          <w:i/>
          <w:iCs/>
        </w:rPr>
        <w:t>Press Release,</w:t>
      </w:r>
      <w:r>
        <w:t xml:space="preserve"> Board of Governors of the Federal Reserve System (Dec. 18, 2013, Jan. 29, 2013).</w:t>
      </w:r>
    </w:p>
  </w:footnote>
  <w:footnote w:id="23">
    <w:p w:rsidR="00CD22CE" w:rsidRDefault="00CD22CE" w:rsidP="00176941">
      <w:pPr>
        <w:pStyle w:val="FootnoteText"/>
        <w:jc w:val="both"/>
      </w:pPr>
      <w:r>
        <w:rPr>
          <w:rStyle w:val="FootnoteReference"/>
        </w:rPr>
        <w:footnoteRef/>
      </w:r>
      <w:r>
        <w:t xml:space="preserve"> </w:t>
      </w:r>
      <w:proofErr w:type="spellStart"/>
      <w:r>
        <w:t>Hilsenrath</w:t>
      </w:r>
      <w:proofErr w:type="spellEnd"/>
      <w:r>
        <w:t xml:space="preserve">, Jon, “Fed Dials Back Bond Buying, Keeps a Wary Eye on Growth,” </w:t>
      </w:r>
      <w:r>
        <w:rPr>
          <w:i/>
          <w:iCs/>
        </w:rPr>
        <w:t>The Wall Street Journal</w:t>
      </w:r>
      <w:r>
        <w:t xml:space="preserve"> at A1 (Dec. 19, 2013).</w:t>
      </w:r>
    </w:p>
  </w:footnote>
  <w:footnote w:id="24">
    <w:p w:rsidR="00CD22CE" w:rsidRDefault="00CD22CE" w:rsidP="00176941">
      <w:pPr>
        <w:pStyle w:val="FootnoteText"/>
        <w:jc w:val="both"/>
      </w:pPr>
      <w:r>
        <w:rPr>
          <w:rStyle w:val="FootnoteReference"/>
          <w:szCs w:val="24"/>
        </w:rPr>
        <w:footnoteRef/>
      </w:r>
      <w:r>
        <w:rPr>
          <w:szCs w:val="24"/>
        </w:rPr>
        <w:t xml:space="preserve"> </w:t>
      </w:r>
      <w:proofErr w:type="gramStart"/>
      <w:r>
        <w:rPr>
          <w:szCs w:val="24"/>
        </w:rPr>
        <w:t xml:space="preserve">Talley, Ian, “IMF Urges ‘Improved’ U.S. Fed Policy Transparency as It Mulls Easy Money Exit,” </w:t>
      </w:r>
      <w:r>
        <w:rPr>
          <w:i/>
          <w:szCs w:val="24"/>
        </w:rPr>
        <w:t xml:space="preserve">The Wall Street Journal </w:t>
      </w:r>
      <w:r>
        <w:rPr>
          <w:szCs w:val="24"/>
        </w:rPr>
        <w:t>(July 26, 2013).</w:t>
      </w:r>
      <w:proofErr w:type="gramEnd"/>
    </w:p>
  </w:footnote>
  <w:footnote w:id="25">
    <w:p w:rsidR="00CD22CE" w:rsidRDefault="00CD22CE" w:rsidP="00176941">
      <w:pPr>
        <w:pStyle w:val="FootnoteText"/>
        <w:jc w:val="both"/>
      </w:pPr>
      <w:r>
        <w:rPr>
          <w:rStyle w:val="FootnoteReference"/>
        </w:rPr>
        <w:footnoteRef/>
      </w:r>
      <w:r>
        <w:t xml:space="preserve"> Moody’s Investor Services, “</w:t>
      </w:r>
      <w:r>
        <w:rPr>
          <w:iCs/>
        </w:rPr>
        <w:t>Rating Action: Moody's Upgrades Avista's Ratings to Baa2</w:t>
      </w:r>
      <w:r>
        <w:rPr>
          <w:i/>
        </w:rPr>
        <w:t>,</w:t>
      </w:r>
      <w:r>
        <w:rPr>
          <w:iCs/>
        </w:rPr>
        <w:t>”</w:t>
      </w:r>
      <w:r>
        <w:rPr>
          <w:i/>
        </w:rPr>
        <w:t xml:space="preserve"> Global Credit Research </w:t>
      </w:r>
      <w:r>
        <w:rPr>
          <w:iCs/>
        </w:rPr>
        <w:t>(Mar. 2011).</w:t>
      </w:r>
    </w:p>
  </w:footnote>
  <w:footnote w:id="26">
    <w:p w:rsidR="00CD22CE" w:rsidRDefault="00CD22CE" w:rsidP="00176941">
      <w:pPr>
        <w:pStyle w:val="FootnoteText"/>
        <w:jc w:val="both"/>
        <w:rPr>
          <w:i/>
          <w:iCs/>
        </w:rPr>
      </w:pPr>
      <w:r>
        <w:rPr>
          <w:rStyle w:val="FootnoteReference"/>
        </w:rPr>
        <w:footnoteRef/>
      </w:r>
      <w:r>
        <w:t xml:space="preserve"> Standard &amp; Poor’s Corporation, “U.S. Regulated Electric Utilities Head </w:t>
      </w:r>
      <w:proofErr w:type="gramStart"/>
      <w:r>
        <w:t>Into</w:t>
      </w:r>
      <w:proofErr w:type="gramEnd"/>
      <w:r>
        <w:t xml:space="preserve"> 2010 With Familiar Concerns,” </w:t>
      </w:r>
      <w:r>
        <w:rPr>
          <w:i/>
          <w:iCs/>
        </w:rPr>
        <w:t xml:space="preserve">RatingsDirect </w:t>
      </w:r>
      <w:r>
        <w:t>(Dec. 28, 2009).</w:t>
      </w:r>
    </w:p>
  </w:footnote>
  <w:footnote w:id="27">
    <w:p w:rsidR="00CD22CE" w:rsidRDefault="00CD22CE" w:rsidP="00176941">
      <w:pPr>
        <w:pStyle w:val="FootnoteText"/>
        <w:jc w:val="both"/>
      </w:pPr>
      <w:r>
        <w:rPr>
          <w:rStyle w:val="FootnoteReference"/>
        </w:rPr>
        <w:footnoteRef/>
      </w:r>
      <w:r>
        <w:t xml:space="preserve"> Moody’s Investors Service, “U.S. Electric Utilities: Uncertain Times Ahead; Strengthening Balance Sheets Now Would Protect Credit,” </w:t>
      </w:r>
      <w:r>
        <w:rPr>
          <w:i/>
          <w:iCs/>
        </w:rPr>
        <w:t xml:space="preserve">Special Comment </w:t>
      </w:r>
      <w:r>
        <w:t>(Oct. 28, 2010).</w:t>
      </w:r>
    </w:p>
  </w:footnote>
  <w:footnote w:id="28">
    <w:p w:rsidR="00CD22CE" w:rsidRDefault="00CD22CE" w:rsidP="00176941">
      <w:pPr>
        <w:pStyle w:val="FootnoteText"/>
        <w:jc w:val="both"/>
      </w:pPr>
      <w:r>
        <w:rPr>
          <w:rStyle w:val="FootnoteReference"/>
        </w:rPr>
        <w:footnoteRef/>
      </w:r>
      <w:r>
        <w:t xml:space="preserve"> Moody’s Investors Service, “Regulation Provides Stability </w:t>
      </w:r>
      <w:proofErr w:type="gramStart"/>
      <w:r>
        <w:t>As</w:t>
      </w:r>
      <w:proofErr w:type="gramEnd"/>
      <w:r>
        <w:t xml:space="preserve"> Risks Mount,” </w:t>
      </w:r>
      <w:r>
        <w:rPr>
          <w:i/>
          <w:iCs/>
        </w:rPr>
        <w:t xml:space="preserve">Industry Outlook </w:t>
      </w:r>
      <w:r>
        <w:t>(Jan. 19, 2011).</w:t>
      </w:r>
    </w:p>
  </w:footnote>
  <w:footnote w:id="29">
    <w:p w:rsidR="00CD22CE" w:rsidRDefault="00CD22CE" w:rsidP="00176941">
      <w:pPr>
        <w:pStyle w:val="FootnoteText"/>
        <w:jc w:val="both"/>
      </w:pPr>
      <w:r>
        <w:rPr>
          <w:rStyle w:val="FootnoteReference"/>
        </w:rPr>
        <w:footnoteRef/>
      </w:r>
      <w:r>
        <w:t xml:space="preserve"> Moody’s Investors Service, “Credit Opinion: Avista Corp.,” </w:t>
      </w:r>
      <w:r>
        <w:rPr>
          <w:i/>
          <w:iCs/>
        </w:rPr>
        <w:t xml:space="preserve">Global Credit Research </w:t>
      </w:r>
      <w:r>
        <w:t>(Mar. 17, 2011).</w:t>
      </w:r>
    </w:p>
  </w:footnote>
  <w:footnote w:id="30">
    <w:p w:rsidR="00CD22CE" w:rsidRDefault="00CD22CE" w:rsidP="00176941">
      <w:pPr>
        <w:pStyle w:val="FootnoteText"/>
        <w:jc w:val="both"/>
      </w:pPr>
      <w:r>
        <w:rPr>
          <w:rStyle w:val="FootnoteReference"/>
        </w:rPr>
        <w:footnoteRef/>
      </w:r>
      <w:r>
        <w:t xml:space="preserve"> </w:t>
      </w:r>
      <w:proofErr w:type="gramStart"/>
      <w:r>
        <w:t xml:space="preserve">Standard &amp; Poor’s Corporation, “Avista Corp.,” </w:t>
      </w:r>
      <w:r>
        <w:rPr>
          <w:i/>
          <w:iCs/>
        </w:rPr>
        <w:t xml:space="preserve">RatingsDirect </w:t>
      </w:r>
      <w:r>
        <w:t>(Jan. 26, 2012).</w:t>
      </w:r>
      <w:proofErr w:type="gramEnd"/>
    </w:p>
  </w:footnote>
  <w:footnote w:id="31">
    <w:p w:rsidR="00CD22CE" w:rsidRDefault="00CD22CE" w:rsidP="00176941">
      <w:pPr>
        <w:pStyle w:val="FootnoteText"/>
        <w:jc w:val="both"/>
      </w:pPr>
      <w:r>
        <w:rPr>
          <w:rStyle w:val="FootnoteReference"/>
        </w:rPr>
        <w:footnoteRef/>
      </w:r>
      <w:r>
        <w:t xml:space="preserve"> Exhibit No.__</w:t>
      </w:r>
      <w:proofErr w:type="gramStart"/>
      <w:r>
        <w:t>_(</w:t>
      </w:r>
      <w:proofErr w:type="gramEnd"/>
      <w:r>
        <w:t>MTT-1) at Illustration No. 12.</w:t>
      </w:r>
    </w:p>
  </w:footnote>
  <w:footnote w:id="32">
    <w:p w:rsidR="00CD22CE" w:rsidRDefault="00CD22CE" w:rsidP="00176941">
      <w:pPr>
        <w:pStyle w:val="FootnoteText"/>
        <w:jc w:val="both"/>
      </w:pPr>
      <w:r>
        <w:rPr>
          <w:rStyle w:val="FootnoteReference"/>
        </w:rPr>
        <w:footnoteRef/>
      </w:r>
      <w:r>
        <w:t xml:space="preserve"> </w:t>
      </w:r>
      <w:r>
        <w:rPr>
          <w:i/>
          <w:iCs/>
        </w:rPr>
        <w:t>Order No. 06</w:t>
      </w:r>
      <w:r>
        <w:t xml:space="preserve">, Docket Nos. UG-040640 and UE-040641 (consolidated) (Feb. 18, 2005) at P. 32. </w:t>
      </w:r>
    </w:p>
  </w:footnote>
  <w:footnote w:id="33">
    <w:p w:rsidR="00CD22CE" w:rsidRDefault="00CD22CE" w:rsidP="00176941">
      <w:pPr>
        <w:pStyle w:val="FootnoteText"/>
        <w:jc w:val="both"/>
      </w:pPr>
      <w:r>
        <w:rPr>
          <w:rStyle w:val="FootnoteReference"/>
        </w:rPr>
        <w:footnoteRef/>
      </w:r>
      <w:r>
        <w:t xml:space="preserve"> Moody’s Investors Service, “Storm Clouds Gathering on the Horizon for the North American Electric Utility Sector,” </w:t>
      </w:r>
      <w:r>
        <w:rPr>
          <w:i/>
          <w:iCs/>
        </w:rPr>
        <w:t>Special Comment</w:t>
      </w:r>
      <w:r>
        <w:t xml:space="preserve"> (Aug. 2007); “U.S. Electric Utility Sector,” </w:t>
      </w:r>
      <w:r>
        <w:rPr>
          <w:i/>
          <w:iCs/>
        </w:rPr>
        <w:t>Industry Outlook</w:t>
      </w:r>
      <w:r>
        <w:t xml:space="preserve"> (Jan. 2008); “U.S. Electric Utilities Face Challenges Beyond Near-Term,” </w:t>
      </w:r>
      <w:r>
        <w:rPr>
          <w:i/>
          <w:iCs/>
        </w:rPr>
        <w:t>Industry Outlook</w:t>
      </w:r>
      <w:r>
        <w:t xml:space="preserve"> (Jan. 2010);</w:t>
      </w:r>
      <w:r w:rsidRPr="00C6419A">
        <w:t xml:space="preserve"> </w:t>
      </w:r>
      <w:r>
        <w:t xml:space="preserve">Moody’s Investors Service, “U.S. Electric Utilities: Uncertain Times Ahead; Strengthening Balance Sheets Now Would Protect Credit,” </w:t>
      </w:r>
      <w:r>
        <w:rPr>
          <w:i/>
          <w:iCs/>
        </w:rPr>
        <w:t xml:space="preserve">Special Comment </w:t>
      </w:r>
      <w:r>
        <w:t>(Oct. 28, 2010).</w:t>
      </w:r>
    </w:p>
  </w:footnote>
  <w:footnote w:id="34">
    <w:p w:rsidR="00CD22CE" w:rsidRDefault="00CD22CE" w:rsidP="00176941">
      <w:pPr>
        <w:pStyle w:val="FootnoteText"/>
        <w:jc w:val="both"/>
      </w:pPr>
      <w:r>
        <w:rPr>
          <w:rStyle w:val="FootnoteReference"/>
        </w:rPr>
        <w:footnoteRef/>
      </w:r>
      <w:r>
        <w:t xml:space="preserve"> Standard &amp; Poor’s Corporation, “Ratings Roundup: U.S. Electric Utility Sector Maintained Strong Credit Quality </w:t>
      </w:r>
      <w:proofErr w:type="gramStart"/>
      <w:r>
        <w:t>In A</w:t>
      </w:r>
      <w:proofErr w:type="gramEnd"/>
      <w:r>
        <w:t xml:space="preserve"> Gloomy 2009,” </w:t>
      </w:r>
      <w:r>
        <w:rPr>
          <w:i/>
          <w:iCs/>
        </w:rPr>
        <w:t xml:space="preserve">RatingsDirect </w:t>
      </w:r>
      <w:r>
        <w:t>(Jan. 26, 2010).</w:t>
      </w:r>
    </w:p>
  </w:footnote>
  <w:footnote w:id="35">
    <w:p w:rsidR="00CD22CE" w:rsidRDefault="00CD22CE" w:rsidP="00176941">
      <w:pPr>
        <w:pStyle w:val="FootnoteText"/>
        <w:jc w:val="both"/>
      </w:pPr>
      <w:r>
        <w:rPr>
          <w:rStyle w:val="FootnoteReference"/>
        </w:rPr>
        <w:footnoteRef/>
      </w:r>
      <w:r>
        <w:t xml:space="preserve"> </w:t>
      </w:r>
      <w:r>
        <w:rPr>
          <w:i/>
          <w:iCs/>
        </w:rPr>
        <w:t>See, e.g.</w:t>
      </w:r>
      <w:r>
        <w:t xml:space="preserve">, Standard &amp; Poor’s Corporation, “Standard &amp; Poor’s Methodology For Imputing Debt For U.S. Utilities’ Power Purchase Agreements,” </w:t>
      </w:r>
      <w:proofErr w:type="spellStart"/>
      <w:r>
        <w:rPr>
          <w:i/>
          <w:iCs/>
        </w:rPr>
        <w:t>RatingsDirect</w:t>
      </w:r>
      <w:proofErr w:type="spellEnd"/>
      <w:r>
        <w:rPr>
          <w:i/>
          <w:iCs/>
        </w:rPr>
        <w:t xml:space="preserve"> </w:t>
      </w:r>
      <w:r>
        <w:t xml:space="preserve">(May 7, 2007); Standard &amp; Poor’s Corporation, “Implications Of Operating Leases On Analysis Of U.S. Electric Utilities,” </w:t>
      </w:r>
      <w:proofErr w:type="spellStart"/>
      <w:r>
        <w:rPr>
          <w:i/>
          <w:iCs/>
        </w:rPr>
        <w:t>RatingsDirect</w:t>
      </w:r>
      <w:proofErr w:type="spellEnd"/>
      <w:r>
        <w:rPr>
          <w:i/>
          <w:iCs/>
        </w:rPr>
        <w:t xml:space="preserve"> </w:t>
      </w:r>
      <w:r>
        <w:t xml:space="preserve">(Jan. 15, 2008); Standard &amp; Poor’s Corporation, “Top 10 Investor Questions: U.S. Regulated Electric Utilities,” </w:t>
      </w:r>
      <w:proofErr w:type="spellStart"/>
      <w:r>
        <w:rPr>
          <w:i/>
          <w:iCs/>
        </w:rPr>
        <w:t>RatingsDirect</w:t>
      </w:r>
      <w:proofErr w:type="spellEnd"/>
      <w:r>
        <w:rPr>
          <w:i/>
          <w:iCs/>
        </w:rPr>
        <w:t xml:space="preserve"> </w:t>
      </w:r>
      <w:r>
        <w:t>(Jan. 22, 2010);</w:t>
      </w:r>
      <w:r w:rsidRPr="0017720C">
        <w:t xml:space="preserve"> </w:t>
      </w:r>
      <w:r>
        <w:t xml:space="preserve">Standard &amp; Poor’s Corporation, “Utilities: Key Credit Factors For The Regulated Utilities Industry,” </w:t>
      </w:r>
      <w:proofErr w:type="spellStart"/>
      <w:r>
        <w:rPr>
          <w:i/>
        </w:rPr>
        <w:t>RatingsDirect</w:t>
      </w:r>
      <w:proofErr w:type="spellEnd"/>
      <w:r>
        <w:rPr>
          <w:i/>
        </w:rPr>
        <w:t xml:space="preserve"> </w:t>
      </w:r>
      <w:r>
        <w:t>(Nov. 19, 2013).</w:t>
      </w:r>
    </w:p>
  </w:footnote>
  <w:footnote w:id="36">
    <w:p w:rsidR="00CD22CE" w:rsidRDefault="00CD22CE" w:rsidP="00176941">
      <w:pPr>
        <w:pStyle w:val="FootnoteText"/>
        <w:jc w:val="both"/>
      </w:pPr>
      <w:r>
        <w:rPr>
          <w:rStyle w:val="FootnoteReference"/>
        </w:rPr>
        <w:footnoteRef/>
      </w:r>
      <w:r>
        <w:t xml:space="preserve"> </w:t>
      </w:r>
      <w:proofErr w:type="gramStart"/>
      <w:r>
        <w:rPr>
          <w:i/>
          <w:iCs/>
          <w:szCs w:val="25"/>
        </w:rPr>
        <w:t>PacifiCorp D/B/A Pacific Power &amp; light Company</w:t>
      </w:r>
      <w:r>
        <w:rPr>
          <w:szCs w:val="25"/>
        </w:rPr>
        <w:t>, Docket UE-100749, Final Order at P 91 (Mar. 25, 2011).</w:t>
      </w:r>
      <w:proofErr w:type="gramEnd"/>
    </w:p>
  </w:footnote>
  <w:footnote w:id="37">
    <w:p w:rsidR="00CD22CE" w:rsidRDefault="00CD22CE" w:rsidP="00176941">
      <w:pPr>
        <w:pStyle w:val="FootnoteText"/>
        <w:jc w:val="both"/>
      </w:pPr>
      <w:r>
        <w:rPr>
          <w:rStyle w:val="FootnoteReference"/>
        </w:rPr>
        <w:footnoteRef/>
      </w:r>
      <w:r>
        <w:t xml:space="preserve"> The size and breadth of my proxy group addresses the WUTC’s concern that, “</w:t>
      </w:r>
      <w:r>
        <w:rPr>
          <w:szCs w:val="25"/>
        </w:rPr>
        <w:t xml:space="preserve">In general, the smaller the proxy group, the greater possibility for bias to be introduced due to subjective factors.”  </w:t>
      </w:r>
      <w:proofErr w:type="gramStart"/>
      <w:r>
        <w:rPr>
          <w:i/>
          <w:iCs/>
          <w:szCs w:val="25"/>
        </w:rPr>
        <w:t>PacifiCorp D/B/A Pacific Power &amp; light Company</w:t>
      </w:r>
      <w:r>
        <w:rPr>
          <w:szCs w:val="25"/>
        </w:rPr>
        <w:t>, Docket UE-100749, Final Order at P 78 (Mar. 25, 2011).</w:t>
      </w:r>
      <w:proofErr w:type="gramEnd"/>
    </w:p>
  </w:footnote>
  <w:footnote w:id="38">
    <w:p w:rsidR="00CD22CE" w:rsidRDefault="00CD22CE" w:rsidP="00176941">
      <w:pPr>
        <w:pStyle w:val="FootnoteText"/>
        <w:jc w:val="both"/>
      </w:pPr>
      <w:r>
        <w:rPr>
          <w:rStyle w:val="FootnoteReference"/>
        </w:rPr>
        <w:footnoteRef/>
      </w:r>
      <w:r>
        <w:t xml:space="preserve"> Brigham, E.F., Aberwald, D.A., and Gapenski, L.C., “Common Equity Flotation Costs and Rate Making,” </w:t>
      </w:r>
      <w:r>
        <w:rPr>
          <w:i/>
        </w:rPr>
        <w:t>Public Utilities Fortnightly,</w:t>
      </w:r>
      <w:r>
        <w:t xml:space="preserve"> May, 2, 1985.</w:t>
      </w:r>
    </w:p>
  </w:footnote>
  <w:footnote w:id="39">
    <w:p w:rsidR="00CD22CE" w:rsidRDefault="00CD22CE" w:rsidP="00176941">
      <w:pPr>
        <w:pStyle w:val="FootnoteText"/>
        <w:jc w:val="both"/>
      </w:pPr>
      <w:r>
        <w:rPr>
          <w:rStyle w:val="FootnoteReference"/>
        </w:rPr>
        <w:footnoteRef/>
      </w:r>
      <w:r>
        <w:t xml:space="preserve"> Morin, Roger A., “New Regulatory Finance,” </w:t>
      </w:r>
      <w:r>
        <w:rPr>
          <w:i/>
          <w:iCs/>
        </w:rPr>
        <w:t xml:space="preserve">Public Utilities Reports, Inc. </w:t>
      </w:r>
      <w:r>
        <w:t>(2006) at 335.</w:t>
      </w:r>
    </w:p>
  </w:footnote>
  <w:footnote w:id="40">
    <w:p w:rsidR="00CD22CE" w:rsidRDefault="00CD22CE" w:rsidP="00176941">
      <w:pPr>
        <w:pStyle w:val="FootnoteText"/>
        <w:jc w:val="both"/>
      </w:pPr>
      <w:r>
        <w:rPr>
          <w:rStyle w:val="FootnoteReference"/>
        </w:rPr>
        <w:footnoteRef/>
      </w:r>
      <w:r>
        <w:t xml:space="preserve"> </w:t>
      </w:r>
      <w:proofErr w:type="gramStart"/>
      <w:r>
        <w:t>Roger A. Morin, “New Regulatory Finance,”</w:t>
      </w:r>
      <w:r>
        <w:rPr>
          <w:smallCaps/>
        </w:rPr>
        <w:t xml:space="preserve"> </w:t>
      </w:r>
      <w:r>
        <w:rPr>
          <w:i/>
          <w:iCs/>
        </w:rPr>
        <w:t xml:space="preserve">Public Utilities Reports, Inc. </w:t>
      </w:r>
      <w:r>
        <w:t>at 323 (</w:t>
      </w:r>
      <w:r>
        <w:rPr>
          <w:smallCaps/>
        </w:rPr>
        <w:t>2006).</w:t>
      </w:r>
      <w:proofErr w:type="gramEnd"/>
    </w:p>
  </w:footnote>
  <w:footnote w:id="41">
    <w:p w:rsidR="00CD22CE" w:rsidRDefault="00CD22CE" w:rsidP="00176941">
      <w:pPr>
        <w:pStyle w:val="FootnoteText"/>
        <w:jc w:val="both"/>
      </w:pPr>
      <w:r>
        <w:rPr>
          <w:rStyle w:val="FootnoteReference"/>
        </w:rPr>
        <w:footnoteRef/>
      </w:r>
      <w:r>
        <w:t xml:space="preserve"> </w:t>
      </w:r>
      <w:r>
        <w:rPr>
          <w:iCs/>
        </w:rPr>
        <w:t>Application of Yankee Gas Services Company for a Rate Increase</w:t>
      </w:r>
      <w:r>
        <w:t xml:space="preserve">, DPUC Docket No. 04-06-01, Direct Testimony of George J. </w:t>
      </w:r>
      <w:proofErr w:type="spellStart"/>
      <w:r>
        <w:t>Eckenroth</w:t>
      </w:r>
      <w:proofErr w:type="spellEnd"/>
      <w:r>
        <w:t xml:space="preserve"> (Jul. 2, 2004) at Exhibit GJE-11.1.  Updating the results presented by Mr. </w:t>
      </w:r>
      <w:proofErr w:type="spellStart"/>
      <w:r>
        <w:t>Eckenroth</w:t>
      </w:r>
      <w:proofErr w:type="spellEnd"/>
      <w:r>
        <w:t xml:space="preserve"> through April 2005 also resulted in an average flotation cost percentage of 3.6 percent.</w:t>
      </w:r>
    </w:p>
  </w:footnote>
  <w:footnote w:id="42">
    <w:p w:rsidR="00CD22CE" w:rsidRDefault="00CD22CE" w:rsidP="00176941">
      <w:pPr>
        <w:pStyle w:val="FootnoteText"/>
        <w:jc w:val="both"/>
        <w:rPr>
          <w:lang w:val="fr-FR"/>
        </w:rPr>
      </w:pPr>
      <w:r>
        <w:rPr>
          <w:rStyle w:val="FootnoteReference"/>
        </w:rPr>
        <w:footnoteRef/>
      </w:r>
      <w:r>
        <w:t xml:space="preserve"> </w:t>
      </w:r>
      <w:proofErr w:type="gramStart"/>
      <w:r>
        <w:rPr>
          <w:i/>
        </w:rPr>
        <w:t>Third Supplemental Order</w:t>
      </w:r>
      <w:r>
        <w:t>, WUTC Docket No.</w:t>
      </w:r>
      <w:proofErr w:type="gramEnd"/>
      <w:r>
        <w:t xml:space="preserve"> </w:t>
      </w:r>
      <w:r>
        <w:rPr>
          <w:lang w:val="fr-FR"/>
        </w:rPr>
        <w:t xml:space="preserve">UE-991606, et </w:t>
      </w:r>
      <w:proofErr w:type="gramStart"/>
      <w:r>
        <w:rPr>
          <w:lang w:val="fr-FR"/>
        </w:rPr>
        <w:t>al.,</w:t>
      </w:r>
      <w:proofErr w:type="gramEnd"/>
      <w:r>
        <w:rPr>
          <w:lang w:val="fr-FR"/>
        </w:rPr>
        <w:t xml:space="preserve"> p. 95 (September 2000).</w:t>
      </w:r>
    </w:p>
  </w:footnote>
  <w:footnote w:id="43">
    <w:p w:rsidR="00CD22CE" w:rsidRDefault="00CD22CE" w:rsidP="00176941">
      <w:pPr>
        <w:pStyle w:val="FootnoteText"/>
        <w:jc w:val="both"/>
      </w:pPr>
      <w:r>
        <w:rPr>
          <w:rStyle w:val="FootnoteReference"/>
        </w:rPr>
        <w:footnoteRef/>
      </w:r>
      <w:r>
        <w:t xml:space="preserve"> The Value Line Investment Survey (Nov. 1, Nov. 22, Dec. 6, &amp; Dec. 20, 2013).  Value Line reports return on year-end equity so the equivalent return on average equity would be higher.</w:t>
      </w:r>
    </w:p>
  </w:footnote>
  <w:footnote w:id="44">
    <w:p w:rsidR="00CD22CE" w:rsidRDefault="00CD22CE" w:rsidP="00176941">
      <w:pPr>
        <w:pStyle w:val="FootnoteText"/>
        <w:jc w:val="both"/>
      </w:pPr>
      <w:r>
        <w:rPr>
          <w:rStyle w:val="FootnoteReference"/>
          <w:rFonts w:cs="Arial"/>
          <w:sz w:val="18"/>
          <w:szCs w:val="18"/>
        </w:rPr>
        <w:footnoteRef/>
      </w:r>
      <w:r>
        <w:t xml:space="preserve"> </w:t>
      </w:r>
      <w:proofErr w:type="gramStart"/>
      <w:r>
        <w:rPr>
          <w:i/>
          <w:iCs/>
        </w:rPr>
        <w:t>Bluefield Water Works &amp; Improvement Co. v. Pub.</w:t>
      </w:r>
      <w:proofErr w:type="gramEnd"/>
      <w:r>
        <w:rPr>
          <w:i/>
          <w:iCs/>
        </w:rPr>
        <w:t xml:space="preserve"> </w:t>
      </w:r>
      <w:proofErr w:type="gramStart"/>
      <w:r>
        <w:rPr>
          <w:i/>
          <w:iCs/>
        </w:rPr>
        <w:t xml:space="preserve">Serv. </w:t>
      </w:r>
      <w:proofErr w:type="spellStart"/>
      <w:r>
        <w:rPr>
          <w:i/>
          <w:iCs/>
        </w:rPr>
        <w:t>Comm’n</w:t>
      </w:r>
      <w:proofErr w:type="spellEnd"/>
      <w:r>
        <w:t>, 262 U.S. 679 (1923).</w:t>
      </w:r>
      <w:proofErr w:type="gramEnd"/>
    </w:p>
  </w:footnote>
  <w:footnote w:id="45">
    <w:p w:rsidR="00CD22CE" w:rsidRDefault="00CD22CE" w:rsidP="00176941">
      <w:pPr>
        <w:pStyle w:val="FootnoteText"/>
        <w:jc w:val="both"/>
      </w:pPr>
      <w:r>
        <w:rPr>
          <w:rStyle w:val="FootnoteReference"/>
        </w:rPr>
        <w:footnoteRef/>
      </w:r>
      <w:r>
        <w:t xml:space="preserve"> </w:t>
      </w:r>
      <w:proofErr w:type="gramStart"/>
      <w:r>
        <w:rPr>
          <w:i/>
          <w:iCs/>
        </w:rPr>
        <w:t xml:space="preserve">Federal Power </w:t>
      </w:r>
      <w:proofErr w:type="spellStart"/>
      <w:r>
        <w:rPr>
          <w:i/>
          <w:iCs/>
        </w:rPr>
        <w:t>Comm’n</w:t>
      </w:r>
      <w:proofErr w:type="spellEnd"/>
      <w:r>
        <w:rPr>
          <w:i/>
          <w:iCs/>
        </w:rPr>
        <w:t xml:space="preserve"> v. Hope Natural Gas Co. </w:t>
      </w:r>
      <w:r>
        <w:t>(320 U.S. 391, 1944).</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2CE" w:rsidRPr="00B14977" w:rsidRDefault="00CD22CE">
    <w:pPr>
      <w:pStyle w:val="Header"/>
      <w:jc w:val="right"/>
      <w:rPr>
        <w:rFonts w:ascii="Times New Roman" w:hAnsi="Times New Roman"/>
      </w:rPr>
    </w:pPr>
    <w:r w:rsidRPr="008036CA">
      <w:rPr>
        <w:rFonts w:ascii="Times New Roman" w:hAnsi="Times New Roman"/>
      </w:rPr>
      <w:t>Exhibit No.__</w:t>
    </w:r>
    <w:proofErr w:type="gramStart"/>
    <w:r w:rsidRPr="008036CA">
      <w:rPr>
        <w:rFonts w:ascii="Times New Roman" w:hAnsi="Times New Roman"/>
      </w:rPr>
      <w:t>_(</w:t>
    </w:r>
    <w:proofErr w:type="gramEnd"/>
    <w:r w:rsidRPr="008036CA">
      <w:rPr>
        <w:rFonts w:ascii="Times New Roman" w:hAnsi="Times New Roman"/>
      </w:rPr>
      <w:t>AMM-1T)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99682D8"/>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476A16F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4A7990"/>
    <w:multiLevelType w:val="hybridMultilevel"/>
    <w:tmpl w:val="5B16D0BC"/>
    <w:lvl w:ilvl="0" w:tplc="BE4C0320">
      <w:start w:val="1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6076F1E"/>
    <w:multiLevelType w:val="hybridMultilevel"/>
    <w:tmpl w:val="35402D60"/>
    <w:name w:val="HeadingStyles||Heading|3|3|0|1|0|33||mpNA||mpNA||mpNA||mpNA||mpNA||mpNA||mpNA||mpNA||"/>
    <w:lvl w:ilvl="0" w:tplc="2BF482D2">
      <w:start w:val="1"/>
      <w:numFmt w:val="upperRoman"/>
      <w:lvlText w:val="%1."/>
      <w:lvlJc w:val="right"/>
      <w:pPr>
        <w:tabs>
          <w:tab w:val="num" w:pos="180"/>
        </w:tabs>
        <w:ind w:left="18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FA7333"/>
    <w:multiLevelType w:val="multilevel"/>
    <w:tmpl w:val="8F74C712"/>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2880"/>
        </w:tabs>
        <w:ind w:left="396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3E4F00"/>
    <w:multiLevelType w:val="singleLevel"/>
    <w:tmpl w:val="1A1E59CE"/>
    <w:lvl w:ilvl="0">
      <w:start w:val="1"/>
      <w:numFmt w:val="bullet"/>
      <w:pStyle w:val="BulletPoint"/>
      <w:lvlText w:val=""/>
      <w:lvlJc w:val="left"/>
      <w:pPr>
        <w:tabs>
          <w:tab w:val="num" w:pos="360"/>
        </w:tabs>
        <w:ind w:left="360" w:hanging="360"/>
      </w:pPr>
      <w:rPr>
        <w:rFonts w:ascii="Symbol" w:hAnsi="Symbol" w:hint="default"/>
      </w:rPr>
    </w:lvl>
  </w:abstractNum>
  <w:abstractNum w:abstractNumId="6">
    <w:nsid w:val="16EB787A"/>
    <w:multiLevelType w:val="singleLevel"/>
    <w:tmpl w:val="C5EC7F56"/>
    <w:lvl w:ilvl="0">
      <w:start w:val="1"/>
      <w:numFmt w:val="bullet"/>
      <w:pStyle w:val="IndentBulletPoint"/>
      <w:lvlText w:val=""/>
      <w:lvlJc w:val="left"/>
      <w:pPr>
        <w:tabs>
          <w:tab w:val="num" w:pos="360"/>
        </w:tabs>
        <w:ind w:left="360" w:hanging="360"/>
      </w:pPr>
      <w:rPr>
        <w:rFonts w:ascii="Symbol" w:hAnsi="Symbol" w:hint="default"/>
      </w:rPr>
    </w:lvl>
  </w:abstractNum>
  <w:abstractNum w:abstractNumId="7">
    <w:nsid w:val="17C93A11"/>
    <w:multiLevelType w:val="hybridMultilevel"/>
    <w:tmpl w:val="2424CE8A"/>
    <w:lvl w:ilvl="0" w:tplc="A35ED6C0">
      <w:start w:val="1"/>
      <w:numFmt w:val="bullet"/>
      <w:lvlText w:val=""/>
      <w:lvlJc w:val="left"/>
      <w:pPr>
        <w:tabs>
          <w:tab w:val="num" w:pos="2160"/>
        </w:tabs>
        <w:ind w:left="2160" w:hanging="144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8">
    <w:nsid w:val="19A805D3"/>
    <w:multiLevelType w:val="hybridMultilevel"/>
    <w:tmpl w:val="1DA0C6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DEB693E"/>
    <w:multiLevelType w:val="hybridMultilevel"/>
    <w:tmpl w:val="79F29734"/>
    <w:lvl w:ilvl="0" w:tplc="01266B28">
      <w:start w:val="1"/>
      <w:numFmt w:val="decimal"/>
      <w:lvlText w:val="A%1."/>
      <w:lvlJc w:val="left"/>
      <w:pPr>
        <w:tabs>
          <w:tab w:val="num" w:pos="1440"/>
        </w:tabs>
        <w:ind w:left="1440" w:hanging="14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0C7EA1"/>
    <w:multiLevelType w:val="multilevel"/>
    <w:tmpl w:val="A642C0F2"/>
    <w:lvl w:ilvl="0">
      <w:start w:val="1"/>
      <w:numFmt w:val="upperRoman"/>
      <w:pStyle w:val="TestimonyNumbering"/>
      <w:lvlText w:val="%1."/>
      <w:lvlJc w:val="left"/>
      <w:pPr>
        <w:tabs>
          <w:tab w:val="num" w:pos="0"/>
        </w:tabs>
        <w:ind w:left="720" w:hanging="720"/>
      </w:pPr>
      <w:rPr>
        <w:rFonts w:hint="default"/>
        <w:b w:val="0"/>
        <w:i w:val="0"/>
      </w:rPr>
    </w:lvl>
    <w:lvl w:ilvl="1">
      <w:start w:val="1"/>
      <w:numFmt w:val="upperLetter"/>
      <w:pStyle w:val="TestimonyNumbering2"/>
      <w:lvlText w:val="%2."/>
      <w:lvlJc w:val="left"/>
      <w:pPr>
        <w:tabs>
          <w:tab w:val="num" w:pos="0"/>
        </w:tabs>
        <w:ind w:left="1440" w:hanging="720"/>
      </w:pPr>
      <w:rPr>
        <w:rFonts w:hint="default"/>
      </w:rPr>
    </w:lvl>
    <w:lvl w:ilvl="2">
      <w:start w:val="1"/>
      <w:numFmt w:val="decimal"/>
      <w:pStyle w:val="TestimonyNumbering3"/>
      <w:lvlText w:val="%3."/>
      <w:lvlJc w:val="left"/>
      <w:pPr>
        <w:tabs>
          <w:tab w:val="num" w:pos="0"/>
        </w:tabs>
        <w:ind w:left="2160" w:hanging="72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nsid w:val="21FF7A7B"/>
    <w:multiLevelType w:val="singleLevel"/>
    <w:tmpl w:val="929855C8"/>
    <w:lvl w:ilvl="0">
      <w:start w:val="1"/>
      <w:numFmt w:val="upperLetter"/>
      <w:pStyle w:val="Heading2"/>
      <w:lvlText w:val="%1."/>
      <w:lvlJc w:val="left"/>
      <w:pPr>
        <w:tabs>
          <w:tab w:val="num" w:pos="720"/>
        </w:tabs>
        <w:ind w:left="720" w:hanging="720"/>
      </w:pPr>
      <w:rPr>
        <w:rFonts w:hint="default"/>
      </w:rPr>
    </w:lvl>
  </w:abstractNum>
  <w:abstractNum w:abstractNumId="12">
    <w:nsid w:val="295C6BFF"/>
    <w:multiLevelType w:val="singleLevel"/>
    <w:tmpl w:val="60029CA8"/>
    <w:lvl w:ilvl="0">
      <w:start w:val="1"/>
      <w:numFmt w:val="upperRoman"/>
      <w:pStyle w:val="Heading1"/>
      <w:lvlText w:val="%1."/>
      <w:lvlJc w:val="left"/>
      <w:pPr>
        <w:tabs>
          <w:tab w:val="num" w:pos="720"/>
        </w:tabs>
        <w:ind w:left="360" w:hanging="360"/>
      </w:pPr>
    </w:lvl>
  </w:abstractNum>
  <w:abstractNum w:abstractNumId="13">
    <w:nsid w:val="29EE5ADB"/>
    <w:multiLevelType w:val="hybridMultilevel"/>
    <w:tmpl w:val="B20634EC"/>
    <w:lvl w:ilvl="0" w:tplc="C41E65D8">
      <w:start w:val="1"/>
      <w:numFmt w:val="upperRoman"/>
      <w:lvlText w:val="%1."/>
      <w:lvlJc w:val="left"/>
      <w:pPr>
        <w:tabs>
          <w:tab w:val="num" w:pos="1080"/>
        </w:tabs>
        <w:ind w:left="720" w:hanging="360"/>
      </w:pPr>
      <w:rPr>
        <w:rFonts w:ascii="Times New Roman Bold" w:hAnsi="Times New Roman Bold" w:hint="default"/>
        <w:b/>
        <w:i w:val="0"/>
        <w:caps w:val="0"/>
        <w:strike w:val="0"/>
        <w:dstrike w:val="0"/>
        <w:vanish w:val="0"/>
        <w:color w:val="00000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685404"/>
    <w:multiLevelType w:val="hybridMultilevel"/>
    <w:tmpl w:val="2424CE8A"/>
    <w:lvl w:ilvl="0" w:tplc="A35ED6C0">
      <w:start w:val="1"/>
      <w:numFmt w:val="bullet"/>
      <w:lvlText w:val=""/>
      <w:lvlJc w:val="left"/>
      <w:pPr>
        <w:tabs>
          <w:tab w:val="num" w:pos="2160"/>
        </w:tabs>
        <w:ind w:left="2160" w:hanging="1440"/>
      </w:pPr>
      <w:rPr>
        <w:rFonts w:ascii="Symbol" w:eastAsia="Times New Roman"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5">
    <w:nsid w:val="30B71BBA"/>
    <w:multiLevelType w:val="hybridMultilevel"/>
    <w:tmpl w:val="D2B64B82"/>
    <w:lvl w:ilvl="0" w:tplc="D952DA78">
      <w:numFmt w:val="none"/>
      <w:lvlText w:val="A."/>
      <w:lvlJc w:val="left"/>
      <w:pPr>
        <w:tabs>
          <w:tab w:val="num" w:pos="720"/>
        </w:tabs>
        <w:ind w:left="720" w:hanging="720"/>
      </w:pPr>
      <w:rPr>
        <w:rFonts w:ascii="Times New Roman" w:hAnsi="Times New Roman" w:hint="default"/>
        <w:b w:val="0"/>
        <w:i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C66E8F"/>
    <w:multiLevelType w:val="hybridMultilevel"/>
    <w:tmpl w:val="83BEABF2"/>
    <w:lvl w:ilvl="0" w:tplc="FFFFFFFF">
      <w:numFmt w:val="none"/>
      <w:lvlText w:val="Q."/>
      <w:lvlJc w:val="left"/>
      <w:pPr>
        <w:tabs>
          <w:tab w:val="num" w:pos="720"/>
        </w:tabs>
        <w:ind w:left="720" w:hanging="720"/>
      </w:pPr>
      <w:rPr>
        <w:rFonts w:ascii="Times New Roman" w:hAnsi="Times New Roman" w:hint="default"/>
        <w:b/>
        <w:i w:val="0"/>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13E234F"/>
    <w:multiLevelType w:val="singleLevel"/>
    <w:tmpl w:val="911457EC"/>
    <w:lvl w:ilvl="0">
      <w:start w:val="1"/>
      <w:numFmt w:val="bullet"/>
      <w:pStyle w:val="AnswerBullets"/>
      <w:lvlText w:val=""/>
      <w:lvlJc w:val="left"/>
      <w:pPr>
        <w:tabs>
          <w:tab w:val="num" w:pos="360"/>
        </w:tabs>
        <w:ind w:left="360" w:hanging="360"/>
      </w:pPr>
      <w:rPr>
        <w:rFonts w:ascii="Symbol" w:hAnsi="Symbol" w:hint="default"/>
      </w:rPr>
    </w:lvl>
  </w:abstractNum>
  <w:abstractNum w:abstractNumId="18">
    <w:nsid w:val="42CA78EB"/>
    <w:multiLevelType w:val="hybridMultilevel"/>
    <w:tmpl w:val="4A26F7C4"/>
    <w:lvl w:ilvl="0" w:tplc="E21A8188">
      <w:start w:val="1"/>
      <w:numFmt w:val="decimal"/>
      <w:pStyle w:val="Outline1"/>
      <w:lvlText w:val="%1."/>
      <w:lvlJc w:val="left"/>
      <w:pPr>
        <w:tabs>
          <w:tab w:val="num" w:pos="1080"/>
        </w:tabs>
        <w:ind w:left="108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56913E95"/>
    <w:multiLevelType w:val="singleLevel"/>
    <w:tmpl w:val="6666C5EA"/>
    <w:lvl w:ilvl="0">
      <w:start w:val="1"/>
      <w:numFmt w:val="upperLetter"/>
      <w:lvlText w:val="%1."/>
      <w:lvlJc w:val="left"/>
      <w:pPr>
        <w:tabs>
          <w:tab w:val="num" w:pos="720"/>
        </w:tabs>
        <w:ind w:left="720" w:hanging="720"/>
      </w:pPr>
      <w:rPr>
        <w:rFonts w:hint="default"/>
      </w:rPr>
    </w:lvl>
  </w:abstractNum>
  <w:abstractNum w:abstractNumId="20">
    <w:nsid w:val="597B1450"/>
    <w:multiLevelType w:val="singleLevel"/>
    <w:tmpl w:val="AF10748C"/>
    <w:lvl w:ilvl="0">
      <w:start w:val="1"/>
      <w:numFmt w:val="decimal"/>
      <w:pStyle w:val="QUESTION"/>
      <w:lvlText w:val="Q%1."/>
      <w:lvlJc w:val="left"/>
      <w:pPr>
        <w:tabs>
          <w:tab w:val="num" w:pos="720"/>
        </w:tabs>
        <w:ind w:left="360" w:hanging="360"/>
      </w:pPr>
      <w:rPr>
        <w:rFonts w:ascii="Times New Roman Bold" w:hAnsi="Times New Roman Bold" w:hint="default"/>
        <w:b/>
        <w:i w:val="0"/>
        <w:strike w:val="0"/>
        <w:dstrike w:val="0"/>
        <w:vanish w:val="0"/>
        <w:color w:val="000000"/>
        <w:sz w:val="24"/>
        <w:vertAlign w:val="baseline"/>
      </w:rPr>
    </w:lvl>
  </w:abstractNum>
  <w:abstractNum w:abstractNumId="21">
    <w:nsid w:val="63810F4B"/>
    <w:multiLevelType w:val="singleLevel"/>
    <w:tmpl w:val="E5407FF4"/>
    <w:lvl w:ilvl="0">
      <w:start w:val="1"/>
      <w:numFmt w:val="upperRoman"/>
      <w:lvlText w:val="%1."/>
      <w:lvlJc w:val="left"/>
      <w:pPr>
        <w:tabs>
          <w:tab w:val="num" w:pos="720"/>
        </w:tabs>
        <w:ind w:left="360" w:hanging="360"/>
      </w:pPr>
      <w:rPr>
        <w:rFonts w:hint="default"/>
      </w:rPr>
    </w:lvl>
  </w:abstractNum>
  <w:abstractNum w:abstractNumId="22">
    <w:nsid w:val="63B03562"/>
    <w:multiLevelType w:val="hybridMultilevel"/>
    <w:tmpl w:val="78A0FE06"/>
    <w:name w:val="HeadingStyles||Heading|3|3|0|1|0|33||mpNA||mpNA||mpNA||mpNA||mpNA||mpNA||mpNA||mpNA||2"/>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18A01C9"/>
    <w:multiLevelType w:val="hybridMultilevel"/>
    <w:tmpl w:val="5F70DD6A"/>
    <w:name w:val="HeadingStyles||Heading|3|3|0|1|0|33||mpNA||mpNA||mpNA||mpNA||mpNA||mpNA||mpNA||mpNA||3"/>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26A1555"/>
    <w:multiLevelType w:val="hybridMultilevel"/>
    <w:tmpl w:val="33CED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A63230"/>
    <w:multiLevelType w:val="singleLevel"/>
    <w:tmpl w:val="2C4EF208"/>
    <w:lvl w:ilvl="0">
      <w:start w:val="1"/>
      <w:numFmt w:val="bullet"/>
      <w:pStyle w:val="Outline3"/>
      <w:lvlText w:val=""/>
      <w:lvlJc w:val="left"/>
      <w:pPr>
        <w:tabs>
          <w:tab w:val="num" w:pos="360"/>
        </w:tabs>
        <w:ind w:left="360" w:hanging="360"/>
      </w:pPr>
      <w:rPr>
        <w:rFonts w:ascii="Symbol" w:hAnsi="Symbol" w:hint="default"/>
      </w:rPr>
    </w:lvl>
  </w:abstractNum>
  <w:num w:numId="1">
    <w:abstractNumId w:val="17"/>
  </w:num>
  <w:num w:numId="2">
    <w:abstractNumId w:val="1"/>
  </w:num>
  <w:num w:numId="3">
    <w:abstractNumId w:val="0"/>
  </w:num>
  <w:num w:numId="4">
    <w:abstractNumId w:val="11"/>
    <w:lvlOverride w:ilvl="0">
      <w:startOverride w:val="1"/>
    </w:lvlOverride>
  </w:num>
  <w:num w:numId="5">
    <w:abstractNumId w:val="5"/>
  </w:num>
  <w:num w:numId="6">
    <w:abstractNumId w:val="25"/>
  </w:num>
  <w:num w:numId="7">
    <w:abstractNumId w:val="6"/>
  </w:num>
  <w:num w:numId="8">
    <w:abstractNumId w:val="11"/>
  </w:num>
  <w:num w:numId="9">
    <w:abstractNumId w:val="12"/>
  </w:num>
  <w:num w:numId="10">
    <w:abstractNumId w:val="18"/>
  </w:num>
  <w:num w:numId="11">
    <w:abstractNumId w:val="11"/>
    <w:lvlOverride w:ilvl="0">
      <w:startOverride w:val="1"/>
    </w:lvlOverride>
  </w:num>
  <w:num w:numId="12">
    <w:abstractNumId w:val="7"/>
  </w:num>
  <w:num w:numId="13">
    <w:abstractNumId w:val="20"/>
  </w:num>
  <w:num w:numId="14">
    <w:abstractNumId w:val="11"/>
    <w:lvlOverride w:ilvl="0">
      <w:startOverride w:val="1"/>
    </w:lvlOverride>
  </w:num>
  <w:num w:numId="15">
    <w:abstractNumId w:val="23"/>
  </w:num>
  <w:num w:numId="16">
    <w:abstractNumId w:val="2"/>
  </w:num>
  <w:num w:numId="17">
    <w:abstractNumId w:val="13"/>
  </w:num>
  <w:num w:numId="18">
    <w:abstractNumId w:val="11"/>
    <w:lvlOverride w:ilvl="0">
      <w:startOverride w:val="1"/>
    </w:lvlOverride>
  </w:num>
  <w:num w:numId="19">
    <w:abstractNumId w:val="21"/>
  </w:num>
  <w:num w:numId="20">
    <w:abstractNumId w:val="19"/>
  </w:num>
  <w:num w:numId="21">
    <w:abstractNumId w:val="19"/>
    <w:lvlOverride w:ilvl="0">
      <w:startOverride w:val="1"/>
    </w:lvlOverride>
  </w:num>
  <w:num w:numId="22">
    <w:abstractNumId w:val="16"/>
  </w:num>
  <w:num w:numId="23">
    <w:abstractNumId w:val="15"/>
  </w:num>
  <w:num w:numId="24">
    <w:abstractNumId w:val="10"/>
  </w:num>
  <w:num w:numId="25">
    <w:abstractNumId w:val="4"/>
  </w:num>
  <w:num w:numId="26">
    <w:abstractNumId w:val="3"/>
  </w:num>
  <w:num w:numId="27">
    <w:abstractNumId w:val="9"/>
  </w:num>
  <w:num w:numId="28">
    <w:abstractNumId w:val="8"/>
  </w:num>
  <w:num w:numId="29">
    <w:abstractNumId w:val="11"/>
  </w:num>
  <w:num w:numId="30">
    <w:abstractNumId w:val="14"/>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 w:id="1"/>
  </w:footnotePr>
  <w:endnotePr>
    <w:endnote w:id="-1"/>
    <w:endnote w:id="0"/>
  </w:endnotePr>
  <w:compat/>
  <w:rsids>
    <w:rsidRoot w:val="00240C13"/>
    <w:rsid w:val="0001138F"/>
    <w:rsid w:val="000860D9"/>
    <w:rsid w:val="0010609B"/>
    <w:rsid w:val="00156917"/>
    <w:rsid w:val="00167D1B"/>
    <w:rsid w:val="00176941"/>
    <w:rsid w:val="00176C84"/>
    <w:rsid w:val="0017720C"/>
    <w:rsid w:val="001B543A"/>
    <w:rsid w:val="00204778"/>
    <w:rsid w:val="00220E7B"/>
    <w:rsid w:val="00240C13"/>
    <w:rsid w:val="00260611"/>
    <w:rsid w:val="00263C22"/>
    <w:rsid w:val="00264A15"/>
    <w:rsid w:val="00265142"/>
    <w:rsid w:val="00285D47"/>
    <w:rsid w:val="00290DA2"/>
    <w:rsid w:val="003539D1"/>
    <w:rsid w:val="0035481B"/>
    <w:rsid w:val="00360E57"/>
    <w:rsid w:val="003745BE"/>
    <w:rsid w:val="00394575"/>
    <w:rsid w:val="003C72A1"/>
    <w:rsid w:val="003F0B7B"/>
    <w:rsid w:val="003F569E"/>
    <w:rsid w:val="003F641D"/>
    <w:rsid w:val="004260DA"/>
    <w:rsid w:val="005A0828"/>
    <w:rsid w:val="005D04F8"/>
    <w:rsid w:val="005F7F20"/>
    <w:rsid w:val="006027D3"/>
    <w:rsid w:val="00607761"/>
    <w:rsid w:val="00611501"/>
    <w:rsid w:val="00617D74"/>
    <w:rsid w:val="006F6F0F"/>
    <w:rsid w:val="00730F82"/>
    <w:rsid w:val="00741BAF"/>
    <w:rsid w:val="007916CC"/>
    <w:rsid w:val="007A6DF4"/>
    <w:rsid w:val="007D3FAE"/>
    <w:rsid w:val="008036CA"/>
    <w:rsid w:val="00825545"/>
    <w:rsid w:val="008340D7"/>
    <w:rsid w:val="0085517D"/>
    <w:rsid w:val="00937BC5"/>
    <w:rsid w:val="00941C57"/>
    <w:rsid w:val="00976230"/>
    <w:rsid w:val="009A1774"/>
    <w:rsid w:val="009B5DD2"/>
    <w:rsid w:val="009D0D18"/>
    <w:rsid w:val="009D0D5E"/>
    <w:rsid w:val="009F03F1"/>
    <w:rsid w:val="00A00BFA"/>
    <w:rsid w:val="00A3529E"/>
    <w:rsid w:val="00A5709C"/>
    <w:rsid w:val="00AB0EFF"/>
    <w:rsid w:val="00AE4B0E"/>
    <w:rsid w:val="00B14977"/>
    <w:rsid w:val="00B16048"/>
    <w:rsid w:val="00B26CDC"/>
    <w:rsid w:val="00B414CD"/>
    <w:rsid w:val="00B513BB"/>
    <w:rsid w:val="00B73792"/>
    <w:rsid w:val="00BB7960"/>
    <w:rsid w:val="00C0696A"/>
    <w:rsid w:val="00C6419A"/>
    <w:rsid w:val="00CB4D49"/>
    <w:rsid w:val="00CC7DA4"/>
    <w:rsid w:val="00CD22CE"/>
    <w:rsid w:val="00CE16C6"/>
    <w:rsid w:val="00CF1AF5"/>
    <w:rsid w:val="00CF6582"/>
    <w:rsid w:val="00D10E10"/>
    <w:rsid w:val="00DB0D9E"/>
    <w:rsid w:val="00DB7EB9"/>
    <w:rsid w:val="00DF061B"/>
    <w:rsid w:val="00E74DD3"/>
    <w:rsid w:val="00E81BA3"/>
    <w:rsid w:val="00E83368"/>
    <w:rsid w:val="00EF5804"/>
    <w:rsid w:val="00FE3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CDC"/>
    <w:rPr>
      <w:rFonts w:ascii="Palatino Linotype" w:hAnsi="Palatino Linotype"/>
      <w:sz w:val="24"/>
    </w:rPr>
  </w:style>
  <w:style w:type="paragraph" w:styleId="Heading1">
    <w:name w:val="heading 1"/>
    <w:basedOn w:val="Normal"/>
    <w:next w:val="Normal"/>
    <w:qFormat/>
    <w:rsid w:val="00B26CDC"/>
    <w:pPr>
      <w:keepNext/>
      <w:numPr>
        <w:numId w:val="9"/>
      </w:numPr>
      <w:tabs>
        <w:tab w:val="center" w:pos="5040"/>
        <w:tab w:val="center" w:pos="6480"/>
        <w:tab w:val="center" w:pos="7920"/>
      </w:tabs>
      <w:spacing w:before="240" w:after="120"/>
      <w:jc w:val="center"/>
      <w:outlineLvl w:val="0"/>
    </w:pPr>
    <w:rPr>
      <w:rFonts w:ascii="Times New Roman" w:hAnsi="Times New Roman"/>
      <w:b/>
    </w:rPr>
  </w:style>
  <w:style w:type="paragraph" w:styleId="Heading2">
    <w:name w:val="heading 2"/>
    <w:basedOn w:val="Normal"/>
    <w:next w:val="Normal"/>
    <w:qFormat/>
    <w:rsid w:val="00B26CDC"/>
    <w:pPr>
      <w:keepNext/>
      <w:numPr>
        <w:numId w:val="8"/>
      </w:numPr>
      <w:tabs>
        <w:tab w:val="left" w:pos="360"/>
      </w:tabs>
      <w:spacing w:before="120" w:after="120"/>
      <w:jc w:val="center"/>
      <w:outlineLvl w:val="1"/>
    </w:pPr>
    <w:rPr>
      <w:rFonts w:ascii="Times New Roman" w:hAnsi="Times New Roman"/>
      <w:b/>
      <w:u w:val="single"/>
    </w:rPr>
  </w:style>
  <w:style w:type="paragraph" w:styleId="Heading3">
    <w:name w:val="heading 3"/>
    <w:basedOn w:val="Normal"/>
    <w:next w:val="Normal"/>
    <w:qFormat/>
    <w:rsid w:val="008036CA"/>
    <w:pPr>
      <w:keepNext/>
      <w:tabs>
        <w:tab w:val="left" w:pos="1260"/>
      </w:tabs>
      <w:spacing w:line="480" w:lineRule="auto"/>
      <w:ind w:firstLine="720"/>
      <w:jc w:val="center"/>
      <w:outlineLvl w:val="2"/>
    </w:pPr>
    <w:rPr>
      <w:b/>
    </w:rPr>
  </w:style>
  <w:style w:type="paragraph" w:styleId="Heading4">
    <w:name w:val="heading 4"/>
    <w:basedOn w:val="Normal"/>
    <w:next w:val="Normal"/>
    <w:qFormat/>
    <w:rsid w:val="008036CA"/>
    <w:pPr>
      <w:keepNext/>
      <w:tabs>
        <w:tab w:val="left" w:pos="1260"/>
      </w:tabs>
      <w:spacing w:line="480" w:lineRule="auto"/>
      <w:ind w:left="540" w:hanging="540"/>
      <w:jc w:val="center"/>
      <w:outlineLvl w:val="3"/>
    </w:pPr>
    <w:rPr>
      <w:b/>
    </w:rPr>
  </w:style>
  <w:style w:type="paragraph" w:styleId="Heading5">
    <w:name w:val="heading 5"/>
    <w:basedOn w:val="Normal"/>
    <w:next w:val="Normal"/>
    <w:qFormat/>
    <w:rsid w:val="008036CA"/>
    <w:pPr>
      <w:keepNext/>
      <w:spacing w:line="480" w:lineRule="auto"/>
      <w:jc w:val="center"/>
      <w:outlineLvl w:val="4"/>
    </w:pPr>
    <w:rPr>
      <w:b/>
    </w:rPr>
  </w:style>
  <w:style w:type="paragraph" w:styleId="Heading6">
    <w:name w:val="heading 6"/>
    <w:basedOn w:val="Normal"/>
    <w:next w:val="Normal"/>
    <w:qFormat/>
    <w:rsid w:val="008036CA"/>
    <w:pPr>
      <w:keepNext/>
      <w:tabs>
        <w:tab w:val="left" w:pos="1260"/>
      </w:tabs>
      <w:spacing w:line="480" w:lineRule="auto"/>
      <w:jc w:val="center"/>
      <w:outlineLvl w:val="5"/>
    </w:pPr>
    <w:rPr>
      <w:b/>
      <w:sz w:val="20"/>
    </w:rPr>
  </w:style>
  <w:style w:type="paragraph" w:styleId="Heading7">
    <w:name w:val="heading 7"/>
    <w:basedOn w:val="Normal"/>
    <w:next w:val="Normal"/>
    <w:qFormat/>
    <w:rsid w:val="008036CA"/>
    <w:pPr>
      <w:keepNext/>
      <w:tabs>
        <w:tab w:val="left" w:pos="1260"/>
      </w:tabs>
      <w:jc w:val="right"/>
      <w:outlineLvl w:val="6"/>
    </w:pPr>
    <w:rPr>
      <w:sz w:val="20"/>
    </w:rPr>
  </w:style>
  <w:style w:type="paragraph" w:styleId="Heading8">
    <w:name w:val="heading 8"/>
    <w:basedOn w:val="Normal"/>
    <w:next w:val="Normal"/>
    <w:qFormat/>
    <w:rsid w:val="008036CA"/>
    <w:pPr>
      <w:keepNext/>
      <w:tabs>
        <w:tab w:val="left" w:pos="1260"/>
      </w:tabs>
      <w:spacing w:line="480" w:lineRule="auto"/>
      <w:jc w:val="both"/>
      <w:outlineLvl w:val="7"/>
    </w:pPr>
    <w:rPr>
      <w:b/>
      <w:u w:val="single"/>
      <w:lang w:val="fr-FR"/>
    </w:rPr>
  </w:style>
  <w:style w:type="paragraph" w:styleId="Heading9">
    <w:name w:val="heading 9"/>
    <w:basedOn w:val="Normal"/>
    <w:next w:val="Normal"/>
    <w:qFormat/>
    <w:rsid w:val="008036CA"/>
    <w:pPr>
      <w:keepNext/>
      <w:tabs>
        <w:tab w:val="left" w:pos="1260"/>
      </w:tabs>
      <w:spacing w:line="480" w:lineRule="auto"/>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036CA"/>
    <w:pPr>
      <w:tabs>
        <w:tab w:val="center" w:pos="4320"/>
        <w:tab w:val="right" w:pos="8640"/>
      </w:tabs>
    </w:pPr>
  </w:style>
  <w:style w:type="paragraph" w:styleId="Footer">
    <w:name w:val="footer"/>
    <w:basedOn w:val="Normal"/>
    <w:semiHidden/>
    <w:rsid w:val="008036CA"/>
    <w:pPr>
      <w:tabs>
        <w:tab w:val="center" w:pos="4320"/>
        <w:tab w:val="right" w:pos="8640"/>
      </w:tabs>
    </w:pPr>
  </w:style>
  <w:style w:type="character" w:styleId="PageNumber">
    <w:name w:val="page number"/>
    <w:basedOn w:val="DefaultParagraphFont"/>
    <w:semiHidden/>
    <w:rsid w:val="008036CA"/>
    <w:rPr>
      <w:rFonts w:ascii="Times New Roman" w:hAnsi="Times New Roman"/>
    </w:rPr>
  </w:style>
  <w:style w:type="character" w:styleId="LineNumber">
    <w:name w:val="line number"/>
    <w:basedOn w:val="DefaultParagraphFont"/>
    <w:semiHidden/>
    <w:rsid w:val="00B26CDC"/>
    <w:rPr>
      <w:rFonts w:ascii="Times New Roman" w:hAnsi="Times New Roman"/>
      <w:dstrike w:val="0"/>
      <w:color w:val="auto"/>
      <w:sz w:val="24"/>
      <w:vertAlign w:val="baseline"/>
    </w:rPr>
  </w:style>
  <w:style w:type="paragraph" w:styleId="FootnoteText">
    <w:name w:val="footnote text"/>
    <w:aliases w:val="Footnote Text Char1,Footnote Text Char Char1,Footnote Text Char Char,ft Char,Footnote Text Char2 Char,Footnote Text Char Char1 Char,Footnote Text Char1 Char Char Char,Footnote Text Char Char Char Char Char,ft Char Char Char Char,Style 25,f"/>
    <w:basedOn w:val="Normal"/>
    <w:link w:val="FootnoteTextChar"/>
    <w:uiPriority w:val="99"/>
    <w:semiHidden/>
    <w:rsid w:val="00B26CDC"/>
    <w:pPr>
      <w:keepNext/>
      <w:keepLines/>
    </w:pPr>
    <w:rPr>
      <w:rFonts w:ascii="Times New Roman" w:hAnsi="Times New Roman"/>
      <w:sz w:val="20"/>
    </w:rPr>
  </w:style>
  <w:style w:type="character" w:styleId="FootnoteReference">
    <w:name w:val="footnote reference"/>
    <w:aliases w:val="Style 24,o,fr,Style 17,Style 11,Style 28,Style 8,Style 13,Style 12,Style 15,Style 9,o1,fr1,o2,fr2,o3,fr3,Style 18,(NECG) Footnote Reference,Style 20,Style 7,Style 19,Style 16,Style 30,Sty,o2..."/>
    <w:basedOn w:val="DefaultParagraphFont"/>
    <w:uiPriority w:val="99"/>
    <w:semiHidden/>
    <w:rsid w:val="00B26CDC"/>
    <w:rPr>
      <w:rFonts w:ascii="Times New Roman" w:hAnsi="Times New Roman"/>
      <w:dstrike w:val="0"/>
      <w:color w:val="auto"/>
      <w:vertAlign w:val="superscript"/>
    </w:rPr>
  </w:style>
  <w:style w:type="paragraph" w:styleId="DocumentMap">
    <w:name w:val="Document Map"/>
    <w:basedOn w:val="Normal"/>
    <w:semiHidden/>
    <w:rsid w:val="008036CA"/>
    <w:pPr>
      <w:shd w:val="clear" w:color="auto" w:fill="000080"/>
    </w:pPr>
    <w:rPr>
      <w:rFonts w:ascii="Tahoma" w:hAnsi="Tahoma"/>
    </w:rPr>
  </w:style>
  <w:style w:type="paragraph" w:customStyle="1" w:styleId="TestBody">
    <w:name w:val="Test Body"/>
    <w:rsid w:val="008036CA"/>
    <w:pPr>
      <w:spacing w:line="480" w:lineRule="atLeast"/>
      <w:ind w:left="720" w:firstLine="1440"/>
      <w:jc w:val="both"/>
    </w:pPr>
    <w:rPr>
      <w:rFonts w:ascii="Palatino" w:hAnsi="Palatino"/>
      <w:sz w:val="24"/>
    </w:rPr>
  </w:style>
  <w:style w:type="paragraph" w:customStyle="1" w:styleId="AnswerBullets">
    <w:name w:val="Answer_Bullets"/>
    <w:basedOn w:val="Normal"/>
    <w:rsid w:val="008036CA"/>
    <w:pPr>
      <w:numPr>
        <w:numId w:val="1"/>
      </w:numPr>
    </w:pPr>
  </w:style>
  <w:style w:type="paragraph" w:styleId="MessageHeader">
    <w:name w:val="Message Header"/>
    <w:basedOn w:val="Normal"/>
    <w:semiHidden/>
    <w:rsid w:val="008036CA"/>
    <w:pPr>
      <w:pBdr>
        <w:top w:val="single" w:sz="6" w:space="1" w:color="auto"/>
        <w:left w:val="single" w:sz="6" w:space="1" w:color="auto"/>
        <w:bottom w:val="single" w:sz="6" w:space="1" w:color="auto"/>
        <w:right w:val="single" w:sz="6" w:space="1" w:color="auto"/>
      </w:pBdr>
      <w:shd w:val="pct20" w:color="auto" w:fill="auto"/>
      <w:spacing w:after="120" w:line="360" w:lineRule="auto"/>
      <w:ind w:left="1080" w:hanging="1080"/>
    </w:pPr>
    <w:rPr>
      <w:rFonts w:ascii="Arial" w:hAnsi="Arial"/>
      <w:kern w:val="16"/>
    </w:rPr>
  </w:style>
  <w:style w:type="paragraph" w:customStyle="1" w:styleId="Quote1">
    <w:name w:val="Quote1"/>
    <w:aliases w:val="q"/>
    <w:basedOn w:val="Normal"/>
    <w:rsid w:val="00B14977"/>
    <w:pPr>
      <w:spacing w:after="240"/>
      <w:ind w:left="720" w:right="720"/>
      <w:jc w:val="both"/>
    </w:pPr>
    <w:rPr>
      <w:rFonts w:ascii="Times New Roman" w:hAnsi="Times New Roman"/>
      <w:kern w:val="16"/>
    </w:rPr>
  </w:style>
  <w:style w:type="paragraph" w:customStyle="1" w:styleId="TestimonyText">
    <w:name w:val="Testimony Text"/>
    <w:basedOn w:val="Normal"/>
    <w:next w:val="Answer"/>
    <w:rsid w:val="008036CA"/>
    <w:pPr>
      <w:tabs>
        <w:tab w:val="left" w:pos="720"/>
        <w:tab w:val="left" w:pos="1440"/>
        <w:tab w:val="left" w:pos="2160"/>
      </w:tabs>
      <w:spacing w:after="120" w:line="360" w:lineRule="auto"/>
      <w:ind w:left="720" w:hanging="720"/>
    </w:pPr>
    <w:rPr>
      <w:kern w:val="16"/>
    </w:rPr>
  </w:style>
  <w:style w:type="paragraph" w:customStyle="1" w:styleId="Answer">
    <w:name w:val="Answer"/>
    <w:basedOn w:val="Normal"/>
    <w:qFormat/>
    <w:rsid w:val="00B14977"/>
    <w:pPr>
      <w:tabs>
        <w:tab w:val="left" w:pos="720"/>
        <w:tab w:val="left" w:pos="1440"/>
      </w:tabs>
      <w:suppressAutoHyphens/>
      <w:spacing w:line="480" w:lineRule="auto"/>
      <w:ind w:firstLine="720"/>
      <w:jc w:val="both"/>
    </w:pPr>
    <w:rPr>
      <w:rFonts w:ascii="Times New Roman" w:hAnsi="Times New Roman"/>
      <w:kern w:val="16"/>
    </w:rPr>
  </w:style>
  <w:style w:type="paragraph" w:styleId="TOC1">
    <w:name w:val="toc 1"/>
    <w:basedOn w:val="Normal"/>
    <w:next w:val="Normal"/>
    <w:semiHidden/>
    <w:rsid w:val="008036CA"/>
    <w:pPr>
      <w:tabs>
        <w:tab w:val="left" w:pos="480"/>
        <w:tab w:val="right" w:leader="dot" w:pos="8990"/>
      </w:tabs>
      <w:spacing w:before="120" w:after="120"/>
    </w:pPr>
    <w:rPr>
      <w:caps/>
      <w:noProof/>
    </w:rPr>
  </w:style>
  <w:style w:type="paragraph" w:styleId="TOC2">
    <w:name w:val="toc 2"/>
    <w:basedOn w:val="Normal"/>
    <w:next w:val="Normal"/>
    <w:semiHidden/>
    <w:rsid w:val="008036CA"/>
    <w:pPr>
      <w:ind w:left="240"/>
    </w:pPr>
  </w:style>
  <w:style w:type="paragraph" w:styleId="TOC3">
    <w:name w:val="toc 3"/>
    <w:basedOn w:val="Normal"/>
    <w:next w:val="Normal"/>
    <w:autoRedefine/>
    <w:semiHidden/>
    <w:rsid w:val="008036CA"/>
    <w:pPr>
      <w:ind w:left="480"/>
    </w:pPr>
    <w:rPr>
      <w:i/>
      <w:sz w:val="20"/>
    </w:rPr>
  </w:style>
  <w:style w:type="paragraph" w:styleId="TOC4">
    <w:name w:val="toc 4"/>
    <w:basedOn w:val="Normal"/>
    <w:next w:val="Normal"/>
    <w:autoRedefine/>
    <w:semiHidden/>
    <w:rsid w:val="008036CA"/>
    <w:pPr>
      <w:ind w:left="720"/>
    </w:pPr>
    <w:rPr>
      <w:sz w:val="18"/>
    </w:rPr>
  </w:style>
  <w:style w:type="paragraph" w:styleId="TOC5">
    <w:name w:val="toc 5"/>
    <w:basedOn w:val="Normal"/>
    <w:next w:val="Normal"/>
    <w:autoRedefine/>
    <w:semiHidden/>
    <w:rsid w:val="008036CA"/>
    <w:pPr>
      <w:ind w:left="960"/>
    </w:pPr>
    <w:rPr>
      <w:sz w:val="18"/>
    </w:rPr>
  </w:style>
  <w:style w:type="paragraph" w:styleId="TOC6">
    <w:name w:val="toc 6"/>
    <w:basedOn w:val="Normal"/>
    <w:next w:val="Normal"/>
    <w:autoRedefine/>
    <w:semiHidden/>
    <w:rsid w:val="008036CA"/>
    <w:pPr>
      <w:ind w:left="1200"/>
    </w:pPr>
    <w:rPr>
      <w:sz w:val="18"/>
    </w:rPr>
  </w:style>
  <w:style w:type="paragraph" w:styleId="TOC7">
    <w:name w:val="toc 7"/>
    <w:basedOn w:val="Normal"/>
    <w:next w:val="Normal"/>
    <w:autoRedefine/>
    <w:semiHidden/>
    <w:rsid w:val="008036CA"/>
    <w:pPr>
      <w:ind w:left="1440"/>
    </w:pPr>
    <w:rPr>
      <w:sz w:val="18"/>
    </w:rPr>
  </w:style>
  <w:style w:type="paragraph" w:styleId="TOC8">
    <w:name w:val="toc 8"/>
    <w:basedOn w:val="Normal"/>
    <w:next w:val="Normal"/>
    <w:autoRedefine/>
    <w:semiHidden/>
    <w:rsid w:val="008036CA"/>
    <w:pPr>
      <w:ind w:left="1680"/>
    </w:pPr>
    <w:rPr>
      <w:sz w:val="18"/>
    </w:rPr>
  </w:style>
  <w:style w:type="paragraph" w:styleId="TOC9">
    <w:name w:val="toc 9"/>
    <w:basedOn w:val="Normal"/>
    <w:next w:val="Normal"/>
    <w:autoRedefine/>
    <w:semiHidden/>
    <w:rsid w:val="008036CA"/>
    <w:pPr>
      <w:ind w:left="1920"/>
    </w:pPr>
    <w:rPr>
      <w:sz w:val="18"/>
    </w:rPr>
  </w:style>
  <w:style w:type="paragraph" w:styleId="PlainText">
    <w:name w:val="Plain Text"/>
    <w:basedOn w:val="Normal"/>
    <w:semiHidden/>
    <w:rsid w:val="008036CA"/>
    <w:pPr>
      <w:spacing w:after="120"/>
    </w:pPr>
    <w:rPr>
      <w:rFonts w:ascii="Courier New" w:hAnsi="Courier New"/>
      <w:kern w:val="16"/>
      <w:sz w:val="20"/>
    </w:rPr>
  </w:style>
  <w:style w:type="paragraph" w:styleId="Title">
    <w:name w:val="Title"/>
    <w:basedOn w:val="Normal"/>
    <w:qFormat/>
    <w:rsid w:val="008036CA"/>
    <w:pPr>
      <w:suppressLineNumbers/>
      <w:tabs>
        <w:tab w:val="left" w:pos="5040"/>
        <w:tab w:val="left" w:pos="5760"/>
      </w:tabs>
      <w:spacing w:after="120"/>
      <w:jc w:val="center"/>
    </w:pPr>
    <w:rPr>
      <w:b/>
      <w:kern w:val="16"/>
    </w:rPr>
  </w:style>
  <w:style w:type="paragraph" w:customStyle="1" w:styleId="Question0">
    <w:name w:val="Question"/>
    <w:basedOn w:val="Normal"/>
    <w:next w:val="Answer"/>
    <w:rsid w:val="00B14977"/>
    <w:pPr>
      <w:keepNext/>
      <w:tabs>
        <w:tab w:val="left" w:pos="1440"/>
      </w:tabs>
      <w:suppressAutoHyphens/>
      <w:spacing w:before="120" w:line="360" w:lineRule="auto"/>
      <w:ind w:firstLine="720"/>
      <w:jc w:val="both"/>
    </w:pPr>
    <w:rPr>
      <w:rFonts w:ascii="Times New Roman" w:hAnsi="Times New Roman"/>
      <w:b/>
      <w:kern w:val="16"/>
    </w:rPr>
  </w:style>
  <w:style w:type="paragraph" w:customStyle="1" w:styleId="SSpIndented">
    <w:name w:val="SSp Indented"/>
    <w:basedOn w:val="Normal"/>
    <w:next w:val="Normal"/>
    <w:rsid w:val="008036CA"/>
    <w:pPr>
      <w:spacing w:after="240"/>
      <w:ind w:left="1440" w:right="720"/>
    </w:pPr>
    <w:rPr>
      <w:kern w:val="16"/>
    </w:rPr>
  </w:style>
  <w:style w:type="paragraph" w:customStyle="1" w:styleId="SingleSpaced">
    <w:name w:val="Single Spaced"/>
    <w:basedOn w:val="Normal"/>
    <w:rsid w:val="008036CA"/>
    <w:pPr>
      <w:ind w:left="720"/>
    </w:pPr>
    <w:rPr>
      <w:kern w:val="16"/>
    </w:rPr>
  </w:style>
  <w:style w:type="paragraph" w:styleId="ListBullet">
    <w:name w:val="List Bullet"/>
    <w:basedOn w:val="Normal"/>
    <w:autoRedefine/>
    <w:semiHidden/>
    <w:rsid w:val="008036CA"/>
    <w:pPr>
      <w:numPr>
        <w:numId w:val="2"/>
      </w:numPr>
      <w:spacing w:after="120" w:line="360" w:lineRule="auto"/>
    </w:pPr>
    <w:rPr>
      <w:kern w:val="16"/>
    </w:rPr>
  </w:style>
  <w:style w:type="paragraph" w:customStyle="1" w:styleId="a">
    <w:name w:val="_"/>
    <w:basedOn w:val="Normal"/>
    <w:rsid w:val="008036CA"/>
    <w:pPr>
      <w:widowControl w:val="0"/>
      <w:ind w:left="720" w:hanging="720"/>
    </w:pPr>
    <w:rPr>
      <w:rFonts w:ascii="Arial" w:hAnsi="Arial"/>
      <w:snapToGrid w:val="0"/>
    </w:rPr>
  </w:style>
  <w:style w:type="paragraph" w:customStyle="1" w:styleId="Answer2">
    <w:name w:val="Answer2"/>
    <w:basedOn w:val="Answer"/>
    <w:rsid w:val="008036CA"/>
  </w:style>
  <w:style w:type="paragraph" w:customStyle="1" w:styleId="BulletPoint">
    <w:name w:val="Bullet Point"/>
    <w:basedOn w:val="Normal"/>
    <w:rsid w:val="008036CA"/>
    <w:pPr>
      <w:widowControl w:val="0"/>
      <w:numPr>
        <w:numId w:val="5"/>
      </w:numPr>
      <w:spacing w:line="480" w:lineRule="auto"/>
      <w:ind w:right="360"/>
    </w:pPr>
    <w:rPr>
      <w:i/>
      <w:snapToGrid w:val="0"/>
    </w:rPr>
  </w:style>
  <w:style w:type="character" w:customStyle="1" w:styleId="zzmpTrailerItem">
    <w:name w:val="zzmpTrailerItem"/>
    <w:basedOn w:val="DefaultParagraphFont"/>
    <w:rsid w:val="008036CA"/>
    <w:rPr>
      <w:sz w:val="16"/>
      <w:effect w:val="antsRed"/>
    </w:rPr>
  </w:style>
  <w:style w:type="paragraph" w:customStyle="1" w:styleId="Answer1">
    <w:name w:val="Answer1"/>
    <w:basedOn w:val="Answer"/>
    <w:autoRedefine/>
    <w:rsid w:val="008036CA"/>
    <w:rPr>
      <w:rFonts w:ascii="Arial" w:hAnsi="Arial"/>
    </w:rPr>
  </w:style>
  <w:style w:type="paragraph" w:customStyle="1" w:styleId="IndentBulletPoint">
    <w:name w:val="Indent Bullet Point"/>
    <w:basedOn w:val="Normal"/>
    <w:rsid w:val="008036CA"/>
    <w:pPr>
      <w:numPr>
        <w:numId w:val="7"/>
      </w:numPr>
      <w:spacing w:before="120"/>
      <w:ind w:left="1800" w:right="720"/>
      <w:jc w:val="both"/>
    </w:pPr>
  </w:style>
  <w:style w:type="character" w:styleId="Hyperlink">
    <w:name w:val="Hyperlink"/>
    <w:basedOn w:val="DefaultParagraphFont"/>
    <w:semiHidden/>
    <w:rsid w:val="008036CA"/>
    <w:rPr>
      <w:color w:val="0000FF"/>
      <w:u w:val="single"/>
    </w:rPr>
  </w:style>
  <w:style w:type="paragraph" w:customStyle="1" w:styleId="DocID">
    <w:name w:val="DocID"/>
    <w:basedOn w:val="Normal"/>
    <w:next w:val="Normal"/>
    <w:rsid w:val="008036CA"/>
    <w:pPr>
      <w:keepLines/>
      <w:suppressLineNumbers/>
    </w:pPr>
    <w:rPr>
      <w:kern w:val="16"/>
      <w:sz w:val="12"/>
    </w:rPr>
  </w:style>
  <w:style w:type="paragraph" w:styleId="EndnoteText">
    <w:name w:val="endnote text"/>
    <w:basedOn w:val="Normal"/>
    <w:semiHidden/>
    <w:rsid w:val="008036CA"/>
    <w:pPr>
      <w:keepLines/>
      <w:widowControl w:val="0"/>
      <w:tabs>
        <w:tab w:val="left" w:pos="1037"/>
        <w:tab w:val="left" w:pos="2006"/>
      </w:tabs>
      <w:autoSpaceDE w:val="0"/>
      <w:autoSpaceDN w:val="0"/>
      <w:adjustRightInd w:val="0"/>
      <w:spacing w:after="60"/>
    </w:pPr>
    <w:rPr>
      <w:rFonts w:ascii="Courier New" w:hAnsi="Courier New"/>
      <w:kern w:val="16"/>
    </w:rPr>
  </w:style>
  <w:style w:type="character" w:styleId="EndnoteReference">
    <w:name w:val="endnote reference"/>
    <w:basedOn w:val="DefaultParagraphFont"/>
    <w:semiHidden/>
    <w:rsid w:val="008036CA"/>
    <w:rPr>
      <w:vertAlign w:val="superscript"/>
    </w:rPr>
  </w:style>
  <w:style w:type="paragraph" w:styleId="BodyTextIndent">
    <w:name w:val="Body Text Indent"/>
    <w:basedOn w:val="Normal"/>
    <w:semiHidden/>
    <w:rsid w:val="008036CA"/>
    <w:pPr>
      <w:autoSpaceDE w:val="0"/>
      <w:autoSpaceDN w:val="0"/>
      <w:spacing w:line="480" w:lineRule="auto"/>
      <w:jc w:val="both"/>
    </w:pPr>
    <w:rPr>
      <w:rFonts w:ascii="Times New Roman" w:hAnsi="Times New Roman"/>
      <w:szCs w:val="24"/>
    </w:rPr>
  </w:style>
  <w:style w:type="paragraph" w:customStyle="1" w:styleId="Outline1">
    <w:name w:val="Outline 1"/>
    <w:basedOn w:val="Question0"/>
    <w:rsid w:val="008036CA"/>
    <w:pPr>
      <w:numPr>
        <w:numId w:val="10"/>
      </w:numPr>
      <w:tabs>
        <w:tab w:val="clear" w:pos="1440"/>
      </w:tabs>
    </w:pPr>
  </w:style>
  <w:style w:type="paragraph" w:customStyle="1" w:styleId="Outline2">
    <w:name w:val="Outline 2"/>
    <w:basedOn w:val="Answer"/>
    <w:rsid w:val="008036CA"/>
    <w:pPr>
      <w:spacing w:before="120" w:line="360" w:lineRule="auto"/>
      <w:ind w:firstLine="0"/>
    </w:pPr>
  </w:style>
  <w:style w:type="paragraph" w:customStyle="1" w:styleId="Outline3">
    <w:name w:val="Outline3"/>
    <w:basedOn w:val="BulletPoint"/>
    <w:rsid w:val="008036CA"/>
    <w:pPr>
      <w:widowControl/>
      <w:numPr>
        <w:numId w:val="6"/>
      </w:numPr>
      <w:spacing w:after="240" w:line="240" w:lineRule="auto"/>
    </w:pPr>
    <w:rPr>
      <w:i w:val="0"/>
    </w:rPr>
  </w:style>
  <w:style w:type="character" w:styleId="FollowedHyperlink">
    <w:name w:val="FollowedHyperlink"/>
    <w:basedOn w:val="DefaultParagraphFont"/>
    <w:semiHidden/>
    <w:rsid w:val="008036CA"/>
    <w:rPr>
      <w:color w:val="800080"/>
      <w:u w:val="single"/>
    </w:rPr>
  </w:style>
  <w:style w:type="paragraph" w:customStyle="1" w:styleId="xl24">
    <w:name w:val="xl24"/>
    <w:basedOn w:val="Normal"/>
    <w:rsid w:val="008036CA"/>
    <w:pPr>
      <w:spacing w:before="100" w:beforeAutospacing="1" w:after="100" w:afterAutospacing="1"/>
    </w:pPr>
    <w:rPr>
      <w:rFonts w:eastAsia="Arial Unicode MS"/>
      <w:sz w:val="22"/>
      <w:szCs w:val="22"/>
    </w:rPr>
  </w:style>
  <w:style w:type="paragraph" w:customStyle="1" w:styleId="xl25">
    <w:name w:val="xl25"/>
    <w:basedOn w:val="Normal"/>
    <w:rsid w:val="008036CA"/>
    <w:pPr>
      <w:spacing w:before="100" w:beforeAutospacing="1" w:after="100" w:afterAutospacing="1"/>
      <w:jc w:val="center"/>
    </w:pPr>
    <w:rPr>
      <w:rFonts w:eastAsia="Arial Unicode MS"/>
      <w:sz w:val="22"/>
      <w:szCs w:val="22"/>
    </w:rPr>
  </w:style>
  <w:style w:type="paragraph" w:customStyle="1" w:styleId="xl26">
    <w:name w:val="xl26"/>
    <w:basedOn w:val="Normal"/>
    <w:rsid w:val="008036CA"/>
    <w:pPr>
      <w:pBdr>
        <w:bottom w:val="single" w:sz="4" w:space="0" w:color="auto"/>
      </w:pBdr>
      <w:spacing w:before="100" w:beforeAutospacing="1" w:after="100" w:afterAutospacing="1"/>
      <w:jc w:val="center"/>
    </w:pPr>
    <w:rPr>
      <w:rFonts w:eastAsia="Arial Unicode MS"/>
      <w:sz w:val="22"/>
      <w:szCs w:val="22"/>
    </w:rPr>
  </w:style>
  <w:style w:type="paragraph" w:customStyle="1" w:styleId="xl27">
    <w:name w:val="xl27"/>
    <w:basedOn w:val="Normal"/>
    <w:rsid w:val="008036CA"/>
    <w:pPr>
      <w:spacing w:before="100" w:beforeAutospacing="1" w:after="100" w:afterAutospacing="1"/>
      <w:jc w:val="center"/>
    </w:pPr>
    <w:rPr>
      <w:rFonts w:eastAsia="Arial Unicode MS"/>
      <w:sz w:val="22"/>
      <w:szCs w:val="22"/>
    </w:rPr>
  </w:style>
  <w:style w:type="paragraph" w:customStyle="1" w:styleId="xl28">
    <w:name w:val="xl28"/>
    <w:basedOn w:val="Normal"/>
    <w:rsid w:val="008036CA"/>
    <w:pPr>
      <w:spacing w:before="100" w:beforeAutospacing="1" w:after="100" w:afterAutospacing="1"/>
      <w:ind w:firstLineChars="100" w:firstLine="100"/>
    </w:pPr>
    <w:rPr>
      <w:rFonts w:eastAsia="Arial Unicode MS"/>
      <w:sz w:val="22"/>
      <w:szCs w:val="22"/>
    </w:rPr>
  </w:style>
  <w:style w:type="paragraph" w:customStyle="1" w:styleId="xl29">
    <w:name w:val="xl29"/>
    <w:basedOn w:val="Normal"/>
    <w:rsid w:val="008036CA"/>
    <w:pPr>
      <w:spacing w:before="100" w:beforeAutospacing="1" w:after="100" w:afterAutospacing="1"/>
      <w:ind w:firstLineChars="200" w:firstLine="200"/>
    </w:pPr>
    <w:rPr>
      <w:rFonts w:eastAsia="Arial Unicode MS"/>
      <w:sz w:val="22"/>
      <w:szCs w:val="22"/>
    </w:rPr>
  </w:style>
  <w:style w:type="paragraph" w:customStyle="1" w:styleId="xl30">
    <w:name w:val="xl30"/>
    <w:basedOn w:val="Normal"/>
    <w:rsid w:val="008036CA"/>
    <w:pPr>
      <w:spacing w:before="100" w:beforeAutospacing="1" w:after="100" w:afterAutospacing="1"/>
      <w:jc w:val="right"/>
    </w:pPr>
    <w:rPr>
      <w:rFonts w:eastAsia="Arial Unicode MS"/>
      <w:sz w:val="22"/>
      <w:szCs w:val="22"/>
    </w:rPr>
  </w:style>
  <w:style w:type="paragraph" w:customStyle="1" w:styleId="xl31">
    <w:name w:val="xl31"/>
    <w:basedOn w:val="Normal"/>
    <w:rsid w:val="008036CA"/>
    <w:pPr>
      <w:pBdr>
        <w:bottom w:val="single" w:sz="4" w:space="0" w:color="auto"/>
      </w:pBdr>
      <w:spacing w:before="100" w:beforeAutospacing="1" w:after="100" w:afterAutospacing="1"/>
      <w:ind w:firstLineChars="100" w:firstLine="100"/>
    </w:pPr>
    <w:rPr>
      <w:rFonts w:eastAsia="Arial Unicode MS"/>
      <w:sz w:val="22"/>
      <w:szCs w:val="22"/>
    </w:rPr>
  </w:style>
  <w:style w:type="paragraph" w:customStyle="1" w:styleId="xl35">
    <w:name w:val="xl35"/>
    <w:basedOn w:val="Normal"/>
    <w:rsid w:val="008036CA"/>
    <w:pPr>
      <w:pBdr>
        <w:bottom w:val="single" w:sz="4" w:space="0" w:color="auto"/>
      </w:pBdr>
      <w:spacing w:before="100" w:beforeAutospacing="1" w:after="100" w:afterAutospacing="1"/>
      <w:jc w:val="center"/>
    </w:pPr>
    <w:rPr>
      <w:rFonts w:eastAsia="Arial Unicode MS"/>
      <w:b/>
      <w:bCs/>
      <w:sz w:val="22"/>
      <w:szCs w:val="22"/>
    </w:rPr>
  </w:style>
  <w:style w:type="paragraph" w:customStyle="1" w:styleId="xl38">
    <w:name w:val="xl38"/>
    <w:basedOn w:val="Normal"/>
    <w:rsid w:val="008036CA"/>
    <w:pPr>
      <w:pBdr>
        <w:bottom w:val="single" w:sz="4" w:space="0" w:color="auto"/>
      </w:pBdr>
      <w:spacing w:before="100" w:beforeAutospacing="1" w:after="100" w:afterAutospacing="1"/>
      <w:jc w:val="center"/>
    </w:pPr>
    <w:rPr>
      <w:rFonts w:eastAsia="Arial Unicode MS"/>
      <w:b/>
      <w:bCs/>
      <w:sz w:val="22"/>
      <w:szCs w:val="22"/>
    </w:rPr>
  </w:style>
  <w:style w:type="paragraph" w:customStyle="1" w:styleId="xl39">
    <w:name w:val="xl39"/>
    <w:basedOn w:val="Normal"/>
    <w:rsid w:val="008036CA"/>
    <w:pPr>
      <w:spacing w:before="100" w:beforeAutospacing="1" w:after="100" w:afterAutospacing="1"/>
      <w:jc w:val="center"/>
    </w:pPr>
    <w:rPr>
      <w:rFonts w:eastAsia="Arial Unicode MS"/>
      <w:b/>
      <w:bCs/>
      <w:sz w:val="22"/>
      <w:szCs w:val="22"/>
    </w:rPr>
  </w:style>
  <w:style w:type="paragraph" w:styleId="BodyTextIndent3">
    <w:name w:val="Body Text Indent 3"/>
    <w:basedOn w:val="Normal"/>
    <w:semiHidden/>
    <w:rsid w:val="008036CA"/>
    <w:pPr>
      <w:spacing w:after="120"/>
      <w:ind w:left="360" w:hanging="720"/>
    </w:pPr>
    <w:rPr>
      <w:rFonts w:ascii="Times New Roman" w:hAnsi="Times New Roman"/>
      <w:szCs w:val="16"/>
    </w:rPr>
  </w:style>
  <w:style w:type="paragraph" w:styleId="HTMLPreformatted">
    <w:name w:val="HTML Preformatted"/>
    <w:basedOn w:val="Normal"/>
    <w:semiHidden/>
    <w:rsid w:val="00803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customStyle="1" w:styleId="QUESTION">
    <w:name w:val="QUESTION"/>
    <w:basedOn w:val="Normal"/>
    <w:next w:val="Normal"/>
    <w:rsid w:val="008036CA"/>
    <w:pPr>
      <w:keepNext/>
      <w:keepLines/>
      <w:numPr>
        <w:numId w:val="13"/>
      </w:numPr>
      <w:spacing w:before="120" w:line="480" w:lineRule="auto"/>
      <w:ind w:left="720" w:hanging="720"/>
      <w:jc w:val="both"/>
    </w:pPr>
    <w:rPr>
      <w:rFonts w:ascii="Times New Roman Bold" w:hAnsi="Times New Roman Bold"/>
      <w:b/>
    </w:rPr>
  </w:style>
  <w:style w:type="paragraph" w:customStyle="1" w:styleId="TableCaption">
    <w:name w:val="Table Caption"/>
    <w:basedOn w:val="Normal"/>
    <w:next w:val="Table"/>
    <w:rsid w:val="008036CA"/>
    <w:pPr>
      <w:keepNext/>
      <w:keepLines/>
      <w:spacing w:before="440" w:after="440" w:line="240" w:lineRule="atLeast"/>
      <w:jc w:val="center"/>
    </w:pPr>
    <w:rPr>
      <w:rFonts w:ascii="Arial" w:hAnsi="Arial"/>
      <w:b/>
      <w:caps/>
      <w:sz w:val="20"/>
    </w:rPr>
  </w:style>
  <w:style w:type="paragraph" w:customStyle="1" w:styleId="Table">
    <w:name w:val="Table"/>
    <w:basedOn w:val="Normal"/>
    <w:rsid w:val="008036CA"/>
    <w:pPr>
      <w:keepNext/>
      <w:keepLines/>
    </w:pPr>
    <w:rPr>
      <w:rFonts w:ascii="Arial" w:hAnsi="Arial"/>
      <w:sz w:val="20"/>
    </w:rPr>
  </w:style>
  <w:style w:type="paragraph" w:customStyle="1" w:styleId="Table-FirstRow">
    <w:name w:val="Table - First Row"/>
    <w:basedOn w:val="Table"/>
    <w:rsid w:val="008036CA"/>
    <w:pPr>
      <w:spacing w:before="120"/>
    </w:pPr>
  </w:style>
  <w:style w:type="paragraph" w:customStyle="1" w:styleId="Table-LastRow">
    <w:name w:val="Table - Last Row"/>
    <w:basedOn w:val="Table"/>
    <w:rsid w:val="008036CA"/>
    <w:pPr>
      <w:keepNext w:val="0"/>
      <w:spacing w:before="120"/>
    </w:pPr>
  </w:style>
  <w:style w:type="paragraph" w:customStyle="1" w:styleId="TableFootnote">
    <w:name w:val="Table Footnote"/>
    <w:basedOn w:val="FootnoteText"/>
    <w:rsid w:val="008036CA"/>
    <w:pPr>
      <w:keepNext w:val="0"/>
      <w:suppressLineNumbers/>
      <w:spacing w:after="60"/>
      <w:ind w:left="432" w:hanging="432"/>
    </w:pPr>
    <w:rPr>
      <w:rFonts w:ascii="Arial" w:hAnsi="Arial"/>
      <w:color w:val="000000"/>
    </w:rPr>
  </w:style>
  <w:style w:type="paragraph" w:customStyle="1" w:styleId="Body2-noindent">
    <w:name w:val="Body 2 - no indent"/>
    <w:basedOn w:val="Normal"/>
    <w:rsid w:val="008036CA"/>
    <w:pPr>
      <w:spacing w:line="400" w:lineRule="exact"/>
      <w:ind w:left="864"/>
    </w:pPr>
    <w:rPr>
      <w:rFonts w:ascii="Arial" w:hAnsi="Arial"/>
      <w:color w:val="000000"/>
    </w:rPr>
  </w:style>
  <w:style w:type="paragraph" w:customStyle="1" w:styleId="Style54">
    <w:name w:val="Style 54"/>
    <w:basedOn w:val="Normal"/>
    <w:rsid w:val="008036CA"/>
    <w:pPr>
      <w:spacing w:before="240" w:after="240"/>
      <w:ind w:left="1440" w:right="720"/>
      <w:jc w:val="both"/>
    </w:pPr>
    <w:rPr>
      <w:rFonts w:ascii="Times New Roman" w:hAnsi="Times New Roman"/>
      <w:sz w:val="26"/>
    </w:rPr>
  </w:style>
  <w:style w:type="paragraph" w:customStyle="1" w:styleId="Style1">
    <w:name w:val="Style 1"/>
    <w:basedOn w:val="Normal"/>
    <w:rsid w:val="008036CA"/>
    <w:pPr>
      <w:spacing w:line="480" w:lineRule="exact"/>
      <w:ind w:left="720" w:hanging="720"/>
      <w:jc w:val="both"/>
    </w:pPr>
    <w:rPr>
      <w:rFonts w:ascii="Times New Roman" w:hAnsi="Times New Roman"/>
      <w:kern w:val="16"/>
      <w:sz w:val="26"/>
    </w:rPr>
  </w:style>
  <w:style w:type="paragraph" w:customStyle="1" w:styleId="Avista">
    <w:name w:val="Avista"/>
    <w:basedOn w:val="Normal"/>
    <w:rsid w:val="008036CA"/>
    <w:pPr>
      <w:spacing w:line="480" w:lineRule="auto"/>
      <w:ind w:firstLine="720"/>
    </w:pPr>
    <w:rPr>
      <w:rFonts w:ascii="Times New Roman" w:hAnsi="Times New Roman"/>
    </w:rPr>
  </w:style>
  <w:style w:type="paragraph" w:customStyle="1" w:styleId="Quotation2">
    <w:name w:val="Quotation 2"/>
    <w:basedOn w:val="Normal"/>
    <w:rsid w:val="008036CA"/>
    <w:pPr>
      <w:spacing w:before="120" w:after="120"/>
      <w:ind w:left="1296" w:right="432"/>
    </w:pPr>
    <w:rPr>
      <w:rFonts w:ascii="Arial" w:hAnsi="Arial"/>
    </w:rPr>
  </w:style>
  <w:style w:type="paragraph" w:customStyle="1" w:styleId="FootnoteText2">
    <w:name w:val="Footnote Text2"/>
    <w:basedOn w:val="Normal"/>
    <w:semiHidden/>
    <w:rsid w:val="008036CA"/>
    <w:pPr>
      <w:spacing w:after="60"/>
      <w:ind w:left="360" w:hanging="360"/>
      <w:jc w:val="both"/>
    </w:pPr>
    <w:rPr>
      <w:rFonts w:ascii="Times New Roman" w:hAnsi="Times New Roman"/>
      <w:kern w:val="16"/>
      <w:sz w:val="20"/>
      <w:lang w:bidi="he-IL"/>
    </w:rPr>
  </w:style>
  <w:style w:type="paragraph" w:styleId="BodyTextIndent2">
    <w:name w:val="Body Text Indent 2"/>
    <w:basedOn w:val="Normal"/>
    <w:semiHidden/>
    <w:rsid w:val="008036CA"/>
    <w:pPr>
      <w:suppressLineNumbers/>
      <w:ind w:left="2448" w:hanging="2448"/>
    </w:pPr>
  </w:style>
  <w:style w:type="paragraph" w:styleId="BodyText">
    <w:name w:val="Body Text"/>
    <w:basedOn w:val="Normal"/>
    <w:semiHidden/>
    <w:rsid w:val="008036CA"/>
    <w:pPr>
      <w:spacing w:after="120"/>
    </w:pPr>
  </w:style>
  <w:style w:type="paragraph" w:customStyle="1" w:styleId="Answer20">
    <w:name w:val="Answer 2"/>
    <w:basedOn w:val="Answer"/>
    <w:qFormat/>
    <w:rsid w:val="008036C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val="0"/>
      <w:autoSpaceDN w:val="0"/>
      <w:adjustRightInd w:val="0"/>
      <w:ind w:left="720"/>
    </w:pPr>
    <w:rPr>
      <w:kern w:val="0"/>
      <w:szCs w:val="24"/>
    </w:rPr>
  </w:style>
  <w:style w:type="paragraph" w:styleId="BlockText">
    <w:name w:val="Block Text"/>
    <w:basedOn w:val="Normal"/>
    <w:semiHidden/>
    <w:rsid w:val="008036CA"/>
    <w:pPr>
      <w:spacing w:after="240"/>
      <w:ind w:left="1440" w:right="1440"/>
      <w:jc w:val="both"/>
    </w:pPr>
    <w:rPr>
      <w:rFonts w:ascii="Times New Roman" w:hAnsi="Times New Roman"/>
      <w:szCs w:val="24"/>
    </w:rPr>
  </w:style>
  <w:style w:type="paragraph" w:customStyle="1" w:styleId="AnswerCont">
    <w:name w:val="Answer Cont"/>
    <w:basedOn w:val="Normal"/>
    <w:rsid w:val="008036CA"/>
    <w:pPr>
      <w:spacing w:before="240" w:line="480" w:lineRule="exact"/>
      <w:ind w:left="720"/>
      <w:jc w:val="both"/>
    </w:pPr>
    <w:rPr>
      <w:rFonts w:ascii="Times New Roman" w:hAnsi="Times New Roman"/>
      <w:sz w:val="26"/>
    </w:rPr>
  </w:style>
  <w:style w:type="paragraph" w:customStyle="1" w:styleId="TestimonyNumbering">
    <w:name w:val="Testimony Numbering"/>
    <w:basedOn w:val="Normal"/>
    <w:next w:val="Question0"/>
    <w:rsid w:val="008036CA"/>
    <w:pPr>
      <w:numPr>
        <w:numId w:val="24"/>
      </w:numPr>
      <w:spacing w:before="240" w:after="240" w:line="240" w:lineRule="exact"/>
      <w:jc w:val="both"/>
      <w:outlineLvl w:val="0"/>
    </w:pPr>
    <w:rPr>
      <w:rFonts w:ascii="Times New Roman" w:hAnsi="Times New Roman"/>
      <w:caps/>
      <w:sz w:val="26"/>
      <w:szCs w:val="26"/>
      <w:u w:val="single"/>
    </w:rPr>
  </w:style>
  <w:style w:type="paragraph" w:customStyle="1" w:styleId="TestimonyNumbering2">
    <w:name w:val="Testimony Numbering 2"/>
    <w:basedOn w:val="Normal"/>
    <w:next w:val="Normal"/>
    <w:rsid w:val="008036CA"/>
    <w:pPr>
      <w:numPr>
        <w:ilvl w:val="1"/>
        <w:numId w:val="24"/>
      </w:numPr>
      <w:spacing w:after="240" w:line="240" w:lineRule="exact"/>
      <w:outlineLvl w:val="1"/>
    </w:pPr>
    <w:rPr>
      <w:rFonts w:ascii="Times New Roman" w:hAnsi="Times New Roman"/>
      <w:i/>
      <w:sz w:val="26"/>
      <w:szCs w:val="26"/>
    </w:rPr>
  </w:style>
  <w:style w:type="paragraph" w:customStyle="1" w:styleId="TestimonyNumbering3">
    <w:name w:val="Testimony Numbering 3"/>
    <w:basedOn w:val="Normal"/>
    <w:next w:val="Normal"/>
    <w:rsid w:val="008036CA"/>
    <w:pPr>
      <w:numPr>
        <w:ilvl w:val="2"/>
        <w:numId w:val="24"/>
      </w:numPr>
      <w:spacing w:after="240" w:line="240" w:lineRule="exact"/>
      <w:jc w:val="both"/>
      <w:outlineLvl w:val="2"/>
    </w:pPr>
    <w:rPr>
      <w:rFonts w:ascii="Times New Roman Bold" w:hAnsi="Times New Roman Bold"/>
      <w:b/>
      <w:sz w:val="26"/>
      <w:szCs w:val="26"/>
    </w:rPr>
  </w:style>
  <w:style w:type="paragraph" w:styleId="BalloonText">
    <w:name w:val="Balloon Text"/>
    <w:basedOn w:val="Normal"/>
    <w:semiHidden/>
    <w:unhideWhenUsed/>
    <w:rsid w:val="008036CA"/>
    <w:rPr>
      <w:rFonts w:ascii="Tahoma" w:hAnsi="Tahoma" w:cs="Tahoma"/>
      <w:sz w:val="16"/>
      <w:szCs w:val="16"/>
    </w:rPr>
  </w:style>
  <w:style w:type="character" w:customStyle="1" w:styleId="BalloonTextChar">
    <w:name w:val="Balloon Text Char"/>
    <w:basedOn w:val="DefaultParagraphFont"/>
    <w:semiHidden/>
    <w:rsid w:val="008036CA"/>
    <w:rPr>
      <w:rFonts w:ascii="Tahoma" w:hAnsi="Tahoma" w:cs="Tahoma"/>
      <w:sz w:val="16"/>
      <w:szCs w:val="16"/>
    </w:rPr>
  </w:style>
  <w:style w:type="paragraph" w:customStyle="1" w:styleId="Quotation">
    <w:name w:val="Quotation"/>
    <w:basedOn w:val="Normal"/>
    <w:rsid w:val="008036CA"/>
    <w:pPr>
      <w:spacing w:before="120" w:after="240"/>
      <w:ind w:left="1296" w:right="720"/>
    </w:pPr>
    <w:rPr>
      <w:rFonts w:ascii="Times New Roman" w:hAnsi="Times New Roman"/>
    </w:rPr>
  </w:style>
  <w:style w:type="paragraph" w:customStyle="1" w:styleId="ANum">
    <w:name w:val="ANum"/>
    <w:basedOn w:val="Normal"/>
    <w:rsid w:val="008036CA"/>
    <w:pPr>
      <w:tabs>
        <w:tab w:val="left" w:pos="1440"/>
        <w:tab w:val="left" w:pos="2160"/>
        <w:tab w:val="left" w:pos="2880"/>
      </w:tabs>
      <w:spacing w:line="400" w:lineRule="exact"/>
      <w:ind w:left="864" w:hanging="864"/>
    </w:pPr>
    <w:rPr>
      <w:rFonts w:ascii="Arial" w:hAnsi="Arial"/>
    </w:rPr>
  </w:style>
  <w:style w:type="paragraph" w:customStyle="1" w:styleId="QA-text">
    <w:name w:val="QA-text"/>
    <w:basedOn w:val="Normal"/>
    <w:rsid w:val="008036CA"/>
    <w:pPr>
      <w:overflowPunct w:val="0"/>
      <w:autoSpaceDE w:val="0"/>
      <w:autoSpaceDN w:val="0"/>
      <w:adjustRightInd w:val="0"/>
      <w:spacing w:line="400" w:lineRule="exact"/>
      <w:ind w:left="864" w:firstLine="432"/>
      <w:textAlignment w:val="baseline"/>
    </w:pPr>
    <w:rPr>
      <w:rFonts w:ascii="Arial" w:hAnsi="Arial"/>
    </w:rPr>
  </w:style>
  <w:style w:type="paragraph" w:customStyle="1" w:styleId="QNum">
    <w:name w:val="QNum"/>
    <w:basedOn w:val="Normal"/>
    <w:rsid w:val="008036CA"/>
    <w:pPr>
      <w:tabs>
        <w:tab w:val="left" w:pos="1440"/>
        <w:tab w:val="left" w:pos="2160"/>
        <w:tab w:val="left" w:pos="2880"/>
      </w:tabs>
      <w:spacing w:line="400" w:lineRule="exact"/>
      <w:ind w:left="864" w:hanging="864"/>
    </w:pPr>
    <w:rPr>
      <w:rFonts w:ascii="Arial" w:hAnsi="Arial"/>
    </w:rPr>
  </w:style>
  <w:style w:type="paragraph" w:customStyle="1" w:styleId="QA-Text0">
    <w:name w:val="QA-Text"/>
    <w:basedOn w:val="Normal"/>
    <w:rsid w:val="008036CA"/>
    <w:pPr>
      <w:spacing w:line="400" w:lineRule="exact"/>
      <w:ind w:left="864" w:firstLine="432"/>
    </w:pPr>
    <w:rPr>
      <w:rFonts w:ascii="Arial" w:hAnsi="Arial"/>
    </w:rPr>
  </w:style>
  <w:style w:type="character" w:customStyle="1" w:styleId="FootnoteTextChar">
    <w:name w:val="Footnote Text Char"/>
    <w:aliases w:val="Footnote Text Char1 Char,Footnote Text Char Char1 Char1,Footnote Text Char Char Char,ft Char Char,Footnote Text Char2 Char Char,Footnote Text Char Char1 Char Char,Footnote Text Char1 Char Char Char Char,ft Char Char Char Char Char"/>
    <w:basedOn w:val="DefaultParagraphFont"/>
    <w:link w:val="FootnoteText"/>
    <w:uiPriority w:val="99"/>
    <w:semiHidden/>
    <w:rsid w:val="00B26C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CDC"/>
    <w:rPr>
      <w:rFonts w:ascii="Palatino Linotype" w:hAnsi="Palatino Linotype"/>
      <w:sz w:val="24"/>
    </w:rPr>
  </w:style>
  <w:style w:type="paragraph" w:styleId="Heading1">
    <w:name w:val="heading 1"/>
    <w:basedOn w:val="Normal"/>
    <w:next w:val="Normal"/>
    <w:qFormat/>
    <w:rsid w:val="00B26CDC"/>
    <w:pPr>
      <w:keepNext/>
      <w:numPr>
        <w:numId w:val="9"/>
      </w:numPr>
      <w:tabs>
        <w:tab w:val="center" w:pos="5040"/>
        <w:tab w:val="center" w:pos="6480"/>
        <w:tab w:val="center" w:pos="7920"/>
      </w:tabs>
      <w:spacing w:before="240" w:after="120"/>
      <w:jc w:val="center"/>
      <w:outlineLvl w:val="0"/>
    </w:pPr>
    <w:rPr>
      <w:rFonts w:ascii="Times New Roman" w:hAnsi="Times New Roman"/>
      <w:b/>
    </w:rPr>
  </w:style>
  <w:style w:type="paragraph" w:styleId="Heading2">
    <w:name w:val="heading 2"/>
    <w:basedOn w:val="Normal"/>
    <w:next w:val="Normal"/>
    <w:qFormat/>
    <w:rsid w:val="00B26CDC"/>
    <w:pPr>
      <w:keepNext/>
      <w:numPr>
        <w:numId w:val="8"/>
      </w:numPr>
      <w:tabs>
        <w:tab w:val="left" w:pos="360"/>
      </w:tabs>
      <w:spacing w:before="120" w:after="120"/>
      <w:jc w:val="center"/>
      <w:outlineLvl w:val="1"/>
    </w:pPr>
    <w:rPr>
      <w:rFonts w:ascii="Times New Roman" w:hAnsi="Times New Roman"/>
      <w:b/>
      <w:u w:val="single"/>
    </w:rPr>
  </w:style>
  <w:style w:type="paragraph" w:styleId="Heading3">
    <w:name w:val="heading 3"/>
    <w:basedOn w:val="Normal"/>
    <w:next w:val="Normal"/>
    <w:qFormat/>
    <w:pPr>
      <w:keepNext/>
      <w:tabs>
        <w:tab w:val="left" w:pos="1260"/>
      </w:tabs>
      <w:spacing w:line="480" w:lineRule="auto"/>
      <w:ind w:firstLine="720"/>
      <w:jc w:val="center"/>
      <w:outlineLvl w:val="2"/>
    </w:pPr>
    <w:rPr>
      <w:b/>
    </w:rPr>
  </w:style>
  <w:style w:type="paragraph" w:styleId="Heading4">
    <w:name w:val="heading 4"/>
    <w:basedOn w:val="Normal"/>
    <w:next w:val="Normal"/>
    <w:qFormat/>
    <w:pPr>
      <w:keepNext/>
      <w:tabs>
        <w:tab w:val="left" w:pos="1260"/>
      </w:tabs>
      <w:spacing w:line="480" w:lineRule="auto"/>
      <w:ind w:left="540" w:hanging="540"/>
      <w:jc w:val="center"/>
      <w:outlineLvl w:val="3"/>
    </w:pPr>
    <w:rPr>
      <w:b/>
    </w:rPr>
  </w:style>
  <w:style w:type="paragraph" w:styleId="Heading5">
    <w:name w:val="heading 5"/>
    <w:basedOn w:val="Normal"/>
    <w:next w:val="Normal"/>
    <w:qFormat/>
    <w:pPr>
      <w:keepNext/>
      <w:spacing w:line="480" w:lineRule="auto"/>
      <w:jc w:val="center"/>
      <w:outlineLvl w:val="4"/>
    </w:pPr>
    <w:rPr>
      <w:b/>
    </w:rPr>
  </w:style>
  <w:style w:type="paragraph" w:styleId="Heading6">
    <w:name w:val="heading 6"/>
    <w:basedOn w:val="Normal"/>
    <w:next w:val="Normal"/>
    <w:qFormat/>
    <w:pPr>
      <w:keepNext/>
      <w:tabs>
        <w:tab w:val="left" w:pos="1260"/>
      </w:tabs>
      <w:spacing w:line="480" w:lineRule="auto"/>
      <w:jc w:val="center"/>
      <w:outlineLvl w:val="5"/>
    </w:pPr>
    <w:rPr>
      <w:b/>
      <w:sz w:val="20"/>
    </w:rPr>
  </w:style>
  <w:style w:type="paragraph" w:styleId="Heading7">
    <w:name w:val="heading 7"/>
    <w:basedOn w:val="Normal"/>
    <w:next w:val="Normal"/>
    <w:qFormat/>
    <w:pPr>
      <w:keepNext/>
      <w:tabs>
        <w:tab w:val="left" w:pos="1260"/>
      </w:tabs>
      <w:jc w:val="right"/>
      <w:outlineLvl w:val="6"/>
    </w:pPr>
    <w:rPr>
      <w:sz w:val="20"/>
    </w:rPr>
  </w:style>
  <w:style w:type="paragraph" w:styleId="Heading8">
    <w:name w:val="heading 8"/>
    <w:basedOn w:val="Normal"/>
    <w:next w:val="Normal"/>
    <w:qFormat/>
    <w:pPr>
      <w:keepNext/>
      <w:tabs>
        <w:tab w:val="left" w:pos="1260"/>
      </w:tabs>
      <w:spacing w:line="480" w:lineRule="auto"/>
      <w:jc w:val="both"/>
      <w:outlineLvl w:val="7"/>
    </w:pPr>
    <w:rPr>
      <w:b/>
      <w:u w:val="single"/>
      <w:lang w:val="fr-FR"/>
    </w:rPr>
  </w:style>
  <w:style w:type="paragraph" w:styleId="Heading9">
    <w:name w:val="heading 9"/>
    <w:basedOn w:val="Normal"/>
    <w:next w:val="Normal"/>
    <w:qFormat/>
    <w:pPr>
      <w:keepNext/>
      <w:tabs>
        <w:tab w:val="left" w:pos="1260"/>
      </w:tabs>
      <w:spacing w:line="480" w:lineRule="auto"/>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rPr>
      <w:rFonts w:ascii="Times New Roman" w:hAnsi="Times New Roman"/>
    </w:rPr>
  </w:style>
  <w:style w:type="character" w:styleId="LineNumber">
    <w:name w:val="line number"/>
    <w:basedOn w:val="DefaultParagraphFont"/>
    <w:semiHidden/>
    <w:rsid w:val="00B26CDC"/>
    <w:rPr>
      <w:rFonts w:ascii="Times New Roman" w:hAnsi="Times New Roman"/>
      <w:dstrike w:val="0"/>
      <w:color w:val="auto"/>
      <w:sz w:val="24"/>
      <w:vertAlign w:val="baseline"/>
    </w:rPr>
  </w:style>
  <w:style w:type="paragraph" w:styleId="FootnoteText">
    <w:name w:val="footnote text"/>
    <w:aliases w:val="Footnote Text Char1,Footnote Text Char Char1,Footnote Text Char Char,ft Char,Footnote Text Char2 Char,Footnote Text Char Char1 Char,Footnote Text Char1 Char Char Char,Footnote Text Char Char Char Char Char,ft Char Char Char Char,Style 25,f"/>
    <w:basedOn w:val="Normal"/>
    <w:link w:val="FootnoteTextChar"/>
    <w:uiPriority w:val="99"/>
    <w:semiHidden/>
    <w:rsid w:val="00B26CDC"/>
    <w:pPr>
      <w:keepNext/>
      <w:keepLines/>
    </w:pPr>
    <w:rPr>
      <w:rFonts w:ascii="Times New Roman" w:hAnsi="Times New Roman"/>
      <w:sz w:val="20"/>
    </w:rPr>
  </w:style>
  <w:style w:type="character" w:styleId="FootnoteReference">
    <w:name w:val="footnote reference"/>
    <w:aliases w:val="Style 24,o,fr,Style 17,Style 11,Style 28,Style 8,Style 13,Style 12,Style 15,Style 9,o1,fr1,o2,fr2,o3,fr3,Style 18,(NECG) Footnote Reference,Style 20,Style 7,Style 19,Style 16,Style 30,Sty,o2..."/>
    <w:basedOn w:val="DefaultParagraphFont"/>
    <w:uiPriority w:val="99"/>
    <w:semiHidden/>
    <w:rsid w:val="00B26CDC"/>
    <w:rPr>
      <w:rFonts w:ascii="Times New Roman" w:hAnsi="Times New Roman"/>
      <w:dstrike w:val="0"/>
      <w:color w:val="auto"/>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TestBody">
    <w:name w:val="Test Body"/>
    <w:pPr>
      <w:spacing w:line="480" w:lineRule="atLeast"/>
      <w:ind w:left="720" w:firstLine="1440"/>
      <w:jc w:val="both"/>
    </w:pPr>
    <w:rPr>
      <w:rFonts w:ascii="Palatino" w:hAnsi="Palatino"/>
      <w:sz w:val="24"/>
    </w:rPr>
  </w:style>
  <w:style w:type="paragraph" w:customStyle="1" w:styleId="AnswerBullets">
    <w:name w:val="Answer_Bullets"/>
    <w:basedOn w:val="Normal"/>
    <w:pPr>
      <w:numPr>
        <w:numId w:val="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spacing w:after="120" w:line="360" w:lineRule="auto"/>
      <w:ind w:left="1080" w:hanging="1080"/>
    </w:pPr>
    <w:rPr>
      <w:rFonts w:ascii="Arial" w:hAnsi="Arial"/>
      <w:kern w:val="16"/>
    </w:rPr>
  </w:style>
  <w:style w:type="paragraph" w:customStyle="1" w:styleId="Quote">
    <w:name w:val="Quote"/>
    <w:aliases w:val="Quote1,q"/>
    <w:basedOn w:val="Normal"/>
    <w:rsid w:val="00B14977"/>
    <w:pPr>
      <w:spacing w:after="240"/>
      <w:ind w:left="720" w:right="720"/>
      <w:jc w:val="both"/>
    </w:pPr>
    <w:rPr>
      <w:rFonts w:ascii="Times New Roman" w:hAnsi="Times New Roman"/>
      <w:kern w:val="16"/>
    </w:rPr>
  </w:style>
  <w:style w:type="paragraph" w:customStyle="1" w:styleId="TestimonyText">
    <w:name w:val="Testimony Text"/>
    <w:basedOn w:val="Normal"/>
    <w:next w:val="Answer"/>
    <w:pPr>
      <w:tabs>
        <w:tab w:val="left" w:pos="720"/>
        <w:tab w:val="left" w:pos="1440"/>
        <w:tab w:val="left" w:pos="2160"/>
      </w:tabs>
      <w:spacing w:after="120" w:line="360" w:lineRule="auto"/>
      <w:ind w:left="720" w:hanging="720"/>
    </w:pPr>
    <w:rPr>
      <w:kern w:val="16"/>
    </w:rPr>
  </w:style>
  <w:style w:type="paragraph" w:customStyle="1" w:styleId="Answer">
    <w:name w:val="Answer"/>
    <w:basedOn w:val="Normal"/>
    <w:qFormat/>
    <w:rsid w:val="00B14977"/>
    <w:pPr>
      <w:tabs>
        <w:tab w:val="left" w:pos="720"/>
        <w:tab w:val="left" w:pos="1440"/>
      </w:tabs>
      <w:suppressAutoHyphens/>
      <w:spacing w:line="480" w:lineRule="auto"/>
      <w:ind w:firstLine="720"/>
      <w:jc w:val="both"/>
      <w:pPrChange w:id="2" w:author="Adrien McKenzie" w:date="2014-01-30T10:53:00Z">
        <w:pPr>
          <w:tabs>
            <w:tab w:val="left" w:pos="720"/>
            <w:tab w:val="left" w:pos="1440"/>
          </w:tabs>
          <w:suppressAutoHyphens/>
          <w:spacing w:line="480" w:lineRule="auto"/>
          <w:ind w:firstLine="720"/>
        </w:pPr>
      </w:pPrChange>
    </w:pPr>
    <w:rPr>
      <w:rFonts w:ascii="Times New Roman" w:hAnsi="Times New Roman"/>
      <w:kern w:val="16"/>
      <w:rPrChange w:id="2" w:author="Adrien McKenzie" w:date="2014-01-30T10:53:00Z">
        <w:rPr>
          <w:rFonts w:ascii="Palatino Linotype" w:hAnsi="Palatino Linotype"/>
          <w:kern w:val="16"/>
          <w:sz w:val="24"/>
          <w:lang w:val="en-US" w:eastAsia="en-US" w:bidi="ar-SA"/>
        </w:rPr>
      </w:rPrChange>
    </w:rPr>
  </w:style>
  <w:style w:type="paragraph" w:styleId="TOC1">
    <w:name w:val="toc 1"/>
    <w:basedOn w:val="Normal"/>
    <w:next w:val="Normal"/>
    <w:semiHidden/>
    <w:pPr>
      <w:tabs>
        <w:tab w:val="left" w:pos="480"/>
        <w:tab w:val="right" w:leader="dot" w:pos="8990"/>
      </w:tabs>
      <w:spacing w:before="120" w:after="120"/>
    </w:pPr>
    <w:rPr>
      <w:caps/>
      <w:noProof/>
    </w:rPr>
  </w:style>
  <w:style w:type="paragraph" w:styleId="TOC2">
    <w:name w:val="toc 2"/>
    <w:basedOn w:val="Normal"/>
    <w:next w:val="Normal"/>
    <w:semiHidden/>
    <w:pPr>
      <w:ind w:left="240"/>
    </w:pPr>
  </w:style>
  <w:style w:type="paragraph" w:styleId="TOC3">
    <w:name w:val="toc 3"/>
    <w:basedOn w:val="Normal"/>
    <w:next w:val="Normal"/>
    <w:autoRedefine/>
    <w:semiHidden/>
    <w:pPr>
      <w:ind w:left="480"/>
    </w:pPr>
    <w:rPr>
      <w:i/>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paragraph" w:styleId="PlainText">
    <w:name w:val="Plain Text"/>
    <w:basedOn w:val="Normal"/>
    <w:semiHidden/>
    <w:pPr>
      <w:spacing w:after="120"/>
    </w:pPr>
    <w:rPr>
      <w:rFonts w:ascii="Courier New" w:hAnsi="Courier New"/>
      <w:kern w:val="16"/>
      <w:sz w:val="20"/>
    </w:rPr>
  </w:style>
  <w:style w:type="paragraph" w:styleId="Title">
    <w:name w:val="Title"/>
    <w:basedOn w:val="Normal"/>
    <w:qFormat/>
    <w:pPr>
      <w:suppressLineNumbers/>
      <w:tabs>
        <w:tab w:val="left" w:pos="5040"/>
        <w:tab w:val="left" w:pos="5760"/>
      </w:tabs>
      <w:spacing w:after="120"/>
      <w:jc w:val="center"/>
    </w:pPr>
    <w:rPr>
      <w:b/>
      <w:kern w:val="16"/>
    </w:rPr>
  </w:style>
  <w:style w:type="paragraph" w:customStyle="1" w:styleId="Question0">
    <w:name w:val="Question"/>
    <w:basedOn w:val="Normal"/>
    <w:next w:val="Answer"/>
    <w:rsid w:val="00B14977"/>
    <w:pPr>
      <w:keepNext/>
      <w:tabs>
        <w:tab w:val="left" w:pos="1440"/>
      </w:tabs>
      <w:suppressAutoHyphens/>
      <w:spacing w:before="120" w:line="360" w:lineRule="auto"/>
      <w:ind w:firstLine="720"/>
      <w:jc w:val="both"/>
      <w:pPrChange w:id="3" w:author="Adrien McKenzie" w:date="2014-01-30T10:54:00Z">
        <w:pPr>
          <w:keepNext/>
          <w:tabs>
            <w:tab w:val="left" w:pos="1440"/>
          </w:tabs>
          <w:suppressAutoHyphens/>
          <w:spacing w:before="120" w:line="360" w:lineRule="auto"/>
          <w:ind w:firstLine="720"/>
        </w:pPr>
      </w:pPrChange>
    </w:pPr>
    <w:rPr>
      <w:rFonts w:ascii="Times New Roman" w:hAnsi="Times New Roman"/>
      <w:b/>
      <w:kern w:val="16"/>
      <w:rPrChange w:id="3" w:author="Adrien McKenzie" w:date="2014-01-30T10:54:00Z">
        <w:rPr>
          <w:b/>
          <w:kern w:val="16"/>
          <w:sz w:val="24"/>
          <w:lang w:val="en-US" w:eastAsia="en-US" w:bidi="ar-SA"/>
        </w:rPr>
      </w:rPrChange>
    </w:rPr>
  </w:style>
  <w:style w:type="paragraph" w:customStyle="1" w:styleId="SSpIndented">
    <w:name w:val="SSp Indented"/>
    <w:basedOn w:val="Normal"/>
    <w:next w:val="Normal"/>
    <w:pPr>
      <w:spacing w:after="240"/>
      <w:ind w:left="1440" w:right="720"/>
    </w:pPr>
    <w:rPr>
      <w:kern w:val="16"/>
    </w:rPr>
  </w:style>
  <w:style w:type="paragraph" w:customStyle="1" w:styleId="SingleSpaced">
    <w:name w:val="Single Spaced"/>
    <w:basedOn w:val="Normal"/>
    <w:pPr>
      <w:ind w:left="720"/>
    </w:pPr>
    <w:rPr>
      <w:kern w:val="16"/>
    </w:rPr>
  </w:style>
  <w:style w:type="paragraph" w:styleId="ListBullet">
    <w:name w:val="List Bullet"/>
    <w:basedOn w:val="Normal"/>
    <w:autoRedefine/>
    <w:semiHidden/>
    <w:pPr>
      <w:numPr>
        <w:numId w:val="2"/>
      </w:numPr>
      <w:spacing w:after="120" w:line="360" w:lineRule="auto"/>
    </w:pPr>
    <w:rPr>
      <w:kern w:val="16"/>
    </w:rPr>
  </w:style>
  <w:style w:type="paragraph" w:customStyle="1" w:styleId="a">
    <w:name w:val="_"/>
    <w:basedOn w:val="Normal"/>
    <w:pPr>
      <w:widowControl w:val="0"/>
      <w:ind w:left="720" w:hanging="720"/>
    </w:pPr>
    <w:rPr>
      <w:rFonts w:ascii="Arial" w:hAnsi="Arial"/>
      <w:snapToGrid w:val="0"/>
    </w:rPr>
  </w:style>
  <w:style w:type="paragraph" w:customStyle="1" w:styleId="Answer2">
    <w:name w:val="Answer2"/>
    <w:basedOn w:val="Answer"/>
  </w:style>
  <w:style w:type="paragraph" w:customStyle="1" w:styleId="BulletPoint">
    <w:name w:val="Bullet Point"/>
    <w:basedOn w:val="Normal"/>
    <w:pPr>
      <w:widowControl w:val="0"/>
      <w:numPr>
        <w:numId w:val="5"/>
      </w:numPr>
      <w:spacing w:line="480" w:lineRule="auto"/>
      <w:ind w:right="360"/>
    </w:pPr>
    <w:rPr>
      <w:i/>
      <w:snapToGrid w:val="0"/>
    </w:rPr>
  </w:style>
  <w:style w:type="character" w:customStyle="1" w:styleId="zzmpTrailerItem">
    <w:name w:val="zzmpTrailerItem"/>
    <w:basedOn w:val="DefaultParagraphFont"/>
    <w:rPr>
      <w:sz w:val="16"/>
      <w:effect w:val="antsRed"/>
    </w:rPr>
  </w:style>
  <w:style w:type="paragraph" w:customStyle="1" w:styleId="Answer1">
    <w:name w:val="Answer1"/>
    <w:basedOn w:val="Answer"/>
    <w:autoRedefine/>
    <w:rPr>
      <w:rFonts w:ascii="Arial" w:hAnsi="Arial"/>
    </w:rPr>
  </w:style>
  <w:style w:type="paragraph" w:customStyle="1" w:styleId="IndentBulletPoint">
    <w:name w:val="Indent Bullet Point"/>
    <w:basedOn w:val="Normal"/>
    <w:pPr>
      <w:numPr>
        <w:numId w:val="7"/>
      </w:numPr>
      <w:spacing w:before="120"/>
      <w:ind w:left="1800" w:right="720"/>
      <w:jc w:val="both"/>
    </w:pPr>
  </w:style>
  <w:style w:type="character" w:styleId="Hyperlink">
    <w:name w:val="Hyperlink"/>
    <w:basedOn w:val="DefaultParagraphFont"/>
    <w:semiHidden/>
    <w:rPr>
      <w:color w:val="0000FF"/>
      <w:u w:val="single"/>
    </w:rPr>
  </w:style>
  <w:style w:type="paragraph" w:customStyle="1" w:styleId="DocID">
    <w:name w:val="DocID"/>
    <w:basedOn w:val="Normal"/>
    <w:next w:val="Normal"/>
    <w:pPr>
      <w:keepLines/>
      <w:suppressLineNumbers/>
    </w:pPr>
    <w:rPr>
      <w:kern w:val="16"/>
      <w:sz w:val="12"/>
    </w:rPr>
  </w:style>
  <w:style w:type="paragraph" w:styleId="EndnoteText">
    <w:name w:val="endnote text"/>
    <w:basedOn w:val="Normal"/>
    <w:semiHidden/>
    <w:pPr>
      <w:keepLines/>
      <w:widowControl w:val="0"/>
      <w:tabs>
        <w:tab w:val="left" w:pos="1037"/>
        <w:tab w:val="left" w:pos="2006"/>
      </w:tabs>
      <w:autoSpaceDE w:val="0"/>
      <w:autoSpaceDN w:val="0"/>
      <w:adjustRightInd w:val="0"/>
      <w:spacing w:after="60"/>
    </w:pPr>
    <w:rPr>
      <w:rFonts w:ascii="Courier New" w:hAnsi="Courier New"/>
      <w:kern w:val="16"/>
    </w:rPr>
  </w:style>
  <w:style w:type="character" w:styleId="EndnoteReference">
    <w:name w:val="endnote reference"/>
    <w:basedOn w:val="DefaultParagraphFont"/>
    <w:semiHidden/>
    <w:rPr>
      <w:vertAlign w:val="superscript"/>
    </w:rPr>
  </w:style>
  <w:style w:type="paragraph" w:styleId="BodyTextIndent">
    <w:name w:val="Body Text Indent"/>
    <w:basedOn w:val="Normal"/>
    <w:semiHidden/>
    <w:pPr>
      <w:autoSpaceDE w:val="0"/>
      <w:autoSpaceDN w:val="0"/>
      <w:spacing w:line="480" w:lineRule="auto"/>
      <w:jc w:val="both"/>
    </w:pPr>
    <w:rPr>
      <w:rFonts w:ascii="Times New Roman" w:hAnsi="Times New Roman"/>
      <w:szCs w:val="24"/>
    </w:rPr>
  </w:style>
  <w:style w:type="paragraph" w:customStyle="1" w:styleId="Outline1">
    <w:name w:val="Outline 1"/>
    <w:basedOn w:val="Question0"/>
    <w:pPr>
      <w:numPr>
        <w:numId w:val="10"/>
      </w:numPr>
      <w:tabs>
        <w:tab w:val="clear" w:pos="1440"/>
      </w:tabs>
    </w:pPr>
  </w:style>
  <w:style w:type="paragraph" w:customStyle="1" w:styleId="Outline2">
    <w:name w:val="Outline 2"/>
    <w:basedOn w:val="Answer"/>
    <w:pPr>
      <w:spacing w:before="120" w:line="360" w:lineRule="auto"/>
      <w:ind w:firstLine="0"/>
    </w:pPr>
  </w:style>
  <w:style w:type="paragraph" w:customStyle="1" w:styleId="Outline3">
    <w:name w:val="Outline3"/>
    <w:basedOn w:val="BulletPoint"/>
    <w:pPr>
      <w:widowControl/>
      <w:numPr>
        <w:numId w:val="6"/>
      </w:numPr>
      <w:spacing w:after="240" w:line="240" w:lineRule="auto"/>
    </w:pPr>
    <w:rPr>
      <w:i w:val="0"/>
    </w:rPr>
  </w:style>
  <w:style w:type="character" w:styleId="FollowedHyperlink">
    <w:name w:val="FollowedHyperlink"/>
    <w:basedOn w:val="DefaultParagraphFont"/>
    <w:semiHidden/>
    <w:rPr>
      <w:color w:val="800080"/>
      <w:u w:val="single"/>
    </w:rPr>
  </w:style>
  <w:style w:type="paragraph" w:customStyle="1" w:styleId="xl24">
    <w:name w:val="xl24"/>
    <w:basedOn w:val="Normal"/>
    <w:pPr>
      <w:spacing w:before="100" w:beforeAutospacing="1" w:after="100" w:afterAutospacing="1"/>
    </w:pPr>
    <w:rPr>
      <w:rFonts w:eastAsia="Arial Unicode MS"/>
      <w:sz w:val="22"/>
      <w:szCs w:val="22"/>
    </w:rPr>
  </w:style>
  <w:style w:type="paragraph" w:customStyle="1" w:styleId="xl25">
    <w:name w:val="xl25"/>
    <w:basedOn w:val="Normal"/>
    <w:pPr>
      <w:spacing w:before="100" w:beforeAutospacing="1" w:after="100" w:afterAutospacing="1"/>
      <w:jc w:val="center"/>
    </w:pPr>
    <w:rPr>
      <w:rFonts w:eastAsia="Arial Unicode MS"/>
      <w:sz w:val="22"/>
      <w:szCs w:val="22"/>
    </w:rPr>
  </w:style>
  <w:style w:type="paragraph" w:customStyle="1" w:styleId="xl26">
    <w:name w:val="xl26"/>
    <w:basedOn w:val="Normal"/>
    <w:pPr>
      <w:pBdr>
        <w:bottom w:val="single" w:sz="4" w:space="0" w:color="auto"/>
      </w:pBdr>
      <w:spacing w:before="100" w:beforeAutospacing="1" w:after="100" w:afterAutospacing="1"/>
      <w:jc w:val="center"/>
    </w:pPr>
    <w:rPr>
      <w:rFonts w:eastAsia="Arial Unicode MS"/>
      <w:sz w:val="22"/>
      <w:szCs w:val="22"/>
    </w:rPr>
  </w:style>
  <w:style w:type="paragraph" w:customStyle="1" w:styleId="xl27">
    <w:name w:val="xl27"/>
    <w:basedOn w:val="Normal"/>
    <w:pPr>
      <w:spacing w:before="100" w:beforeAutospacing="1" w:after="100" w:afterAutospacing="1"/>
      <w:jc w:val="center"/>
    </w:pPr>
    <w:rPr>
      <w:rFonts w:eastAsia="Arial Unicode MS"/>
      <w:sz w:val="22"/>
      <w:szCs w:val="22"/>
    </w:rPr>
  </w:style>
  <w:style w:type="paragraph" w:customStyle="1" w:styleId="xl28">
    <w:name w:val="xl28"/>
    <w:basedOn w:val="Normal"/>
    <w:pPr>
      <w:spacing w:before="100" w:beforeAutospacing="1" w:after="100" w:afterAutospacing="1"/>
      <w:ind w:firstLineChars="100" w:firstLine="100"/>
    </w:pPr>
    <w:rPr>
      <w:rFonts w:eastAsia="Arial Unicode MS"/>
      <w:sz w:val="22"/>
      <w:szCs w:val="22"/>
    </w:rPr>
  </w:style>
  <w:style w:type="paragraph" w:customStyle="1" w:styleId="xl29">
    <w:name w:val="xl29"/>
    <w:basedOn w:val="Normal"/>
    <w:pPr>
      <w:spacing w:before="100" w:beforeAutospacing="1" w:after="100" w:afterAutospacing="1"/>
      <w:ind w:firstLineChars="200" w:firstLine="200"/>
    </w:pPr>
    <w:rPr>
      <w:rFonts w:eastAsia="Arial Unicode MS"/>
      <w:sz w:val="22"/>
      <w:szCs w:val="22"/>
    </w:rPr>
  </w:style>
  <w:style w:type="paragraph" w:customStyle="1" w:styleId="xl30">
    <w:name w:val="xl30"/>
    <w:basedOn w:val="Normal"/>
    <w:pPr>
      <w:spacing w:before="100" w:beforeAutospacing="1" w:after="100" w:afterAutospacing="1"/>
      <w:jc w:val="right"/>
    </w:pPr>
    <w:rPr>
      <w:rFonts w:eastAsia="Arial Unicode MS"/>
      <w:sz w:val="22"/>
      <w:szCs w:val="22"/>
    </w:rPr>
  </w:style>
  <w:style w:type="paragraph" w:customStyle="1" w:styleId="xl31">
    <w:name w:val="xl31"/>
    <w:basedOn w:val="Normal"/>
    <w:pPr>
      <w:pBdr>
        <w:bottom w:val="single" w:sz="4" w:space="0" w:color="auto"/>
      </w:pBdr>
      <w:spacing w:before="100" w:beforeAutospacing="1" w:after="100" w:afterAutospacing="1"/>
      <w:ind w:firstLineChars="100" w:firstLine="100"/>
    </w:pPr>
    <w:rPr>
      <w:rFonts w:eastAsia="Arial Unicode MS"/>
      <w:sz w:val="22"/>
      <w:szCs w:val="22"/>
    </w:rPr>
  </w:style>
  <w:style w:type="paragraph" w:customStyle="1" w:styleId="xl35">
    <w:name w:val="xl35"/>
    <w:basedOn w:val="Normal"/>
    <w:pPr>
      <w:pBdr>
        <w:bottom w:val="single" w:sz="4" w:space="0" w:color="auto"/>
      </w:pBdr>
      <w:spacing w:before="100" w:beforeAutospacing="1" w:after="100" w:afterAutospacing="1"/>
      <w:jc w:val="center"/>
    </w:pPr>
    <w:rPr>
      <w:rFonts w:eastAsia="Arial Unicode MS"/>
      <w:b/>
      <w:bCs/>
      <w:sz w:val="22"/>
      <w:szCs w:val="22"/>
    </w:rPr>
  </w:style>
  <w:style w:type="paragraph" w:customStyle="1" w:styleId="xl38">
    <w:name w:val="xl38"/>
    <w:basedOn w:val="Normal"/>
    <w:pPr>
      <w:pBdr>
        <w:bottom w:val="single" w:sz="4" w:space="0" w:color="auto"/>
      </w:pBdr>
      <w:spacing w:before="100" w:beforeAutospacing="1" w:after="100" w:afterAutospacing="1"/>
      <w:jc w:val="center"/>
    </w:pPr>
    <w:rPr>
      <w:rFonts w:eastAsia="Arial Unicode MS"/>
      <w:b/>
      <w:bCs/>
      <w:sz w:val="22"/>
      <w:szCs w:val="22"/>
    </w:rPr>
  </w:style>
  <w:style w:type="paragraph" w:customStyle="1" w:styleId="xl39">
    <w:name w:val="xl39"/>
    <w:basedOn w:val="Normal"/>
    <w:pPr>
      <w:spacing w:before="100" w:beforeAutospacing="1" w:after="100" w:afterAutospacing="1"/>
      <w:jc w:val="center"/>
    </w:pPr>
    <w:rPr>
      <w:rFonts w:eastAsia="Arial Unicode MS"/>
      <w:b/>
      <w:bCs/>
      <w:sz w:val="22"/>
      <w:szCs w:val="22"/>
    </w:rPr>
  </w:style>
  <w:style w:type="paragraph" w:styleId="BodyTextIndent3">
    <w:name w:val="Body Text Indent 3"/>
    <w:basedOn w:val="Normal"/>
    <w:semiHidden/>
    <w:pPr>
      <w:spacing w:after="120"/>
      <w:ind w:left="360" w:hanging="720"/>
    </w:pPr>
    <w:rPr>
      <w:rFonts w:ascii="Times New Roman" w:hAnsi="Times New Roman"/>
      <w:szCs w:val="1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customStyle="1" w:styleId="QUESTION">
    <w:name w:val="QUESTION"/>
    <w:basedOn w:val="Normal"/>
    <w:next w:val="Normal"/>
    <w:pPr>
      <w:keepNext/>
      <w:keepLines/>
      <w:numPr>
        <w:numId w:val="13"/>
      </w:numPr>
      <w:spacing w:before="120" w:line="480" w:lineRule="auto"/>
      <w:ind w:left="720" w:hanging="720"/>
      <w:jc w:val="both"/>
    </w:pPr>
    <w:rPr>
      <w:rFonts w:ascii="Times New Roman Bold" w:hAnsi="Times New Roman Bold"/>
      <w:b/>
    </w:rPr>
  </w:style>
  <w:style w:type="paragraph" w:customStyle="1" w:styleId="TableCaption">
    <w:name w:val="Table Caption"/>
    <w:basedOn w:val="Normal"/>
    <w:next w:val="Table"/>
    <w:pPr>
      <w:keepNext/>
      <w:keepLines/>
      <w:spacing w:before="440" w:after="440" w:line="240" w:lineRule="atLeast"/>
      <w:jc w:val="center"/>
    </w:pPr>
    <w:rPr>
      <w:rFonts w:ascii="Arial" w:hAnsi="Arial"/>
      <w:b/>
      <w:caps/>
      <w:sz w:val="20"/>
    </w:rPr>
  </w:style>
  <w:style w:type="paragraph" w:customStyle="1" w:styleId="Table">
    <w:name w:val="Table"/>
    <w:basedOn w:val="Normal"/>
    <w:pPr>
      <w:keepNext/>
      <w:keepLines/>
    </w:pPr>
    <w:rPr>
      <w:rFonts w:ascii="Arial" w:hAnsi="Arial"/>
      <w:sz w:val="20"/>
    </w:rPr>
  </w:style>
  <w:style w:type="paragraph" w:customStyle="1" w:styleId="Table-FirstRow">
    <w:name w:val="Table - First Row"/>
    <w:basedOn w:val="Table"/>
    <w:pPr>
      <w:spacing w:before="120"/>
    </w:pPr>
  </w:style>
  <w:style w:type="paragraph" w:customStyle="1" w:styleId="Table-LastRow">
    <w:name w:val="Table - Last Row"/>
    <w:basedOn w:val="Table"/>
    <w:pPr>
      <w:keepNext w:val="0"/>
      <w:spacing w:before="120"/>
    </w:pPr>
  </w:style>
  <w:style w:type="paragraph" w:customStyle="1" w:styleId="TableFootnote">
    <w:name w:val="Table Footnote"/>
    <w:basedOn w:val="FootnoteText"/>
    <w:pPr>
      <w:keepNext w:val="0"/>
      <w:suppressLineNumbers/>
      <w:spacing w:after="60"/>
      <w:ind w:left="432" w:hanging="432"/>
    </w:pPr>
    <w:rPr>
      <w:rFonts w:ascii="Arial" w:hAnsi="Arial"/>
      <w:color w:val="000000"/>
    </w:rPr>
  </w:style>
  <w:style w:type="paragraph" w:customStyle="1" w:styleId="Body2-noindent">
    <w:name w:val="Body 2 - no indent"/>
    <w:basedOn w:val="Normal"/>
    <w:pPr>
      <w:spacing w:line="400" w:lineRule="exact"/>
      <w:ind w:left="864"/>
    </w:pPr>
    <w:rPr>
      <w:rFonts w:ascii="Arial" w:hAnsi="Arial"/>
      <w:color w:val="000000"/>
    </w:rPr>
  </w:style>
  <w:style w:type="paragraph" w:customStyle="1" w:styleId="Style54">
    <w:name w:val="Style 54"/>
    <w:basedOn w:val="Normal"/>
    <w:pPr>
      <w:spacing w:before="240" w:after="240"/>
      <w:ind w:left="1440" w:right="720"/>
      <w:jc w:val="both"/>
    </w:pPr>
    <w:rPr>
      <w:rFonts w:ascii="Times New Roman" w:hAnsi="Times New Roman"/>
      <w:sz w:val="26"/>
    </w:rPr>
  </w:style>
  <w:style w:type="paragraph" w:customStyle="1" w:styleId="Style1">
    <w:name w:val="Style 1"/>
    <w:basedOn w:val="Normal"/>
    <w:pPr>
      <w:spacing w:line="480" w:lineRule="exact"/>
      <w:ind w:left="720" w:hanging="720"/>
      <w:jc w:val="both"/>
    </w:pPr>
    <w:rPr>
      <w:rFonts w:ascii="Times New Roman" w:hAnsi="Times New Roman"/>
      <w:kern w:val="16"/>
      <w:sz w:val="26"/>
    </w:rPr>
  </w:style>
  <w:style w:type="paragraph" w:customStyle="1" w:styleId="Avista">
    <w:name w:val="Avista"/>
    <w:basedOn w:val="Normal"/>
    <w:pPr>
      <w:spacing w:line="480" w:lineRule="auto"/>
      <w:ind w:firstLine="720"/>
    </w:pPr>
    <w:rPr>
      <w:rFonts w:ascii="Times New Roman" w:hAnsi="Times New Roman"/>
    </w:rPr>
  </w:style>
  <w:style w:type="paragraph" w:customStyle="1" w:styleId="Quotation2">
    <w:name w:val="Quotation 2"/>
    <w:basedOn w:val="Normal"/>
    <w:pPr>
      <w:spacing w:before="120" w:after="120"/>
      <w:ind w:left="1296" w:right="432"/>
    </w:pPr>
    <w:rPr>
      <w:rFonts w:ascii="Arial" w:hAnsi="Arial"/>
    </w:rPr>
  </w:style>
  <w:style w:type="paragraph" w:customStyle="1" w:styleId="FootnoteText2">
    <w:name w:val="Footnote Text2"/>
    <w:basedOn w:val="Normal"/>
    <w:semiHidden/>
    <w:pPr>
      <w:spacing w:after="60"/>
      <w:ind w:left="360" w:hanging="360"/>
      <w:jc w:val="both"/>
    </w:pPr>
    <w:rPr>
      <w:rFonts w:ascii="Times New Roman" w:hAnsi="Times New Roman"/>
      <w:kern w:val="16"/>
      <w:sz w:val="20"/>
      <w:lang w:bidi="he-IL"/>
    </w:rPr>
  </w:style>
  <w:style w:type="paragraph" w:styleId="BodyTextIndent2">
    <w:name w:val="Body Text Indent 2"/>
    <w:basedOn w:val="Normal"/>
    <w:semiHidden/>
    <w:pPr>
      <w:suppressLineNumbers/>
      <w:ind w:left="2448" w:hanging="2448"/>
    </w:pPr>
  </w:style>
  <w:style w:type="paragraph" w:styleId="BodyText">
    <w:name w:val="Body Text"/>
    <w:basedOn w:val="Normal"/>
    <w:semiHidden/>
    <w:pPr>
      <w:spacing w:after="120"/>
    </w:pPr>
  </w:style>
  <w:style w:type="paragraph" w:customStyle="1" w:styleId="Answer20">
    <w:name w:val="Answer 2"/>
    <w:basedOn w:val="Answer"/>
    <w:qFormat/>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val="0"/>
      <w:autoSpaceDN w:val="0"/>
      <w:adjustRightInd w:val="0"/>
      <w:ind w:left="720"/>
    </w:pPr>
    <w:rPr>
      <w:kern w:val="0"/>
      <w:szCs w:val="24"/>
    </w:rPr>
  </w:style>
  <w:style w:type="paragraph" w:styleId="BlockText">
    <w:name w:val="Block Text"/>
    <w:basedOn w:val="Normal"/>
    <w:semiHidden/>
    <w:pPr>
      <w:spacing w:after="240"/>
      <w:ind w:left="1440" w:right="1440"/>
      <w:jc w:val="both"/>
    </w:pPr>
    <w:rPr>
      <w:rFonts w:ascii="Times New Roman" w:hAnsi="Times New Roman"/>
      <w:szCs w:val="24"/>
    </w:rPr>
  </w:style>
  <w:style w:type="paragraph" w:customStyle="1" w:styleId="AnswerCont">
    <w:name w:val="Answer Cont"/>
    <w:basedOn w:val="Normal"/>
    <w:pPr>
      <w:spacing w:before="240" w:line="480" w:lineRule="exact"/>
      <w:ind w:left="720"/>
      <w:jc w:val="both"/>
    </w:pPr>
    <w:rPr>
      <w:rFonts w:ascii="Times New Roman" w:hAnsi="Times New Roman"/>
      <w:sz w:val="26"/>
    </w:rPr>
  </w:style>
  <w:style w:type="paragraph" w:customStyle="1" w:styleId="TestimonyNumbering">
    <w:name w:val="Testimony Numbering"/>
    <w:basedOn w:val="Normal"/>
    <w:next w:val="Question0"/>
    <w:pPr>
      <w:numPr>
        <w:numId w:val="24"/>
      </w:numPr>
      <w:spacing w:before="240" w:after="240" w:line="240" w:lineRule="exact"/>
      <w:jc w:val="both"/>
      <w:outlineLvl w:val="0"/>
    </w:pPr>
    <w:rPr>
      <w:rFonts w:ascii="Times New Roman" w:hAnsi="Times New Roman"/>
      <w:caps/>
      <w:sz w:val="26"/>
      <w:szCs w:val="26"/>
      <w:u w:val="single"/>
    </w:rPr>
  </w:style>
  <w:style w:type="paragraph" w:customStyle="1" w:styleId="TestimonyNumbering2">
    <w:name w:val="Testimony Numbering 2"/>
    <w:basedOn w:val="Normal"/>
    <w:next w:val="Normal"/>
    <w:pPr>
      <w:numPr>
        <w:ilvl w:val="1"/>
        <w:numId w:val="24"/>
      </w:numPr>
      <w:spacing w:after="240" w:line="240" w:lineRule="exact"/>
      <w:outlineLvl w:val="1"/>
    </w:pPr>
    <w:rPr>
      <w:rFonts w:ascii="Times New Roman" w:hAnsi="Times New Roman"/>
      <w:i/>
      <w:sz w:val="26"/>
      <w:szCs w:val="26"/>
    </w:rPr>
  </w:style>
  <w:style w:type="paragraph" w:customStyle="1" w:styleId="TestimonyNumbering3">
    <w:name w:val="Testimony Numbering 3"/>
    <w:basedOn w:val="Normal"/>
    <w:next w:val="Normal"/>
    <w:pPr>
      <w:numPr>
        <w:ilvl w:val="2"/>
        <w:numId w:val="24"/>
      </w:numPr>
      <w:spacing w:after="240" w:line="240" w:lineRule="exact"/>
      <w:jc w:val="both"/>
      <w:outlineLvl w:val="2"/>
    </w:pPr>
    <w:rPr>
      <w:rFonts w:ascii="Times New Roman Bold" w:hAnsi="Times New Roman Bold"/>
      <w:b/>
      <w:sz w:val="26"/>
      <w:szCs w:val="26"/>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rPr>
  </w:style>
  <w:style w:type="paragraph" w:customStyle="1" w:styleId="Quotation">
    <w:name w:val="Quotation"/>
    <w:basedOn w:val="Normal"/>
    <w:pPr>
      <w:spacing w:before="120" w:after="240"/>
      <w:ind w:left="1296" w:right="720"/>
    </w:pPr>
    <w:rPr>
      <w:rFonts w:ascii="Times New Roman" w:hAnsi="Times New Roman"/>
    </w:rPr>
  </w:style>
  <w:style w:type="paragraph" w:customStyle="1" w:styleId="ANum">
    <w:name w:val="ANum"/>
    <w:basedOn w:val="Normal"/>
    <w:pPr>
      <w:tabs>
        <w:tab w:val="left" w:pos="1440"/>
        <w:tab w:val="left" w:pos="2160"/>
        <w:tab w:val="left" w:pos="2880"/>
      </w:tabs>
      <w:spacing w:line="400" w:lineRule="exact"/>
      <w:ind w:left="864" w:hanging="864"/>
    </w:pPr>
    <w:rPr>
      <w:rFonts w:ascii="Arial" w:hAnsi="Arial"/>
    </w:rPr>
  </w:style>
  <w:style w:type="paragraph" w:customStyle="1" w:styleId="QA-text">
    <w:name w:val="QA-text"/>
    <w:basedOn w:val="Normal"/>
    <w:pPr>
      <w:overflowPunct w:val="0"/>
      <w:autoSpaceDE w:val="0"/>
      <w:autoSpaceDN w:val="0"/>
      <w:adjustRightInd w:val="0"/>
      <w:spacing w:line="400" w:lineRule="exact"/>
      <w:ind w:left="864" w:firstLine="432"/>
      <w:textAlignment w:val="baseline"/>
    </w:pPr>
    <w:rPr>
      <w:rFonts w:ascii="Arial" w:hAnsi="Arial"/>
    </w:rPr>
  </w:style>
  <w:style w:type="paragraph" w:customStyle="1" w:styleId="QNum">
    <w:name w:val="QNum"/>
    <w:basedOn w:val="Normal"/>
    <w:pPr>
      <w:tabs>
        <w:tab w:val="left" w:pos="1440"/>
        <w:tab w:val="left" w:pos="2160"/>
        <w:tab w:val="left" w:pos="2880"/>
      </w:tabs>
      <w:spacing w:line="400" w:lineRule="exact"/>
      <w:ind w:left="864" w:hanging="864"/>
    </w:pPr>
    <w:rPr>
      <w:rFonts w:ascii="Arial" w:hAnsi="Arial"/>
    </w:rPr>
  </w:style>
  <w:style w:type="paragraph" w:customStyle="1" w:styleId="QA-Text0">
    <w:name w:val="QA-Text"/>
    <w:basedOn w:val="Normal"/>
    <w:pPr>
      <w:spacing w:line="400" w:lineRule="exact"/>
      <w:ind w:left="864" w:firstLine="432"/>
    </w:pPr>
    <w:rPr>
      <w:rFonts w:ascii="Arial" w:hAnsi="Arial"/>
    </w:rPr>
  </w:style>
  <w:style w:type="character" w:customStyle="1" w:styleId="FootnoteTextChar">
    <w:name w:val="Footnote Text Char"/>
    <w:aliases w:val="Footnote Text Char1 Char,Footnote Text Char Char1 Char1,Footnote Text Char Char Char,ft Char Char,Footnote Text Char2 Char Char,Footnote Text Char Char1 Char Char,Footnote Text Char1 Char Char Char Char,ft Char Char Char Char Char"/>
    <w:basedOn w:val="DefaultParagraphFont"/>
    <w:link w:val="FootnoteText"/>
    <w:uiPriority w:val="99"/>
    <w:semiHidden/>
    <w:rsid w:val="00B26CD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Testimony</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2014-02-04T08:00:00+00:00</OpenedDate>
    <Date1 xmlns="dc463f71-b30c-4ab2-9473-d307f9d35888">2014-02-05T08:00:00+00:00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21CC9AA2-FABD-4CB3-A21A-26BDBF09CFBC}"/>
</file>

<file path=customXml/itemProps2.xml><?xml version="1.0" encoding="utf-8"?>
<ds:datastoreItem xmlns:ds="http://schemas.openxmlformats.org/officeDocument/2006/customXml" ds:itemID="{EFE8DC5F-DC88-4C64-82CD-379AE88DE0CF}"/>
</file>

<file path=customXml/itemProps3.xml><?xml version="1.0" encoding="utf-8"?>
<ds:datastoreItem xmlns:ds="http://schemas.openxmlformats.org/officeDocument/2006/customXml" ds:itemID="{17DF7501-34B9-41F4-B74E-3659A27B2274}"/>
</file>

<file path=customXml/itemProps4.xml><?xml version="1.0" encoding="utf-8"?>
<ds:datastoreItem xmlns:ds="http://schemas.openxmlformats.org/officeDocument/2006/customXml" ds:itemID="{ED740A72-C96F-4177-8059-E586268A8C9F}"/>
</file>

<file path=customXml/itemProps5.xml><?xml version="1.0" encoding="utf-8"?>
<ds:datastoreItem xmlns:ds="http://schemas.openxmlformats.org/officeDocument/2006/customXml" ds:itemID="{191EC1FD-B517-4AC9-85E1-F2CC20755A10}"/>
</file>

<file path=docProps/app.xml><?xml version="1.0" encoding="utf-8"?>
<Properties xmlns="http://schemas.openxmlformats.org/officeDocument/2006/extended-properties" xmlns:vt="http://schemas.openxmlformats.org/officeDocument/2006/docPropsVTypes">
  <Template>Normal.dotm</Template>
  <TotalTime>2</TotalTime>
  <Pages>49</Pages>
  <Words>11291</Words>
  <Characters>62752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DAVID J</vt:lpstr>
    </vt:vector>
  </TitlesOfParts>
  <Company/>
  <LinksUpToDate>false</LinksUpToDate>
  <CharactersWithSpaces>73896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J</dc:title>
  <dc:creator>FINCAP</dc:creator>
  <cp:lastModifiedBy>jzlfgj</cp:lastModifiedBy>
  <cp:revision>4</cp:revision>
  <cp:lastPrinted>2014-01-31T02:15:00Z</cp:lastPrinted>
  <dcterms:created xsi:type="dcterms:W3CDTF">2014-01-31T02:15:00Z</dcterms:created>
  <dcterms:modified xsi:type="dcterms:W3CDTF">2014-01-31T21:09:00Z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0x0101006E56B4D1795A2E4DB2F0B01679ED314A0076D05DFA5A769A459A1C549E33C26839</vt:lpwstr>
  </property>
  <property fmtid="{D5CDD505-2E9C-101B-9397-08002B2CF9AE}" pid="4" name="_docset_NoMedatataSyncRequired">
    <vt:lpwstr>False</vt:lpwstr>
  </property>
</Properties>
</file>