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DA" w:rsidRDefault="00132810">
      <w:pPr>
        <w:jc w:val="center"/>
        <w:rPr>
          <w:b/>
        </w:rPr>
      </w:pPr>
      <w:bookmarkStart w:id="0" w:name="_GoBack"/>
      <w:bookmarkEnd w:id="0"/>
      <w:r>
        <w:rPr>
          <w:b/>
        </w:rPr>
        <w:t xml:space="preserve">BEFORE THE WASHINGTON </w:t>
      </w:r>
    </w:p>
    <w:p w:rsidR="008C38DA" w:rsidRDefault="00132810">
      <w:pPr>
        <w:jc w:val="center"/>
        <w:rPr>
          <w:b/>
        </w:rPr>
      </w:pPr>
      <w:r>
        <w:rPr>
          <w:b/>
        </w:rPr>
        <w:t xml:space="preserve">UTILITIES </w:t>
      </w:r>
      <w:smartTag w:uri="urn:schemas-microsoft-com:office:smarttags" w:element="stockticker">
        <w:r>
          <w:rPr>
            <w:b/>
          </w:rPr>
          <w:t>AND</w:t>
        </w:r>
      </w:smartTag>
      <w:r>
        <w:rPr>
          <w:b/>
        </w:rPr>
        <w:t xml:space="preserve"> TRANSPORTATION COMMISSION </w:t>
      </w:r>
    </w:p>
    <w:p w:rsidR="008C38DA" w:rsidRDefault="008C38DA">
      <w:pPr>
        <w:jc w:val="center"/>
        <w:rPr>
          <w:b/>
        </w:rPr>
      </w:pPr>
    </w:p>
    <w:p w:rsidR="008C38DA" w:rsidRDefault="008C38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178"/>
      </w:tblGrid>
      <w:tr w:rsidR="008C38DA">
        <w:tc>
          <w:tcPr>
            <w:tcW w:w="4788" w:type="dxa"/>
            <w:tcBorders>
              <w:top w:val="nil"/>
              <w:left w:val="nil"/>
            </w:tcBorders>
          </w:tcPr>
          <w:p w:rsidR="008C38DA" w:rsidRDefault="00132810">
            <w:pPr>
              <w:widowControl w:val="0"/>
              <w:rPr>
                <w:lang w:eastAsia="zh-CN"/>
              </w:rPr>
            </w:pPr>
            <w:r>
              <w:rPr>
                <w:lang w:eastAsia="zh-CN"/>
              </w:rPr>
              <w:t>In the Matter of</w:t>
            </w:r>
          </w:p>
          <w:p w:rsidR="008C38DA" w:rsidRDefault="008C38DA">
            <w:pPr>
              <w:widowControl w:val="0"/>
              <w:rPr>
                <w:lang w:eastAsia="zh-CN"/>
              </w:rPr>
            </w:pPr>
          </w:p>
          <w:p w:rsidR="008C38DA" w:rsidRDefault="00132810">
            <w:pPr>
              <w:widowControl w:val="0"/>
              <w:rPr>
                <w:lang w:eastAsia="zh-CN"/>
              </w:rPr>
            </w:pPr>
            <w:r>
              <w:rPr>
                <w:lang w:eastAsia="zh-CN"/>
              </w:rPr>
              <w:t>PACIFIC POWER &amp; LIGHT</w:t>
            </w:r>
          </w:p>
          <w:p w:rsidR="008C38DA" w:rsidRDefault="00132810">
            <w:pPr>
              <w:widowControl w:val="0"/>
              <w:rPr>
                <w:lang w:eastAsia="zh-CN"/>
              </w:rPr>
            </w:pPr>
            <w:r>
              <w:rPr>
                <w:lang w:eastAsia="zh-CN"/>
              </w:rPr>
              <w:t>COMPANY,</w:t>
            </w:r>
          </w:p>
          <w:p w:rsidR="008C38DA" w:rsidRDefault="008C38DA">
            <w:pPr>
              <w:widowControl w:val="0"/>
              <w:rPr>
                <w:lang w:eastAsia="zh-CN"/>
              </w:rPr>
            </w:pPr>
          </w:p>
          <w:p w:rsidR="008C38DA" w:rsidRDefault="00132810">
            <w:r>
              <w:rPr>
                <w:rFonts w:ascii="Times" w:eastAsia="Times" w:hAnsi="Times"/>
                <w:szCs w:val="20"/>
              </w:rPr>
              <w:t>Petition For a Rate Increase Based on a Modified Commission Basis Report, Two-Year Rate Plan, and Decoupling Mechanism.</w:t>
            </w:r>
          </w:p>
        </w:tc>
        <w:tc>
          <w:tcPr>
            <w:tcW w:w="4428" w:type="dxa"/>
            <w:tcBorders>
              <w:top w:val="nil"/>
              <w:bottom w:val="nil"/>
              <w:right w:val="nil"/>
            </w:tcBorders>
          </w:tcPr>
          <w:p w:rsidR="008C38DA" w:rsidRDefault="00132810">
            <w:r>
              <w:t>DOCKET NO. UE-152253</w:t>
            </w:r>
          </w:p>
          <w:p w:rsidR="008C38DA" w:rsidRDefault="008C38DA"/>
          <w:p w:rsidR="008C38DA" w:rsidRDefault="00132810">
            <w:pPr>
              <w:rPr>
                <w:caps/>
              </w:rPr>
            </w:pPr>
            <w:r>
              <w:rPr>
                <w:caps/>
              </w:rPr>
              <w:t xml:space="preserve">Pacific </w:t>
            </w:r>
            <w:r>
              <w:t>POWER &amp; LIGHT COMPANY’S</w:t>
            </w:r>
            <w:r>
              <w:rPr>
                <w:caps/>
              </w:rPr>
              <w:t xml:space="preserve"> </w:t>
            </w:r>
            <w:r w:rsidR="00FB343C">
              <w:rPr>
                <w:caps/>
              </w:rPr>
              <w:t xml:space="preserve">MOTION TO STRIKE </w:t>
            </w:r>
            <w:r w:rsidR="00722D8F">
              <w:rPr>
                <w:caps/>
              </w:rPr>
              <w:t xml:space="preserve">Section III of Sierra Club’s Cross-answering testimony </w:t>
            </w:r>
            <w:r w:rsidR="00FB343C">
              <w:rPr>
                <w:caps/>
              </w:rPr>
              <w:t>OR ALTERNATIVE MOTION FOR LIVE REBUTTAL</w:t>
            </w:r>
            <w:r w:rsidR="00722D8F">
              <w:rPr>
                <w:caps/>
              </w:rPr>
              <w:t xml:space="preserve"> </w:t>
            </w:r>
          </w:p>
          <w:p w:rsidR="008C38DA" w:rsidRDefault="008C38DA"/>
        </w:tc>
      </w:tr>
    </w:tbl>
    <w:p w:rsidR="008C38DA" w:rsidRDefault="008C38DA"/>
    <w:p w:rsidR="008C38DA" w:rsidRDefault="00711CEF">
      <w:pPr>
        <w:pStyle w:val="Heading1"/>
      </w:pPr>
      <w:r>
        <w:t>MOTION TO STRIKE OR TO PRESENT LIVE REBUTTAL</w:t>
      </w:r>
    </w:p>
    <w:p w:rsidR="008C38DA" w:rsidRPr="00C16F26" w:rsidRDefault="00132810">
      <w:pPr>
        <w:pStyle w:val="Washingtonparagraph"/>
        <w:numPr>
          <w:ilvl w:val="0"/>
          <w:numId w:val="1"/>
        </w:numPr>
        <w:shd w:val="clear" w:color="auto" w:fill="FFFFFF"/>
        <w:tabs>
          <w:tab w:val="num" w:pos="720"/>
        </w:tabs>
        <w:ind w:hanging="720"/>
        <w:rPr>
          <w:b/>
        </w:rPr>
      </w:pPr>
      <w:r>
        <w:tab/>
        <w:t>In accordance with WAC 480-07-375</w:t>
      </w:r>
      <w:r w:rsidR="00FB343C">
        <w:t>(1)</w:t>
      </w:r>
      <w:r>
        <w:t>(</w:t>
      </w:r>
      <w:r w:rsidR="00FB343C">
        <w:t>d</w:t>
      </w:r>
      <w:r>
        <w:t xml:space="preserve">), Pacific Power &amp; Light Company (Pacific Power or Company), a division of PacifiCorp, </w:t>
      </w:r>
      <w:r w:rsidR="00FB343C">
        <w:t>moves to strike</w:t>
      </w:r>
      <w:r w:rsidR="002D5326">
        <w:t xml:space="preserve"> or for leave to </w:t>
      </w:r>
      <w:r w:rsidR="00E808DE">
        <w:t xml:space="preserve">provide live rebuttal </w:t>
      </w:r>
      <w:r w:rsidR="002D5326">
        <w:t>to</w:t>
      </w:r>
      <w:r w:rsidR="00FB343C">
        <w:t xml:space="preserve"> </w:t>
      </w:r>
      <w:r w:rsidR="000D17FA">
        <w:t xml:space="preserve">Section III of </w:t>
      </w:r>
      <w:r w:rsidR="00FB343C">
        <w:t xml:space="preserve">the supplemental cross-answering testimony of Dr. Jeremy Fisher </w:t>
      </w:r>
      <w:r w:rsidR="00B704A0">
        <w:t xml:space="preserve">on behalf of the </w:t>
      </w:r>
      <w:r w:rsidR="00FB343C">
        <w:t>Sierra Club</w:t>
      </w:r>
      <w:r w:rsidR="00B704A0">
        <w:t>.</w:t>
      </w:r>
      <w:r w:rsidR="00E808DE">
        <w:rPr>
          <w:rStyle w:val="FootnoteReference"/>
        </w:rPr>
        <w:footnoteReference w:id="2"/>
      </w:r>
      <w:r w:rsidR="00B704A0">
        <w:t xml:space="preserve"> </w:t>
      </w:r>
      <w:r w:rsidR="00FB343C">
        <w:t xml:space="preserve"> </w:t>
      </w:r>
      <w:r w:rsidR="00B704A0">
        <w:t xml:space="preserve">This testimony is related to </w:t>
      </w:r>
      <w:r w:rsidR="00830C2F">
        <w:t>Pacific Power’s</w:t>
      </w:r>
      <w:r w:rsidR="00B704A0">
        <w:t xml:space="preserve"> request that Washington </w:t>
      </w:r>
      <w:r w:rsidR="00E70C9D">
        <w:t>Utilities</w:t>
      </w:r>
      <w:r w:rsidR="00B704A0">
        <w:t xml:space="preserve"> and Transport</w:t>
      </w:r>
      <w:r w:rsidR="00E70C9D">
        <w:t>a</w:t>
      </w:r>
      <w:r w:rsidR="00B704A0">
        <w:t>t</w:t>
      </w:r>
      <w:r w:rsidR="00E70C9D">
        <w:t>i</w:t>
      </w:r>
      <w:r w:rsidR="00B704A0">
        <w:t>on Commission</w:t>
      </w:r>
      <w:r w:rsidR="00830C2F">
        <w:t xml:space="preserve"> (</w:t>
      </w:r>
      <w:r w:rsidR="00B704A0">
        <w:t xml:space="preserve">Commission) </w:t>
      </w:r>
      <w:r w:rsidR="00830C2F">
        <w:t xml:space="preserve">determine that the Company was prudent in </w:t>
      </w:r>
      <w:r w:rsidR="00B704A0">
        <w:t>in</w:t>
      </w:r>
      <w:r w:rsidR="00120326">
        <w:t>stalling s</w:t>
      </w:r>
      <w:r w:rsidR="00B704A0">
        <w:t xml:space="preserve">elective catalytic reduction </w:t>
      </w:r>
      <w:r w:rsidR="00E70C9D">
        <w:t>systems</w:t>
      </w:r>
      <w:r w:rsidR="00B704A0">
        <w:t xml:space="preserve"> (SCRs) for J</w:t>
      </w:r>
      <w:r w:rsidR="00830C2F">
        <w:t>i</w:t>
      </w:r>
      <w:r w:rsidR="00B704A0">
        <w:t xml:space="preserve">m Bridger Units 3 and 4.  Pacific Power submits that </w:t>
      </w:r>
      <w:r w:rsidR="000D17FA">
        <w:t xml:space="preserve">Section III </w:t>
      </w:r>
      <w:r w:rsidR="002D5326">
        <w:t xml:space="preserve">of </w:t>
      </w:r>
      <w:r w:rsidR="00B71FAF">
        <w:t>Dr. Fisher’</w:t>
      </w:r>
      <w:r w:rsidR="00830C2F">
        <w:t>s</w:t>
      </w:r>
      <w:r w:rsidR="00B704A0">
        <w:t xml:space="preserve"> testimony </w:t>
      </w:r>
      <w:r w:rsidR="00FB343C">
        <w:t>exceeds the proper scope</w:t>
      </w:r>
      <w:r w:rsidR="00B704A0">
        <w:t xml:space="preserve"> of cross-answering testimony</w:t>
      </w:r>
      <w:r w:rsidR="002D5326">
        <w:t xml:space="preserve"> by offering an </w:t>
      </w:r>
      <w:r w:rsidR="00B704A0">
        <w:t>entirely new analysis to which the Company cannot adequately respond.</w:t>
      </w:r>
      <w:r w:rsidR="00E70C9D">
        <w:rPr>
          <w:rStyle w:val="FootnoteReference"/>
        </w:rPr>
        <w:footnoteReference w:id="3"/>
      </w:r>
      <w:r w:rsidR="00B704A0">
        <w:t xml:space="preserve">  </w:t>
      </w:r>
    </w:p>
    <w:p w:rsidR="00372DDE" w:rsidRDefault="00372DDE">
      <w:pPr>
        <w:pStyle w:val="Washingtonparagraph"/>
        <w:numPr>
          <w:ilvl w:val="0"/>
          <w:numId w:val="1"/>
        </w:numPr>
        <w:shd w:val="clear" w:color="auto" w:fill="FFFFFF"/>
        <w:tabs>
          <w:tab w:val="num" w:pos="720"/>
        </w:tabs>
        <w:ind w:hanging="720"/>
        <w:rPr>
          <w:b/>
        </w:rPr>
      </w:pPr>
      <w:r>
        <w:tab/>
        <w:t xml:space="preserve">Pacific Power has conferred with counsel for parties who are directly participating in the SCR phase of this case.  Sierra Club objects to the motion to strike and to the </w:t>
      </w:r>
      <w:r>
        <w:lastRenderedPageBreak/>
        <w:t>alternative motion for live supplemental rebuttal</w:t>
      </w:r>
      <w:r w:rsidR="00C16F26">
        <w:t xml:space="preserve">, </w:t>
      </w:r>
      <w:r>
        <w:t>Boise White Paper</w:t>
      </w:r>
      <w:r w:rsidR="00F3201B">
        <w:t>,</w:t>
      </w:r>
      <w:r>
        <w:t xml:space="preserve"> </w:t>
      </w:r>
      <w:r w:rsidR="00F3201B">
        <w:t xml:space="preserve">L.L.C. </w:t>
      </w:r>
      <w:r>
        <w:t>is not taking a position on the motion</w:t>
      </w:r>
      <w:r w:rsidR="00C16F26">
        <w:t xml:space="preserve">, and Staff has not yet responded with its position on the motion.  </w:t>
      </w:r>
    </w:p>
    <w:p w:rsidR="008C38DA" w:rsidRDefault="00711CEF">
      <w:pPr>
        <w:pStyle w:val="Heading1"/>
        <w:keepNext/>
      </w:pPr>
      <w:r>
        <w:t>ARGUMENT</w:t>
      </w:r>
    </w:p>
    <w:p w:rsidR="00B71FAF" w:rsidRDefault="00132810" w:rsidP="00D44B0F">
      <w:pPr>
        <w:pStyle w:val="Washingtonparagraph"/>
        <w:numPr>
          <w:ilvl w:val="0"/>
          <w:numId w:val="1"/>
        </w:numPr>
      </w:pPr>
      <w:r>
        <w:tab/>
      </w:r>
      <w:r w:rsidR="00B704A0">
        <w:t xml:space="preserve">In Order 08, the </w:t>
      </w:r>
      <w:r w:rsidR="00E70C9D">
        <w:t>Administrative</w:t>
      </w:r>
      <w:r w:rsidR="00B704A0">
        <w:t xml:space="preserve"> Law Judge </w:t>
      </w:r>
      <w:r w:rsidR="00196F32">
        <w:t xml:space="preserve">(ALJ) </w:t>
      </w:r>
      <w:r w:rsidR="00B704A0">
        <w:t>a</w:t>
      </w:r>
      <w:r w:rsidR="00830C2F">
        <w:t xml:space="preserve">llowed </w:t>
      </w:r>
      <w:r w:rsidR="00B704A0">
        <w:t xml:space="preserve">Staff to file supplemental testimony on the </w:t>
      </w:r>
      <w:r w:rsidR="00E77890">
        <w:t xml:space="preserve">Jim </w:t>
      </w:r>
      <w:r w:rsidR="00B704A0">
        <w:t xml:space="preserve">Bridger </w:t>
      </w:r>
      <w:r w:rsidR="00D44B0F" w:rsidRPr="00D44B0F">
        <w:t>Units 3 and 4</w:t>
      </w:r>
      <w:r w:rsidR="00D44B0F">
        <w:t xml:space="preserve"> </w:t>
      </w:r>
      <w:r w:rsidR="00B704A0">
        <w:t xml:space="preserve">SCRs regarding alleged </w:t>
      </w:r>
      <w:r w:rsidR="00B91A7A">
        <w:t xml:space="preserve">coal </w:t>
      </w:r>
      <w:r w:rsidR="00B704A0">
        <w:t xml:space="preserve">costs increases under the </w:t>
      </w:r>
      <w:r w:rsidR="00120326">
        <w:t>Bridger Coal Company’s (BCC)</w:t>
      </w:r>
      <w:r w:rsidR="00B704A0">
        <w:t xml:space="preserve"> October 2013 mine plan.  </w:t>
      </w:r>
      <w:r w:rsidR="00B71FAF">
        <w:t>T</w:t>
      </w:r>
      <w:r w:rsidR="00B91A7A">
        <w:t>h</w:t>
      </w:r>
      <w:r w:rsidR="00B71FAF">
        <w:t xml:space="preserve">is testimony responds </w:t>
      </w:r>
      <w:r w:rsidR="00B91A7A">
        <w:t>to t</w:t>
      </w:r>
      <w:r w:rsidR="00B1034E">
        <w:t>he Company</w:t>
      </w:r>
      <w:r w:rsidR="008F5AB9">
        <w:t>’s</w:t>
      </w:r>
      <w:r w:rsidR="00B1034E">
        <w:t xml:space="preserve"> economic analysis showing that the </w:t>
      </w:r>
      <w:r w:rsidR="00B91A7A">
        <w:t>SCRs are</w:t>
      </w:r>
      <w:r w:rsidR="00B1034E">
        <w:t xml:space="preserve"> the most cost-effective way to comply with emissions requirements for Jim Bridger Units 3 and 4.</w:t>
      </w:r>
      <w:r w:rsidR="00B1034E">
        <w:rPr>
          <w:rStyle w:val="FootnoteReference"/>
        </w:rPr>
        <w:footnoteReference w:id="4"/>
      </w:r>
      <w:r w:rsidR="00B1034E">
        <w:t xml:space="preserve">  </w:t>
      </w:r>
    </w:p>
    <w:p w:rsidR="008C38DA" w:rsidRDefault="00B71FAF" w:rsidP="005D7823">
      <w:pPr>
        <w:pStyle w:val="Washingtonparagraph"/>
        <w:numPr>
          <w:ilvl w:val="0"/>
          <w:numId w:val="1"/>
        </w:numPr>
        <w:tabs>
          <w:tab w:val="num" w:pos="720"/>
        </w:tabs>
        <w:ind w:hanging="720"/>
      </w:pPr>
      <w:r>
        <w:tab/>
      </w:r>
      <w:r w:rsidR="00830C2F">
        <w:t xml:space="preserve">In Order 09, the ALJ </w:t>
      </w:r>
      <w:r w:rsidR="00E808DE">
        <w:t xml:space="preserve">set </w:t>
      </w:r>
      <w:r w:rsidR="00B723D1">
        <w:t>a</w:t>
      </w:r>
      <w:r w:rsidR="00E808DE">
        <w:t xml:space="preserve"> schedule for Staff’s supplemental testimony.  The ALJ </w:t>
      </w:r>
      <w:r w:rsidR="00830C2F">
        <w:t>allow</w:t>
      </w:r>
      <w:r w:rsidR="00E808DE">
        <w:t xml:space="preserve">ed </w:t>
      </w:r>
      <w:r w:rsidR="00830C2F">
        <w:t>Pacific Power to file supplemental rebuttal testimony</w:t>
      </w:r>
      <w:r w:rsidR="00B1034E">
        <w:t xml:space="preserve"> and</w:t>
      </w:r>
      <w:r w:rsidR="00830C2F">
        <w:t xml:space="preserve"> allowed other parties to file cross-answering testimony re</w:t>
      </w:r>
      <w:r w:rsidR="00E808DE">
        <w:t>sponding to S</w:t>
      </w:r>
      <w:r w:rsidR="00830C2F">
        <w:t>taff’s supplemental testimony and exhibits.</w:t>
      </w:r>
      <w:r>
        <w:t xml:space="preserve">  </w:t>
      </w:r>
      <w:r w:rsidR="00B91A7A">
        <w:t>On</w:t>
      </w:r>
      <w:r w:rsidR="00F43D79">
        <w:t xml:space="preserve"> May 6,</w:t>
      </w:r>
      <w:r w:rsidR="00B91A7A">
        <w:t xml:space="preserve"> </w:t>
      </w:r>
      <w:r w:rsidR="00F43D79">
        <w:t xml:space="preserve">2016, </w:t>
      </w:r>
      <w:r w:rsidR="00B91A7A">
        <w:t xml:space="preserve">Staff filed </w:t>
      </w:r>
      <w:r w:rsidR="00E808DE">
        <w:t xml:space="preserve">its </w:t>
      </w:r>
      <w:r w:rsidR="00B91A7A">
        <w:t>supplem</w:t>
      </w:r>
      <w:r w:rsidR="00F43D79">
        <w:t xml:space="preserve">ental testimony </w:t>
      </w:r>
      <w:r w:rsidR="008F5AB9">
        <w:t>on a</w:t>
      </w:r>
      <w:r w:rsidR="00F43D79">
        <w:t xml:space="preserve">lleged cost increases </w:t>
      </w:r>
      <w:r w:rsidR="00E808DE">
        <w:t xml:space="preserve">under </w:t>
      </w:r>
      <w:r w:rsidR="00120326">
        <w:t xml:space="preserve">the </w:t>
      </w:r>
      <w:r w:rsidR="00F43D79">
        <w:t xml:space="preserve">October 2013 mine plan.  On May 13, </w:t>
      </w:r>
      <w:r w:rsidR="00E532D9">
        <w:t>2016</w:t>
      </w:r>
      <w:r w:rsidR="00F43D79">
        <w:t xml:space="preserve">, Pacific Power filed </w:t>
      </w:r>
      <w:r w:rsidR="00E808DE">
        <w:t xml:space="preserve">its </w:t>
      </w:r>
      <w:r w:rsidR="00F43D79">
        <w:t>supplemental rebuttal</w:t>
      </w:r>
      <w:r w:rsidR="008F5AB9">
        <w:t xml:space="preserve"> testimony</w:t>
      </w:r>
      <w:r w:rsidR="00F43D79">
        <w:t xml:space="preserve">.  </w:t>
      </w:r>
    </w:p>
    <w:p w:rsidR="00196F32" w:rsidRDefault="002D5326">
      <w:pPr>
        <w:pStyle w:val="Washingtonparagraph"/>
        <w:numPr>
          <w:ilvl w:val="0"/>
          <w:numId w:val="1"/>
        </w:numPr>
        <w:tabs>
          <w:tab w:val="num" w:pos="720"/>
        </w:tabs>
        <w:ind w:hanging="720"/>
      </w:pPr>
      <w:r>
        <w:tab/>
        <w:t xml:space="preserve">On May 13, </w:t>
      </w:r>
      <w:r w:rsidR="00E532D9">
        <w:t>2016</w:t>
      </w:r>
      <w:r>
        <w:t xml:space="preserve">, Sierra Club filed </w:t>
      </w:r>
      <w:r w:rsidR="000D7D5D">
        <w:t xml:space="preserve">its supplemental </w:t>
      </w:r>
      <w:r>
        <w:t xml:space="preserve">cross-answering testimony.  </w:t>
      </w:r>
      <w:r w:rsidR="00196F32">
        <w:t>Sierra Club’s cross-answering testimony is in Section II of Dr. Fisher’s testimony, entitled “Staff’s Supplemental Testimony.”</w:t>
      </w:r>
      <w:r w:rsidR="00E808DE">
        <w:rPr>
          <w:rStyle w:val="FootnoteReference"/>
        </w:rPr>
        <w:footnoteReference w:id="5"/>
      </w:r>
      <w:r w:rsidR="00196F32">
        <w:t xml:space="preserve">  While Sierra Club’s cross-answering testimony is very broad (and </w:t>
      </w:r>
      <w:r w:rsidR="0094460D">
        <w:t xml:space="preserve">includes </w:t>
      </w:r>
      <w:r w:rsidR="00196F32">
        <w:t>some arguably improper responses to Pacific Power’s rebuttal),</w:t>
      </w:r>
      <w:r w:rsidR="00711CEF">
        <w:rPr>
          <w:rStyle w:val="FootnoteReference"/>
        </w:rPr>
        <w:footnoteReference w:id="6"/>
      </w:r>
      <w:r w:rsidR="00196F32">
        <w:t xml:space="preserve"> the Company does not object to this testimony</w:t>
      </w:r>
      <w:r w:rsidR="0094460D">
        <w:t xml:space="preserve"> as procedurally improper</w:t>
      </w:r>
      <w:r w:rsidR="00196F32">
        <w:t xml:space="preserve">.   </w:t>
      </w:r>
    </w:p>
    <w:p w:rsidR="002D5326" w:rsidRDefault="00196F32">
      <w:pPr>
        <w:pStyle w:val="Washingtonparagraph"/>
        <w:numPr>
          <w:ilvl w:val="0"/>
          <w:numId w:val="1"/>
        </w:numPr>
        <w:tabs>
          <w:tab w:val="num" w:pos="720"/>
        </w:tabs>
        <w:ind w:hanging="720"/>
      </w:pPr>
      <w:r>
        <w:tab/>
        <w:t xml:space="preserve">Sierra Club’s improper supplemental testimony is in Section III of Dr. Fisher’s </w:t>
      </w:r>
      <w:r w:rsidR="00E70C9D">
        <w:t>testimony</w:t>
      </w:r>
      <w:r>
        <w:t>, entitled “Analysis of Four-Unit and Two-Unit Scenarios.”</w:t>
      </w:r>
      <w:r w:rsidR="00711CEF">
        <w:rPr>
          <w:rStyle w:val="FootnoteReference"/>
        </w:rPr>
        <w:footnoteReference w:id="7"/>
      </w:r>
      <w:r>
        <w:t xml:space="preserve">  In this section, </w:t>
      </w:r>
      <w:r w:rsidR="002D5326">
        <w:t xml:space="preserve">Sierra Club sponsored </w:t>
      </w:r>
      <w:r w:rsidR="00A93A3B">
        <w:t>a</w:t>
      </w:r>
      <w:r>
        <w:t>n all-new</w:t>
      </w:r>
      <w:r w:rsidR="00A93A3B">
        <w:t xml:space="preserve"> </w:t>
      </w:r>
      <w:r w:rsidR="002D5326">
        <w:t>“alternative” SCR analysis.</w:t>
      </w:r>
      <w:r w:rsidR="008F5AB9">
        <w:rPr>
          <w:rStyle w:val="FootnoteReference"/>
        </w:rPr>
        <w:footnoteReference w:id="8"/>
      </w:r>
      <w:r w:rsidR="002D5326">
        <w:t xml:space="preserve">  Sierra Club’s original analysis was based on </w:t>
      </w:r>
      <w:r w:rsidR="00711CEF">
        <w:t xml:space="preserve">the Company’s </w:t>
      </w:r>
      <w:r w:rsidR="002D5326">
        <w:t xml:space="preserve">2015 </w:t>
      </w:r>
      <w:r w:rsidR="00E77890">
        <w:t>integrated resource plan</w:t>
      </w:r>
      <w:r w:rsidR="00711CEF">
        <w:t xml:space="preserve"> </w:t>
      </w:r>
      <w:r w:rsidR="002D5326">
        <w:t>long-term fueling plan</w:t>
      </w:r>
      <w:r w:rsidR="00711CEF">
        <w:t xml:space="preserve"> (which was developed using a </w:t>
      </w:r>
      <w:r w:rsidR="00B71FAF">
        <w:t xml:space="preserve">BCC </w:t>
      </w:r>
      <w:r w:rsidR="00711CEF">
        <w:t>mine plan from July 2014)</w:t>
      </w:r>
      <w:r w:rsidR="002D5326">
        <w:t>.</w:t>
      </w:r>
      <w:r w:rsidR="00711CEF">
        <w:rPr>
          <w:rStyle w:val="FootnoteReference"/>
        </w:rPr>
        <w:footnoteReference w:id="9"/>
      </w:r>
      <w:r w:rsidR="002D5326">
        <w:t xml:space="preserve">  Sierra Club’s </w:t>
      </w:r>
      <w:r w:rsidR="000D7D5D">
        <w:t>“revised”</w:t>
      </w:r>
      <w:r w:rsidR="002D5326">
        <w:t xml:space="preserve"> analysis is based on the October 2013 mine plan</w:t>
      </w:r>
      <w:r w:rsidR="008F5AB9">
        <w:t xml:space="preserve"> and differs from its original analysis in all material respects</w:t>
      </w:r>
      <w:r w:rsidR="002D5326">
        <w:t>.</w:t>
      </w:r>
      <w:r w:rsidR="008F5AB9">
        <w:rPr>
          <w:rStyle w:val="FootnoteReference"/>
        </w:rPr>
        <w:footnoteReference w:id="10"/>
      </w:r>
      <w:r w:rsidR="002D5326">
        <w:t xml:space="preserve">  Sierra Club </w:t>
      </w:r>
      <w:r w:rsidR="008F5AB9">
        <w:t xml:space="preserve">also </w:t>
      </w:r>
      <w:r w:rsidR="002D5326">
        <w:t xml:space="preserve">acknowledges that its </w:t>
      </w:r>
      <w:r w:rsidR="000D7D5D">
        <w:t>“re</w:t>
      </w:r>
      <w:r w:rsidR="000D17FA">
        <w:t>-analysis”</w:t>
      </w:r>
      <w:r w:rsidR="002D5326">
        <w:t xml:space="preserve"> </w:t>
      </w:r>
      <w:r w:rsidR="00A93A3B">
        <w:t>uses “a completely different methodology</w:t>
      </w:r>
      <w:r w:rsidR="008F5AB9">
        <w:t xml:space="preserve">” than </w:t>
      </w:r>
      <w:r w:rsidR="00A93A3B">
        <w:t>Staff</w:t>
      </w:r>
      <w:r w:rsidR="006472B3">
        <w:t>’s</w:t>
      </w:r>
      <w:r w:rsidR="00A93A3B">
        <w:t>.</w:t>
      </w:r>
      <w:r w:rsidR="008F5AB9">
        <w:rPr>
          <w:rStyle w:val="FootnoteReference"/>
        </w:rPr>
        <w:footnoteReference w:id="11"/>
      </w:r>
      <w:r w:rsidR="002D5326">
        <w:t xml:space="preserve">    </w:t>
      </w:r>
      <w:r w:rsidR="00132810">
        <w:tab/>
      </w:r>
    </w:p>
    <w:p w:rsidR="000D17FA" w:rsidRDefault="000D7D5D" w:rsidP="00492F00">
      <w:pPr>
        <w:pStyle w:val="Washingtonparagraph"/>
        <w:numPr>
          <w:ilvl w:val="0"/>
          <w:numId w:val="1"/>
        </w:numPr>
        <w:tabs>
          <w:tab w:val="num" w:pos="720"/>
        </w:tabs>
        <w:ind w:hanging="720"/>
      </w:pPr>
      <w:r>
        <w:tab/>
      </w:r>
      <w:r w:rsidR="00F61B02">
        <w:t xml:space="preserve">Unlike Staff, Sierra Club never </w:t>
      </w:r>
      <w:r w:rsidR="00BE0193">
        <w:t>requested nor</w:t>
      </w:r>
      <w:r w:rsidR="00F61B02">
        <w:t xml:space="preserve"> received permission to file supplemental testimony.  </w:t>
      </w:r>
      <w:r>
        <w:t>Sierra Club attempts to justify the wholesale revision</w:t>
      </w:r>
      <w:r w:rsidR="00711CEF">
        <w:t xml:space="preserve"> of its </w:t>
      </w:r>
      <w:r>
        <w:t xml:space="preserve">analysis on the basis that Staff’s </w:t>
      </w:r>
      <w:r w:rsidR="00D71476">
        <w:t xml:space="preserve">supplemental testimony </w:t>
      </w:r>
      <w:r w:rsidR="00946E59">
        <w:t>clarified the Company’s previous discovery on capital</w:t>
      </w:r>
      <w:r w:rsidR="00D71476">
        <w:t xml:space="preserve"> expenditures</w:t>
      </w:r>
      <w:r w:rsidR="00946E59">
        <w:t xml:space="preserve">, </w:t>
      </w:r>
      <w:r w:rsidR="00D71476">
        <w:t>includ</w:t>
      </w:r>
      <w:r w:rsidR="006472B3">
        <w:t>ing</w:t>
      </w:r>
      <w:r w:rsidR="00D71476">
        <w:t xml:space="preserve"> </w:t>
      </w:r>
      <w:r w:rsidR="00946E59">
        <w:t xml:space="preserve">those </w:t>
      </w:r>
      <w:r w:rsidR="00D71476">
        <w:t xml:space="preserve">in the October 2013 mine plan. </w:t>
      </w:r>
      <w:r w:rsidR="007E55FB">
        <w:t xml:space="preserve"> </w:t>
      </w:r>
      <w:r w:rsidR="003E68B7">
        <w:t xml:space="preserve">Dr. Fisher’s extensive testimony on this issue in other proceedings undermines </w:t>
      </w:r>
      <w:r w:rsidR="00F13BE7">
        <w:t>this claim</w:t>
      </w:r>
      <w:r w:rsidR="003E68B7">
        <w:t xml:space="preserve">.  </w:t>
      </w:r>
      <w:r w:rsidR="00C2256F">
        <w:t>Sierra Club’s witness has been involved in three previous</w:t>
      </w:r>
      <w:r w:rsidR="003633EE">
        <w:t>ly</w:t>
      </w:r>
      <w:r w:rsidR="00C2256F">
        <w:t xml:space="preserve"> </w:t>
      </w:r>
      <w:r w:rsidR="003D606C">
        <w:t>litigated</w:t>
      </w:r>
      <w:r w:rsidR="00C2256F">
        <w:t xml:space="preserve"> cases involving the </w:t>
      </w:r>
      <w:r w:rsidR="00C16F26">
        <w:t xml:space="preserve">Jim Bridger Units 3 and 4 </w:t>
      </w:r>
      <w:r w:rsidR="00647BDC">
        <w:t xml:space="preserve">SCRs, including one case in which </w:t>
      </w:r>
      <w:r w:rsidR="003E68B7">
        <w:t xml:space="preserve">Dr. Fisher </w:t>
      </w:r>
      <w:r w:rsidR="00647BDC">
        <w:t>unsuccessfully challenged the SCRs based on the October 2013 mine plan</w:t>
      </w:r>
      <w:r w:rsidR="001561EF">
        <w:t>.</w:t>
      </w:r>
      <w:r w:rsidR="003D606C">
        <w:rPr>
          <w:rStyle w:val="FootnoteReference"/>
        </w:rPr>
        <w:footnoteReference w:id="12"/>
      </w:r>
      <w:r w:rsidR="001561EF">
        <w:t xml:space="preserve">  Sierra Club has also </w:t>
      </w:r>
      <w:r w:rsidR="003633EE">
        <w:t>participated extensively in the Company’s 2013 and 2015 Integrated Resource Planning processes, which have also included much of the same analysis.</w:t>
      </w:r>
      <w:r w:rsidR="003633EE">
        <w:rPr>
          <w:rStyle w:val="FootnoteReference"/>
        </w:rPr>
        <w:footnoteReference w:id="13"/>
      </w:r>
      <w:r w:rsidR="00C2256F">
        <w:t xml:space="preserve">  </w:t>
      </w:r>
      <w:r w:rsidR="003E68B7">
        <w:t>I</w:t>
      </w:r>
      <w:r w:rsidR="00E70C9D">
        <w:t>rrespective</w:t>
      </w:r>
      <w:r w:rsidR="00F61B02">
        <w:t xml:space="preserve"> of the merits of </w:t>
      </w:r>
      <w:r w:rsidR="00C2256F">
        <w:t>Sierra Club’s claim</w:t>
      </w:r>
      <w:r w:rsidR="00F61B02">
        <w:t xml:space="preserve">, it is improper for Sierra Club to unilaterally expand the scope of its cross-answering testimony to include </w:t>
      </w:r>
      <w:r w:rsidR="000D17FA">
        <w:t xml:space="preserve">an entirely </w:t>
      </w:r>
      <w:r w:rsidR="00F61B02">
        <w:t xml:space="preserve">new </w:t>
      </w:r>
      <w:r w:rsidR="000D17FA">
        <w:t>analytical framework</w:t>
      </w:r>
      <w:r w:rsidR="00196F32">
        <w:t xml:space="preserve"> at this stage of the case.</w:t>
      </w:r>
    </w:p>
    <w:p w:rsidR="00F61B02" w:rsidRDefault="000D17FA" w:rsidP="00722D8F">
      <w:pPr>
        <w:pStyle w:val="Washingtonparagraph"/>
        <w:numPr>
          <w:ilvl w:val="0"/>
          <w:numId w:val="1"/>
        </w:numPr>
        <w:tabs>
          <w:tab w:val="num" w:pos="720"/>
        </w:tabs>
        <w:ind w:hanging="720"/>
      </w:pPr>
      <w:r>
        <w:tab/>
      </w:r>
      <w:r w:rsidR="00196F32">
        <w:t xml:space="preserve">In Order 09, the ALJ set </w:t>
      </w:r>
      <w:r w:rsidR="00B723D1">
        <w:t>a</w:t>
      </w:r>
      <w:r w:rsidR="0094460D">
        <w:t xml:space="preserve"> </w:t>
      </w:r>
      <w:r w:rsidR="00196F32">
        <w:t>schedule allow</w:t>
      </w:r>
      <w:r w:rsidR="006472B3">
        <w:t>ing</w:t>
      </w:r>
      <w:r w:rsidR="00196F32">
        <w:t xml:space="preserve"> </w:t>
      </w:r>
      <w:r w:rsidR="00711CEF">
        <w:t xml:space="preserve">Staff to file supplemental testimony and </w:t>
      </w:r>
      <w:r w:rsidR="00196F32">
        <w:t xml:space="preserve">the Company </w:t>
      </w:r>
      <w:r w:rsidR="00711CEF">
        <w:t>to</w:t>
      </w:r>
      <w:r w:rsidR="00196F32">
        <w:t xml:space="preserve"> </w:t>
      </w:r>
      <w:r w:rsidR="0094460D">
        <w:t xml:space="preserve">file </w:t>
      </w:r>
      <w:r w:rsidR="00711CEF">
        <w:t>supplemental rebuttal</w:t>
      </w:r>
      <w:r w:rsidR="0094460D">
        <w:t xml:space="preserve">, </w:t>
      </w:r>
      <w:r w:rsidR="00711CEF">
        <w:t xml:space="preserve">with </w:t>
      </w:r>
      <w:r w:rsidR="0094460D">
        <w:t>di</w:t>
      </w:r>
      <w:r w:rsidR="00711CEF">
        <w:t>s</w:t>
      </w:r>
      <w:r w:rsidR="0094460D">
        <w:t>covery</w:t>
      </w:r>
      <w:r w:rsidR="00711CEF">
        <w:t xml:space="preserve"> for both parties</w:t>
      </w:r>
      <w:r w:rsidR="0094460D">
        <w:t xml:space="preserve">.  </w:t>
      </w:r>
      <w:r w:rsidR="00722D8F">
        <w:t xml:space="preserve">If </w:t>
      </w:r>
      <w:r w:rsidR="0094460D">
        <w:t xml:space="preserve">Sierra Club </w:t>
      </w:r>
      <w:r w:rsidR="00722D8F">
        <w:t>had</w:t>
      </w:r>
      <w:r w:rsidR="0094460D">
        <w:t xml:space="preserve"> joined in Staff’s motion for leave to file supplemental testimony</w:t>
      </w:r>
      <w:r w:rsidR="006472B3">
        <w:t xml:space="preserve">, presumably the </w:t>
      </w:r>
      <w:r w:rsidR="00722D8F">
        <w:t xml:space="preserve">ALJ </w:t>
      </w:r>
      <w:r w:rsidR="006472B3">
        <w:t xml:space="preserve">would </w:t>
      </w:r>
      <w:r w:rsidR="00C66AAB">
        <w:t>have provided the same process</w:t>
      </w:r>
      <w:r w:rsidR="00B71FAF">
        <w:t>es</w:t>
      </w:r>
      <w:r w:rsidR="00C66AAB">
        <w:t xml:space="preserve"> as a condition of granting Sierra Club’s motion</w:t>
      </w:r>
      <w:r w:rsidR="00722D8F">
        <w:t xml:space="preserve">.  By </w:t>
      </w:r>
      <w:r w:rsidR="00B71FAF">
        <w:t>instead adding</w:t>
      </w:r>
      <w:r w:rsidR="00722D8F">
        <w:t xml:space="preserve"> Section III </w:t>
      </w:r>
      <w:r w:rsidR="00B71FAF">
        <w:t>to</w:t>
      </w:r>
      <w:r w:rsidR="00722D8F">
        <w:t xml:space="preserve"> Dr. Fisher’s cross-answering testimony, Sierra Club has eliminated </w:t>
      </w:r>
      <w:r w:rsidR="00C66AAB">
        <w:t xml:space="preserve">these </w:t>
      </w:r>
      <w:r w:rsidR="00B71FAF">
        <w:t>procedural safeguards</w:t>
      </w:r>
      <w:r w:rsidR="00722D8F">
        <w:t xml:space="preserve"> and thwarted the orderly development of the record.   </w:t>
      </w:r>
    </w:p>
    <w:p w:rsidR="00F61B02" w:rsidRDefault="006472B3" w:rsidP="003F46DA">
      <w:pPr>
        <w:pStyle w:val="Washingtonparagraph"/>
        <w:numPr>
          <w:ilvl w:val="0"/>
          <w:numId w:val="1"/>
        </w:numPr>
        <w:tabs>
          <w:tab w:val="num" w:pos="720"/>
        </w:tabs>
        <w:ind w:hanging="720"/>
      </w:pPr>
      <w:r>
        <w:tab/>
        <w:t>As an alternative</w:t>
      </w:r>
      <w:r w:rsidR="00B723D1">
        <w:t xml:space="preserve"> to it</w:t>
      </w:r>
      <w:r w:rsidR="00120326">
        <w:t>s</w:t>
      </w:r>
      <w:r w:rsidR="00B723D1">
        <w:t xml:space="preserve"> motion to strike</w:t>
      </w:r>
      <w:r w:rsidR="00C66AAB">
        <w:t xml:space="preserve">, </w:t>
      </w:r>
      <w:r>
        <w:t>the Company requests an opportunity to present brief, live testimony from Ms. Cindy Crane</w:t>
      </w:r>
      <w:r w:rsidR="00C66AAB">
        <w:t xml:space="preserve"> rebutting Section III of Dr. Fisher’s </w:t>
      </w:r>
      <w:r w:rsidR="00E70C9D">
        <w:t>testimony</w:t>
      </w:r>
      <w:r w:rsidR="00E15119">
        <w:t xml:space="preserve"> at the evidentiary hearing on June 1, 2016</w:t>
      </w:r>
      <w:r>
        <w:t xml:space="preserve">.  Given the broad </w:t>
      </w:r>
      <w:r w:rsidR="00120326">
        <w:t xml:space="preserve">and technical </w:t>
      </w:r>
      <w:r>
        <w:t>scope of Section III</w:t>
      </w:r>
      <w:r w:rsidR="00120326">
        <w:t xml:space="preserve"> a</w:t>
      </w:r>
      <w:r>
        <w:t xml:space="preserve">nd the </w:t>
      </w:r>
      <w:r w:rsidR="00120326">
        <w:t>myriad problems in Dr. Fisher’s analysis</w:t>
      </w:r>
      <w:r>
        <w:t xml:space="preserve">, </w:t>
      </w:r>
      <w:r w:rsidR="00120326">
        <w:t xml:space="preserve">live rebuttal is </w:t>
      </w:r>
      <w:r>
        <w:t xml:space="preserve">the </w:t>
      </w:r>
      <w:r w:rsidR="00120326">
        <w:t xml:space="preserve">only effective way for the Company to respond to it.  Without live rebuttal from the Company, the record in this case will be incomplete and inaccurate.  </w:t>
      </w:r>
    </w:p>
    <w:p w:rsidR="008C38DA" w:rsidRDefault="00E70C9D">
      <w:pPr>
        <w:spacing w:line="480" w:lineRule="auto"/>
        <w:jc w:val="center"/>
      </w:pPr>
      <w:r>
        <w:rPr>
          <w:b/>
        </w:rPr>
        <w:t>III.</w:t>
      </w:r>
      <w:r>
        <w:rPr>
          <w:b/>
        </w:rPr>
        <w:tab/>
      </w:r>
      <w:r w:rsidR="00132810">
        <w:rPr>
          <w:b/>
        </w:rPr>
        <w:t>CONCLUSION</w:t>
      </w:r>
    </w:p>
    <w:p w:rsidR="00A97B96" w:rsidRPr="00A97B96" w:rsidRDefault="00132810">
      <w:pPr>
        <w:pStyle w:val="Washingtonparagraph"/>
        <w:numPr>
          <w:ilvl w:val="0"/>
          <w:numId w:val="1"/>
        </w:numPr>
        <w:tabs>
          <w:tab w:val="num" w:pos="720"/>
        </w:tabs>
        <w:ind w:hanging="720"/>
        <w:rPr>
          <w:b/>
        </w:rPr>
      </w:pPr>
      <w:r>
        <w:tab/>
        <w:t xml:space="preserve"> </w:t>
      </w:r>
      <w:r w:rsidR="00C66AAB">
        <w:t xml:space="preserve">To ensure an orderly record and procedural fairness, Pacific Power requests that the Commission strike Section III of Dr. Fisher’s cross-answering testimony on behalf of </w:t>
      </w:r>
    </w:p>
    <w:p w:rsidR="008C38DA" w:rsidRDefault="00C66AAB" w:rsidP="00A97B96">
      <w:pPr>
        <w:pStyle w:val="Washingtonparagraph"/>
        <w:rPr>
          <w:b/>
        </w:rPr>
      </w:pPr>
      <w:r>
        <w:t xml:space="preserve">Sierra Club.  In the alternative, Pacific Power requests an opportunity to present live rebuttal testimony from Ms. Cindy Crane responding to Section III.  </w:t>
      </w:r>
    </w:p>
    <w:p w:rsidR="008C38DA" w:rsidRDefault="00132810">
      <w:pPr>
        <w:pStyle w:val="WAP1"/>
      </w:pPr>
      <w:r>
        <w:t>Respectfully submitted this 2</w:t>
      </w:r>
      <w:r w:rsidR="00E808DE">
        <w:t>4</w:t>
      </w:r>
      <w:r>
        <w:rPr>
          <w:vertAlign w:val="superscript"/>
        </w:rPr>
        <w:t>th</w:t>
      </w:r>
      <w:r>
        <w:t xml:space="preserve"> day of</w:t>
      </w:r>
      <w:r w:rsidR="00E808DE">
        <w:t xml:space="preserve"> May</w:t>
      </w:r>
      <w:r>
        <w:t>, 2016.</w:t>
      </w:r>
    </w:p>
    <w:p w:rsidR="008C38DA" w:rsidRDefault="008C38DA">
      <w:pPr>
        <w:tabs>
          <w:tab w:val="left" w:pos="720"/>
          <w:tab w:val="left" w:pos="1800"/>
          <w:tab w:val="left" w:pos="4320"/>
        </w:tabs>
        <w:spacing w:line="500" w:lineRule="exact"/>
        <w:ind w:hanging="720"/>
        <w:jc w:val="both"/>
      </w:pPr>
    </w:p>
    <w:p w:rsidR="008C38DA" w:rsidRDefault="00132810">
      <w:pPr>
        <w:tabs>
          <w:tab w:val="left" w:pos="720"/>
          <w:tab w:val="left" w:pos="4320"/>
        </w:tabs>
        <w:ind w:left="5400" w:hanging="720"/>
      </w:pPr>
      <w:r>
        <w:t>___________________________</w:t>
      </w:r>
    </w:p>
    <w:p w:rsidR="008C38DA" w:rsidRDefault="00132810">
      <w:pPr>
        <w:pStyle w:val="normalblock"/>
        <w:keepNext/>
        <w:keepLines/>
        <w:tabs>
          <w:tab w:val="left" w:pos="720"/>
          <w:tab w:val="left" w:pos="4140"/>
          <w:tab w:val="left" w:pos="4320"/>
        </w:tabs>
        <w:spacing w:line="240" w:lineRule="auto"/>
        <w:ind w:left="5400" w:hanging="720"/>
        <w:outlineLvl w:val="0"/>
        <w:rPr>
          <w:szCs w:val="24"/>
        </w:rPr>
      </w:pPr>
      <w:r>
        <w:rPr>
          <w:szCs w:val="24"/>
        </w:rPr>
        <w:t>Katherine A. McDowell</w:t>
      </w:r>
    </w:p>
    <w:p w:rsidR="008C38DA" w:rsidRDefault="00132810">
      <w:pPr>
        <w:pStyle w:val="normalblock"/>
        <w:keepNext/>
        <w:keepLines/>
        <w:tabs>
          <w:tab w:val="left" w:pos="720"/>
          <w:tab w:val="left" w:pos="4140"/>
          <w:tab w:val="left" w:pos="4320"/>
        </w:tabs>
        <w:spacing w:line="240" w:lineRule="auto"/>
        <w:ind w:left="5400" w:hanging="720"/>
        <w:rPr>
          <w:szCs w:val="24"/>
        </w:rPr>
      </w:pPr>
      <w:r>
        <w:rPr>
          <w:szCs w:val="24"/>
        </w:rPr>
        <w:t>McDowell Rackner &amp; Gibson PC</w:t>
      </w:r>
    </w:p>
    <w:p w:rsidR="008C38DA" w:rsidRDefault="00132810">
      <w:pPr>
        <w:pStyle w:val="normalblock"/>
        <w:keepNext/>
        <w:keepLines/>
        <w:tabs>
          <w:tab w:val="left" w:pos="720"/>
          <w:tab w:val="left" w:pos="4140"/>
          <w:tab w:val="left" w:pos="4320"/>
        </w:tabs>
        <w:spacing w:line="240" w:lineRule="auto"/>
        <w:ind w:left="5400" w:hanging="720"/>
        <w:rPr>
          <w:szCs w:val="24"/>
        </w:rPr>
      </w:pPr>
      <w:r>
        <w:rPr>
          <w:szCs w:val="24"/>
        </w:rPr>
        <w:t>419 SW 11</w:t>
      </w:r>
      <w:r>
        <w:rPr>
          <w:szCs w:val="24"/>
          <w:vertAlign w:val="superscript"/>
        </w:rPr>
        <w:t>th</w:t>
      </w:r>
      <w:r>
        <w:rPr>
          <w:szCs w:val="24"/>
        </w:rPr>
        <w:t xml:space="preserve"> Ave., Suite 400</w:t>
      </w:r>
    </w:p>
    <w:p w:rsidR="008C38DA" w:rsidRDefault="00132810">
      <w:pPr>
        <w:pStyle w:val="normalblock"/>
        <w:keepNext/>
        <w:keepLines/>
        <w:tabs>
          <w:tab w:val="left" w:pos="720"/>
          <w:tab w:val="left" w:pos="4140"/>
          <w:tab w:val="left" w:pos="4320"/>
        </w:tabs>
        <w:spacing w:line="240" w:lineRule="auto"/>
        <w:ind w:left="5400" w:hanging="720"/>
        <w:rPr>
          <w:szCs w:val="24"/>
        </w:rPr>
      </w:pPr>
      <w:r>
        <w:rPr>
          <w:szCs w:val="24"/>
        </w:rPr>
        <w:t>Portland, OR 97205</w:t>
      </w:r>
    </w:p>
    <w:p w:rsidR="008C38DA" w:rsidRDefault="00132810">
      <w:pPr>
        <w:pStyle w:val="normalblock"/>
        <w:keepNext/>
        <w:keepLines/>
        <w:tabs>
          <w:tab w:val="left" w:pos="720"/>
          <w:tab w:val="left" w:pos="4140"/>
          <w:tab w:val="left" w:pos="4320"/>
        </w:tabs>
        <w:spacing w:line="240" w:lineRule="auto"/>
        <w:ind w:left="5400" w:hanging="720"/>
        <w:rPr>
          <w:szCs w:val="24"/>
        </w:rPr>
      </w:pPr>
      <w:r>
        <w:rPr>
          <w:szCs w:val="24"/>
        </w:rPr>
        <w:t>Telephone:  (503) 595-3924</w:t>
      </w:r>
    </w:p>
    <w:p w:rsidR="008C38DA" w:rsidRDefault="00132810">
      <w:pPr>
        <w:pStyle w:val="normalblock"/>
        <w:keepNext/>
        <w:keepLines/>
        <w:tabs>
          <w:tab w:val="left" w:pos="720"/>
          <w:tab w:val="left" w:pos="4140"/>
          <w:tab w:val="left" w:pos="4320"/>
        </w:tabs>
        <w:spacing w:line="240" w:lineRule="auto"/>
        <w:ind w:left="5400" w:hanging="720"/>
        <w:rPr>
          <w:szCs w:val="24"/>
        </w:rPr>
      </w:pPr>
      <w:r>
        <w:rPr>
          <w:szCs w:val="24"/>
        </w:rPr>
        <w:t>Facsimile:  (503) 595-3928</w:t>
      </w:r>
    </w:p>
    <w:p w:rsidR="008C38DA" w:rsidRDefault="00132810">
      <w:pPr>
        <w:pStyle w:val="normalblock"/>
        <w:keepNext/>
        <w:keepLines/>
        <w:tabs>
          <w:tab w:val="left" w:pos="720"/>
          <w:tab w:val="left" w:pos="4140"/>
          <w:tab w:val="left" w:pos="4320"/>
        </w:tabs>
        <w:spacing w:line="240" w:lineRule="auto"/>
        <w:ind w:left="5400" w:hanging="720"/>
        <w:rPr>
          <w:szCs w:val="24"/>
        </w:rPr>
      </w:pPr>
      <w:r>
        <w:rPr>
          <w:szCs w:val="24"/>
        </w:rPr>
        <w:t xml:space="preserve">Email:  </w:t>
      </w:r>
      <w:hyperlink r:id="rId8" w:history="1">
        <w:r>
          <w:rPr>
            <w:rStyle w:val="Hyperlink"/>
            <w:szCs w:val="24"/>
          </w:rPr>
          <w:t>katherine@mcd-law.com</w:t>
        </w:r>
      </w:hyperlink>
      <w:r>
        <w:rPr>
          <w:szCs w:val="24"/>
        </w:rPr>
        <w:t xml:space="preserve">  </w:t>
      </w:r>
    </w:p>
    <w:p w:rsidR="008C38DA" w:rsidRDefault="008C38DA">
      <w:pPr>
        <w:pStyle w:val="plain"/>
        <w:tabs>
          <w:tab w:val="left" w:pos="720"/>
          <w:tab w:val="left" w:pos="4140"/>
          <w:tab w:val="left" w:pos="4320"/>
        </w:tabs>
        <w:ind w:left="5400" w:hanging="720"/>
        <w:rPr>
          <w:szCs w:val="24"/>
        </w:rPr>
      </w:pPr>
    </w:p>
    <w:p w:rsidR="008C38DA" w:rsidRDefault="00132810">
      <w:pPr>
        <w:pStyle w:val="normalblock"/>
        <w:keepNext/>
        <w:keepLines/>
        <w:tabs>
          <w:tab w:val="left" w:pos="720"/>
          <w:tab w:val="left" w:pos="4140"/>
          <w:tab w:val="left" w:pos="4320"/>
        </w:tabs>
        <w:spacing w:line="240" w:lineRule="auto"/>
        <w:ind w:left="5400" w:hanging="720"/>
        <w:rPr>
          <w:szCs w:val="24"/>
        </w:rPr>
      </w:pPr>
      <w:r>
        <w:rPr>
          <w:szCs w:val="24"/>
        </w:rPr>
        <w:t>Matthew McVee</w:t>
      </w:r>
    </w:p>
    <w:p w:rsidR="008C38DA" w:rsidRDefault="00132810">
      <w:pPr>
        <w:keepNext/>
        <w:keepLines/>
        <w:ind w:left="3960" w:firstLine="720"/>
        <w:rPr>
          <w:color w:val="000000" w:themeColor="text1"/>
        </w:rPr>
      </w:pPr>
      <w:r>
        <w:t>Assistant General Counsel</w:t>
      </w:r>
    </w:p>
    <w:p w:rsidR="008C38DA" w:rsidRDefault="00132810">
      <w:pPr>
        <w:keepNext/>
        <w:keepLines/>
        <w:ind w:left="4680"/>
        <w:rPr>
          <w:color w:val="000000" w:themeColor="text1"/>
        </w:rPr>
      </w:pPr>
      <w:r>
        <w:rPr>
          <w:color w:val="000000" w:themeColor="text1"/>
        </w:rPr>
        <w:t>825 NE Multnomah Street, Suite 1800</w:t>
      </w:r>
    </w:p>
    <w:p w:rsidR="008C38DA" w:rsidRDefault="00132810">
      <w:pPr>
        <w:keepNext/>
        <w:keepLines/>
        <w:ind w:left="3960" w:firstLine="720"/>
        <w:rPr>
          <w:color w:val="000000" w:themeColor="text1"/>
        </w:rPr>
      </w:pPr>
      <w:r>
        <w:rPr>
          <w:color w:val="000000" w:themeColor="text1"/>
        </w:rPr>
        <w:t>Portland, OR  97232</w:t>
      </w:r>
    </w:p>
    <w:p w:rsidR="008C38DA" w:rsidRDefault="00132810">
      <w:pPr>
        <w:keepNext/>
        <w:keepLines/>
        <w:ind w:left="3960" w:firstLine="720"/>
        <w:rPr>
          <w:color w:val="000000" w:themeColor="text1"/>
        </w:rPr>
      </w:pPr>
      <w:r>
        <w:rPr>
          <w:color w:val="000000" w:themeColor="text1"/>
        </w:rPr>
        <w:t>Phone: (503) 813-5585</w:t>
      </w:r>
    </w:p>
    <w:p w:rsidR="008C38DA" w:rsidRDefault="00132810">
      <w:pPr>
        <w:pStyle w:val="normalblock"/>
        <w:keepNext/>
        <w:keepLines/>
        <w:tabs>
          <w:tab w:val="left" w:pos="720"/>
          <w:tab w:val="left" w:pos="4140"/>
          <w:tab w:val="left" w:pos="4320"/>
        </w:tabs>
        <w:spacing w:line="240" w:lineRule="auto"/>
        <w:ind w:left="5400" w:hanging="720"/>
        <w:rPr>
          <w:szCs w:val="24"/>
        </w:rPr>
      </w:pPr>
      <w:r>
        <w:rPr>
          <w:color w:val="000000" w:themeColor="text1"/>
          <w:szCs w:val="24"/>
        </w:rPr>
        <w:t xml:space="preserve">Email:  </w:t>
      </w:r>
      <w:r>
        <w:rPr>
          <w:rStyle w:val="Hyperlink"/>
          <w:szCs w:val="24"/>
        </w:rPr>
        <w:t>matthew.mcvee@pacificorp.com</w:t>
      </w:r>
      <w:r>
        <w:rPr>
          <w:rStyle w:val="Hyperlink"/>
        </w:rPr>
        <w:t xml:space="preserve"> </w:t>
      </w:r>
    </w:p>
    <w:p w:rsidR="008C38DA" w:rsidRDefault="008C38DA">
      <w:pPr>
        <w:spacing w:line="480" w:lineRule="auto"/>
        <w:ind w:firstLine="720"/>
      </w:pPr>
    </w:p>
    <w:p w:rsidR="008C38DA" w:rsidRDefault="008C38DA">
      <w:pPr>
        <w:spacing w:line="480" w:lineRule="auto"/>
        <w:ind w:firstLine="720"/>
      </w:pPr>
    </w:p>
    <w:sectPr w:rsidR="008C38DA">
      <w:footerReference w:type="even" r:id="rId9"/>
      <w:footerReference w:type="default" r:id="rId10"/>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CA" w:rsidRDefault="00B771CA">
      <w:r>
        <w:separator/>
      </w:r>
    </w:p>
  </w:endnote>
  <w:endnote w:type="continuationSeparator" w:id="0">
    <w:p w:rsidR="00B771CA" w:rsidRDefault="00B771CA">
      <w:r>
        <w:continuationSeparator/>
      </w:r>
    </w:p>
  </w:endnote>
  <w:endnote w:type="continuationNotice" w:id="1">
    <w:p w:rsidR="00B771CA" w:rsidRDefault="00B77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DA" w:rsidRDefault="00132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38DA" w:rsidRDefault="008C38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DA" w:rsidRDefault="008C38DA">
    <w:pPr>
      <w:pStyle w:val="Footer"/>
      <w:ind w:right="360"/>
    </w:pPr>
  </w:p>
  <w:p w:rsidR="008C38DA" w:rsidRDefault="00132810">
    <w:pPr>
      <w:pStyle w:val="Footer"/>
      <w:ind w:right="360"/>
    </w:pPr>
    <w:r>
      <w:t>Docket No. UE-152253</w:t>
    </w:r>
  </w:p>
  <w:p w:rsidR="008C38DA" w:rsidRDefault="00132810">
    <w:pPr>
      <w:pStyle w:val="Footer"/>
      <w:tabs>
        <w:tab w:val="clear" w:pos="4320"/>
        <w:tab w:val="center" w:pos="4500"/>
      </w:tabs>
      <w:ind w:right="360"/>
      <w:rPr>
        <w:rStyle w:val="PageNumber"/>
      </w:rPr>
    </w:pPr>
    <w:r>
      <w:t xml:space="preserve">Pacific Power’s Motion </w:t>
    </w:r>
    <w:r w:rsidR="00FB343C">
      <w:t>re Sierra Club</w:t>
    </w:r>
    <w:r w:rsidR="00F3201B">
      <w:t>’s</w:t>
    </w:r>
    <w:r w:rsidR="00FB343C">
      <w:t xml:space="preserve"> </w:t>
    </w:r>
    <w:r w:rsidR="00E840A4">
      <w:br/>
    </w:r>
    <w:r w:rsidR="00C16F26">
      <w:t xml:space="preserve">Supplemental </w:t>
    </w:r>
    <w:r w:rsidR="00FB343C">
      <w:t>Cross-Answering Testimony</w:t>
    </w:r>
    <w:r>
      <w:tab/>
    </w:r>
    <w:r>
      <w:tab/>
    </w:r>
    <w:r>
      <w:rPr>
        <w:rStyle w:val="PageNumber"/>
      </w:rPr>
      <w:fldChar w:fldCharType="begin"/>
    </w:r>
    <w:r>
      <w:rPr>
        <w:rStyle w:val="PageNumber"/>
      </w:rPr>
      <w:instrText xml:space="preserve">PAGE  </w:instrText>
    </w:r>
    <w:r>
      <w:rPr>
        <w:rStyle w:val="PageNumber"/>
      </w:rPr>
      <w:fldChar w:fldCharType="separate"/>
    </w:r>
    <w:r w:rsidR="00A348F0">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CA" w:rsidRDefault="00B771CA">
      <w:r>
        <w:separator/>
      </w:r>
    </w:p>
  </w:footnote>
  <w:footnote w:type="continuationSeparator" w:id="0">
    <w:p w:rsidR="00B771CA" w:rsidRDefault="00B771CA">
      <w:r>
        <w:continuationSeparator/>
      </w:r>
    </w:p>
  </w:footnote>
  <w:footnote w:type="continuationNotice" w:id="1">
    <w:p w:rsidR="00B771CA" w:rsidRDefault="00B771CA"/>
  </w:footnote>
  <w:footnote w:id="2">
    <w:p w:rsidR="00E808DE" w:rsidRDefault="00E808DE">
      <w:pPr>
        <w:pStyle w:val="FootnoteText"/>
      </w:pPr>
      <w:r>
        <w:rPr>
          <w:rStyle w:val="FootnoteReference"/>
        </w:rPr>
        <w:footnoteRef/>
      </w:r>
      <w:r>
        <w:t xml:space="preserve"> </w:t>
      </w:r>
      <w:r w:rsidR="00E70C9D">
        <w:t xml:space="preserve">The cross-answering testimony is Exhibit No. JIF-24CT.  </w:t>
      </w:r>
      <w:r>
        <w:t xml:space="preserve">The Company also requests </w:t>
      </w:r>
      <w:r w:rsidR="00120326">
        <w:t xml:space="preserve">that </w:t>
      </w:r>
      <w:r>
        <w:t xml:space="preserve">the Commission disregard those portions of </w:t>
      </w:r>
      <w:r w:rsidR="00120326">
        <w:t>Dr. Fisher’s</w:t>
      </w:r>
      <w:r>
        <w:t xml:space="preserve"> introduction (Section I) and the conclusion (Section IV) that reference Section III of Dr. Fisher’s supplemental cross-answering testimony. </w:t>
      </w:r>
    </w:p>
  </w:footnote>
  <w:footnote w:id="3">
    <w:p w:rsidR="00E70C9D" w:rsidRDefault="00E70C9D">
      <w:pPr>
        <w:pStyle w:val="FootnoteText"/>
      </w:pPr>
      <w:r>
        <w:rPr>
          <w:rStyle w:val="FootnoteReference"/>
        </w:rPr>
        <w:footnoteRef/>
      </w:r>
      <w:r>
        <w:t xml:space="preserve"> </w:t>
      </w:r>
      <w:r w:rsidR="00B723D1" w:rsidRPr="00B723D1">
        <w:rPr>
          <w:i/>
        </w:rPr>
        <w:t xml:space="preserve">Wash Utils. Trans. Comm. </w:t>
      </w:r>
      <w:r w:rsidR="00B723D1">
        <w:rPr>
          <w:i/>
        </w:rPr>
        <w:t>v</w:t>
      </w:r>
      <w:r w:rsidR="00B723D1" w:rsidRPr="00B723D1">
        <w:rPr>
          <w:i/>
        </w:rPr>
        <w:t>. Avista Corp</w:t>
      </w:r>
      <w:r w:rsidR="00D44B0F">
        <w:rPr>
          <w:i/>
        </w:rPr>
        <w:t xml:space="preserve">. </w:t>
      </w:r>
      <w:r w:rsidR="00647BDC">
        <w:rPr>
          <w:i/>
        </w:rPr>
        <w:t>d</w:t>
      </w:r>
      <w:r w:rsidR="00B723D1" w:rsidRPr="00B723D1">
        <w:rPr>
          <w:i/>
        </w:rPr>
        <w:t>/b/a Avista Utils</w:t>
      </w:r>
      <w:r w:rsidR="00647BDC">
        <w:rPr>
          <w:i/>
        </w:rPr>
        <w:t>.</w:t>
      </w:r>
      <w:r w:rsidR="00B723D1">
        <w:t>, Docket Nos. UE-100467 and UG-100468, Order 04 n. 3 (Apr. 22, 2010) (interjection of new information is not permitted through cross-</w:t>
      </w:r>
      <w:r w:rsidR="00120326">
        <w:t>answering</w:t>
      </w:r>
      <w:r w:rsidR="00B723D1">
        <w:t xml:space="preserve"> </w:t>
      </w:r>
      <w:r w:rsidR="00120326">
        <w:t>testimony</w:t>
      </w:r>
      <w:r w:rsidR="00B723D1">
        <w:t xml:space="preserve">).  </w:t>
      </w:r>
    </w:p>
  </w:footnote>
  <w:footnote w:id="4">
    <w:p w:rsidR="00B1034E" w:rsidRDefault="00B1034E" w:rsidP="00B1034E">
      <w:pPr>
        <w:pStyle w:val="FootnoteText"/>
        <w:ind w:left="180" w:hanging="180"/>
      </w:pPr>
      <w:r>
        <w:rPr>
          <w:rStyle w:val="FootnoteReference"/>
        </w:rPr>
        <w:footnoteRef/>
      </w:r>
      <w:r>
        <w:t xml:space="preserve"> </w:t>
      </w:r>
      <w:r>
        <w:rPr>
          <w:i/>
        </w:rPr>
        <w:t xml:space="preserve">See generally </w:t>
      </w:r>
      <w:r>
        <w:t>Link, Exh. No. RTL-1CT.</w:t>
      </w:r>
    </w:p>
  </w:footnote>
  <w:footnote w:id="5">
    <w:p w:rsidR="00E808DE" w:rsidRDefault="00E808DE">
      <w:pPr>
        <w:pStyle w:val="FootnoteText"/>
      </w:pPr>
      <w:r>
        <w:rPr>
          <w:rStyle w:val="FootnoteReference"/>
        </w:rPr>
        <w:footnoteRef/>
      </w:r>
      <w:r>
        <w:t xml:space="preserve"> Fisher, Exh. No. JIF-24CT 6:12.</w:t>
      </w:r>
    </w:p>
  </w:footnote>
  <w:footnote w:id="6">
    <w:p w:rsidR="00711CEF" w:rsidRDefault="00711CEF">
      <w:pPr>
        <w:pStyle w:val="FootnoteText"/>
      </w:pPr>
      <w:r>
        <w:rPr>
          <w:rStyle w:val="FootnoteReference"/>
        </w:rPr>
        <w:footnoteRef/>
      </w:r>
      <w:r>
        <w:t xml:space="preserve"> </w:t>
      </w:r>
      <w:r w:rsidRPr="00711CEF">
        <w:rPr>
          <w:i/>
        </w:rPr>
        <w:t>See, e.g</w:t>
      </w:r>
      <w:r>
        <w:t xml:space="preserve">., Fisher </w:t>
      </w:r>
      <w:r w:rsidR="00E70C9D">
        <w:t>E</w:t>
      </w:r>
      <w:r>
        <w:t xml:space="preserve">xh. No. JIF-24CT 8:16-23. </w:t>
      </w:r>
    </w:p>
  </w:footnote>
  <w:footnote w:id="7">
    <w:p w:rsidR="00711CEF" w:rsidRDefault="00711CEF">
      <w:pPr>
        <w:pStyle w:val="FootnoteText"/>
      </w:pPr>
      <w:r>
        <w:rPr>
          <w:rStyle w:val="FootnoteReference"/>
        </w:rPr>
        <w:footnoteRef/>
      </w:r>
      <w:r>
        <w:t xml:space="preserve"> Fisher, Exh. No. JIF-24CT 12:10. </w:t>
      </w:r>
    </w:p>
  </w:footnote>
  <w:footnote w:id="8">
    <w:p w:rsidR="008F5AB9" w:rsidRDefault="008F5AB9">
      <w:pPr>
        <w:pStyle w:val="FootnoteText"/>
      </w:pPr>
      <w:r>
        <w:rPr>
          <w:rStyle w:val="FootnoteReference"/>
        </w:rPr>
        <w:footnoteRef/>
      </w:r>
      <w:r>
        <w:t xml:space="preserve"> Fisher, Exh. No. JIF-24CT 1:8-10.</w:t>
      </w:r>
    </w:p>
  </w:footnote>
  <w:footnote w:id="9">
    <w:p w:rsidR="00711CEF" w:rsidRDefault="00711CEF">
      <w:pPr>
        <w:pStyle w:val="FootnoteText"/>
      </w:pPr>
      <w:r>
        <w:rPr>
          <w:rStyle w:val="FootnoteReference"/>
        </w:rPr>
        <w:footnoteRef/>
      </w:r>
      <w:r>
        <w:t xml:space="preserve"> Fisher, Exh. No. JIF-24CT 10: 1-2.  </w:t>
      </w:r>
    </w:p>
  </w:footnote>
  <w:footnote w:id="10">
    <w:p w:rsidR="008F5AB9" w:rsidRDefault="008F5AB9">
      <w:pPr>
        <w:pStyle w:val="FootnoteText"/>
      </w:pPr>
      <w:r>
        <w:rPr>
          <w:rStyle w:val="FootnoteReference"/>
        </w:rPr>
        <w:footnoteRef/>
      </w:r>
      <w:r>
        <w:t xml:space="preserve"> </w:t>
      </w:r>
      <w:r w:rsidR="000D7D5D">
        <w:t xml:space="preserve">Fisher, Exh. No. JIF-24CT </w:t>
      </w:r>
      <w:r w:rsidR="000D17FA">
        <w:t>15:16</w:t>
      </w:r>
      <w:r w:rsidR="000D7D5D">
        <w:t xml:space="preserve"> 9:20-25.</w:t>
      </w:r>
    </w:p>
  </w:footnote>
  <w:footnote w:id="11">
    <w:p w:rsidR="008F5AB9" w:rsidRDefault="008F5AB9">
      <w:pPr>
        <w:pStyle w:val="FootnoteText"/>
      </w:pPr>
      <w:r>
        <w:rPr>
          <w:rStyle w:val="FootnoteReference"/>
        </w:rPr>
        <w:footnoteRef/>
      </w:r>
      <w:r>
        <w:t xml:space="preserve"> Fisher, Exh. No. JIF-24CT 18:14-16.</w:t>
      </w:r>
    </w:p>
  </w:footnote>
  <w:footnote w:id="12">
    <w:p w:rsidR="003D606C" w:rsidRDefault="003D606C">
      <w:pPr>
        <w:pStyle w:val="FootnoteText"/>
      </w:pPr>
      <w:r>
        <w:rPr>
          <w:rStyle w:val="FootnoteReference"/>
        </w:rPr>
        <w:footnoteRef/>
      </w:r>
      <w:r>
        <w:t xml:space="preserve"> Dr. Fisher testified in both the Utah voluntary pre-approval case and the Wyoming Certificate of Public Convenience and Necessity Case.  Fisher, Exh. No. JIF-2 9-10.  Dr. Fisher also testified in </w:t>
      </w:r>
      <w:r w:rsidR="00C16F26">
        <w:t xml:space="preserve">the 2014 </w:t>
      </w:r>
      <w:r>
        <w:t xml:space="preserve">Utah rate case </w:t>
      </w:r>
      <w:r w:rsidR="00C16F26">
        <w:t>where he relied on the October 2013 mine plan to challenge the</w:t>
      </w:r>
      <w:r>
        <w:t xml:space="preserve"> SCR</w:t>
      </w:r>
      <w:r w:rsidR="00C16F26">
        <w:t>s.</w:t>
      </w:r>
      <w:r>
        <w:t xml:space="preserve">  Fisher, Exh. No JIF-1CT 14:7-9</w:t>
      </w:r>
      <w:r w:rsidR="00A22061">
        <w:t>; Fisher, Exh. No. JIF-22CX.</w:t>
      </w:r>
    </w:p>
  </w:footnote>
  <w:footnote w:id="13">
    <w:p w:rsidR="003633EE" w:rsidRPr="004C5C79" w:rsidRDefault="003633EE">
      <w:pPr>
        <w:pStyle w:val="FootnoteText"/>
      </w:pPr>
      <w:r>
        <w:rPr>
          <w:rStyle w:val="FootnoteReference"/>
        </w:rPr>
        <w:footnoteRef/>
      </w:r>
      <w:r>
        <w:t xml:space="preserve"> </w:t>
      </w:r>
      <w:r>
        <w:rPr>
          <w:i/>
        </w:rPr>
        <w:t>See e.g.</w:t>
      </w:r>
      <w:r>
        <w:t xml:space="preserve"> Fisher, Exh. No. JIF-20CX and 21CX.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B51B2"/>
    <w:multiLevelType w:val="hybridMultilevel"/>
    <w:tmpl w:val="CEA8AC10"/>
    <w:lvl w:ilvl="0" w:tplc="090C9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15A7D"/>
    <w:multiLevelType w:val="multilevel"/>
    <w:tmpl w:val="8CCAC3B2"/>
    <w:lvl w:ilvl="0">
      <w:start w:val="1"/>
      <w:numFmt w:val="upperRoman"/>
      <w:pStyle w:val="Heading1"/>
      <w:lvlText w:val="%1."/>
      <w:lvlJc w:val="left"/>
      <w:pPr>
        <w:ind w:left="0" w:firstLine="0"/>
      </w:pPr>
      <w:rPr>
        <w:rFonts w:hint="default"/>
        <w:caps/>
        <w:smallCaps w:val="0"/>
        <w:vanish w:val="0"/>
        <w:color w:val="000000"/>
        <w:u w:val="none"/>
      </w:rPr>
    </w:lvl>
    <w:lvl w:ilvl="1">
      <w:start w:val="1"/>
      <w:numFmt w:val="upperLetter"/>
      <w:pStyle w:val="Heading2"/>
      <w:lvlText w:val="%2."/>
      <w:lvlJc w:val="left"/>
      <w:pPr>
        <w:ind w:left="720" w:hanging="720"/>
      </w:pPr>
      <w:rPr>
        <w:rFonts w:hint="default"/>
        <w:b/>
        <w:i w:val="0"/>
        <w:vanish w:val="0"/>
        <w:color w:val="000000"/>
        <w:u w:val="none"/>
      </w:rPr>
    </w:lvl>
    <w:lvl w:ilvl="2">
      <w:start w:val="1"/>
      <w:numFmt w:val="decimal"/>
      <w:pStyle w:val="Heading3"/>
      <w:lvlText w:val="%3."/>
      <w:lvlJc w:val="left"/>
      <w:pPr>
        <w:ind w:left="1440" w:hanging="720"/>
      </w:pPr>
      <w:rPr>
        <w:rFonts w:hint="default"/>
        <w:b/>
        <w:i w:val="0"/>
        <w:vanish w:val="0"/>
        <w:color w:val="000000"/>
        <w:u w:val="none"/>
      </w:rPr>
    </w:lvl>
    <w:lvl w:ilvl="3">
      <w:start w:val="1"/>
      <w:numFmt w:val="lowerLetter"/>
      <w:pStyle w:val="Heading4"/>
      <w:lvlText w:val="%4)"/>
      <w:lvlJc w:val="left"/>
      <w:pPr>
        <w:ind w:left="2160" w:firstLine="0"/>
      </w:pPr>
      <w:rPr>
        <w:rFonts w:hint="default"/>
        <w:b w:val="0"/>
        <w:i w:val="0"/>
        <w:vanish w:val="0"/>
        <w:color w:val="000000"/>
        <w:u w:val="none"/>
      </w:rPr>
    </w:lvl>
    <w:lvl w:ilvl="4">
      <w:start w:val="1"/>
      <w:numFmt w:val="decimal"/>
      <w:pStyle w:val="Heading5"/>
      <w:lvlText w:val="(%5)"/>
      <w:lvlJc w:val="left"/>
      <w:pPr>
        <w:ind w:left="2880" w:firstLine="0"/>
      </w:pPr>
      <w:rPr>
        <w:rFonts w:hint="default"/>
        <w:vanish w:val="0"/>
        <w:color w:val="000000"/>
        <w:u w:val="none"/>
      </w:rPr>
    </w:lvl>
    <w:lvl w:ilvl="5">
      <w:start w:val="1"/>
      <w:numFmt w:val="lowerLetter"/>
      <w:pStyle w:val="Heading6"/>
      <w:lvlText w:val="(%6)"/>
      <w:lvlJc w:val="left"/>
      <w:pPr>
        <w:ind w:left="3600" w:firstLine="0"/>
      </w:pPr>
      <w:rPr>
        <w:rFonts w:hint="default"/>
        <w:vanish w:val="0"/>
        <w:color w:val="000000"/>
        <w:u w:val="none"/>
      </w:rPr>
    </w:lvl>
    <w:lvl w:ilvl="6">
      <w:start w:val="1"/>
      <w:numFmt w:val="lowerRoman"/>
      <w:pStyle w:val="Heading7"/>
      <w:lvlText w:val="(%7)"/>
      <w:lvlJc w:val="left"/>
      <w:pPr>
        <w:ind w:left="4320" w:firstLine="0"/>
      </w:pPr>
      <w:rPr>
        <w:rFonts w:hint="default"/>
        <w:vanish w:val="0"/>
        <w:color w:val="000000"/>
        <w:u w:val="none"/>
      </w:rPr>
    </w:lvl>
    <w:lvl w:ilvl="7">
      <w:start w:val="1"/>
      <w:numFmt w:val="lowerLetter"/>
      <w:pStyle w:val="Heading8"/>
      <w:lvlText w:val="(%8)"/>
      <w:lvlJc w:val="left"/>
      <w:pPr>
        <w:ind w:left="5040" w:firstLine="0"/>
      </w:pPr>
      <w:rPr>
        <w:rFonts w:hint="default"/>
        <w:vanish w:val="0"/>
        <w:color w:val="000000"/>
        <w:u w:val="none"/>
      </w:rPr>
    </w:lvl>
    <w:lvl w:ilvl="8">
      <w:start w:val="1"/>
      <w:numFmt w:val="lowerRoman"/>
      <w:pStyle w:val="Heading9"/>
      <w:lvlText w:val="(%9)"/>
      <w:lvlJc w:val="left"/>
      <w:pPr>
        <w:ind w:left="5760" w:firstLine="0"/>
      </w:pPr>
      <w:rPr>
        <w:rFonts w:hint="default"/>
        <w:vanish w:val="0"/>
        <w:color w:val="000000"/>
        <w:u w:val="none"/>
      </w:rPr>
    </w:lvl>
  </w:abstractNum>
  <w:abstractNum w:abstractNumId="2" w15:restartNumberingAfterBreak="0">
    <w:nsid w:val="3CDD26B6"/>
    <w:multiLevelType w:val="hybridMultilevel"/>
    <w:tmpl w:val="8BA6D5C8"/>
    <w:lvl w:ilvl="0" w:tplc="4E0ED656">
      <w:start w:val="1"/>
      <w:numFmt w:val="decimal"/>
      <w:lvlText w:val="%1"/>
      <w:lvlJc w:val="left"/>
      <w:pPr>
        <w:ind w:left="0" w:hanging="360"/>
      </w:pPr>
      <w:rPr>
        <w:rFonts w:ascii="Times New Roman" w:hAnsi="Times New Roman" w:hint="default"/>
        <w:b w:val="0"/>
        <w:i/>
        <w:color w:val="auto"/>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62384BD3"/>
    <w:multiLevelType w:val="hybridMultilevel"/>
    <w:tmpl w:val="34B0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C4861"/>
    <w:multiLevelType w:val="hybridMultilevel"/>
    <w:tmpl w:val="CEA8AC10"/>
    <w:lvl w:ilvl="0" w:tplc="090C9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1"/>
  </w:num>
  <w:num w:numId="6">
    <w:abstractNumId w:val="1"/>
  </w:num>
  <w:num w:numId="7">
    <w:abstractNumId w:val="3"/>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DA"/>
    <w:rsid w:val="00073DA5"/>
    <w:rsid w:val="000C3448"/>
    <w:rsid w:val="000C72B9"/>
    <w:rsid w:val="000D17FA"/>
    <w:rsid w:val="000D7D5D"/>
    <w:rsid w:val="00110218"/>
    <w:rsid w:val="00120326"/>
    <w:rsid w:val="00132810"/>
    <w:rsid w:val="001561EF"/>
    <w:rsid w:val="00196F32"/>
    <w:rsid w:val="001C74E0"/>
    <w:rsid w:val="00202C8F"/>
    <w:rsid w:val="002D4068"/>
    <w:rsid w:val="002D5326"/>
    <w:rsid w:val="00304BA9"/>
    <w:rsid w:val="003633EE"/>
    <w:rsid w:val="00372DDE"/>
    <w:rsid w:val="003D606C"/>
    <w:rsid w:val="003E68B7"/>
    <w:rsid w:val="004C5C79"/>
    <w:rsid w:val="00502A03"/>
    <w:rsid w:val="00526C15"/>
    <w:rsid w:val="00567476"/>
    <w:rsid w:val="00591A95"/>
    <w:rsid w:val="005A079E"/>
    <w:rsid w:val="005A2AA7"/>
    <w:rsid w:val="00630570"/>
    <w:rsid w:val="00645DD5"/>
    <w:rsid w:val="006472B3"/>
    <w:rsid w:val="00647BDC"/>
    <w:rsid w:val="006D26EF"/>
    <w:rsid w:val="00711CEF"/>
    <w:rsid w:val="00722D8F"/>
    <w:rsid w:val="007750A5"/>
    <w:rsid w:val="007E55FB"/>
    <w:rsid w:val="00830C2F"/>
    <w:rsid w:val="00857FA3"/>
    <w:rsid w:val="008C38DA"/>
    <w:rsid w:val="008F5AB9"/>
    <w:rsid w:val="0094460D"/>
    <w:rsid w:val="00946E59"/>
    <w:rsid w:val="009D5A03"/>
    <w:rsid w:val="00A22061"/>
    <w:rsid w:val="00A348F0"/>
    <w:rsid w:val="00A7407F"/>
    <w:rsid w:val="00A93A3B"/>
    <w:rsid w:val="00A97B96"/>
    <w:rsid w:val="00AB4E50"/>
    <w:rsid w:val="00B1034E"/>
    <w:rsid w:val="00B32CD3"/>
    <w:rsid w:val="00B704A0"/>
    <w:rsid w:val="00B71FAF"/>
    <w:rsid w:val="00B723D1"/>
    <w:rsid w:val="00B76187"/>
    <w:rsid w:val="00B771CA"/>
    <w:rsid w:val="00B91A7A"/>
    <w:rsid w:val="00BE0193"/>
    <w:rsid w:val="00BE32CF"/>
    <w:rsid w:val="00C16F26"/>
    <w:rsid w:val="00C2256F"/>
    <w:rsid w:val="00C45B76"/>
    <w:rsid w:val="00C66AAB"/>
    <w:rsid w:val="00D44B0F"/>
    <w:rsid w:val="00D71476"/>
    <w:rsid w:val="00E15119"/>
    <w:rsid w:val="00E532D9"/>
    <w:rsid w:val="00E70C9D"/>
    <w:rsid w:val="00E77890"/>
    <w:rsid w:val="00E808DE"/>
    <w:rsid w:val="00E840A4"/>
    <w:rsid w:val="00F13BE7"/>
    <w:rsid w:val="00F3201B"/>
    <w:rsid w:val="00F43D79"/>
    <w:rsid w:val="00F61B02"/>
    <w:rsid w:val="00FB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Washingtonparagraph"/>
    <w:qFormat/>
    <w:pPr>
      <w:numPr>
        <w:numId w:val="2"/>
      </w:numPr>
      <w:jc w:val="center"/>
      <w:outlineLvl w:val="0"/>
    </w:pPr>
    <w:rPr>
      <w:b/>
    </w:rPr>
  </w:style>
  <w:style w:type="paragraph" w:styleId="Heading2">
    <w:name w:val="heading 2"/>
    <w:basedOn w:val="Normal"/>
    <w:qFormat/>
    <w:pPr>
      <w:numPr>
        <w:ilvl w:val="1"/>
        <w:numId w:val="2"/>
      </w:numPr>
      <w:jc w:val="both"/>
      <w:outlineLvl w:val="1"/>
    </w:pPr>
    <w:rPr>
      <w:rFonts w:eastAsia="Times"/>
      <w:b/>
      <w:bCs/>
      <w:shd w:val="clear" w:color="auto" w:fill="FFFFFF"/>
    </w:rPr>
  </w:style>
  <w:style w:type="paragraph" w:styleId="Heading3">
    <w:name w:val="heading 3"/>
    <w:basedOn w:val="ListParagraph"/>
    <w:qFormat/>
    <w:pPr>
      <w:numPr>
        <w:ilvl w:val="2"/>
        <w:numId w:val="2"/>
      </w:numPr>
      <w:shd w:val="clear" w:color="auto" w:fill="FFFFFF"/>
      <w:outlineLvl w:val="2"/>
    </w:pPr>
    <w:rPr>
      <w:rFonts w:ascii="Times New Roman" w:eastAsia="Times New Roman" w:hAnsi="Times New Roman"/>
      <w:b/>
      <w:szCs w:val="24"/>
    </w:rPr>
  </w:style>
  <w:style w:type="paragraph" w:styleId="Heading4">
    <w:name w:val="heading 4"/>
    <w:basedOn w:val="Normal"/>
    <w:qFormat/>
    <w:pPr>
      <w:numPr>
        <w:ilvl w:val="3"/>
        <w:numId w:val="2"/>
      </w:numPr>
      <w:spacing w:after="240"/>
      <w:jc w:val="both"/>
      <w:outlineLvl w:val="3"/>
    </w:pPr>
  </w:style>
  <w:style w:type="paragraph" w:styleId="Heading5">
    <w:name w:val="heading 5"/>
    <w:basedOn w:val="Normal"/>
    <w:qFormat/>
    <w:pPr>
      <w:numPr>
        <w:ilvl w:val="4"/>
        <w:numId w:val="2"/>
      </w:numPr>
      <w:spacing w:after="240"/>
      <w:outlineLvl w:val="4"/>
    </w:pPr>
  </w:style>
  <w:style w:type="paragraph" w:styleId="Heading6">
    <w:name w:val="heading 6"/>
    <w:basedOn w:val="Normal"/>
    <w:qFormat/>
    <w:pPr>
      <w:numPr>
        <w:ilvl w:val="5"/>
        <w:numId w:val="2"/>
      </w:numPr>
      <w:spacing w:after="240"/>
      <w:outlineLvl w:val="5"/>
    </w:pPr>
  </w:style>
  <w:style w:type="paragraph" w:styleId="Heading7">
    <w:name w:val="heading 7"/>
    <w:basedOn w:val="Normal"/>
    <w:qFormat/>
    <w:pPr>
      <w:numPr>
        <w:ilvl w:val="6"/>
        <w:numId w:val="2"/>
      </w:numPr>
      <w:spacing w:after="240"/>
      <w:outlineLvl w:val="6"/>
    </w:pPr>
  </w:style>
  <w:style w:type="paragraph" w:styleId="Heading8">
    <w:name w:val="heading 8"/>
    <w:basedOn w:val="Normal"/>
    <w:qFormat/>
    <w:pPr>
      <w:numPr>
        <w:ilvl w:val="7"/>
        <w:numId w:val="2"/>
      </w:numPr>
      <w:spacing w:after="240"/>
      <w:outlineLvl w:val="7"/>
    </w:pPr>
  </w:style>
  <w:style w:type="paragraph" w:styleId="Heading9">
    <w:name w:val="heading 9"/>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BodyText">
    <w:name w:val="Body Text"/>
    <w:basedOn w:val="Normal"/>
    <w:pPr>
      <w:spacing w:line="480" w:lineRule="exact"/>
      <w:ind w:firstLine="720"/>
    </w:pPr>
    <w:rPr>
      <w:szCs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LineNumber">
    <w:name w:val="line number"/>
    <w:basedOn w:val="DefaultParagraphFont"/>
  </w:style>
  <w:style w:type="paragraph" w:customStyle="1" w:styleId="CharChar2">
    <w:name w:val="Char Char2"/>
    <w:basedOn w:val="Normal"/>
    <w:pPr>
      <w:spacing w:after="160" w:line="240" w:lineRule="exact"/>
    </w:pPr>
    <w:rPr>
      <w:rFonts w:ascii="Verdana" w:hAnsi="Verdana"/>
      <w:sz w:val="20"/>
      <w:szCs w:val="20"/>
    </w:rPr>
  </w:style>
  <w:style w:type="paragraph" w:customStyle="1" w:styleId="CharChar1">
    <w:name w:val="Char Char1"/>
    <w:basedOn w:val="Normal"/>
    <w:pPr>
      <w:spacing w:after="160" w:line="240" w:lineRule="exact"/>
    </w:pPr>
    <w:rPr>
      <w:rFonts w:ascii="Verdana" w:hAnsi="Verdana" w:cs="Verdana"/>
      <w:sz w:val="20"/>
      <w:szCs w:val="20"/>
    </w:rPr>
  </w:style>
  <w:style w:type="paragraph" w:customStyle="1" w:styleId="CharChar">
    <w:name w:val="Char Char"/>
    <w:basedOn w:val="Normal"/>
    <w:pPr>
      <w:spacing w:after="160" w:line="240" w:lineRule="exact"/>
    </w:pPr>
    <w:rPr>
      <w:rFonts w:ascii="Verdana" w:hAnsi="Verdana" w:cs="Verdana"/>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ind w:left="720"/>
      <w:contextualSpacing/>
    </w:pPr>
    <w:rPr>
      <w:rFonts w:ascii="Times" w:eastAsia="Times" w:hAnsi="Times"/>
      <w:szCs w:val="20"/>
    </w:rPr>
  </w:style>
  <w:style w:type="paragraph" w:customStyle="1" w:styleId="Washingtonparagraph">
    <w:name w:val="Washington paragraph"/>
    <w:basedOn w:val="ListParagraph"/>
    <w:uiPriority w:val="99"/>
    <w:pPr>
      <w:spacing w:line="480" w:lineRule="auto"/>
      <w:ind w:left="0"/>
    </w:pPr>
    <w:rPr>
      <w:rFonts w:ascii="Times New Roman" w:eastAsia="Times New Roman" w:hAnsi="Times New Roman"/>
      <w:szCs w:val="24"/>
    </w:rPr>
  </w:style>
  <w:style w:type="paragraph" w:customStyle="1" w:styleId="PleadingSignature">
    <w:name w:val="Pleading Signature"/>
    <w:basedOn w:val="Normal"/>
    <w:pPr>
      <w:keepNext/>
      <w:keepLines/>
      <w:spacing w:line="240" w:lineRule="exact"/>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f"/>
    <w:basedOn w:val="Normal"/>
    <w:link w:val="FootnoteTextChar"/>
    <w:uiPriority w:val="99"/>
    <w:unhideWhenUsed/>
    <w:qFormat/>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style>
  <w:style w:type="character" w:styleId="FootnoteReference">
    <w:name w:val="footnote reference"/>
    <w:aliases w:val="Style 3,o,fr,Style 13,Style 12,Style 15,Style 17,Style 9,o1,fr1,o2,fr2,o3,fr3,Style 18,(NECG) Footnote Reference,Style 20,Style 7,Style 8,Style 19,Style 28,Style 11,Style 16,Styl,Style 6"/>
    <w:uiPriority w:val="99"/>
    <w:unhideWhenUsed/>
    <w:qFormat/>
    <w:rPr>
      <w:vertAlign w:val="superscript"/>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customStyle="1" w:styleId="apple-converted-space">
    <w:name w:val="apple-converted-space"/>
    <w:basedOn w:val="DefaultParagraphFont"/>
  </w:style>
  <w:style w:type="paragraph" w:customStyle="1" w:styleId="plain">
    <w:name w:val="plain"/>
    <w:basedOn w:val="Normal"/>
    <w:pPr>
      <w:spacing w:line="240" w:lineRule="atLeast"/>
    </w:pPr>
    <w:rPr>
      <w:szCs w:val="20"/>
    </w:rPr>
  </w:style>
  <w:style w:type="paragraph" w:customStyle="1" w:styleId="normalblock">
    <w:name w:val="normal block"/>
    <w:basedOn w:val="Normal"/>
    <w:pPr>
      <w:spacing w:line="480" w:lineRule="atLeast"/>
    </w:pPr>
    <w:rPr>
      <w:szCs w:val="20"/>
    </w:rPr>
  </w:style>
  <w:style w:type="paragraph" w:customStyle="1" w:styleId="WAP1">
    <w:name w:val="WA P1"/>
    <w:basedOn w:val="ListParagraph"/>
    <w:link w:val="WAP1Char"/>
    <w:autoRedefine/>
    <w:qFormat/>
    <w:pPr>
      <w:widowControl w:val="0"/>
      <w:spacing w:line="480" w:lineRule="auto"/>
      <w:ind w:left="0" w:firstLine="720"/>
      <w:contextualSpacing w:val="0"/>
    </w:pPr>
    <w:rPr>
      <w:rFonts w:ascii="Times New Roman" w:hAnsi="Times New Roman"/>
      <w:szCs w:val="24"/>
    </w:rPr>
  </w:style>
  <w:style w:type="character" w:customStyle="1" w:styleId="WAP1Char">
    <w:name w:val="WA P1 Char"/>
    <w:basedOn w:val="DefaultParagraphFont"/>
    <w:link w:val="WAP1"/>
    <w:rPr>
      <w:rFonts w:eastAsia="Times"/>
      <w:sz w:val="24"/>
      <w:szCs w:val="24"/>
    </w:rPr>
  </w:style>
  <w:style w:type="paragraph" w:styleId="HTMLPreformatted">
    <w:name w:val="HTML Preformatted"/>
    <w:basedOn w:val="Normal"/>
    <w:link w:val="HTMLPreformattedChar"/>
    <w:uiPriority w:val="99"/>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rPr>
  </w:style>
  <w:style w:type="paragraph" w:customStyle="1" w:styleId="ReturnAddress">
    <w:name w:val="Return Address"/>
    <w:basedOn w:val="Normal"/>
    <w:pPr>
      <w:keepLines/>
      <w:spacing w:line="200" w:lineRule="atLeast"/>
      <w:ind w:right="-120"/>
    </w:pPr>
    <w:rPr>
      <w:rFonts w:ascii="Arial" w:hAnsi="Arial" w:cs="Arial"/>
      <w:sz w:val="16"/>
      <w:szCs w:val="22"/>
    </w:rPr>
  </w:style>
  <w:style w:type="paragraph" w:styleId="Revision">
    <w:name w:val="Revision"/>
    <w:hidden/>
    <w:uiPriority w:val="99"/>
    <w:semiHidden/>
    <w:rPr>
      <w:sz w:val="24"/>
      <w:szCs w:val="24"/>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mcd-law.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2016-05-24T07:00:00+00:00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78B033-5652-4A0E-871E-BEF940DB23C8}"/>
</file>

<file path=customXml/itemProps2.xml><?xml version="1.0" encoding="utf-8"?>
<ds:datastoreItem xmlns:ds="http://schemas.openxmlformats.org/officeDocument/2006/customXml" ds:itemID="{198022D2-124A-41D2-8252-5F3EEF5592B0}"/>
</file>

<file path=customXml/itemProps3.xml><?xml version="1.0" encoding="utf-8"?>
<ds:datastoreItem xmlns:ds="http://schemas.openxmlformats.org/officeDocument/2006/customXml" ds:itemID="{3C6A08B0-C814-4D0F-B6A2-E576F89A031B}"/>
</file>

<file path=customXml/itemProps4.xml><?xml version="1.0" encoding="utf-8"?>
<ds:datastoreItem xmlns:ds="http://schemas.openxmlformats.org/officeDocument/2006/customXml" ds:itemID="{55A57035-8F31-436D-888A-32CBD1349FD1}"/>
</file>

<file path=customXml/itemProps5.xml><?xml version="1.0" encoding="utf-8"?>
<ds:datastoreItem xmlns:ds="http://schemas.openxmlformats.org/officeDocument/2006/customXml" ds:itemID="{B1441B34-4FC1-4C19-B44A-9AAB96CE88D5}"/>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2016-05-24T20:38:00Z</dcterms:created>
  <dcterms:modified xsi:type="dcterms:W3CDTF">2016-05-24T20:38:00Z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