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30A60" w14:textId="6A3CA3C1" w:rsidR="00DF6C12" w:rsidRPr="00856407" w:rsidRDefault="00465B86" w:rsidP="00DF6C12">
      <w:pPr>
        <w:tabs>
          <w:tab w:val="left" w:pos="-1080"/>
          <w:tab w:val="left" w:pos="-720"/>
          <w:tab w:val="left" w:pos="0"/>
          <w:tab w:val="left" w:pos="720"/>
          <w:tab w:val="left" w:pos="1440"/>
          <w:tab w:val="left" w:pos="1800"/>
          <w:tab w:val="left" w:pos="2880"/>
        </w:tabs>
        <w:rPr>
          <w:b/>
          <w:bCs/>
          <w:sz w:val="23"/>
          <w:szCs w:val="23"/>
        </w:rPr>
      </w:pPr>
      <w:r w:rsidRPr="00856407">
        <w:rPr>
          <w:b/>
          <w:bCs/>
          <w:sz w:val="23"/>
          <w:szCs w:val="23"/>
        </w:rPr>
        <w:t>BENCH</w:t>
      </w:r>
      <w:r w:rsidR="00DF6C12" w:rsidRPr="00856407">
        <w:rPr>
          <w:b/>
          <w:bCs/>
          <w:sz w:val="23"/>
          <w:szCs w:val="23"/>
        </w:rPr>
        <w:t xml:space="preserve"> REQUEST NO. 1:</w:t>
      </w:r>
    </w:p>
    <w:p w14:paraId="7B57E4C5" w14:textId="77777777" w:rsidR="00F55479" w:rsidRPr="00856407" w:rsidRDefault="00F55479" w:rsidP="00DF6C12">
      <w:pPr>
        <w:tabs>
          <w:tab w:val="left" w:pos="-1080"/>
          <w:tab w:val="left" w:pos="-720"/>
          <w:tab w:val="left" w:pos="0"/>
          <w:tab w:val="left" w:pos="720"/>
          <w:tab w:val="left" w:pos="1440"/>
          <w:tab w:val="left" w:pos="1800"/>
          <w:tab w:val="left" w:pos="2880"/>
        </w:tabs>
        <w:rPr>
          <w:sz w:val="23"/>
          <w:szCs w:val="23"/>
        </w:rPr>
      </w:pPr>
    </w:p>
    <w:p w14:paraId="0C97B080" w14:textId="75F05A97" w:rsidR="00DF6C12" w:rsidRPr="00856407" w:rsidRDefault="00F55479" w:rsidP="00DF6C12">
      <w:pPr>
        <w:tabs>
          <w:tab w:val="left" w:pos="-1080"/>
          <w:tab w:val="left" w:pos="-720"/>
          <w:tab w:val="left" w:pos="0"/>
          <w:tab w:val="left" w:pos="720"/>
          <w:tab w:val="left" w:pos="1440"/>
          <w:tab w:val="left" w:pos="1800"/>
          <w:tab w:val="left" w:pos="2880"/>
        </w:tabs>
        <w:rPr>
          <w:b/>
          <w:sz w:val="23"/>
          <w:szCs w:val="23"/>
        </w:rPr>
      </w:pPr>
      <w:r w:rsidRPr="00856407">
        <w:rPr>
          <w:sz w:val="23"/>
          <w:szCs w:val="23"/>
        </w:rPr>
        <w:tab/>
      </w:r>
      <w:r w:rsidR="00465B86" w:rsidRPr="00856407">
        <w:rPr>
          <w:b/>
          <w:sz w:val="23"/>
          <w:szCs w:val="23"/>
        </w:rPr>
        <w:t>P</w:t>
      </w:r>
      <w:r w:rsidR="00DF6C12" w:rsidRPr="00856407">
        <w:rPr>
          <w:b/>
          <w:sz w:val="23"/>
          <w:szCs w:val="23"/>
        </w:rPr>
        <w:t xml:space="preserve">rovide </w:t>
      </w:r>
      <w:r w:rsidR="00465B86" w:rsidRPr="00856407">
        <w:rPr>
          <w:b/>
          <w:sz w:val="23"/>
          <w:szCs w:val="23"/>
        </w:rPr>
        <w:t>a copy of BNSF’s application to the Army Corps of Engineers.</w:t>
      </w:r>
    </w:p>
    <w:p w14:paraId="149D1EBB" w14:textId="77777777" w:rsidR="009C30CE" w:rsidRPr="00856407" w:rsidRDefault="009C30CE" w:rsidP="00DF6C12">
      <w:pPr>
        <w:tabs>
          <w:tab w:val="left" w:pos="-1080"/>
          <w:tab w:val="left" w:pos="-720"/>
          <w:tab w:val="left" w:pos="0"/>
          <w:tab w:val="left" w:pos="720"/>
          <w:tab w:val="left" w:pos="1440"/>
          <w:tab w:val="left" w:pos="1800"/>
          <w:tab w:val="left" w:pos="2880"/>
        </w:tabs>
        <w:rPr>
          <w:sz w:val="23"/>
          <w:szCs w:val="23"/>
        </w:rPr>
      </w:pPr>
    </w:p>
    <w:p w14:paraId="43CFDC51" w14:textId="77777777" w:rsidR="009C30CE" w:rsidRPr="00856407" w:rsidRDefault="009C30CE" w:rsidP="009C30CE">
      <w:pPr>
        <w:rPr>
          <w:b/>
          <w:bCs/>
          <w:sz w:val="23"/>
          <w:szCs w:val="23"/>
        </w:rPr>
      </w:pPr>
      <w:r w:rsidRPr="00856407">
        <w:rPr>
          <w:sz w:val="23"/>
          <w:szCs w:val="23"/>
          <w:lang w:val="en-CA"/>
        </w:rPr>
        <w:fldChar w:fldCharType="begin"/>
      </w:r>
      <w:r w:rsidRPr="00856407">
        <w:rPr>
          <w:sz w:val="23"/>
          <w:szCs w:val="23"/>
          <w:lang w:val="en-CA"/>
        </w:rPr>
        <w:instrText xml:space="preserve"> SEQ CHAPTER \h \r 1</w:instrText>
      </w:r>
      <w:r w:rsidRPr="00856407">
        <w:rPr>
          <w:sz w:val="23"/>
          <w:szCs w:val="23"/>
          <w:lang w:val="en-CA"/>
        </w:rPr>
        <w:fldChar w:fldCharType="end"/>
      </w:r>
      <w:r w:rsidRPr="00856407">
        <w:rPr>
          <w:b/>
          <w:bCs/>
          <w:sz w:val="23"/>
          <w:szCs w:val="23"/>
        </w:rPr>
        <w:t>BNSF ANSWER:</w:t>
      </w:r>
    </w:p>
    <w:p w14:paraId="20D04AD1" w14:textId="77777777" w:rsidR="00F55479" w:rsidRPr="00856407" w:rsidRDefault="00F55479" w:rsidP="009C30CE">
      <w:pPr>
        <w:rPr>
          <w:sz w:val="23"/>
          <w:szCs w:val="23"/>
        </w:rPr>
      </w:pPr>
    </w:p>
    <w:p w14:paraId="3F3BE48C" w14:textId="1088F524" w:rsidR="001D0764" w:rsidRPr="00856407" w:rsidRDefault="001D0764" w:rsidP="001D0764">
      <w:pPr>
        <w:ind w:firstLine="720"/>
        <w:rPr>
          <w:sz w:val="23"/>
          <w:szCs w:val="23"/>
        </w:rPr>
      </w:pPr>
      <w:r w:rsidRPr="00856407">
        <w:rPr>
          <w:sz w:val="23"/>
          <w:szCs w:val="23"/>
        </w:rPr>
        <w:t xml:space="preserve">BNSF respectfully makes an objection for the record to the extent this request seeks information outside of the scope of review. </w:t>
      </w:r>
      <w:r w:rsidR="004E0D54" w:rsidRPr="00856407">
        <w:rPr>
          <w:sz w:val="23"/>
          <w:szCs w:val="23"/>
        </w:rPr>
        <w:t xml:space="preserve">In evaluating petitions for closure of a grade crossing found to be dangerous and unsafe, the Commission is authorized to “consider the convenience and necessity of those using the crossing and whether the need of the crossing is so great that it must be kept open notwithstanding its dangerous condition.” </w:t>
      </w:r>
      <w:r w:rsidR="004E0D54" w:rsidRPr="00856407">
        <w:rPr>
          <w:i/>
          <w:sz w:val="23"/>
          <w:szCs w:val="23"/>
        </w:rPr>
        <w:t>Department of Transportation v. Snohomish County</w:t>
      </w:r>
      <w:r w:rsidR="004E0D54" w:rsidRPr="00856407">
        <w:rPr>
          <w:sz w:val="23"/>
          <w:szCs w:val="23"/>
        </w:rPr>
        <w:t xml:space="preserve">, 35 Wn.2d 247, 254 (1949). </w:t>
      </w:r>
      <w:r w:rsidRPr="00856407">
        <w:rPr>
          <w:sz w:val="23"/>
          <w:szCs w:val="23"/>
        </w:rPr>
        <w:t xml:space="preserve">The WUTC has previously recognized that there is no apparent “jurisdictional basis for the presiding officer or the Commissioners themselves to act in an appellate authority of another agency’s SEPA determinations.” </w:t>
      </w:r>
      <w:r w:rsidRPr="00856407">
        <w:rPr>
          <w:i/>
          <w:sz w:val="23"/>
          <w:szCs w:val="23"/>
        </w:rPr>
        <w:t>BNSF Railway Company v. City of Mount Vernon</w:t>
      </w:r>
      <w:r w:rsidRPr="00856407">
        <w:rPr>
          <w:sz w:val="23"/>
          <w:szCs w:val="23"/>
        </w:rPr>
        <w:t xml:space="preserve">, Docket TR-070696, Order 03 Denying MNSF Motion to Limit Issues and Denying City of Mount Vernon Motions for Summary Judgment and In Limine ¶ 19 (Oct. 2, 2007). The WUTC’s Staff counsel agreed: “Staff counsel is unaware of any legal authority that would allow Judge Pearson to issue a new or modified SEPA determination within the confines of the present adjudication. As a general rule, an agency acting on a proposal covered by an existing DNS must use that document ‘unchanged.’ WAC 197-11-600(3).’” Commission Staff’s Response to Bench Request No. 4 (Dec. 4, 2015). </w:t>
      </w:r>
      <w:r w:rsidR="004E0D54" w:rsidRPr="00856407">
        <w:rPr>
          <w:sz w:val="23"/>
          <w:szCs w:val="23"/>
        </w:rPr>
        <w:t xml:space="preserve">As is reflected in the record in this proceeding, the Department of Ecology has issued a Determination of Nonsignificance relating to BNSF’s Intalco Yard project (the siding expansion at issue in this case). </w:t>
      </w:r>
      <w:r w:rsidRPr="00856407">
        <w:rPr>
          <w:sz w:val="23"/>
          <w:szCs w:val="23"/>
        </w:rPr>
        <w:t xml:space="preserve">Without waiving this objection, BNSF responds as follows. </w:t>
      </w:r>
    </w:p>
    <w:p w14:paraId="77BB9F08" w14:textId="77777777" w:rsidR="001D0764" w:rsidRPr="00856407" w:rsidRDefault="001D0764" w:rsidP="00F55479">
      <w:pPr>
        <w:ind w:firstLine="720"/>
        <w:rPr>
          <w:sz w:val="23"/>
          <w:szCs w:val="23"/>
        </w:rPr>
      </w:pPr>
    </w:p>
    <w:p w14:paraId="0477EBC7" w14:textId="4974B25F" w:rsidR="009C30CE" w:rsidRPr="00856407" w:rsidRDefault="004E0D54" w:rsidP="00F55479">
      <w:pPr>
        <w:ind w:firstLine="720"/>
        <w:rPr>
          <w:sz w:val="23"/>
          <w:szCs w:val="23"/>
        </w:rPr>
      </w:pPr>
      <w:r w:rsidRPr="00856407">
        <w:rPr>
          <w:sz w:val="23"/>
          <w:szCs w:val="23"/>
        </w:rPr>
        <w:t xml:space="preserve">The submission requested </w:t>
      </w:r>
      <w:r w:rsidR="00465B86" w:rsidRPr="00856407">
        <w:rPr>
          <w:sz w:val="23"/>
          <w:szCs w:val="23"/>
        </w:rPr>
        <w:t>is attached hereto (BR-1).</w:t>
      </w:r>
    </w:p>
    <w:p w14:paraId="0774254A" w14:textId="77777777" w:rsidR="00465B86" w:rsidRPr="00856407" w:rsidRDefault="00465B86" w:rsidP="009C30CE">
      <w:pPr>
        <w:rPr>
          <w:sz w:val="23"/>
          <w:szCs w:val="23"/>
        </w:rPr>
      </w:pPr>
    </w:p>
    <w:p w14:paraId="325AD9B2" w14:textId="77777777" w:rsidR="00DF6C12" w:rsidRPr="00856407" w:rsidRDefault="00DF6C12">
      <w:pPr>
        <w:rPr>
          <w:sz w:val="23"/>
          <w:szCs w:val="23"/>
        </w:rPr>
      </w:pPr>
    </w:p>
    <w:p w14:paraId="1FE912EC" w14:textId="517842E8" w:rsidR="002E061F" w:rsidRPr="00856407" w:rsidRDefault="00465B86" w:rsidP="002E061F">
      <w:pPr>
        <w:rPr>
          <w:b/>
          <w:bCs/>
          <w:sz w:val="23"/>
          <w:szCs w:val="23"/>
        </w:rPr>
      </w:pPr>
      <w:r w:rsidRPr="00856407">
        <w:rPr>
          <w:b/>
          <w:bCs/>
          <w:sz w:val="23"/>
          <w:szCs w:val="23"/>
        </w:rPr>
        <w:t>BENCH</w:t>
      </w:r>
      <w:r w:rsidR="00DF6C12" w:rsidRPr="00856407">
        <w:rPr>
          <w:b/>
          <w:bCs/>
          <w:sz w:val="23"/>
          <w:szCs w:val="23"/>
        </w:rPr>
        <w:t xml:space="preserve"> REQUEST NO. </w:t>
      </w:r>
      <w:r w:rsidR="00A13E33" w:rsidRPr="00856407">
        <w:rPr>
          <w:b/>
          <w:bCs/>
          <w:sz w:val="23"/>
          <w:szCs w:val="23"/>
        </w:rPr>
        <w:t>2</w:t>
      </w:r>
      <w:r w:rsidR="00DF6C12" w:rsidRPr="00856407">
        <w:rPr>
          <w:b/>
          <w:bCs/>
          <w:sz w:val="23"/>
          <w:szCs w:val="23"/>
        </w:rPr>
        <w:t xml:space="preserve">:  </w:t>
      </w:r>
    </w:p>
    <w:p w14:paraId="71D3066B" w14:textId="77777777" w:rsidR="00F55479" w:rsidRPr="00856407" w:rsidRDefault="00F55479" w:rsidP="002E061F">
      <w:pPr>
        <w:rPr>
          <w:bCs/>
          <w:sz w:val="23"/>
          <w:szCs w:val="23"/>
        </w:rPr>
      </w:pPr>
    </w:p>
    <w:p w14:paraId="0DABA0D1" w14:textId="29227C98" w:rsidR="00F55479" w:rsidRPr="00856407" w:rsidRDefault="00F55479" w:rsidP="00F55479">
      <w:pPr>
        <w:ind w:firstLine="720"/>
        <w:rPr>
          <w:b/>
          <w:bCs/>
          <w:sz w:val="23"/>
          <w:szCs w:val="23"/>
        </w:rPr>
      </w:pPr>
      <w:r w:rsidRPr="00856407">
        <w:rPr>
          <w:b/>
          <w:bCs/>
          <w:sz w:val="23"/>
          <w:szCs w:val="23"/>
        </w:rPr>
        <w:t>Provide a</w:t>
      </w:r>
      <w:r w:rsidR="001A5766" w:rsidRPr="00856407">
        <w:rPr>
          <w:b/>
          <w:bCs/>
          <w:sz w:val="23"/>
          <w:szCs w:val="23"/>
        </w:rPr>
        <w:t xml:space="preserve"> more detailed</w:t>
      </w:r>
      <w:r w:rsidRPr="00856407">
        <w:rPr>
          <w:b/>
          <w:bCs/>
          <w:sz w:val="23"/>
          <w:szCs w:val="23"/>
        </w:rPr>
        <w:t xml:space="preserve"> explanation of BNSF’s train priority system.</w:t>
      </w:r>
    </w:p>
    <w:p w14:paraId="6A3F300E" w14:textId="77777777" w:rsidR="002E061F" w:rsidRPr="00856407" w:rsidRDefault="002E061F" w:rsidP="002E061F">
      <w:pPr>
        <w:rPr>
          <w:sz w:val="23"/>
          <w:szCs w:val="23"/>
        </w:rPr>
      </w:pPr>
    </w:p>
    <w:p w14:paraId="0D0ED966" w14:textId="77777777" w:rsidR="009C30CE" w:rsidRPr="00856407" w:rsidRDefault="009C30CE" w:rsidP="009C30CE">
      <w:pPr>
        <w:rPr>
          <w:b/>
          <w:bCs/>
          <w:sz w:val="23"/>
          <w:szCs w:val="23"/>
        </w:rPr>
      </w:pPr>
      <w:r w:rsidRPr="00856407">
        <w:rPr>
          <w:sz w:val="23"/>
          <w:szCs w:val="23"/>
          <w:lang w:val="en-CA"/>
        </w:rPr>
        <w:fldChar w:fldCharType="begin"/>
      </w:r>
      <w:r w:rsidRPr="00856407">
        <w:rPr>
          <w:sz w:val="23"/>
          <w:szCs w:val="23"/>
          <w:lang w:val="en-CA"/>
        </w:rPr>
        <w:instrText xml:space="preserve"> SEQ CHAPTER \h \r 1</w:instrText>
      </w:r>
      <w:r w:rsidRPr="00856407">
        <w:rPr>
          <w:sz w:val="23"/>
          <w:szCs w:val="23"/>
          <w:lang w:val="en-CA"/>
        </w:rPr>
        <w:fldChar w:fldCharType="end"/>
      </w:r>
      <w:r w:rsidRPr="00856407">
        <w:rPr>
          <w:b/>
          <w:bCs/>
          <w:sz w:val="23"/>
          <w:szCs w:val="23"/>
        </w:rPr>
        <w:t>BNSF ANSWER:</w:t>
      </w:r>
    </w:p>
    <w:p w14:paraId="47AA368C" w14:textId="77777777" w:rsidR="00F55479" w:rsidRPr="00856407" w:rsidRDefault="00F55479" w:rsidP="00F55479">
      <w:pPr>
        <w:ind w:firstLine="720"/>
        <w:rPr>
          <w:sz w:val="23"/>
          <w:szCs w:val="23"/>
        </w:rPr>
      </w:pPr>
    </w:p>
    <w:p w14:paraId="607F27A2" w14:textId="77777777" w:rsidR="00F55479" w:rsidRPr="00856407" w:rsidRDefault="00F55479" w:rsidP="00F55479">
      <w:pPr>
        <w:ind w:firstLine="720"/>
        <w:rPr>
          <w:sz w:val="23"/>
          <w:szCs w:val="23"/>
        </w:rPr>
      </w:pPr>
      <w:r w:rsidRPr="00856407">
        <w:rPr>
          <w:sz w:val="23"/>
          <w:szCs w:val="23"/>
        </w:rPr>
        <w:t>The attached documentation (BR-2) contains the method of train identification utilized across the BNSF system. The first letter in a symbol is a train identifier and helps to identify the type of cargo the train carries and other general classification used, such as: Amtrak/passenger service, LTL Intermodal, premium intermodal, guaranteed intermodal, high priority merchandise, and regular merchandise. Train section numbers are attached to the end of the three-letter destination portion of a train and also help to identify priority of a symbol.</w:t>
      </w:r>
    </w:p>
    <w:p w14:paraId="67FB867A" w14:textId="77777777" w:rsidR="00F55479" w:rsidRPr="00856407" w:rsidRDefault="00F55479" w:rsidP="00F55479">
      <w:pPr>
        <w:rPr>
          <w:sz w:val="23"/>
          <w:szCs w:val="23"/>
        </w:rPr>
      </w:pPr>
      <w:r w:rsidRPr="00856407">
        <w:rPr>
          <w:sz w:val="23"/>
          <w:szCs w:val="23"/>
        </w:rPr>
        <w:tab/>
      </w:r>
    </w:p>
    <w:p w14:paraId="09204A58" w14:textId="48F7D481" w:rsidR="00F55479" w:rsidRPr="00856407" w:rsidRDefault="00F55479" w:rsidP="00F55479">
      <w:pPr>
        <w:ind w:firstLine="720"/>
        <w:rPr>
          <w:sz w:val="23"/>
          <w:szCs w:val="23"/>
        </w:rPr>
      </w:pPr>
      <w:r w:rsidRPr="00856407">
        <w:rPr>
          <w:sz w:val="23"/>
          <w:szCs w:val="23"/>
        </w:rPr>
        <w:t xml:space="preserve">While the train identifiers and section numbers are good resources to identify train priority across the network, there are many other factors taken into account on a daily basis, such </w:t>
      </w:r>
      <w:r w:rsidRPr="00856407">
        <w:rPr>
          <w:sz w:val="23"/>
          <w:szCs w:val="23"/>
        </w:rPr>
        <w:lastRenderedPageBreak/>
        <w:t>as: customer need, trains ahead with same destination, spacing required at foreign interchange, facility/terminal ability to accept the train on arrival, train service plan connection at destination, and many others daily planning considerations. BNSF strives each day to provide transportation services that consistently meet its customers' expectations. In order to do this, flexibility is required.</w:t>
      </w:r>
    </w:p>
    <w:p w14:paraId="6919F58D" w14:textId="77777777" w:rsidR="00F55479" w:rsidRPr="00856407" w:rsidRDefault="00F55479" w:rsidP="00F55479">
      <w:pPr>
        <w:ind w:firstLine="720"/>
        <w:rPr>
          <w:sz w:val="23"/>
          <w:szCs w:val="23"/>
        </w:rPr>
      </w:pPr>
    </w:p>
    <w:p w14:paraId="36D0D94D" w14:textId="77777777" w:rsidR="00F55479" w:rsidRPr="00856407" w:rsidRDefault="00F55479" w:rsidP="00F55479">
      <w:pPr>
        <w:rPr>
          <w:sz w:val="23"/>
          <w:szCs w:val="23"/>
        </w:rPr>
      </w:pPr>
      <w:r w:rsidRPr="00856407">
        <w:rPr>
          <w:sz w:val="23"/>
          <w:szCs w:val="23"/>
        </w:rPr>
        <w:tab/>
        <w:t>By building the siding across Valley View, BNSF seeks to achieve numerous efficiencies on the Cherry Point subdivision as well as neighboring subdivisions in order to expedite freight service for multiple customers. A few local opportunities include:</w:t>
      </w:r>
    </w:p>
    <w:p w14:paraId="66A026C9" w14:textId="77777777" w:rsidR="00F55479" w:rsidRPr="00856407" w:rsidRDefault="00F55479" w:rsidP="00F55479">
      <w:pPr>
        <w:rPr>
          <w:sz w:val="23"/>
          <w:szCs w:val="23"/>
        </w:rPr>
      </w:pPr>
    </w:p>
    <w:p w14:paraId="78A375EA" w14:textId="39C9189B" w:rsidR="00F55479" w:rsidRPr="00856407" w:rsidRDefault="00F55479" w:rsidP="00F55479">
      <w:pPr>
        <w:pStyle w:val="ListParagraph"/>
        <w:numPr>
          <w:ilvl w:val="0"/>
          <w:numId w:val="1"/>
        </w:numPr>
        <w:rPr>
          <w:sz w:val="23"/>
          <w:szCs w:val="23"/>
        </w:rPr>
      </w:pPr>
      <w:r w:rsidRPr="00856407">
        <w:rPr>
          <w:sz w:val="23"/>
          <w:szCs w:val="23"/>
        </w:rPr>
        <w:t>Flexibility to clear manifest trains carrying local industry traffic into the siding on arrival, ra</w:t>
      </w:r>
      <w:r w:rsidR="008220FA" w:rsidRPr="00856407">
        <w:rPr>
          <w:sz w:val="23"/>
          <w:szCs w:val="23"/>
        </w:rPr>
        <w:t>ther than breaking down in the two</w:t>
      </w:r>
      <w:r w:rsidRPr="00856407">
        <w:rPr>
          <w:sz w:val="23"/>
          <w:szCs w:val="23"/>
        </w:rPr>
        <w:t xml:space="preserve"> current tracks or on the main.</w:t>
      </w:r>
    </w:p>
    <w:p w14:paraId="10DFA62D" w14:textId="77777777" w:rsidR="00F55479" w:rsidRPr="00856407" w:rsidRDefault="00F55479" w:rsidP="00F55479">
      <w:pPr>
        <w:pStyle w:val="ListParagraph"/>
        <w:numPr>
          <w:ilvl w:val="0"/>
          <w:numId w:val="1"/>
        </w:numPr>
        <w:rPr>
          <w:sz w:val="23"/>
          <w:szCs w:val="23"/>
        </w:rPr>
      </w:pPr>
      <w:r w:rsidRPr="00856407">
        <w:rPr>
          <w:sz w:val="23"/>
          <w:szCs w:val="23"/>
        </w:rPr>
        <w:t>Ability to build an outbound manifest train from customer releases on the siding track, rather than on the main track.  This will allow other traffic to pass until the outbound departs.</w:t>
      </w:r>
    </w:p>
    <w:p w14:paraId="00ADAC22" w14:textId="77777777" w:rsidR="00F55479" w:rsidRPr="00856407" w:rsidRDefault="00F55479" w:rsidP="00F55479">
      <w:pPr>
        <w:pStyle w:val="ListParagraph"/>
        <w:numPr>
          <w:ilvl w:val="0"/>
          <w:numId w:val="1"/>
        </w:numPr>
        <w:rPr>
          <w:sz w:val="23"/>
          <w:szCs w:val="23"/>
        </w:rPr>
      </w:pPr>
      <w:r w:rsidRPr="00856407">
        <w:rPr>
          <w:sz w:val="23"/>
          <w:szCs w:val="23"/>
        </w:rPr>
        <w:t>Opportunities for meet/pass events between empty and loaded unit trains on the Cherry Point subdivision.  This eliminates customer delays occurring as a result of train meets further away on the Bellingham subdivision.</w:t>
      </w:r>
    </w:p>
    <w:p w14:paraId="4CE5FF1B" w14:textId="77777777" w:rsidR="00F55479" w:rsidRPr="00856407" w:rsidRDefault="00F55479" w:rsidP="00F55479">
      <w:pPr>
        <w:pStyle w:val="ListParagraph"/>
        <w:numPr>
          <w:ilvl w:val="0"/>
          <w:numId w:val="1"/>
        </w:numPr>
        <w:rPr>
          <w:sz w:val="23"/>
          <w:szCs w:val="23"/>
        </w:rPr>
      </w:pPr>
      <w:r w:rsidRPr="00856407">
        <w:rPr>
          <w:sz w:val="23"/>
          <w:szCs w:val="23"/>
        </w:rPr>
        <w:t>Greater flexibility allowing trains destined for the Cherry Point subdivision to clear the Bellingham subdivision ahead of Amtrak in order to meet other Cherry Point trains, rather than having to hold back further away on an alternate siding on the Bellingham subdivision.</w:t>
      </w:r>
    </w:p>
    <w:p w14:paraId="5121DA4B" w14:textId="60AC1F26" w:rsidR="00465B86" w:rsidRPr="00856407" w:rsidRDefault="00F55479" w:rsidP="00F55479">
      <w:pPr>
        <w:pStyle w:val="ListParagraph"/>
        <w:numPr>
          <w:ilvl w:val="0"/>
          <w:numId w:val="1"/>
        </w:numPr>
        <w:rPr>
          <w:sz w:val="23"/>
          <w:szCs w:val="23"/>
        </w:rPr>
      </w:pPr>
      <w:r w:rsidRPr="00856407">
        <w:rPr>
          <w:sz w:val="23"/>
          <w:szCs w:val="23"/>
        </w:rPr>
        <w:t>Trains traversing Seattle enroute to the Cherry Point subdivision can advance to the Valley View siding in order to wait for customer facility entry, rather than holding in the Seattle area where these trains might cause congestion for Amtrak, Sounders, and higher priority intermodal traffic.</w:t>
      </w:r>
    </w:p>
    <w:p w14:paraId="1AC052AE" w14:textId="77777777" w:rsidR="00465B86" w:rsidRPr="00856407" w:rsidRDefault="00465B86" w:rsidP="009C30CE">
      <w:pPr>
        <w:rPr>
          <w:sz w:val="23"/>
          <w:szCs w:val="23"/>
        </w:rPr>
      </w:pPr>
    </w:p>
    <w:p w14:paraId="72C1D2AA" w14:textId="77777777" w:rsidR="008220FA" w:rsidRPr="00856407" w:rsidRDefault="008220FA" w:rsidP="009C30CE">
      <w:pPr>
        <w:rPr>
          <w:sz w:val="23"/>
          <w:szCs w:val="23"/>
        </w:rPr>
      </w:pPr>
    </w:p>
    <w:p w14:paraId="65621F26" w14:textId="3D3CB63D" w:rsidR="00465B86" w:rsidRPr="00856407" w:rsidRDefault="00465B86" w:rsidP="00465B86">
      <w:pPr>
        <w:rPr>
          <w:b/>
          <w:bCs/>
          <w:sz w:val="23"/>
          <w:szCs w:val="23"/>
        </w:rPr>
      </w:pPr>
      <w:r w:rsidRPr="00856407">
        <w:rPr>
          <w:b/>
          <w:bCs/>
          <w:sz w:val="23"/>
          <w:szCs w:val="23"/>
        </w:rPr>
        <w:t xml:space="preserve">BENCH REQUEST NO. 3:  </w:t>
      </w:r>
    </w:p>
    <w:p w14:paraId="62E382E3" w14:textId="77777777" w:rsidR="00465B86" w:rsidRPr="00856407" w:rsidRDefault="00465B86" w:rsidP="00465B86">
      <w:pPr>
        <w:rPr>
          <w:sz w:val="23"/>
          <w:szCs w:val="23"/>
        </w:rPr>
      </w:pPr>
    </w:p>
    <w:p w14:paraId="2F9F3A48" w14:textId="1A530C72" w:rsidR="00541E25" w:rsidRPr="00856407" w:rsidRDefault="00541E25" w:rsidP="00465B86">
      <w:pPr>
        <w:rPr>
          <w:b/>
          <w:sz w:val="23"/>
          <w:szCs w:val="23"/>
        </w:rPr>
      </w:pPr>
      <w:r w:rsidRPr="00856407">
        <w:rPr>
          <w:sz w:val="23"/>
          <w:szCs w:val="23"/>
        </w:rPr>
        <w:tab/>
      </w:r>
      <w:r w:rsidR="008220FA" w:rsidRPr="00856407">
        <w:rPr>
          <w:b/>
          <w:sz w:val="23"/>
          <w:szCs w:val="23"/>
        </w:rPr>
        <w:t>Were</w:t>
      </w:r>
      <w:r w:rsidRPr="00856407">
        <w:rPr>
          <w:b/>
          <w:sz w:val="23"/>
          <w:szCs w:val="23"/>
        </w:rPr>
        <w:t xml:space="preserve"> trains </w:t>
      </w:r>
      <w:r w:rsidR="008220FA" w:rsidRPr="00856407">
        <w:rPr>
          <w:b/>
          <w:sz w:val="23"/>
          <w:szCs w:val="23"/>
        </w:rPr>
        <w:t xml:space="preserve">delayed or </w:t>
      </w:r>
      <w:r w:rsidRPr="00856407">
        <w:rPr>
          <w:b/>
          <w:sz w:val="23"/>
          <w:szCs w:val="23"/>
        </w:rPr>
        <w:t xml:space="preserve">backlogged in Whatcom County in 2014, and if so, what commodities </w:t>
      </w:r>
      <w:r w:rsidR="00F44B0D" w:rsidRPr="00856407">
        <w:rPr>
          <w:b/>
          <w:sz w:val="23"/>
          <w:szCs w:val="23"/>
        </w:rPr>
        <w:t xml:space="preserve">were </w:t>
      </w:r>
      <w:r w:rsidRPr="00856407">
        <w:rPr>
          <w:b/>
          <w:sz w:val="23"/>
          <w:szCs w:val="23"/>
        </w:rPr>
        <w:t>those backlogged trains carrying</w:t>
      </w:r>
      <w:r w:rsidR="008220FA" w:rsidRPr="00856407">
        <w:rPr>
          <w:b/>
          <w:sz w:val="23"/>
          <w:szCs w:val="23"/>
        </w:rPr>
        <w:t>?</w:t>
      </w:r>
    </w:p>
    <w:p w14:paraId="33266D91" w14:textId="6C4A64DE" w:rsidR="00465B86" w:rsidRPr="00856407" w:rsidRDefault="00465B86" w:rsidP="00541E25">
      <w:pPr>
        <w:ind w:left="360"/>
        <w:rPr>
          <w:sz w:val="23"/>
          <w:szCs w:val="23"/>
        </w:rPr>
      </w:pPr>
    </w:p>
    <w:p w14:paraId="6446244C" w14:textId="77777777" w:rsidR="00465B86" w:rsidRPr="00856407" w:rsidRDefault="00465B86" w:rsidP="00465B86">
      <w:pPr>
        <w:rPr>
          <w:b/>
          <w:bCs/>
          <w:sz w:val="23"/>
          <w:szCs w:val="23"/>
        </w:rPr>
      </w:pPr>
      <w:r w:rsidRPr="00856407">
        <w:rPr>
          <w:sz w:val="23"/>
          <w:szCs w:val="23"/>
          <w:lang w:val="en-CA"/>
        </w:rPr>
        <w:fldChar w:fldCharType="begin"/>
      </w:r>
      <w:r w:rsidRPr="00856407">
        <w:rPr>
          <w:sz w:val="23"/>
          <w:szCs w:val="23"/>
          <w:lang w:val="en-CA"/>
        </w:rPr>
        <w:instrText xml:space="preserve"> SEQ CHAPTER \h \r 1</w:instrText>
      </w:r>
      <w:r w:rsidRPr="00856407">
        <w:rPr>
          <w:sz w:val="23"/>
          <w:szCs w:val="23"/>
          <w:lang w:val="en-CA"/>
        </w:rPr>
        <w:fldChar w:fldCharType="end"/>
      </w:r>
      <w:r w:rsidRPr="00856407">
        <w:rPr>
          <w:b/>
          <w:bCs/>
          <w:sz w:val="23"/>
          <w:szCs w:val="23"/>
        </w:rPr>
        <w:t>BNSF ANSWER:</w:t>
      </w:r>
    </w:p>
    <w:p w14:paraId="403FA5EA" w14:textId="77777777" w:rsidR="006147F2" w:rsidRPr="00856407" w:rsidRDefault="006147F2" w:rsidP="00465B86">
      <w:pPr>
        <w:rPr>
          <w:sz w:val="23"/>
          <w:szCs w:val="23"/>
        </w:rPr>
      </w:pPr>
    </w:p>
    <w:p w14:paraId="7292E93F" w14:textId="77777777" w:rsidR="008220FA" w:rsidRPr="00856407" w:rsidRDefault="008220FA" w:rsidP="008220FA">
      <w:pPr>
        <w:ind w:firstLine="720"/>
        <w:rPr>
          <w:sz w:val="23"/>
          <w:szCs w:val="23"/>
        </w:rPr>
      </w:pPr>
      <w:r w:rsidRPr="00856407">
        <w:rPr>
          <w:sz w:val="23"/>
          <w:szCs w:val="23"/>
        </w:rPr>
        <w:t xml:space="preserve">BNSF respectfully makes an objection for the record to the extent this request seeks information outside of the scope of review in this case. In evaluating petitions for closure of a grade crossing found to be dangerous and unsafe, the Commission is authorized to “consider the convenience and necessity of those using the crossing and whether the need of the crossing is so great that it must be kept open notwithstanding its dangerous condition.” </w:t>
      </w:r>
      <w:r w:rsidRPr="00856407">
        <w:rPr>
          <w:i/>
          <w:sz w:val="23"/>
          <w:szCs w:val="23"/>
        </w:rPr>
        <w:t>Department of Transportation v. Snohomish County</w:t>
      </w:r>
      <w:r w:rsidRPr="00856407">
        <w:rPr>
          <w:sz w:val="23"/>
          <w:szCs w:val="23"/>
        </w:rPr>
        <w:t xml:space="preserve">, 35 Wn.2d 247, 254 (1949). Without waiving this objection, BNSF responds as follows. </w:t>
      </w:r>
    </w:p>
    <w:p w14:paraId="205EDEB8" w14:textId="77777777" w:rsidR="008220FA" w:rsidRPr="00856407" w:rsidRDefault="008220FA" w:rsidP="006147F2">
      <w:pPr>
        <w:rPr>
          <w:sz w:val="23"/>
          <w:szCs w:val="23"/>
        </w:rPr>
      </w:pPr>
    </w:p>
    <w:p w14:paraId="3537CAE7" w14:textId="156574A8" w:rsidR="006147F2" w:rsidRPr="00856407" w:rsidRDefault="006147F2" w:rsidP="006147F2">
      <w:pPr>
        <w:rPr>
          <w:sz w:val="23"/>
          <w:szCs w:val="23"/>
        </w:rPr>
      </w:pPr>
      <w:r w:rsidRPr="00856407">
        <w:rPr>
          <w:sz w:val="23"/>
          <w:szCs w:val="23"/>
        </w:rPr>
        <w:lastRenderedPageBreak/>
        <w:tab/>
        <w:t xml:space="preserve">In 2014, BNSF experienced a backlog of trains in multiple locations across the system.  The Pacific Northwest likewise experienced backlogs of multiple trains carrying </w:t>
      </w:r>
      <w:r w:rsidR="004F3EDD" w:rsidRPr="00856407">
        <w:rPr>
          <w:sz w:val="23"/>
          <w:szCs w:val="23"/>
        </w:rPr>
        <w:t xml:space="preserve">multiple commodities. </w:t>
      </w:r>
      <w:r w:rsidRPr="00856407">
        <w:rPr>
          <w:sz w:val="23"/>
          <w:szCs w:val="23"/>
        </w:rPr>
        <w:t>In order to accommodate increasing volumes of traffic, BNSF has begun constructing additional siding tracks to allow for additional meet/pass opportunities which decrease delay times and drive efficiencies on the network.</w:t>
      </w:r>
    </w:p>
    <w:p w14:paraId="6C34DDAE" w14:textId="77777777" w:rsidR="006147F2" w:rsidRPr="00856407" w:rsidRDefault="006147F2" w:rsidP="006147F2">
      <w:pPr>
        <w:rPr>
          <w:sz w:val="23"/>
          <w:szCs w:val="23"/>
        </w:rPr>
      </w:pPr>
    </w:p>
    <w:p w14:paraId="386FC54D" w14:textId="77777777" w:rsidR="006147F2" w:rsidRPr="00856407" w:rsidRDefault="006147F2" w:rsidP="006147F2">
      <w:pPr>
        <w:rPr>
          <w:sz w:val="23"/>
          <w:szCs w:val="23"/>
        </w:rPr>
      </w:pPr>
      <w:r w:rsidRPr="00856407">
        <w:rPr>
          <w:sz w:val="23"/>
          <w:szCs w:val="23"/>
        </w:rPr>
        <w:tab/>
        <w:t>Whatcom County was affected in multiple ways during this backlog of traffic.  For example, unit trains destined for the Cherry Point subdivision were delayed due to the absence of meet/pass tracks on the subdivision.  This resulted in backups on the Bellingham subdivision as trains waited to meet trains exiting Cherry Point.  It also caused longer meet/pass locations for additional trains running through Whatcom County.</w:t>
      </w:r>
    </w:p>
    <w:p w14:paraId="43294BEE" w14:textId="77777777" w:rsidR="006147F2" w:rsidRPr="00856407" w:rsidRDefault="006147F2" w:rsidP="006147F2">
      <w:pPr>
        <w:rPr>
          <w:sz w:val="23"/>
          <w:szCs w:val="23"/>
        </w:rPr>
      </w:pPr>
    </w:p>
    <w:p w14:paraId="32F0FC75" w14:textId="77777777" w:rsidR="006147F2" w:rsidRPr="00856407" w:rsidRDefault="006147F2" w:rsidP="006147F2">
      <w:pPr>
        <w:rPr>
          <w:sz w:val="23"/>
          <w:szCs w:val="23"/>
        </w:rPr>
      </w:pPr>
      <w:r w:rsidRPr="00856407">
        <w:rPr>
          <w:sz w:val="23"/>
          <w:szCs w:val="23"/>
        </w:rPr>
        <w:tab/>
        <w:t>With the congestion on the Bellingham subdivision from through traffic as well as Cherry Point traffic described above, BNSF saw longer holding times for trains in sidings (including Whatcom county sidings) as longer meet/pass locations were necessary to accommodate trains occupying sidings.  This impact was seen on manifest trains carrying multiple commodities as well as a variety of single commodity unit trains.</w:t>
      </w:r>
    </w:p>
    <w:p w14:paraId="2252BCB5" w14:textId="77777777" w:rsidR="006147F2" w:rsidRPr="00856407" w:rsidRDefault="006147F2" w:rsidP="006147F2">
      <w:pPr>
        <w:rPr>
          <w:sz w:val="23"/>
          <w:szCs w:val="23"/>
        </w:rPr>
      </w:pPr>
    </w:p>
    <w:p w14:paraId="6211D40B" w14:textId="734FB316" w:rsidR="006147F2" w:rsidRPr="00856407" w:rsidRDefault="006147F2" w:rsidP="006147F2">
      <w:pPr>
        <w:rPr>
          <w:sz w:val="23"/>
          <w:szCs w:val="23"/>
        </w:rPr>
      </w:pPr>
      <w:r w:rsidRPr="00856407">
        <w:rPr>
          <w:sz w:val="23"/>
          <w:szCs w:val="23"/>
        </w:rPr>
        <w:tab/>
        <w:t>From a non-unit train, Cherry Point-specific customer perspective, BNSF experienced delays with manifest train service between Everett and Custer. This was due to the delays described on the Bellingham subdivision as well as long waits for unit trains onto and off of the Cherry Point subdivision. Again, this was due to the absence of a location on the Cherry Point subdivision that allows for meet/pass opportunities without breaking a train down into multiple tracks.</w:t>
      </w:r>
    </w:p>
    <w:p w14:paraId="1BE88FAD" w14:textId="77777777" w:rsidR="006B620A" w:rsidRPr="00856407" w:rsidRDefault="006B620A" w:rsidP="006147F2">
      <w:pPr>
        <w:rPr>
          <w:sz w:val="23"/>
          <w:szCs w:val="23"/>
        </w:rPr>
      </w:pPr>
    </w:p>
    <w:p w14:paraId="43DCA77B" w14:textId="391D4251" w:rsidR="006B620A" w:rsidRPr="00856407" w:rsidRDefault="0062489F" w:rsidP="006B620A">
      <w:pPr>
        <w:ind w:firstLine="720"/>
        <w:rPr>
          <w:sz w:val="23"/>
          <w:szCs w:val="23"/>
        </w:rPr>
      </w:pPr>
      <w:r w:rsidRPr="00856407">
        <w:rPr>
          <w:sz w:val="23"/>
          <w:szCs w:val="23"/>
        </w:rPr>
        <w:t>T</w:t>
      </w:r>
      <w:r w:rsidR="006B620A" w:rsidRPr="00856407">
        <w:rPr>
          <w:sz w:val="23"/>
          <w:szCs w:val="23"/>
        </w:rPr>
        <w:t>he congestion noted above that hindered BNSF freight train movement also had a negative impact on our high priority Amtrak trains traversing the Bellingham subdivision, creating delays to passengers reaching their destination.</w:t>
      </w:r>
    </w:p>
    <w:p w14:paraId="5B1E3E06" w14:textId="77777777" w:rsidR="006147F2" w:rsidRPr="00856407" w:rsidRDefault="006147F2" w:rsidP="006147F2">
      <w:pPr>
        <w:rPr>
          <w:sz w:val="23"/>
          <w:szCs w:val="23"/>
        </w:rPr>
      </w:pPr>
    </w:p>
    <w:p w14:paraId="61008508" w14:textId="1FD8BE2B" w:rsidR="006147F2" w:rsidRPr="00856407" w:rsidRDefault="006147F2" w:rsidP="006147F2">
      <w:pPr>
        <w:rPr>
          <w:sz w:val="23"/>
          <w:szCs w:val="23"/>
        </w:rPr>
      </w:pPr>
      <w:r w:rsidRPr="00856407">
        <w:rPr>
          <w:sz w:val="23"/>
          <w:szCs w:val="23"/>
        </w:rPr>
        <w:tab/>
        <w:t>BNSF is a network of rail, so</w:t>
      </w:r>
      <w:r w:rsidR="00337050" w:rsidRPr="00856407">
        <w:rPr>
          <w:sz w:val="23"/>
          <w:szCs w:val="23"/>
        </w:rPr>
        <w:t xml:space="preserve"> delays in one location have a “</w:t>
      </w:r>
      <w:r w:rsidRPr="00856407">
        <w:rPr>
          <w:sz w:val="23"/>
          <w:szCs w:val="23"/>
        </w:rPr>
        <w:t>domino effect</w:t>
      </w:r>
      <w:r w:rsidR="00337050" w:rsidRPr="00856407">
        <w:rPr>
          <w:sz w:val="23"/>
          <w:szCs w:val="23"/>
        </w:rPr>
        <w:t>”</w:t>
      </w:r>
      <w:r w:rsidRPr="00856407">
        <w:rPr>
          <w:sz w:val="23"/>
          <w:szCs w:val="23"/>
        </w:rPr>
        <w:t xml:space="preserve"> on neighboring subdivisions and along the system. Everything is interconnected and impacts the fluidity of the rail system. The delays described above did not only impact Whatcom County, the Cherry Point subdivision, and the Bellingham subdivision, but also extend to the Seattle subdivision, the New Westminster subdivision, and to points further along the railroad system.</w:t>
      </w:r>
    </w:p>
    <w:p w14:paraId="6BFC7858" w14:textId="77777777" w:rsidR="006147F2" w:rsidRPr="00856407" w:rsidRDefault="006147F2" w:rsidP="006147F2">
      <w:pPr>
        <w:rPr>
          <w:sz w:val="23"/>
          <w:szCs w:val="23"/>
        </w:rPr>
      </w:pPr>
    </w:p>
    <w:p w14:paraId="366F3E6E" w14:textId="77777777" w:rsidR="000327D7" w:rsidRPr="00856407" w:rsidRDefault="000327D7" w:rsidP="009C30CE">
      <w:pPr>
        <w:rPr>
          <w:sz w:val="23"/>
          <w:szCs w:val="23"/>
        </w:rPr>
      </w:pPr>
    </w:p>
    <w:p w14:paraId="1FC94D8A" w14:textId="244AA96B" w:rsidR="000327D7" w:rsidRPr="00856407" w:rsidRDefault="000327D7" w:rsidP="000327D7">
      <w:pPr>
        <w:rPr>
          <w:sz w:val="23"/>
          <w:szCs w:val="23"/>
        </w:rPr>
      </w:pPr>
      <w:r w:rsidRPr="00856407">
        <w:rPr>
          <w:sz w:val="23"/>
          <w:szCs w:val="23"/>
          <w:lang w:val="en-CA"/>
        </w:rPr>
        <w:fldChar w:fldCharType="begin"/>
      </w:r>
      <w:r w:rsidRPr="00856407">
        <w:rPr>
          <w:sz w:val="23"/>
          <w:szCs w:val="23"/>
          <w:lang w:val="en-CA"/>
        </w:rPr>
        <w:instrText xml:space="preserve"> SEQ CHAPTER \h \r 1</w:instrText>
      </w:r>
      <w:r w:rsidRPr="00856407">
        <w:rPr>
          <w:sz w:val="23"/>
          <w:szCs w:val="23"/>
          <w:lang w:val="en-CA"/>
        </w:rPr>
        <w:fldChar w:fldCharType="end"/>
      </w:r>
      <w:r w:rsidR="00541E25" w:rsidRPr="00856407">
        <w:rPr>
          <w:sz w:val="23"/>
          <w:szCs w:val="23"/>
        </w:rPr>
        <w:tab/>
        <w:t>DATED this 11th</w:t>
      </w:r>
      <w:r w:rsidRPr="00856407">
        <w:rPr>
          <w:sz w:val="23"/>
          <w:szCs w:val="23"/>
        </w:rPr>
        <w:t xml:space="preserve"> day of </w:t>
      </w:r>
      <w:r w:rsidR="00541E25" w:rsidRPr="00856407">
        <w:rPr>
          <w:sz w:val="23"/>
          <w:szCs w:val="23"/>
        </w:rPr>
        <w:t>December</w:t>
      </w:r>
      <w:r w:rsidRPr="00856407">
        <w:rPr>
          <w:sz w:val="23"/>
          <w:szCs w:val="23"/>
        </w:rPr>
        <w:t xml:space="preserve">, 2015.  </w:t>
      </w:r>
      <w:r w:rsidRPr="00856407">
        <w:rPr>
          <w:sz w:val="23"/>
          <w:szCs w:val="23"/>
        </w:rPr>
        <w:tab/>
      </w:r>
    </w:p>
    <w:p w14:paraId="08B06EB1" w14:textId="77777777" w:rsidR="000327D7" w:rsidRPr="00856407" w:rsidRDefault="000327D7" w:rsidP="000327D7">
      <w:pPr>
        <w:rPr>
          <w:sz w:val="23"/>
          <w:szCs w:val="23"/>
        </w:rPr>
      </w:pPr>
    </w:p>
    <w:p w14:paraId="739341AE" w14:textId="77777777" w:rsidR="000327D7" w:rsidRPr="003436FB" w:rsidRDefault="000327D7" w:rsidP="000327D7">
      <w:r w:rsidRPr="00856407">
        <w:rPr>
          <w:sz w:val="23"/>
          <w:szCs w:val="23"/>
        </w:rPr>
        <w:tab/>
      </w:r>
      <w:r w:rsidRPr="00856407">
        <w:rPr>
          <w:sz w:val="23"/>
          <w:szCs w:val="23"/>
        </w:rPr>
        <w:tab/>
      </w:r>
      <w:r w:rsidRPr="00856407">
        <w:rPr>
          <w:sz w:val="23"/>
          <w:szCs w:val="23"/>
        </w:rPr>
        <w:tab/>
      </w:r>
      <w:r w:rsidRPr="00856407">
        <w:rPr>
          <w:sz w:val="23"/>
          <w:szCs w:val="23"/>
        </w:rPr>
        <w:tab/>
      </w:r>
      <w:r w:rsidRPr="00856407">
        <w:rPr>
          <w:sz w:val="23"/>
          <w:szCs w:val="23"/>
        </w:rPr>
        <w:tab/>
      </w:r>
      <w:r w:rsidRPr="003436FB">
        <w:t>MONTGOMERY SCARP, PLLC</w:t>
      </w:r>
    </w:p>
    <w:p w14:paraId="734BB80E" w14:textId="77777777" w:rsidR="000327D7" w:rsidRPr="00856407" w:rsidRDefault="000327D7" w:rsidP="000327D7">
      <w:pPr>
        <w:rPr>
          <w:sz w:val="23"/>
          <w:szCs w:val="23"/>
        </w:rPr>
      </w:pPr>
    </w:p>
    <w:p w14:paraId="3AE0D710" w14:textId="77777777" w:rsidR="000327D7" w:rsidRPr="00856407" w:rsidRDefault="000327D7" w:rsidP="000327D7">
      <w:pPr>
        <w:rPr>
          <w:sz w:val="23"/>
          <w:szCs w:val="23"/>
        </w:rPr>
      </w:pPr>
    </w:p>
    <w:p w14:paraId="5689BC1D" w14:textId="0C09D1A7" w:rsidR="000327D7" w:rsidRPr="00856407" w:rsidRDefault="000327D7" w:rsidP="000327D7">
      <w:pPr>
        <w:rPr>
          <w:sz w:val="23"/>
          <w:szCs w:val="23"/>
        </w:rPr>
      </w:pPr>
      <w:r w:rsidRPr="00856407">
        <w:rPr>
          <w:sz w:val="23"/>
          <w:szCs w:val="23"/>
        </w:rPr>
        <w:tab/>
      </w:r>
      <w:r w:rsidRPr="00856407">
        <w:rPr>
          <w:sz w:val="23"/>
          <w:szCs w:val="23"/>
        </w:rPr>
        <w:tab/>
      </w:r>
      <w:r w:rsidRPr="00856407">
        <w:rPr>
          <w:sz w:val="23"/>
          <w:szCs w:val="23"/>
        </w:rPr>
        <w:tab/>
      </w:r>
      <w:r w:rsidRPr="00856407">
        <w:rPr>
          <w:sz w:val="23"/>
          <w:szCs w:val="23"/>
        </w:rPr>
        <w:tab/>
      </w:r>
      <w:r w:rsidRPr="00856407">
        <w:rPr>
          <w:sz w:val="23"/>
          <w:szCs w:val="23"/>
        </w:rPr>
        <w:tab/>
      </w:r>
      <w:r w:rsidR="008B2EA2" w:rsidRPr="00856407">
        <w:rPr>
          <w:sz w:val="23"/>
          <w:szCs w:val="23"/>
          <w:u w:val="single"/>
        </w:rPr>
        <w:t>_______________________________________</w:t>
      </w:r>
    </w:p>
    <w:p w14:paraId="7D0284F7" w14:textId="77777777" w:rsidR="000327D7" w:rsidRPr="00856407" w:rsidRDefault="000327D7" w:rsidP="000327D7">
      <w:pPr>
        <w:rPr>
          <w:sz w:val="23"/>
          <w:szCs w:val="23"/>
        </w:rPr>
      </w:pPr>
      <w:r w:rsidRPr="00856407">
        <w:rPr>
          <w:sz w:val="23"/>
          <w:szCs w:val="23"/>
        </w:rPr>
        <w:tab/>
      </w:r>
      <w:r w:rsidRPr="00856407">
        <w:rPr>
          <w:sz w:val="23"/>
          <w:szCs w:val="23"/>
        </w:rPr>
        <w:tab/>
      </w:r>
      <w:r w:rsidRPr="00856407">
        <w:rPr>
          <w:sz w:val="23"/>
          <w:szCs w:val="23"/>
        </w:rPr>
        <w:tab/>
      </w:r>
      <w:r w:rsidRPr="00856407">
        <w:rPr>
          <w:sz w:val="23"/>
          <w:szCs w:val="23"/>
        </w:rPr>
        <w:tab/>
      </w:r>
      <w:r w:rsidRPr="00856407">
        <w:rPr>
          <w:sz w:val="23"/>
          <w:szCs w:val="23"/>
        </w:rPr>
        <w:tab/>
        <w:t>Kelsey Endres, WSBA No. 39409</w:t>
      </w:r>
    </w:p>
    <w:p w14:paraId="64B3EF2A" w14:textId="6C8D15BA" w:rsidR="000327D7" w:rsidRPr="00856407" w:rsidRDefault="000327D7" w:rsidP="000327D7">
      <w:pPr>
        <w:rPr>
          <w:sz w:val="23"/>
          <w:szCs w:val="23"/>
        </w:rPr>
      </w:pPr>
      <w:r w:rsidRPr="00856407">
        <w:rPr>
          <w:sz w:val="23"/>
          <w:szCs w:val="23"/>
        </w:rPr>
        <w:tab/>
      </w:r>
      <w:r w:rsidRPr="00856407">
        <w:rPr>
          <w:sz w:val="23"/>
          <w:szCs w:val="23"/>
        </w:rPr>
        <w:tab/>
      </w:r>
      <w:r w:rsidRPr="00856407">
        <w:rPr>
          <w:sz w:val="23"/>
          <w:szCs w:val="23"/>
        </w:rPr>
        <w:tab/>
      </w:r>
      <w:r w:rsidRPr="00856407">
        <w:rPr>
          <w:sz w:val="23"/>
          <w:szCs w:val="23"/>
        </w:rPr>
        <w:tab/>
      </w:r>
      <w:r w:rsidRPr="00856407">
        <w:rPr>
          <w:sz w:val="23"/>
          <w:szCs w:val="23"/>
        </w:rPr>
        <w:tab/>
        <w:t>1218 Third Avenue, Suite 2500</w:t>
      </w:r>
    </w:p>
    <w:p w14:paraId="65EB0CA0" w14:textId="77777777" w:rsidR="000327D7" w:rsidRPr="00856407" w:rsidRDefault="000327D7" w:rsidP="000327D7">
      <w:pPr>
        <w:rPr>
          <w:sz w:val="23"/>
          <w:szCs w:val="23"/>
        </w:rPr>
      </w:pPr>
      <w:r w:rsidRPr="00856407">
        <w:rPr>
          <w:sz w:val="23"/>
          <w:szCs w:val="23"/>
        </w:rPr>
        <w:tab/>
      </w:r>
      <w:r w:rsidRPr="00856407">
        <w:rPr>
          <w:sz w:val="23"/>
          <w:szCs w:val="23"/>
        </w:rPr>
        <w:tab/>
      </w:r>
      <w:r w:rsidRPr="00856407">
        <w:rPr>
          <w:sz w:val="23"/>
          <w:szCs w:val="23"/>
        </w:rPr>
        <w:tab/>
      </w:r>
      <w:r w:rsidRPr="00856407">
        <w:rPr>
          <w:sz w:val="23"/>
          <w:szCs w:val="23"/>
        </w:rPr>
        <w:tab/>
      </w:r>
      <w:r w:rsidRPr="00856407">
        <w:rPr>
          <w:sz w:val="23"/>
          <w:szCs w:val="23"/>
        </w:rPr>
        <w:tab/>
        <w:t>Seattle, WA 98101</w:t>
      </w:r>
    </w:p>
    <w:p w14:paraId="05504553" w14:textId="1F3D0164" w:rsidR="000327D7" w:rsidRPr="00856407" w:rsidRDefault="002D01BF" w:rsidP="000327D7">
      <w:pPr>
        <w:ind w:left="2880" w:firstLine="720"/>
        <w:rPr>
          <w:sz w:val="23"/>
          <w:szCs w:val="23"/>
        </w:rPr>
      </w:pPr>
      <w:hyperlink r:id="rId11" w:history="1">
        <w:r w:rsidR="000327D7" w:rsidRPr="00856407">
          <w:rPr>
            <w:color w:val="0000FF"/>
            <w:sz w:val="23"/>
            <w:szCs w:val="23"/>
            <w:u w:val="single"/>
          </w:rPr>
          <w:t>Kelsey@montgomeryscarp.com</w:t>
        </w:r>
      </w:hyperlink>
      <w:r w:rsidR="000327D7" w:rsidRPr="00856407">
        <w:rPr>
          <w:sz w:val="23"/>
          <w:szCs w:val="23"/>
        </w:rPr>
        <w:tab/>
      </w:r>
      <w:r w:rsidR="000327D7" w:rsidRPr="00856407">
        <w:rPr>
          <w:sz w:val="23"/>
          <w:szCs w:val="23"/>
        </w:rPr>
        <w:tab/>
      </w:r>
      <w:r w:rsidR="000327D7" w:rsidRPr="00856407">
        <w:rPr>
          <w:sz w:val="23"/>
          <w:szCs w:val="23"/>
        </w:rPr>
        <w:tab/>
      </w:r>
      <w:r w:rsidR="000327D7" w:rsidRPr="00856407">
        <w:rPr>
          <w:sz w:val="23"/>
          <w:szCs w:val="23"/>
        </w:rPr>
        <w:tab/>
      </w:r>
    </w:p>
    <w:p w14:paraId="3587F992" w14:textId="6305DAAD" w:rsidR="009C30CE" w:rsidRPr="00856407" w:rsidRDefault="000327D7" w:rsidP="009C30CE">
      <w:pPr>
        <w:rPr>
          <w:sz w:val="23"/>
          <w:szCs w:val="23"/>
        </w:rPr>
      </w:pPr>
      <w:r w:rsidRPr="00856407">
        <w:rPr>
          <w:sz w:val="23"/>
          <w:szCs w:val="23"/>
        </w:rPr>
        <w:tab/>
      </w:r>
      <w:r w:rsidRPr="00856407">
        <w:rPr>
          <w:sz w:val="23"/>
          <w:szCs w:val="23"/>
        </w:rPr>
        <w:tab/>
      </w:r>
      <w:r w:rsidRPr="00856407">
        <w:rPr>
          <w:sz w:val="23"/>
          <w:szCs w:val="23"/>
        </w:rPr>
        <w:tab/>
      </w:r>
      <w:r w:rsidRPr="00856407">
        <w:rPr>
          <w:sz w:val="23"/>
          <w:szCs w:val="23"/>
        </w:rPr>
        <w:tab/>
      </w:r>
      <w:r w:rsidRPr="00856407">
        <w:rPr>
          <w:sz w:val="23"/>
          <w:szCs w:val="23"/>
        </w:rPr>
        <w:tab/>
        <w:t>Attorney for BNSF RAILWAY COMPANY</w:t>
      </w:r>
    </w:p>
    <w:p w14:paraId="4D9E434A" w14:textId="15E073A6" w:rsidR="000327D7" w:rsidRPr="00856407" w:rsidRDefault="000327D7">
      <w:pPr>
        <w:rPr>
          <w:sz w:val="23"/>
          <w:szCs w:val="23"/>
        </w:rPr>
      </w:pPr>
      <w:r w:rsidRPr="00856407">
        <w:rPr>
          <w:sz w:val="23"/>
          <w:szCs w:val="23"/>
        </w:rPr>
        <w:br w:type="page"/>
      </w:r>
    </w:p>
    <w:p w14:paraId="39B73D35" w14:textId="77777777" w:rsidR="000327D7" w:rsidRPr="003436FB" w:rsidRDefault="000327D7" w:rsidP="000327D7">
      <w:pPr>
        <w:jc w:val="center"/>
        <w:rPr>
          <w:rFonts w:ascii="PMingLiU" w:eastAsia="PMingLiU" w:cs="PMingLiU"/>
          <w:sz w:val="22"/>
          <w:szCs w:val="22"/>
          <w:lang w:val="zh-TW"/>
        </w:rPr>
      </w:pPr>
      <w:r w:rsidRPr="003436FB">
        <w:rPr>
          <w:sz w:val="22"/>
          <w:szCs w:val="22"/>
          <w:lang w:val="en-CA"/>
        </w:rPr>
        <w:fldChar w:fldCharType="begin"/>
      </w:r>
      <w:r w:rsidRPr="003436FB">
        <w:rPr>
          <w:sz w:val="22"/>
          <w:szCs w:val="22"/>
          <w:lang w:val="en-CA"/>
        </w:rPr>
        <w:instrText xml:space="preserve"> SEQ CHAPTER \h \r 1</w:instrText>
      </w:r>
      <w:r w:rsidRPr="003436FB">
        <w:rPr>
          <w:sz w:val="22"/>
          <w:szCs w:val="22"/>
          <w:lang w:val="en-CA"/>
        </w:rPr>
        <w:fldChar w:fldCharType="end"/>
      </w:r>
      <w:r w:rsidRPr="003436FB">
        <w:rPr>
          <w:b/>
          <w:bCs/>
          <w:sz w:val="22"/>
          <w:szCs w:val="22"/>
          <w:u w:val="single"/>
        </w:rPr>
        <w:t>CERTIFICATE OF SERVICE</w:t>
      </w:r>
    </w:p>
    <w:p w14:paraId="45B3DA3E" w14:textId="77777777" w:rsidR="000327D7" w:rsidRPr="003436FB" w:rsidRDefault="000327D7" w:rsidP="000327D7">
      <w:pPr>
        <w:spacing w:line="367" w:lineRule="exact"/>
        <w:ind w:firstLine="720"/>
        <w:rPr>
          <w:rFonts w:ascii="PMingLiU" w:eastAsia="PMingLiU" w:cs="PMingLiU"/>
          <w:sz w:val="22"/>
          <w:szCs w:val="22"/>
          <w:lang w:val="zh-TW"/>
        </w:rPr>
      </w:pPr>
    </w:p>
    <w:p w14:paraId="1FC85B03" w14:textId="77777777" w:rsidR="000327D7" w:rsidRPr="003436FB" w:rsidRDefault="000327D7" w:rsidP="000327D7">
      <w:pPr>
        <w:spacing w:line="288" w:lineRule="exact"/>
        <w:ind w:firstLine="720"/>
        <w:rPr>
          <w:sz w:val="22"/>
          <w:szCs w:val="22"/>
        </w:rPr>
      </w:pPr>
      <w:r w:rsidRPr="003436FB">
        <w:rPr>
          <w:sz w:val="22"/>
          <w:szCs w:val="22"/>
        </w:rPr>
        <w:t>I am over the age of 18; and not a party to this action.  I am the assistant to an attorney with Montgomery Scarp PLLC, whose address is 1218 Third Avenue, Suite 2500, Seattle, Washington, 98101.</w:t>
      </w:r>
    </w:p>
    <w:p w14:paraId="64583770" w14:textId="77777777" w:rsidR="000327D7" w:rsidRPr="003436FB" w:rsidRDefault="000327D7" w:rsidP="000327D7">
      <w:pPr>
        <w:spacing w:line="288" w:lineRule="exact"/>
        <w:rPr>
          <w:rFonts w:ascii="PMingLiU" w:eastAsia="PMingLiU" w:cs="PMingLiU"/>
          <w:sz w:val="22"/>
          <w:szCs w:val="22"/>
          <w:lang w:val="zh-TW"/>
        </w:rPr>
      </w:pPr>
    </w:p>
    <w:p w14:paraId="2753AA1E" w14:textId="62E2C602" w:rsidR="000327D7" w:rsidRPr="003436FB" w:rsidRDefault="000327D7" w:rsidP="000327D7">
      <w:pPr>
        <w:spacing w:line="288" w:lineRule="exact"/>
        <w:ind w:firstLine="720"/>
        <w:rPr>
          <w:sz w:val="22"/>
          <w:szCs w:val="22"/>
        </w:rPr>
      </w:pPr>
      <w:r w:rsidRPr="003436FB">
        <w:rPr>
          <w:sz w:val="22"/>
          <w:szCs w:val="22"/>
        </w:rPr>
        <w:t xml:space="preserve">I hereby certify that </w:t>
      </w:r>
      <w:r w:rsidR="003436FB" w:rsidRPr="003436FB">
        <w:rPr>
          <w:sz w:val="22"/>
          <w:szCs w:val="22"/>
        </w:rPr>
        <w:t>the original and 1 cop</w:t>
      </w:r>
      <w:r w:rsidR="003436FB" w:rsidRPr="003436FB">
        <w:rPr>
          <w:sz w:val="22"/>
          <w:szCs w:val="22"/>
        </w:rPr>
        <w:t>y</w:t>
      </w:r>
      <w:r w:rsidR="003436FB" w:rsidRPr="003436FB">
        <w:rPr>
          <w:sz w:val="22"/>
          <w:szCs w:val="22"/>
        </w:rPr>
        <w:t xml:space="preserve"> </w:t>
      </w:r>
      <w:r w:rsidRPr="003436FB">
        <w:rPr>
          <w:sz w:val="22"/>
          <w:szCs w:val="22"/>
        </w:rPr>
        <w:t xml:space="preserve">of BNSF’s RESPONSES TO </w:t>
      </w:r>
      <w:r w:rsidR="009625EC" w:rsidRPr="003436FB">
        <w:rPr>
          <w:sz w:val="22"/>
          <w:szCs w:val="22"/>
        </w:rPr>
        <w:t>BENCH</w:t>
      </w:r>
      <w:r w:rsidRPr="003436FB">
        <w:rPr>
          <w:sz w:val="22"/>
          <w:szCs w:val="22"/>
        </w:rPr>
        <w:t xml:space="preserve"> REQUESTS NOS. 1-</w:t>
      </w:r>
      <w:r w:rsidR="009625EC" w:rsidRPr="003436FB">
        <w:rPr>
          <w:sz w:val="22"/>
          <w:szCs w:val="22"/>
        </w:rPr>
        <w:t>3</w:t>
      </w:r>
      <w:r w:rsidRPr="003436FB">
        <w:rPr>
          <w:sz w:val="22"/>
          <w:szCs w:val="22"/>
        </w:rPr>
        <w:t xml:space="preserve"> have been </w:t>
      </w:r>
      <w:r w:rsidR="003436FB" w:rsidRPr="003436FB">
        <w:rPr>
          <w:sz w:val="22"/>
          <w:szCs w:val="22"/>
        </w:rPr>
        <w:t>sent VIA FED EX to Steven King at WUTC and a PDF version filed with the UTC.</w:t>
      </w:r>
      <w:r w:rsidR="003436FB" w:rsidRPr="003436FB">
        <w:rPr>
          <w:sz w:val="22"/>
          <w:szCs w:val="22"/>
        </w:rPr>
        <w:t xml:space="preserve"> </w:t>
      </w:r>
      <w:r w:rsidR="003436FB" w:rsidRPr="003436FB">
        <w:rPr>
          <w:sz w:val="22"/>
          <w:szCs w:val="22"/>
          <w:lang w:val="en-CA"/>
        </w:rPr>
        <w:fldChar w:fldCharType="begin"/>
      </w:r>
      <w:r w:rsidR="003436FB" w:rsidRPr="003436FB">
        <w:rPr>
          <w:sz w:val="22"/>
          <w:szCs w:val="22"/>
          <w:lang w:val="en-CA"/>
        </w:rPr>
        <w:instrText xml:space="preserve"> SEQ CHAPTER \h \r 1</w:instrText>
      </w:r>
      <w:r w:rsidR="003436FB" w:rsidRPr="003436FB">
        <w:rPr>
          <w:sz w:val="22"/>
          <w:szCs w:val="22"/>
          <w:lang w:val="en-CA"/>
        </w:rPr>
        <w:fldChar w:fldCharType="end"/>
      </w:r>
      <w:r w:rsidR="003436FB" w:rsidRPr="003436FB">
        <w:rPr>
          <w:sz w:val="22"/>
          <w:szCs w:val="22"/>
        </w:rPr>
        <w:t>I also certify that true and complete copies</w:t>
      </w:r>
      <w:r w:rsidR="003436FB" w:rsidRPr="003436FB">
        <w:rPr>
          <w:i/>
          <w:iCs/>
          <w:sz w:val="22"/>
          <w:szCs w:val="22"/>
        </w:rPr>
        <w:t xml:space="preserve"> </w:t>
      </w:r>
      <w:r w:rsidR="003436FB" w:rsidRPr="003436FB">
        <w:rPr>
          <w:sz w:val="22"/>
          <w:szCs w:val="22"/>
        </w:rPr>
        <w:t xml:space="preserve">have been sent to the following interested parties via </w:t>
      </w:r>
      <w:bookmarkStart w:id="0" w:name="_GoBack"/>
      <w:bookmarkEnd w:id="0"/>
      <w:r w:rsidR="003436FB" w:rsidRPr="003436FB">
        <w:rPr>
          <w:sz w:val="22"/>
          <w:szCs w:val="22"/>
        </w:rPr>
        <w:t>electronic mail:</w:t>
      </w:r>
    </w:p>
    <w:p w14:paraId="4FB1FFFD" w14:textId="0A8DAE3F" w:rsidR="000327D7" w:rsidRPr="003436FB" w:rsidRDefault="003436FB" w:rsidP="000327D7">
      <w:pPr>
        <w:spacing w:line="288" w:lineRule="exact"/>
        <w:ind w:firstLine="720"/>
        <w:rPr>
          <w:sz w:val="22"/>
          <w:szCs w:val="22"/>
        </w:rPr>
      </w:pPr>
      <w:r w:rsidRPr="003436FB">
        <w:rPr>
          <w:sz w:val="22"/>
          <w:szCs w:val="22"/>
          <w:lang w:val="en-CA"/>
        </w:rPr>
        <w:fldChar w:fldCharType="begin"/>
      </w:r>
      <w:r w:rsidRPr="003436FB">
        <w:rPr>
          <w:sz w:val="22"/>
          <w:szCs w:val="22"/>
          <w:lang w:val="en-CA"/>
        </w:rPr>
        <w:instrText xml:space="preserve"> SEQ CHAPTER \h \r 1</w:instrText>
      </w:r>
      <w:r w:rsidRPr="003436FB">
        <w:rPr>
          <w:sz w:val="22"/>
          <w:szCs w:val="22"/>
          <w:lang w:val="en-CA"/>
        </w:rPr>
        <w:fldChar w:fldCharType="end"/>
      </w:r>
      <w:r w:rsidRPr="003436FB">
        <w:rPr>
          <w:sz w:val="22"/>
          <w:szCs w:val="22"/>
        </w:rPr>
        <w:t xml:space="preserve">  </w:t>
      </w:r>
    </w:p>
    <w:tbl>
      <w:tblPr>
        <w:tblW w:w="9972" w:type="dxa"/>
        <w:tblInd w:w="-54" w:type="dxa"/>
        <w:tblLayout w:type="fixed"/>
        <w:tblCellMar>
          <w:left w:w="0" w:type="dxa"/>
          <w:right w:w="0" w:type="dxa"/>
        </w:tblCellMar>
        <w:tblLook w:val="0000" w:firstRow="0" w:lastRow="0" w:firstColumn="0" w:lastColumn="0" w:noHBand="0" w:noVBand="0"/>
      </w:tblPr>
      <w:tblGrid>
        <w:gridCol w:w="774"/>
        <w:gridCol w:w="3714"/>
        <w:gridCol w:w="885"/>
        <w:gridCol w:w="3603"/>
        <w:gridCol w:w="996"/>
      </w:tblGrid>
      <w:tr w:rsidR="000327D7" w:rsidRPr="003436FB" w14:paraId="2654D7B9" w14:textId="77777777" w:rsidTr="003436FB">
        <w:trPr>
          <w:gridBefore w:val="1"/>
          <w:wBefore w:w="774" w:type="dxa"/>
          <w:trHeight w:val="1762"/>
        </w:trPr>
        <w:tc>
          <w:tcPr>
            <w:tcW w:w="4599" w:type="dxa"/>
            <w:gridSpan w:val="2"/>
            <w:tcBorders>
              <w:top w:val="nil"/>
              <w:left w:val="nil"/>
              <w:bottom w:val="nil"/>
              <w:right w:val="nil"/>
            </w:tcBorders>
          </w:tcPr>
          <w:p w14:paraId="7AB66480" w14:textId="77777777" w:rsidR="000327D7" w:rsidRPr="003436FB" w:rsidRDefault="000327D7">
            <w:pPr>
              <w:spacing w:line="120" w:lineRule="exact"/>
              <w:rPr>
                <w:rFonts w:ascii="PMingLiU" w:eastAsia="PMingLiU" w:cs="PMingLiU"/>
                <w:sz w:val="22"/>
                <w:szCs w:val="22"/>
                <w:lang w:val="zh-TW"/>
              </w:rPr>
            </w:pPr>
          </w:p>
          <w:p w14:paraId="423A694D" w14:textId="77777777" w:rsidR="000327D7" w:rsidRPr="003436FB" w:rsidRDefault="000327D7">
            <w:pPr>
              <w:spacing w:line="288" w:lineRule="exact"/>
              <w:rPr>
                <w:sz w:val="22"/>
                <w:szCs w:val="22"/>
              </w:rPr>
            </w:pPr>
            <w:r w:rsidRPr="003436FB">
              <w:rPr>
                <w:sz w:val="22"/>
                <w:szCs w:val="22"/>
              </w:rPr>
              <w:t>Daniel L. Gibson</w:t>
            </w:r>
          </w:p>
          <w:p w14:paraId="55E690E7" w14:textId="77777777" w:rsidR="000327D7" w:rsidRPr="003436FB" w:rsidRDefault="000327D7">
            <w:pPr>
              <w:spacing w:line="288" w:lineRule="exact"/>
              <w:rPr>
                <w:sz w:val="22"/>
                <w:szCs w:val="22"/>
              </w:rPr>
            </w:pPr>
            <w:r w:rsidRPr="003436FB">
              <w:rPr>
                <w:sz w:val="22"/>
                <w:szCs w:val="22"/>
              </w:rPr>
              <w:t>Chief Civil Deputy</w:t>
            </w:r>
          </w:p>
          <w:p w14:paraId="0951D745" w14:textId="77777777" w:rsidR="000327D7" w:rsidRPr="003436FB" w:rsidRDefault="000327D7">
            <w:pPr>
              <w:spacing w:line="288" w:lineRule="exact"/>
              <w:rPr>
                <w:sz w:val="22"/>
                <w:szCs w:val="22"/>
              </w:rPr>
            </w:pPr>
            <w:r w:rsidRPr="003436FB">
              <w:rPr>
                <w:sz w:val="22"/>
                <w:szCs w:val="22"/>
              </w:rPr>
              <w:t>Prosecuting Attorney</w:t>
            </w:r>
          </w:p>
          <w:p w14:paraId="23BC3461" w14:textId="77777777" w:rsidR="000327D7" w:rsidRPr="003436FB" w:rsidRDefault="000327D7">
            <w:pPr>
              <w:spacing w:line="288" w:lineRule="exact"/>
              <w:rPr>
                <w:sz w:val="22"/>
                <w:szCs w:val="22"/>
              </w:rPr>
            </w:pPr>
            <w:r w:rsidRPr="003436FB">
              <w:rPr>
                <w:sz w:val="22"/>
                <w:szCs w:val="22"/>
              </w:rPr>
              <w:t>Whatcom County</w:t>
            </w:r>
          </w:p>
          <w:p w14:paraId="06323D91" w14:textId="77777777" w:rsidR="000327D7" w:rsidRPr="003436FB" w:rsidRDefault="000327D7">
            <w:pPr>
              <w:spacing w:line="288" w:lineRule="exact"/>
              <w:rPr>
                <w:sz w:val="22"/>
                <w:szCs w:val="22"/>
              </w:rPr>
            </w:pPr>
            <w:r w:rsidRPr="003436FB">
              <w:rPr>
                <w:sz w:val="22"/>
                <w:szCs w:val="22"/>
              </w:rPr>
              <w:t>311 Grand Ave., Suite 201</w:t>
            </w:r>
          </w:p>
          <w:p w14:paraId="50708C5C" w14:textId="77777777" w:rsidR="000327D7" w:rsidRPr="003436FB" w:rsidRDefault="000327D7">
            <w:pPr>
              <w:spacing w:line="288" w:lineRule="exact"/>
              <w:rPr>
                <w:sz w:val="22"/>
                <w:szCs w:val="22"/>
              </w:rPr>
            </w:pPr>
            <w:r w:rsidRPr="003436FB">
              <w:rPr>
                <w:sz w:val="22"/>
                <w:szCs w:val="22"/>
              </w:rPr>
              <w:t>Bellingham, WA 98225</w:t>
            </w:r>
          </w:p>
          <w:p w14:paraId="08C59777" w14:textId="77777777" w:rsidR="000327D7" w:rsidRPr="003436FB" w:rsidRDefault="000327D7">
            <w:pPr>
              <w:spacing w:line="288" w:lineRule="exact"/>
              <w:rPr>
                <w:sz w:val="22"/>
                <w:szCs w:val="22"/>
              </w:rPr>
            </w:pPr>
          </w:p>
        </w:tc>
        <w:tc>
          <w:tcPr>
            <w:tcW w:w="4599" w:type="dxa"/>
            <w:gridSpan w:val="2"/>
            <w:tcBorders>
              <w:top w:val="nil"/>
              <w:left w:val="nil"/>
              <w:bottom w:val="nil"/>
              <w:right w:val="nil"/>
            </w:tcBorders>
          </w:tcPr>
          <w:p w14:paraId="1F50753E" w14:textId="77777777" w:rsidR="000327D7" w:rsidRPr="003436FB" w:rsidRDefault="000327D7">
            <w:pPr>
              <w:spacing w:line="120" w:lineRule="exact"/>
              <w:rPr>
                <w:rFonts w:ascii="PMingLiU" w:eastAsia="PMingLiU" w:cs="PMingLiU"/>
                <w:sz w:val="22"/>
                <w:szCs w:val="22"/>
                <w:lang w:val="zh-TW"/>
              </w:rPr>
            </w:pPr>
          </w:p>
          <w:p w14:paraId="6CAE8A29" w14:textId="77777777" w:rsidR="000327D7" w:rsidRPr="003436FB" w:rsidRDefault="000327D7">
            <w:pPr>
              <w:spacing w:line="288" w:lineRule="exact"/>
              <w:rPr>
                <w:sz w:val="22"/>
                <w:szCs w:val="22"/>
              </w:rPr>
            </w:pPr>
            <w:r w:rsidRPr="003436FB">
              <w:rPr>
                <w:sz w:val="22"/>
                <w:szCs w:val="22"/>
              </w:rPr>
              <w:t>Joseph P. Rutan</w:t>
            </w:r>
          </w:p>
          <w:p w14:paraId="7EF74166" w14:textId="77777777" w:rsidR="000327D7" w:rsidRPr="003436FB" w:rsidRDefault="000327D7">
            <w:pPr>
              <w:spacing w:line="288" w:lineRule="exact"/>
              <w:rPr>
                <w:sz w:val="22"/>
                <w:szCs w:val="22"/>
              </w:rPr>
            </w:pPr>
            <w:r w:rsidRPr="003436FB">
              <w:rPr>
                <w:sz w:val="22"/>
                <w:szCs w:val="22"/>
              </w:rPr>
              <w:t>County Engineer/Interim PW Director</w:t>
            </w:r>
          </w:p>
          <w:p w14:paraId="6E94E5A8" w14:textId="77777777" w:rsidR="000327D7" w:rsidRPr="003436FB" w:rsidRDefault="000327D7">
            <w:pPr>
              <w:spacing w:line="288" w:lineRule="exact"/>
              <w:rPr>
                <w:sz w:val="22"/>
                <w:szCs w:val="22"/>
              </w:rPr>
            </w:pPr>
            <w:r w:rsidRPr="003436FB">
              <w:rPr>
                <w:sz w:val="22"/>
                <w:szCs w:val="22"/>
              </w:rPr>
              <w:t>Whatcom County Public Works Dept.</w:t>
            </w:r>
          </w:p>
          <w:p w14:paraId="613B44C2" w14:textId="77777777" w:rsidR="000327D7" w:rsidRPr="003436FB" w:rsidRDefault="000327D7">
            <w:pPr>
              <w:spacing w:line="288" w:lineRule="exact"/>
              <w:rPr>
                <w:sz w:val="22"/>
                <w:szCs w:val="22"/>
              </w:rPr>
            </w:pPr>
            <w:r w:rsidRPr="003436FB">
              <w:rPr>
                <w:sz w:val="22"/>
                <w:szCs w:val="22"/>
              </w:rPr>
              <w:t>322 N. Commercial St., Suite 210</w:t>
            </w:r>
          </w:p>
          <w:p w14:paraId="39C9A184" w14:textId="77777777" w:rsidR="000327D7" w:rsidRPr="003436FB" w:rsidRDefault="000327D7">
            <w:pPr>
              <w:spacing w:line="288" w:lineRule="exact"/>
              <w:rPr>
                <w:sz w:val="22"/>
                <w:szCs w:val="22"/>
              </w:rPr>
            </w:pPr>
            <w:r w:rsidRPr="003436FB">
              <w:rPr>
                <w:sz w:val="22"/>
                <w:szCs w:val="22"/>
              </w:rPr>
              <w:t>Bellingham, WA 98225</w:t>
            </w:r>
          </w:p>
          <w:p w14:paraId="07461308" w14:textId="77777777" w:rsidR="000327D7" w:rsidRPr="003436FB" w:rsidRDefault="000327D7">
            <w:pPr>
              <w:tabs>
                <w:tab w:val="left" w:pos="0"/>
                <w:tab w:val="left" w:pos="720"/>
                <w:tab w:val="left" w:pos="1440"/>
                <w:tab w:val="left" w:pos="2160"/>
                <w:tab w:val="left" w:pos="2880"/>
                <w:tab w:val="left" w:pos="3600"/>
                <w:tab w:val="left" w:pos="4320"/>
              </w:tabs>
              <w:spacing w:line="275" w:lineRule="auto"/>
              <w:rPr>
                <w:sz w:val="22"/>
                <w:szCs w:val="22"/>
              </w:rPr>
            </w:pPr>
            <w:r w:rsidRPr="003436FB">
              <w:rPr>
                <w:sz w:val="22"/>
                <w:szCs w:val="22"/>
              </w:rPr>
              <w:tab/>
            </w:r>
          </w:p>
        </w:tc>
      </w:tr>
      <w:tr w:rsidR="000327D7" w:rsidRPr="003436FB" w14:paraId="5E608402" w14:textId="77777777" w:rsidTr="003436FB">
        <w:trPr>
          <w:gridBefore w:val="1"/>
          <w:wBefore w:w="774" w:type="dxa"/>
          <w:trHeight w:hRule="exact" w:val="1971"/>
        </w:trPr>
        <w:tc>
          <w:tcPr>
            <w:tcW w:w="4599" w:type="dxa"/>
            <w:gridSpan w:val="2"/>
            <w:tcBorders>
              <w:top w:val="nil"/>
              <w:left w:val="nil"/>
              <w:bottom w:val="nil"/>
              <w:right w:val="nil"/>
            </w:tcBorders>
          </w:tcPr>
          <w:p w14:paraId="1FE4A86E" w14:textId="77777777" w:rsidR="000327D7" w:rsidRPr="003436FB" w:rsidRDefault="000327D7">
            <w:pPr>
              <w:tabs>
                <w:tab w:val="left" w:pos="0"/>
                <w:tab w:val="left" w:pos="720"/>
                <w:tab w:val="left" w:pos="1440"/>
                <w:tab w:val="left" w:pos="2160"/>
                <w:tab w:val="left" w:pos="2880"/>
                <w:tab w:val="left" w:pos="3600"/>
                <w:tab w:val="left" w:pos="4320"/>
              </w:tabs>
              <w:spacing w:line="120" w:lineRule="atLeast"/>
              <w:rPr>
                <w:rFonts w:ascii="PMingLiU" w:eastAsia="PMingLiU" w:cs="PMingLiU"/>
                <w:sz w:val="22"/>
                <w:szCs w:val="22"/>
                <w:lang w:val="zh-TW"/>
              </w:rPr>
            </w:pPr>
          </w:p>
          <w:p w14:paraId="221E3DBC" w14:textId="77777777" w:rsidR="000327D7" w:rsidRPr="003436FB" w:rsidRDefault="000327D7">
            <w:pPr>
              <w:tabs>
                <w:tab w:val="left" w:pos="0"/>
                <w:tab w:val="left" w:pos="720"/>
                <w:tab w:val="left" w:pos="1440"/>
                <w:tab w:val="left" w:pos="2160"/>
                <w:tab w:val="left" w:pos="2880"/>
                <w:tab w:val="left" w:pos="3600"/>
                <w:tab w:val="left" w:pos="4320"/>
              </w:tabs>
              <w:spacing w:line="288" w:lineRule="atLeast"/>
              <w:rPr>
                <w:sz w:val="22"/>
                <w:szCs w:val="22"/>
              </w:rPr>
            </w:pPr>
            <w:r w:rsidRPr="003436FB">
              <w:rPr>
                <w:sz w:val="22"/>
                <w:szCs w:val="22"/>
              </w:rPr>
              <w:t>Julian Beattie</w:t>
            </w:r>
          </w:p>
          <w:p w14:paraId="7D330A7E" w14:textId="77777777" w:rsidR="000327D7" w:rsidRPr="003436FB" w:rsidRDefault="000327D7">
            <w:pPr>
              <w:tabs>
                <w:tab w:val="left" w:pos="0"/>
                <w:tab w:val="left" w:pos="720"/>
                <w:tab w:val="left" w:pos="1440"/>
                <w:tab w:val="left" w:pos="2160"/>
                <w:tab w:val="left" w:pos="2880"/>
                <w:tab w:val="left" w:pos="3600"/>
                <w:tab w:val="left" w:pos="4320"/>
              </w:tabs>
              <w:spacing w:line="288" w:lineRule="atLeast"/>
              <w:rPr>
                <w:sz w:val="22"/>
                <w:szCs w:val="22"/>
              </w:rPr>
            </w:pPr>
            <w:r w:rsidRPr="003436FB">
              <w:rPr>
                <w:sz w:val="22"/>
                <w:szCs w:val="22"/>
              </w:rPr>
              <w:t>Assistant Attorney General</w:t>
            </w:r>
          </w:p>
          <w:p w14:paraId="2A2682A1" w14:textId="77777777" w:rsidR="000327D7" w:rsidRPr="003436FB" w:rsidRDefault="000327D7">
            <w:pPr>
              <w:tabs>
                <w:tab w:val="left" w:pos="0"/>
                <w:tab w:val="left" w:pos="720"/>
                <w:tab w:val="left" w:pos="1440"/>
                <w:tab w:val="left" w:pos="2160"/>
                <w:tab w:val="left" w:pos="2880"/>
                <w:tab w:val="left" w:pos="3600"/>
                <w:tab w:val="left" w:pos="4320"/>
              </w:tabs>
              <w:spacing w:line="288" w:lineRule="atLeast"/>
              <w:rPr>
                <w:sz w:val="22"/>
                <w:szCs w:val="22"/>
              </w:rPr>
            </w:pPr>
            <w:r w:rsidRPr="003436FB">
              <w:rPr>
                <w:sz w:val="22"/>
                <w:szCs w:val="22"/>
              </w:rPr>
              <w:t>1400 S. Evergreen Park Drive SW</w:t>
            </w:r>
          </w:p>
          <w:p w14:paraId="226E21E6" w14:textId="77777777" w:rsidR="000327D7" w:rsidRPr="003436FB" w:rsidRDefault="000327D7">
            <w:pPr>
              <w:tabs>
                <w:tab w:val="left" w:pos="0"/>
                <w:tab w:val="left" w:pos="720"/>
                <w:tab w:val="left" w:pos="1440"/>
                <w:tab w:val="left" w:pos="2160"/>
                <w:tab w:val="left" w:pos="2880"/>
                <w:tab w:val="left" w:pos="3600"/>
                <w:tab w:val="left" w:pos="4320"/>
              </w:tabs>
              <w:spacing w:line="288" w:lineRule="atLeast"/>
              <w:rPr>
                <w:sz w:val="22"/>
                <w:szCs w:val="22"/>
              </w:rPr>
            </w:pPr>
            <w:r w:rsidRPr="003436FB">
              <w:rPr>
                <w:sz w:val="22"/>
                <w:szCs w:val="22"/>
              </w:rPr>
              <w:t>P.O. Box 40128</w:t>
            </w:r>
          </w:p>
          <w:p w14:paraId="76172C00" w14:textId="77777777" w:rsidR="000327D7" w:rsidRPr="003436FB" w:rsidRDefault="000327D7">
            <w:pPr>
              <w:tabs>
                <w:tab w:val="left" w:pos="0"/>
                <w:tab w:val="left" w:pos="720"/>
                <w:tab w:val="left" w:pos="1440"/>
                <w:tab w:val="left" w:pos="2160"/>
                <w:tab w:val="left" w:pos="2880"/>
                <w:tab w:val="left" w:pos="3600"/>
                <w:tab w:val="left" w:pos="4320"/>
              </w:tabs>
              <w:spacing w:line="288" w:lineRule="atLeast"/>
              <w:rPr>
                <w:sz w:val="22"/>
                <w:szCs w:val="22"/>
              </w:rPr>
            </w:pPr>
            <w:r w:rsidRPr="003436FB">
              <w:rPr>
                <w:sz w:val="22"/>
                <w:szCs w:val="22"/>
              </w:rPr>
              <w:t>Olympia, WA 98504-0128</w:t>
            </w:r>
          </w:p>
          <w:p w14:paraId="71FFE5B9" w14:textId="77777777" w:rsidR="000327D7" w:rsidRPr="003436FB" w:rsidRDefault="000327D7">
            <w:pPr>
              <w:tabs>
                <w:tab w:val="left" w:pos="0"/>
                <w:tab w:val="left" w:pos="720"/>
                <w:tab w:val="left" w:pos="1440"/>
                <w:tab w:val="left" w:pos="2160"/>
                <w:tab w:val="left" w:pos="2880"/>
                <w:tab w:val="left" w:pos="3600"/>
                <w:tab w:val="left" w:pos="4320"/>
              </w:tabs>
              <w:spacing w:line="288" w:lineRule="atLeast"/>
              <w:rPr>
                <w:sz w:val="22"/>
                <w:szCs w:val="22"/>
              </w:rPr>
            </w:pPr>
          </w:p>
          <w:p w14:paraId="011CCF70" w14:textId="77777777" w:rsidR="000327D7" w:rsidRPr="003436FB" w:rsidRDefault="000327D7">
            <w:pPr>
              <w:tabs>
                <w:tab w:val="left" w:pos="0"/>
                <w:tab w:val="left" w:pos="720"/>
                <w:tab w:val="left" w:pos="1440"/>
                <w:tab w:val="left" w:pos="2160"/>
                <w:tab w:val="left" w:pos="2880"/>
                <w:tab w:val="left" w:pos="3600"/>
                <w:tab w:val="left" w:pos="4320"/>
              </w:tabs>
              <w:spacing w:line="288" w:lineRule="atLeast"/>
              <w:rPr>
                <w:sz w:val="22"/>
                <w:szCs w:val="22"/>
              </w:rPr>
            </w:pPr>
          </w:p>
        </w:tc>
        <w:tc>
          <w:tcPr>
            <w:tcW w:w="4599" w:type="dxa"/>
            <w:gridSpan w:val="2"/>
            <w:tcBorders>
              <w:top w:val="nil"/>
              <w:left w:val="nil"/>
              <w:bottom w:val="nil"/>
              <w:right w:val="nil"/>
            </w:tcBorders>
          </w:tcPr>
          <w:p w14:paraId="494EBE73" w14:textId="77777777" w:rsidR="000327D7" w:rsidRPr="003436FB" w:rsidRDefault="000327D7">
            <w:pPr>
              <w:tabs>
                <w:tab w:val="left" w:pos="0"/>
                <w:tab w:val="left" w:pos="720"/>
                <w:tab w:val="left" w:pos="1440"/>
                <w:tab w:val="left" w:pos="2160"/>
                <w:tab w:val="left" w:pos="2880"/>
                <w:tab w:val="left" w:pos="3600"/>
                <w:tab w:val="left" w:pos="4320"/>
              </w:tabs>
              <w:spacing w:line="120" w:lineRule="atLeast"/>
              <w:rPr>
                <w:rFonts w:ascii="PMingLiU" w:eastAsia="PMingLiU" w:cs="PMingLiU"/>
                <w:sz w:val="22"/>
                <w:szCs w:val="22"/>
                <w:lang w:val="zh-TW"/>
              </w:rPr>
            </w:pPr>
          </w:p>
          <w:p w14:paraId="6CED158C" w14:textId="77777777" w:rsidR="000327D7" w:rsidRPr="003436FB" w:rsidRDefault="000327D7">
            <w:pPr>
              <w:tabs>
                <w:tab w:val="left" w:pos="0"/>
                <w:tab w:val="left" w:pos="720"/>
                <w:tab w:val="left" w:pos="1440"/>
                <w:tab w:val="left" w:pos="2160"/>
                <w:tab w:val="left" w:pos="2880"/>
                <w:tab w:val="left" w:pos="3600"/>
                <w:tab w:val="left" w:pos="4320"/>
              </w:tabs>
              <w:spacing w:line="275" w:lineRule="auto"/>
              <w:rPr>
                <w:sz w:val="22"/>
                <w:szCs w:val="22"/>
              </w:rPr>
            </w:pPr>
          </w:p>
        </w:tc>
      </w:tr>
      <w:tr w:rsidR="000327D7" w:rsidRPr="003436FB" w14:paraId="46501A50" w14:textId="77777777" w:rsidTr="003436FB">
        <w:tblPrEx>
          <w:tblCellMar>
            <w:left w:w="114" w:type="dxa"/>
            <w:right w:w="114" w:type="dxa"/>
          </w:tblCellMar>
        </w:tblPrEx>
        <w:trPr>
          <w:gridAfter w:val="1"/>
          <w:wAfter w:w="996" w:type="dxa"/>
          <w:trHeight w:val="394"/>
        </w:trPr>
        <w:tc>
          <w:tcPr>
            <w:tcW w:w="4488" w:type="dxa"/>
            <w:gridSpan w:val="2"/>
            <w:tcBorders>
              <w:top w:val="nil"/>
              <w:left w:val="nil"/>
              <w:bottom w:val="nil"/>
              <w:right w:val="nil"/>
            </w:tcBorders>
          </w:tcPr>
          <w:p w14:paraId="37B52D00" w14:textId="77777777" w:rsidR="000327D7" w:rsidRPr="003436FB" w:rsidRDefault="000327D7">
            <w:pPr>
              <w:tabs>
                <w:tab w:val="left" w:pos="0"/>
                <w:tab w:val="left" w:pos="720"/>
                <w:tab w:val="left" w:pos="1440"/>
                <w:tab w:val="left" w:pos="2160"/>
                <w:tab w:val="left" w:pos="2880"/>
                <w:tab w:val="left" w:pos="3600"/>
                <w:tab w:val="left" w:pos="4320"/>
              </w:tabs>
              <w:spacing w:line="288" w:lineRule="atLeast"/>
              <w:ind w:right="-414"/>
              <w:rPr>
                <w:sz w:val="22"/>
                <w:szCs w:val="22"/>
              </w:rPr>
            </w:pPr>
          </w:p>
        </w:tc>
        <w:tc>
          <w:tcPr>
            <w:tcW w:w="4488" w:type="dxa"/>
            <w:gridSpan w:val="2"/>
            <w:tcBorders>
              <w:top w:val="nil"/>
              <w:left w:val="nil"/>
              <w:bottom w:val="nil"/>
              <w:right w:val="nil"/>
            </w:tcBorders>
          </w:tcPr>
          <w:p w14:paraId="3C8C1E89" w14:textId="77777777" w:rsidR="000327D7" w:rsidRPr="003436FB" w:rsidRDefault="000327D7">
            <w:pPr>
              <w:tabs>
                <w:tab w:val="left" w:pos="0"/>
                <w:tab w:val="left" w:pos="720"/>
                <w:tab w:val="left" w:pos="1440"/>
                <w:tab w:val="left" w:pos="2160"/>
                <w:tab w:val="left" w:pos="2880"/>
                <w:tab w:val="left" w:pos="3600"/>
                <w:tab w:val="left" w:pos="4320"/>
              </w:tabs>
              <w:spacing w:line="120" w:lineRule="atLeast"/>
              <w:ind w:right="-414"/>
              <w:rPr>
                <w:sz w:val="22"/>
                <w:szCs w:val="22"/>
              </w:rPr>
            </w:pPr>
          </w:p>
          <w:p w14:paraId="667C36D3" w14:textId="77777777" w:rsidR="000327D7" w:rsidRPr="003436FB" w:rsidRDefault="000327D7">
            <w:pPr>
              <w:tabs>
                <w:tab w:val="left" w:pos="0"/>
                <w:tab w:val="left" w:pos="720"/>
                <w:tab w:val="left" w:pos="1440"/>
                <w:tab w:val="left" w:pos="2160"/>
                <w:tab w:val="left" w:pos="2880"/>
                <w:tab w:val="left" w:pos="3600"/>
                <w:tab w:val="left" w:pos="4320"/>
              </w:tabs>
              <w:spacing w:line="275" w:lineRule="auto"/>
              <w:rPr>
                <w:sz w:val="22"/>
                <w:szCs w:val="22"/>
              </w:rPr>
            </w:pPr>
          </w:p>
        </w:tc>
      </w:tr>
    </w:tbl>
    <w:p w14:paraId="0A0E4ADA" w14:textId="77777777" w:rsidR="000327D7" w:rsidRPr="003436FB" w:rsidRDefault="000327D7" w:rsidP="00032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right="-414" w:firstLine="720"/>
        <w:rPr>
          <w:sz w:val="22"/>
          <w:szCs w:val="22"/>
        </w:rPr>
      </w:pPr>
      <w:r w:rsidRPr="003436FB">
        <w:rPr>
          <w:sz w:val="22"/>
          <w:szCs w:val="22"/>
        </w:rPr>
        <w:t>I declare under penalty under the laws of the State of Washington that the foregoing information is true and correct.</w:t>
      </w:r>
    </w:p>
    <w:p w14:paraId="615A543A" w14:textId="77777777" w:rsidR="000327D7" w:rsidRPr="003436FB" w:rsidRDefault="000327D7" w:rsidP="00032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right="-414" w:firstLine="720"/>
        <w:rPr>
          <w:sz w:val="22"/>
          <w:szCs w:val="22"/>
        </w:rPr>
      </w:pPr>
    </w:p>
    <w:p w14:paraId="615E1667" w14:textId="1E9423CB" w:rsidR="000327D7" w:rsidRPr="003436FB" w:rsidRDefault="000327D7" w:rsidP="00032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right="-414" w:firstLine="720"/>
        <w:rPr>
          <w:sz w:val="22"/>
          <w:szCs w:val="22"/>
        </w:rPr>
      </w:pPr>
      <w:r w:rsidRPr="003436FB">
        <w:rPr>
          <w:sz w:val="22"/>
          <w:szCs w:val="22"/>
        </w:rPr>
        <w:t xml:space="preserve">DATED this </w:t>
      </w:r>
      <w:r w:rsidR="009625EC" w:rsidRPr="003436FB">
        <w:rPr>
          <w:sz w:val="22"/>
          <w:szCs w:val="22"/>
        </w:rPr>
        <w:t>11th day of Dec</w:t>
      </w:r>
      <w:r w:rsidRPr="003436FB">
        <w:rPr>
          <w:sz w:val="22"/>
          <w:szCs w:val="22"/>
        </w:rPr>
        <w:t>ember, 2015</w:t>
      </w:r>
      <w:r w:rsidRPr="003436FB">
        <w:rPr>
          <w:rFonts w:ascii="PMingLiU" w:eastAsia="PMingLiU" w:cs="PMingLiU"/>
          <w:sz w:val="22"/>
          <w:szCs w:val="22"/>
          <w:lang w:val="zh-TW"/>
        </w:rPr>
        <w:t>,</w:t>
      </w:r>
      <w:r w:rsidRPr="003436FB">
        <w:rPr>
          <w:sz w:val="22"/>
          <w:szCs w:val="22"/>
        </w:rPr>
        <w:t xml:space="preserve"> at Seattle, Washington.</w:t>
      </w:r>
    </w:p>
    <w:p w14:paraId="718E4562" w14:textId="77777777" w:rsidR="000327D7" w:rsidRPr="003436FB" w:rsidRDefault="000327D7" w:rsidP="00032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right="-414"/>
        <w:rPr>
          <w:rFonts w:ascii="PMingLiU" w:eastAsia="PMingLiU" w:cs="PMingLiU"/>
          <w:sz w:val="22"/>
          <w:szCs w:val="22"/>
          <w:lang w:val="zh-TW"/>
        </w:rPr>
      </w:pPr>
    </w:p>
    <w:p w14:paraId="7A08A3E1" w14:textId="77777777" w:rsidR="000327D7" w:rsidRPr="003436FB" w:rsidRDefault="000327D7" w:rsidP="00032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right="-414"/>
        <w:rPr>
          <w:rFonts w:ascii="PMingLiU" w:eastAsia="PMingLiU" w:cs="PMingLiU"/>
          <w:sz w:val="22"/>
          <w:szCs w:val="22"/>
          <w:lang w:val="zh-TW"/>
        </w:rPr>
      </w:pPr>
    </w:p>
    <w:p w14:paraId="3883E281" w14:textId="77777777" w:rsidR="000327D7" w:rsidRPr="003436FB" w:rsidRDefault="000327D7" w:rsidP="00032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right="-414" w:firstLine="5760"/>
        <w:rPr>
          <w:rFonts w:ascii="PMingLiU" w:eastAsia="PMingLiU" w:cs="PMingLiU"/>
          <w:sz w:val="22"/>
          <w:szCs w:val="22"/>
          <w:lang w:val="zh-TW"/>
        </w:rPr>
      </w:pPr>
    </w:p>
    <w:p w14:paraId="36953AC4" w14:textId="77777777" w:rsidR="000327D7" w:rsidRPr="003436FB" w:rsidRDefault="000327D7" w:rsidP="00032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right="-414" w:firstLine="4320"/>
        <w:rPr>
          <w:rFonts w:ascii="PMingLiU" w:eastAsia="PMingLiU" w:cs="PMingLiU"/>
          <w:sz w:val="22"/>
          <w:szCs w:val="22"/>
          <w:u w:val="single"/>
          <w:lang w:val="zh-TW"/>
        </w:rPr>
      </w:pPr>
      <w:r w:rsidRPr="003436FB">
        <w:rPr>
          <w:sz w:val="22"/>
          <w:szCs w:val="22"/>
        </w:rPr>
        <w:t>________________________________</w:t>
      </w:r>
    </w:p>
    <w:p w14:paraId="15FC4B1F" w14:textId="77777777" w:rsidR="000327D7" w:rsidRPr="003436FB" w:rsidRDefault="000327D7" w:rsidP="00032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tLeast"/>
        <w:ind w:right="-414" w:firstLine="4320"/>
        <w:rPr>
          <w:rFonts w:ascii="PMingLiU" w:eastAsia="PMingLiU" w:cs="PMingLiU"/>
          <w:b/>
          <w:bCs/>
          <w:sz w:val="22"/>
          <w:szCs w:val="22"/>
          <w:u w:val="single"/>
          <w:lang w:val="zh-TW"/>
        </w:rPr>
      </w:pPr>
      <w:r w:rsidRPr="003436FB">
        <w:rPr>
          <w:sz w:val="22"/>
          <w:szCs w:val="22"/>
        </w:rPr>
        <w:t>Pamela Ruggles, Paralegal</w:t>
      </w:r>
      <w:r w:rsidRPr="003436FB">
        <w:rPr>
          <w:sz w:val="22"/>
          <w:szCs w:val="22"/>
        </w:rPr>
        <w:tab/>
      </w:r>
    </w:p>
    <w:p w14:paraId="5EC16D36" w14:textId="77777777" w:rsidR="00DF6C12" w:rsidRPr="003436FB" w:rsidRDefault="00DF6C12" w:rsidP="00DF6C12">
      <w:pPr>
        <w:rPr>
          <w:sz w:val="22"/>
          <w:szCs w:val="22"/>
        </w:rPr>
      </w:pPr>
    </w:p>
    <w:sectPr w:rsidR="00DF6C12" w:rsidRPr="003436FB" w:rsidSect="000327D7">
      <w:headerReference w:type="default" r:id="rId12"/>
      <w:footerReference w:type="default" r:id="rId13"/>
      <w:pgSz w:w="12240" w:h="15840" w:code="1"/>
      <w:pgMar w:top="1440" w:right="1440" w:bottom="1440" w:left="1440" w:header="720" w:footer="5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A4BEA" w14:textId="77777777" w:rsidR="00A13E33" w:rsidRDefault="00A13E33">
      <w:r>
        <w:separator/>
      </w:r>
    </w:p>
  </w:endnote>
  <w:endnote w:type="continuationSeparator" w:id="0">
    <w:p w14:paraId="6ACE0CC6" w14:textId="77777777" w:rsidR="00A13E33" w:rsidRDefault="00A1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2F34C" w14:textId="3EDFE228" w:rsidR="000327D7" w:rsidRPr="000327D7" w:rsidRDefault="000327D7" w:rsidP="000327D7">
    <w:pPr>
      <w:rPr>
        <w:sz w:val="16"/>
        <w:szCs w:val="16"/>
      </w:rPr>
    </w:pPr>
    <w:r>
      <w:rPr>
        <w:sz w:val="16"/>
        <w:szCs w:val="16"/>
      </w:rPr>
      <w:t xml:space="preserve">BNSF’S ANSWERS TO </w:t>
    </w:r>
    <w:r w:rsidR="00A47925">
      <w:rPr>
        <w:sz w:val="16"/>
        <w:szCs w:val="16"/>
      </w:rPr>
      <w:t>BENCH REQUESTS</w:t>
    </w:r>
    <w:r w:rsidR="00FF4970">
      <w:rPr>
        <w:sz w:val="16"/>
        <w:szCs w:val="16"/>
      </w:rPr>
      <w:t xml:space="preserve"> 1-3</w:t>
    </w:r>
    <w:r>
      <w:rPr>
        <w:sz w:val="16"/>
        <w:szCs w:val="16"/>
      </w:rPr>
      <w:t xml:space="preserve"> -</w:t>
    </w:r>
    <w:r w:rsidR="00FF4970">
      <w:rPr>
        <w:sz w:val="16"/>
        <w:szCs w:val="16"/>
      </w:rPr>
      <w:t>Page</w:t>
    </w:r>
    <w:r>
      <w:rPr>
        <w:sz w:val="16"/>
        <w:szCs w:val="16"/>
      </w:rPr>
      <w:t xml:space="preserve"> </w:t>
    </w:r>
    <w:r>
      <w:rPr>
        <w:sz w:val="16"/>
        <w:szCs w:val="16"/>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429F2" w14:textId="77777777" w:rsidR="00A13E33" w:rsidRDefault="00A13E33">
      <w:r>
        <w:separator/>
      </w:r>
    </w:p>
  </w:footnote>
  <w:footnote w:type="continuationSeparator" w:id="0">
    <w:p w14:paraId="18A9B2C3" w14:textId="77777777" w:rsidR="00A13E33" w:rsidRDefault="00A13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B4059" w14:textId="77777777" w:rsidR="00A13E33" w:rsidRDefault="00A13E33">
    <w:pPr>
      <w:pStyle w:val="Header"/>
    </w:pPr>
  </w:p>
  <w:p w14:paraId="37C05B6B" w14:textId="77777777" w:rsidR="00B85EB6" w:rsidRDefault="00B85EB6">
    <w:pPr>
      <w:pStyle w:val="Header"/>
    </w:pPr>
    <w:r>
      <w:t xml:space="preserve">Docket </w:t>
    </w:r>
    <w:r w:rsidR="00A13E33">
      <w:t>TR-150189</w:t>
    </w:r>
  </w:p>
  <w:p w14:paraId="697FDD7A" w14:textId="4A88DD0F" w:rsidR="00B85EB6" w:rsidRDefault="009C30CE">
    <w:pPr>
      <w:pStyle w:val="Header"/>
    </w:pPr>
    <w:r w:rsidRPr="009C30CE">
      <w:rPr>
        <w:u w:val="single"/>
      </w:rPr>
      <w:t>BNSF’s Answers</w:t>
    </w:r>
    <w:r>
      <w:t xml:space="preserve"> to </w:t>
    </w:r>
    <w:r w:rsidR="009625EC">
      <w:t>Bench</w:t>
    </w:r>
    <w:r w:rsidR="00A13E33">
      <w:t xml:space="preserve"> Request Nos. 1</w:t>
    </w:r>
    <w:r w:rsidR="009625EC">
      <w:t>-3</w:t>
    </w:r>
    <w:r w:rsidR="00A13E33">
      <w:t xml:space="preserve"> to BNSF</w:t>
    </w:r>
  </w:p>
  <w:p w14:paraId="696087B4" w14:textId="4863A218" w:rsidR="00B85EB6" w:rsidRDefault="00465B86">
    <w:pPr>
      <w:pStyle w:val="Header"/>
    </w:pPr>
    <w:r>
      <w:t>December 11</w:t>
    </w:r>
    <w:r w:rsidR="00A13E33">
      <w:t>, 2015</w:t>
    </w:r>
  </w:p>
  <w:p w14:paraId="3743044B" w14:textId="77777777" w:rsidR="00B85EB6" w:rsidRDefault="00B85EB6">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01BF">
      <w:rPr>
        <w:rStyle w:val="PageNumber"/>
        <w:noProof/>
      </w:rPr>
      <w:t>4</w:t>
    </w:r>
    <w:r>
      <w:rPr>
        <w:rStyle w:val="PageNumber"/>
      </w:rPr>
      <w:fldChar w:fldCharType="end"/>
    </w:r>
  </w:p>
  <w:p w14:paraId="21088D69" w14:textId="77777777" w:rsidR="00B85EB6" w:rsidRDefault="00B85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D37BB"/>
    <w:multiLevelType w:val="hybridMultilevel"/>
    <w:tmpl w:val="6094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12"/>
    <w:rsid w:val="000327D7"/>
    <w:rsid w:val="000841F9"/>
    <w:rsid w:val="001A55F0"/>
    <w:rsid w:val="001A5766"/>
    <w:rsid w:val="001D0764"/>
    <w:rsid w:val="001D1188"/>
    <w:rsid w:val="0023581E"/>
    <w:rsid w:val="002D01BF"/>
    <w:rsid w:val="002E061F"/>
    <w:rsid w:val="002E708F"/>
    <w:rsid w:val="00313F3F"/>
    <w:rsid w:val="00337050"/>
    <w:rsid w:val="003436FB"/>
    <w:rsid w:val="004567A5"/>
    <w:rsid w:val="00465B86"/>
    <w:rsid w:val="004A4957"/>
    <w:rsid w:val="004E0D54"/>
    <w:rsid w:val="004F3EDD"/>
    <w:rsid w:val="00541E25"/>
    <w:rsid w:val="005651BC"/>
    <w:rsid w:val="006147F2"/>
    <w:rsid w:val="0062489F"/>
    <w:rsid w:val="006B620A"/>
    <w:rsid w:val="00734BE9"/>
    <w:rsid w:val="008220FA"/>
    <w:rsid w:val="00856407"/>
    <w:rsid w:val="008B2EA2"/>
    <w:rsid w:val="008D065C"/>
    <w:rsid w:val="00902CB7"/>
    <w:rsid w:val="009625EC"/>
    <w:rsid w:val="009C30CE"/>
    <w:rsid w:val="00A13E33"/>
    <w:rsid w:val="00A47925"/>
    <w:rsid w:val="00A50086"/>
    <w:rsid w:val="00B85EB6"/>
    <w:rsid w:val="00BB43DC"/>
    <w:rsid w:val="00DF6C12"/>
    <w:rsid w:val="00E61F24"/>
    <w:rsid w:val="00E81C08"/>
    <w:rsid w:val="00EE1301"/>
    <w:rsid w:val="00F44B0D"/>
    <w:rsid w:val="00F55479"/>
    <w:rsid w:val="00F90E67"/>
    <w:rsid w:val="00FF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D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6C12"/>
    <w:pPr>
      <w:tabs>
        <w:tab w:val="center" w:pos="4320"/>
        <w:tab w:val="right" w:pos="8640"/>
      </w:tabs>
    </w:pPr>
  </w:style>
  <w:style w:type="paragraph" w:styleId="Footer">
    <w:name w:val="footer"/>
    <w:basedOn w:val="Normal"/>
    <w:link w:val="FooterChar"/>
    <w:uiPriority w:val="99"/>
    <w:rsid w:val="00DF6C12"/>
    <w:pPr>
      <w:tabs>
        <w:tab w:val="center" w:pos="4320"/>
        <w:tab w:val="right" w:pos="8640"/>
      </w:tabs>
    </w:pPr>
  </w:style>
  <w:style w:type="character" w:styleId="PageNumber">
    <w:name w:val="page number"/>
    <w:basedOn w:val="DefaultParagraphFont"/>
    <w:rsid w:val="00DF6C12"/>
  </w:style>
  <w:style w:type="character" w:customStyle="1" w:styleId="FooterChar">
    <w:name w:val="Footer Char"/>
    <w:basedOn w:val="DefaultParagraphFont"/>
    <w:link w:val="Footer"/>
    <w:uiPriority w:val="99"/>
    <w:rsid w:val="000327D7"/>
    <w:rPr>
      <w:sz w:val="24"/>
      <w:szCs w:val="24"/>
    </w:rPr>
  </w:style>
  <w:style w:type="paragraph" w:styleId="BalloonText">
    <w:name w:val="Balloon Text"/>
    <w:basedOn w:val="Normal"/>
    <w:link w:val="BalloonTextChar"/>
    <w:semiHidden/>
    <w:unhideWhenUsed/>
    <w:rsid w:val="000327D7"/>
    <w:rPr>
      <w:rFonts w:ascii="Tahoma" w:hAnsi="Tahoma" w:cs="Tahoma"/>
      <w:sz w:val="16"/>
      <w:szCs w:val="16"/>
    </w:rPr>
  </w:style>
  <w:style w:type="character" w:customStyle="1" w:styleId="BalloonTextChar">
    <w:name w:val="Balloon Text Char"/>
    <w:basedOn w:val="DefaultParagraphFont"/>
    <w:link w:val="BalloonText"/>
    <w:semiHidden/>
    <w:rsid w:val="000327D7"/>
    <w:rPr>
      <w:rFonts w:ascii="Tahoma" w:hAnsi="Tahoma" w:cs="Tahoma"/>
      <w:sz w:val="16"/>
      <w:szCs w:val="16"/>
    </w:rPr>
  </w:style>
  <w:style w:type="paragraph" w:styleId="ListParagraph">
    <w:name w:val="List Paragraph"/>
    <w:basedOn w:val="Normal"/>
    <w:uiPriority w:val="34"/>
    <w:qFormat/>
    <w:rsid w:val="00F554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6C12"/>
    <w:pPr>
      <w:tabs>
        <w:tab w:val="center" w:pos="4320"/>
        <w:tab w:val="right" w:pos="8640"/>
      </w:tabs>
    </w:pPr>
  </w:style>
  <w:style w:type="paragraph" w:styleId="Footer">
    <w:name w:val="footer"/>
    <w:basedOn w:val="Normal"/>
    <w:link w:val="FooterChar"/>
    <w:uiPriority w:val="99"/>
    <w:rsid w:val="00DF6C12"/>
    <w:pPr>
      <w:tabs>
        <w:tab w:val="center" w:pos="4320"/>
        <w:tab w:val="right" w:pos="8640"/>
      </w:tabs>
    </w:pPr>
  </w:style>
  <w:style w:type="character" w:styleId="PageNumber">
    <w:name w:val="page number"/>
    <w:basedOn w:val="DefaultParagraphFont"/>
    <w:rsid w:val="00DF6C12"/>
  </w:style>
  <w:style w:type="character" w:customStyle="1" w:styleId="FooterChar">
    <w:name w:val="Footer Char"/>
    <w:basedOn w:val="DefaultParagraphFont"/>
    <w:link w:val="Footer"/>
    <w:uiPriority w:val="99"/>
    <w:rsid w:val="000327D7"/>
    <w:rPr>
      <w:sz w:val="24"/>
      <w:szCs w:val="24"/>
    </w:rPr>
  </w:style>
  <w:style w:type="paragraph" w:styleId="BalloonText">
    <w:name w:val="Balloon Text"/>
    <w:basedOn w:val="Normal"/>
    <w:link w:val="BalloonTextChar"/>
    <w:semiHidden/>
    <w:unhideWhenUsed/>
    <w:rsid w:val="000327D7"/>
    <w:rPr>
      <w:rFonts w:ascii="Tahoma" w:hAnsi="Tahoma" w:cs="Tahoma"/>
      <w:sz w:val="16"/>
      <w:szCs w:val="16"/>
    </w:rPr>
  </w:style>
  <w:style w:type="character" w:customStyle="1" w:styleId="BalloonTextChar">
    <w:name w:val="Balloon Text Char"/>
    <w:basedOn w:val="DefaultParagraphFont"/>
    <w:link w:val="BalloonText"/>
    <w:semiHidden/>
    <w:rsid w:val="000327D7"/>
    <w:rPr>
      <w:rFonts w:ascii="Tahoma" w:hAnsi="Tahoma" w:cs="Tahoma"/>
      <w:sz w:val="16"/>
      <w:szCs w:val="16"/>
    </w:rPr>
  </w:style>
  <w:style w:type="paragraph" w:styleId="ListParagraph">
    <w:name w:val="List Paragraph"/>
    <w:basedOn w:val="Normal"/>
    <w:uiPriority w:val="34"/>
    <w:qFormat/>
    <w:rsid w:val="00F55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6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Kelsey@montgomeryscar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2015-12-11T08:00:00+00:00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13AD8-0C64-422E-B61C-B38E34F446B5}"/>
</file>

<file path=customXml/itemProps2.xml><?xml version="1.0" encoding="utf-8"?>
<ds:datastoreItem xmlns:ds="http://schemas.openxmlformats.org/officeDocument/2006/customXml" ds:itemID="{071E232F-BD0A-4F7D-BE64-E702AA7F02A3}"/>
</file>

<file path=customXml/itemProps3.xml><?xml version="1.0" encoding="utf-8"?>
<ds:datastoreItem xmlns:ds="http://schemas.openxmlformats.org/officeDocument/2006/customXml" ds:itemID="{E2A51574-1D53-4BBE-B741-C451ECADC30F}"/>
</file>

<file path=customXml/itemProps4.xml><?xml version="1.0" encoding="utf-8"?>
<ds:datastoreItem xmlns:ds="http://schemas.openxmlformats.org/officeDocument/2006/customXml" ds:itemID="{B2FC72A8-1027-4306-B884-FA133AA18EA8}"/>
</file>

<file path=docProps/app.xml><?xml version="1.0" encoding="utf-8"?>
<Properties xmlns="http://schemas.openxmlformats.org/officeDocument/2006/extended-properties" xmlns:vt="http://schemas.openxmlformats.org/officeDocument/2006/docPropsVTypes">
  <Template>Normal.dotm</Template>
  <TotalTime>112</TotalTime>
  <Pages>4</Pages>
  <Words>1370</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150189 Staff DRs 1-2 to BNSF</vt:lpstr>
    </vt:vector>
  </TitlesOfParts>
  <Company>WUTC</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150189 Staff DRs 1-2 to BNSF</dc:title>
  <dc:creator>Information Services</dc:creator>
  <cp:lastModifiedBy>Pam Ruggles</cp:lastModifiedBy>
  <cp:revision>24</cp:revision>
  <cp:lastPrinted>2015-12-11T17:00:00Z</cp:lastPrinted>
  <dcterms:created xsi:type="dcterms:W3CDTF">2015-12-10T00:55:00Z</dcterms:created>
  <dcterms:modified xsi:type="dcterms:W3CDTF">2015-12-11T18:04:00Z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0x0101006E56B4D1795A2E4DB2F0B01679ED314A00C5A69A9C88A5164599E3DF642284313C</vt:lpwstr>
  </property>
  <property fmtid="{D5CDD505-2E9C-101B-9397-08002B2CF9AE}" pid="3" name="_docset_NoMedatataSyncRequired">
    <vt:lpwstr>False</vt:lpwstr>
  </property>
</Properties>
</file>