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F1" w:rsidRPr="0008640F" w:rsidRDefault="00594C28" w:rsidP="0008640F">
      <w:pPr>
        <w:rPr>
          <w:rFonts w:ascii="Times New Roman" w:hAnsi="Times New Roman"/>
          <w:noProof/>
          <w:szCs w:val="24"/>
          <w:lang w:eastAsia="ko-KR"/>
        </w:rPr>
      </w:pPr>
      <w:bookmarkStart w:id="0" w:name="_GoBack"/>
      <w:bookmarkEnd w:id="0"/>
      <w:r w:rsidRPr="0008640F">
        <w:rPr>
          <w:rFonts w:ascii="Times New Roman" w:hAnsi="Times New Roman"/>
          <w:noProof/>
          <w:szCs w:val="24"/>
        </w:rPr>
        <w:drawing>
          <wp:anchor distT="0" distB="0" distL="114300" distR="114300" simplePos="0" relativeHeight="251657728" behindDoc="1" locked="0" layoutInCell="1" allowOverlap="1" wp14:anchorId="3197A0A0" wp14:editId="20F9DB3D">
            <wp:simplePos x="0" y="0"/>
            <wp:positionH relativeFrom="column">
              <wp:posOffset>-411480</wp:posOffset>
            </wp:positionH>
            <wp:positionV relativeFrom="page">
              <wp:posOffset>638175</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r w:rsidR="00A821AD" w:rsidRPr="0008640F">
        <w:rPr>
          <w:rFonts w:ascii="Times New Roman" w:hAnsi="Times New Roman"/>
          <w:noProof/>
          <w:szCs w:val="24"/>
          <w:lang w:eastAsia="ko-KR"/>
        </w:rPr>
        <w:t>July 20, 2015</w:t>
      </w:r>
    </w:p>
    <w:p w:rsidR="006038CB" w:rsidRPr="0008640F" w:rsidRDefault="006038CB" w:rsidP="0008640F">
      <w:pPr>
        <w:pStyle w:val="Header"/>
      </w:pPr>
    </w:p>
    <w:p w:rsidR="00280CFB" w:rsidRPr="0008640F" w:rsidRDefault="006038CB" w:rsidP="0008640F">
      <w:pPr>
        <w:pStyle w:val="Header"/>
        <w:rPr>
          <w:b/>
          <w:i/>
        </w:rPr>
      </w:pPr>
      <w:smartTag w:uri="urn:schemas-microsoft-com:office:smarttags" w:element="stockticker">
        <w:r w:rsidRPr="0008640F">
          <w:rPr>
            <w:b/>
            <w:i/>
          </w:rPr>
          <w:t>VIA</w:t>
        </w:r>
      </w:smartTag>
      <w:r w:rsidRPr="0008640F">
        <w:rPr>
          <w:b/>
          <w:i/>
        </w:rPr>
        <w:t xml:space="preserve"> </w:t>
      </w:r>
      <w:r w:rsidR="00280CFB" w:rsidRPr="0008640F">
        <w:rPr>
          <w:b/>
          <w:i/>
        </w:rPr>
        <w:t>ELECTRONIC FILING</w:t>
      </w:r>
    </w:p>
    <w:p w:rsidR="006038CB" w:rsidRPr="0008640F" w:rsidRDefault="006038CB" w:rsidP="0008640F">
      <w:pPr>
        <w:rPr>
          <w:rFonts w:ascii="Times New Roman" w:hAnsi="Times New Roman"/>
          <w:szCs w:val="24"/>
        </w:rPr>
      </w:pPr>
    </w:p>
    <w:p w:rsidR="007472FB" w:rsidRPr="0008640F" w:rsidRDefault="007472FB" w:rsidP="0008640F">
      <w:pPr>
        <w:rPr>
          <w:rFonts w:ascii="Times New Roman" w:hAnsi="Times New Roman"/>
          <w:szCs w:val="24"/>
        </w:rPr>
      </w:pPr>
      <w:r w:rsidRPr="0008640F">
        <w:rPr>
          <w:rFonts w:ascii="Times New Roman" w:hAnsi="Times New Roman"/>
          <w:szCs w:val="24"/>
        </w:rPr>
        <w:t>Steven V. King</w:t>
      </w:r>
    </w:p>
    <w:p w:rsidR="007472FB" w:rsidRPr="0008640F" w:rsidRDefault="007472FB" w:rsidP="0008640F">
      <w:pPr>
        <w:rPr>
          <w:rFonts w:ascii="Times New Roman" w:hAnsi="Times New Roman"/>
          <w:szCs w:val="24"/>
        </w:rPr>
      </w:pPr>
      <w:r w:rsidRPr="0008640F">
        <w:rPr>
          <w:rFonts w:ascii="Times New Roman" w:hAnsi="Times New Roman"/>
          <w:szCs w:val="24"/>
        </w:rPr>
        <w:t>Executive Director and Secretary</w:t>
      </w:r>
    </w:p>
    <w:p w:rsidR="007472FB" w:rsidRPr="0008640F" w:rsidRDefault="007472FB" w:rsidP="0008640F">
      <w:pPr>
        <w:rPr>
          <w:rFonts w:ascii="Times New Roman" w:hAnsi="Times New Roman"/>
          <w:szCs w:val="24"/>
        </w:rPr>
      </w:pPr>
      <w:r w:rsidRPr="0008640F">
        <w:rPr>
          <w:rFonts w:ascii="Times New Roman" w:hAnsi="Times New Roman"/>
          <w:szCs w:val="24"/>
        </w:rPr>
        <w:t xml:space="preserve">Washington Utilities and Transportation Commission </w:t>
      </w:r>
    </w:p>
    <w:p w:rsidR="007472FB" w:rsidRPr="0008640F" w:rsidRDefault="007472FB" w:rsidP="0008640F">
      <w:pPr>
        <w:rPr>
          <w:rFonts w:ascii="Times New Roman" w:hAnsi="Times New Roman"/>
          <w:szCs w:val="24"/>
        </w:rPr>
      </w:pPr>
      <w:r w:rsidRPr="0008640F">
        <w:rPr>
          <w:rFonts w:ascii="Times New Roman" w:hAnsi="Times New Roman"/>
          <w:szCs w:val="24"/>
        </w:rPr>
        <w:t xml:space="preserve">1300 S. Evergreen Park Drive S.W. </w:t>
      </w:r>
    </w:p>
    <w:p w:rsidR="007472FB" w:rsidRPr="0008640F" w:rsidRDefault="007472FB" w:rsidP="0008640F">
      <w:pPr>
        <w:rPr>
          <w:rFonts w:ascii="Times New Roman" w:hAnsi="Times New Roman"/>
          <w:szCs w:val="24"/>
        </w:rPr>
      </w:pPr>
      <w:r w:rsidRPr="0008640F">
        <w:rPr>
          <w:rFonts w:ascii="Times New Roman" w:hAnsi="Times New Roman"/>
          <w:szCs w:val="24"/>
        </w:rPr>
        <w:t>P.O. Box 47250</w:t>
      </w:r>
    </w:p>
    <w:p w:rsidR="007472FB" w:rsidRPr="0008640F" w:rsidRDefault="007472FB" w:rsidP="0008640F">
      <w:pPr>
        <w:rPr>
          <w:rFonts w:ascii="Times New Roman" w:hAnsi="Times New Roman"/>
          <w:szCs w:val="24"/>
        </w:rPr>
      </w:pPr>
      <w:r w:rsidRPr="0008640F">
        <w:rPr>
          <w:rFonts w:ascii="Times New Roman" w:hAnsi="Times New Roman"/>
          <w:szCs w:val="24"/>
        </w:rPr>
        <w:t>Olympia, WA 98504-7250</w:t>
      </w:r>
    </w:p>
    <w:p w:rsidR="006038CB" w:rsidRPr="0008640F" w:rsidRDefault="006038CB" w:rsidP="0008640F">
      <w:pPr>
        <w:rPr>
          <w:rFonts w:ascii="Times New Roman" w:hAnsi="Times New Roman"/>
          <w:szCs w:val="24"/>
        </w:rPr>
      </w:pPr>
    </w:p>
    <w:p w:rsidR="00E17531" w:rsidRPr="0008640F" w:rsidRDefault="00AE7E85" w:rsidP="0008640F">
      <w:pPr>
        <w:ind w:left="720" w:hanging="720"/>
        <w:rPr>
          <w:rFonts w:ascii="Times New Roman" w:hAnsi="Times New Roman"/>
          <w:b/>
          <w:szCs w:val="24"/>
        </w:rPr>
      </w:pPr>
      <w:r w:rsidRPr="0008640F">
        <w:rPr>
          <w:rFonts w:ascii="Times New Roman" w:hAnsi="Times New Roman"/>
          <w:b/>
          <w:szCs w:val="24"/>
        </w:rPr>
        <w:t>RE:</w:t>
      </w:r>
      <w:r w:rsidRPr="0008640F">
        <w:rPr>
          <w:rFonts w:ascii="Times New Roman" w:hAnsi="Times New Roman"/>
          <w:b/>
          <w:szCs w:val="24"/>
        </w:rPr>
        <w:tab/>
      </w:r>
      <w:r w:rsidR="007472FB" w:rsidRPr="0008640F">
        <w:rPr>
          <w:rFonts w:ascii="Times New Roman" w:hAnsi="Times New Roman"/>
          <w:b/>
          <w:szCs w:val="24"/>
        </w:rPr>
        <w:t>Docket A-130355</w:t>
      </w:r>
      <w:r w:rsidR="00874CDB" w:rsidRPr="0008640F">
        <w:rPr>
          <w:rFonts w:ascii="Times New Roman" w:hAnsi="Times New Roman"/>
          <w:b/>
          <w:szCs w:val="24"/>
        </w:rPr>
        <w:t>—</w:t>
      </w:r>
      <w:r w:rsidR="007472FB" w:rsidRPr="0008640F">
        <w:rPr>
          <w:rFonts w:ascii="Times New Roman" w:hAnsi="Times New Roman"/>
          <w:b/>
          <w:szCs w:val="24"/>
        </w:rPr>
        <w:t xml:space="preserve">Rulemaking to Consider Possible Corrections and Changes in </w:t>
      </w:r>
      <w:r w:rsidR="00874CDB" w:rsidRPr="0008640F">
        <w:rPr>
          <w:rFonts w:ascii="Times New Roman" w:hAnsi="Times New Roman"/>
          <w:b/>
          <w:szCs w:val="24"/>
        </w:rPr>
        <w:t xml:space="preserve">Procedural </w:t>
      </w:r>
      <w:r w:rsidR="007472FB" w:rsidRPr="0008640F">
        <w:rPr>
          <w:rFonts w:ascii="Times New Roman" w:hAnsi="Times New Roman"/>
          <w:b/>
          <w:szCs w:val="24"/>
        </w:rPr>
        <w:t>Rules in WAC 480-07</w:t>
      </w:r>
    </w:p>
    <w:p w:rsidR="00D454C6" w:rsidRPr="0008640F" w:rsidRDefault="00D454C6" w:rsidP="0008640F">
      <w:pPr>
        <w:rPr>
          <w:rFonts w:ascii="Times New Roman" w:hAnsi="Times New Roman"/>
          <w:szCs w:val="24"/>
        </w:rPr>
      </w:pPr>
    </w:p>
    <w:p w:rsidR="007472FB" w:rsidRPr="0008640F" w:rsidRDefault="007472FB" w:rsidP="0008640F">
      <w:pPr>
        <w:rPr>
          <w:rFonts w:ascii="Times New Roman" w:hAnsi="Times New Roman"/>
          <w:szCs w:val="24"/>
        </w:rPr>
      </w:pPr>
      <w:r w:rsidRPr="0008640F">
        <w:rPr>
          <w:rFonts w:ascii="Times New Roman" w:hAnsi="Times New Roman"/>
          <w:szCs w:val="24"/>
        </w:rPr>
        <w:t xml:space="preserve">In response to the Notice of Opportunity to File Written Comments </w:t>
      </w:r>
      <w:r w:rsidR="00D71649" w:rsidRPr="0008640F">
        <w:rPr>
          <w:rFonts w:ascii="Times New Roman" w:hAnsi="Times New Roman"/>
          <w:szCs w:val="24"/>
        </w:rPr>
        <w:t xml:space="preserve">issued by the Washington Utilities and Transportation Commission (Commission) on </w:t>
      </w:r>
      <w:r w:rsidR="0008640F" w:rsidRPr="0008640F">
        <w:rPr>
          <w:rFonts w:ascii="Times New Roman" w:hAnsi="Times New Roman"/>
          <w:szCs w:val="24"/>
        </w:rPr>
        <w:t>June 18, 2015</w:t>
      </w:r>
      <w:r w:rsidR="00D71649" w:rsidRPr="0008640F">
        <w:rPr>
          <w:rFonts w:ascii="Times New Roman" w:hAnsi="Times New Roman"/>
          <w:szCs w:val="24"/>
        </w:rPr>
        <w:t xml:space="preserve">, </w:t>
      </w:r>
      <w:r w:rsidRPr="0008640F">
        <w:rPr>
          <w:rFonts w:ascii="Times New Roman" w:hAnsi="Times New Roman"/>
          <w:szCs w:val="24"/>
        </w:rPr>
        <w:t>Pacific Power &amp; Light Company</w:t>
      </w:r>
      <w:r w:rsidR="00602283" w:rsidRPr="0008640F">
        <w:rPr>
          <w:rFonts w:ascii="Times New Roman" w:hAnsi="Times New Roman"/>
          <w:szCs w:val="24"/>
        </w:rPr>
        <w:t>, a division of PacifiCorp</w:t>
      </w:r>
      <w:r w:rsidRPr="0008640F">
        <w:rPr>
          <w:rFonts w:ascii="Times New Roman" w:hAnsi="Times New Roman"/>
          <w:szCs w:val="24"/>
        </w:rPr>
        <w:t xml:space="preserve"> (</w:t>
      </w:r>
      <w:r w:rsidR="0008640F" w:rsidRPr="0008640F">
        <w:rPr>
          <w:rFonts w:ascii="Times New Roman" w:hAnsi="Times New Roman"/>
          <w:szCs w:val="24"/>
        </w:rPr>
        <w:t>Pacific Power</w:t>
      </w:r>
      <w:r w:rsidR="00602283" w:rsidRPr="0008640F">
        <w:rPr>
          <w:rFonts w:ascii="Times New Roman" w:hAnsi="Times New Roman"/>
          <w:szCs w:val="24"/>
        </w:rPr>
        <w:t xml:space="preserve"> or Company</w:t>
      </w:r>
      <w:r w:rsidRPr="0008640F">
        <w:rPr>
          <w:rFonts w:ascii="Times New Roman" w:hAnsi="Times New Roman"/>
          <w:szCs w:val="24"/>
        </w:rPr>
        <w:t>)</w:t>
      </w:r>
      <w:r w:rsidR="00602283" w:rsidRPr="0008640F">
        <w:rPr>
          <w:rFonts w:ascii="Times New Roman" w:hAnsi="Times New Roman"/>
          <w:szCs w:val="24"/>
        </w:rPr>
        <w:t>,</w:t>
      </w:r>
      <w:r w:rsidRPr="0008640F">
        <w:rPr>
          <w:rFonts w:ascii="Times New Roman" w:hAnsi="Times New Roman"/>
          <w:szCs w:val="24"/>
        </w:rPr>
        <w:t xml:space="preserve"> submits </w:t>
      </w:r>
      <w:r w:rsidR="00874CDB" w:rsidRPr="0008640F">
        <w:rPr>
          <w:rFonts w:ascii="Times New Roman" w:hAnsi="Times New Roman"/>
          <w:szCs w:val="24"/>
        </w:rPr>
        <w:t xml:space="preserve">the following </w:t>
      </w:r>
      <w:r w:rsidRPr="0008640F">
        <w:rPr>
          <w:rFonts w:ascii="Times New Roman" w:hAnsi="Times New Roman"/>
          <w:szCs w:val="24"/>
        </w:rPr>
        <w:t xml:space="preserve">written comments on </w:t>
      </w:r>
      <w:r w:rsidR="00D71649" w:rsidRPr="0008640F">
        <w:rPr>
          <w:rFonts w:ascii="Times New Roman" w:hAnsi="Times New Roman"/>
          <w:szCs w:val="24"/>
        </w:rPr>
        <w:t>the draft rules for Part I</w:t>
      </w:r>
      <w:r w:rsidR="0008640F" w:rsidRPr="0008640F">
        <w:rPr>
          <w:rFonts w:ascii="Times New Roman" w:hAnsi="Times New Roman"/>
          <w:szCs w:val="24"/>
        </w:rPr>
        <w:t>IIA</w:t>
      </w:r>
      <w:r w:rsidR="00D71649" w:rsidRPr="0008640F">
        <w:rPr>
          <w:rFonts w:ascii="Times New Roman" w:hAnsi="Times New Roman"/>
          <w:szCs w:val="24"/>
        </w:rPr>
        <w:t xml:space="preserve"> of WA</w:t>
      </w:r>
      <w:r w:rsidR="0008640F" w:rsidRPr="0008640F">
        <w:rPr>
          <w:rFonts w:ascii="Times New Roman" w:hAnsi="Times New Roman"/>
          <w:szCs w:val="24"/>
        </w:rPr>
        <w:t>C Chapter 480-07</w:t>
      </w:r>
      <w:r w:rsidR="00D71649" w:rsidRPr="0008640F">
        <w:rPr>
          <w:rFonts w:ascii="Times New Roman" w:hAnsi="Times New Roman"/>
          <w:szCs w:val="24"/>
        </w:rPr>
        <w:t>.</w:t>
      </w:r>
    </w:p>
    <w:p w:rsidR="00D71649" w:rsidRPr="0008640F" w:rsidRDefault="00D71649" w:rsidP="0008640F">
      <w:pPr>
        <w:rPr>
          <w:rFonts w:ascii="Times New Roman" w:hAnsi="Times New Roman"/>
          <w:szCs w:val="24"/>
        </w:rPr>
      </w:pPr>
    </w:p>
    <w:p w:rsidR="00D71649" w:rsidRPr="0008640F" w:rsidRDefault="0008640F" w:rsidP="0008640F">
      <w:pPr>
        <w:rPr>
          <w:rFonts w:ascii="Times New Roman" w:hAnsi="Times New Roman"/>
          <w:szCs w:val="24"/>
        </w:rPr>
      </w:pPr>
      <w:r w:rsidRPr="0008640F">
        <w:rPr>
          <w:rFonts w:ascii="Times New Roman" w:hAnsi="Times New Roman"/>
          <w:szCs w:val="24"/>
        </w:rPr>
        <w:t>Pacific Power</w:t>
      </w:r>
      <w:r w:rsidR="00770EAC" w:rsidRPr="0008640F">
        <w:rPr>
          <w:rFonts w:ascii="Times New Roman" w:hAnsi="Times New Roman"/>
          <w:szCs w:val="24"/>
        </w:rPr>
        <w:t xml:space="preserve"> </w:t>
      </w:r>
      <w:r w:rsidR="003C1334" w:rsidRPr="0008640F">
        <w:rPr>
          <w:rFonts w:ascii="Times New Roman" w:hAnsi="Times New Roman"/>
          <w:szCs w:val="24"/>
        </w:rPr>
        <w:t>provide</w:t>
      </w:r>
      <w:r w:rsidR="00F52D80" w:rsidRPr="0008640F">
        <w:rPr>
          <w:rFonts w:ascii="Times New Roman" w:hAnsi="Times New Roman"/>
          <w:szCs w:val="24"/>
        </w:rPr>
        <w:t>s</w:t>
      </w:r>
      <w:r w:rsidR="003C1334" w:rsidRPr="0008640F">
        <w:rPr>
          <w:rFonts w:ascii="Times New Roman" w:hAnsi="Times New Roman"/>
          <w:szCs w:val="24"/>
        </w:rPr>
        <w:t xml:space="preserve"> </w:t>
      </w:r>
      <w:r w:rsidR="00B93852" w:rsidRPr="0008640F">
        <w:rPr>
          <w:rFonts w:ascii="Times New Roman" w:hAnsi="Times New Roman"/>
          <w:szCs w:val="24"/>
        </w:rPr>
        <w:t>the following recommendations:</w:t>
      </w:r>
    </w:p>
    <w:p w:rsidR="00770EAC" w:rsidRPr="0008640F" w:rsidRDefault="00770EAC" w:rsidP="0008640F">
      <w:pPr>
        <w:rPr>
          <w:rFonts w:ascii="Times New Roman" w:hAnsi="Times New Roman"/>
          <w:szCs w:val="24"/>
        </w:rPr>
      </w:pPr>
    </w:p>
    <w:p w:rsidR="0008640F" w:rsidRDefault="0008640F" w:rsidP="0008640F">
      <w:pPr>
        <w:pStyle w:val="ListParagraph"/>
        <w:numPr>
          <w:ilvl w:val="0"/>
          <w:numId w:val="6"/>
        </w:numPr>
        <w:spacing w:line="240" w:lineRule="auto"/>
        <w:rPr>
          <w:rFonts w:ascii="Times New Roman" w:hAnsi="Times New Roman" w:cs="Times New Roman"/>
          <w:sz w:val="24"/>
          <w:szCs w:val="24"/>
        </w:rPr>
      </w:pPr>
      <w:r w:rsidRPr="0008640F">
        <w:rPr>
          <w:rFonts w:ascii="Times New Roman" w:hAnsi="Times New Roman" w:cs="Times New Roman"/>
          <w:b/>
          <w:sz w:val="24"/>
          <w:szCs w:val="24"/>
        </w:rPr>
        <w:t>WAC 480-07-310:</w:t>
      </w:r>
      <w:r w:rsidRPr="0008640F">
        <w:rPr>
          <w:rFonts w:ascii="Times New Roman" w:hAnsi="Times New Roman" w:cs="Times New Roman"/>
          <w:sz w:val="24"/>
          <w:szCs w:val="24"/>
        </w:rPr>
        <w:t xml:space="preserve">  </w:t>
      </w:r>
      <w:r>
        <w:rPr>
          <w:rFonts w:ascii="Times New Roman" w:hAnsi="Times New Roman" w:cs="Times New Roman"/>
          <w:sz w:val="24"/>
          <w:szCs w:val="24"/>
        </w:rPr>
        <w:t>Pacific Power</w:t>
      </w:r>
      <w:r w:rsidRPr="0008640F">
        <w:rPr>
          <w:rFonts w:ascii="Times New Roman" w:hAnsi="Times New Roman" w:cs="Times New Roman"/>
          <w:sz w:val="24"/>
          <w:szCs w:val="24"/>
        </w:rPr>
        <w:t xml:space="preserve"> does not understand why “prosecutorial staff” are removed from the prohibition on ex parte contacts.  Like investigative staff, the prohibition on ex parte contacts should extend to all Commission staff who are engaged in any investigative, advocacy, or prosecutorial functions.  </w:t>
      </w:r>
      <w:r w:rsidR="00F77B94">
        <w:rPr>
          <w:rFonts w:ascii="Times New Roman" w:hAnsi="Times New Roman" w:cs="Times New Roman"/>
          <w:sz w:val="24"/>
          <w:szCs w:val="24"/>
        </w:rPr>
        <w:t>The Company respectfully</w:t>
      </w:r>
      <w:r w:rsidR="00F77B94" w:rsidRPr="0008640F">
        <w:rPr>
          <w:rFonts w:ascii="Times New Roman" w:hAnsi="Times New Roman" w:cs="Times New Roman"/>
          <w:sz w:val="24"/>
          <w:szCs w:val="24"/>
        </w:rPr>
        <w:t xml:space="preserve"> </w:t>
      </w:r>
      <w:r w:rsidRPr="0008640F">
        <w:rPr>
          <w:rFonts w:ascii="Times New Roman" w:hAnsi="Times New Roman" w:cs="Times New Roman"/>
          <w:sz w:val="24"/>
          <w:szCs w:val="24"/>
        </w:rPr>
        <w:t xml:space="preserve">requests </w:t>
      </w:r>
      <w:r w:rsidR="00F77B94">
        <w:rPr>
          <w:rFonts w:ascii="Times New Roman" w:hAnsi="Times New Roman" w:cs="Times New Roman"/>
          <w:sz w:val="24"/>
          <w:szCs w:val="24"/>
        </w:rPr>
        <w:t>an explanation for</w:t>
      </w:r>
      <w:r w:rsidRPr="0008640F">
        <w:rPr>
          <w:rFonts w:ascii="Times New Roman" w:hAnsi="Times New Roman" w:cs="Times New Roman"/>
          <w:sz w:val="24"/>
          <w:szCs w:val="24"/>
        </w:rPr>
        <w:t xml:space="preserve"> the rationale behind this change.</w:t>
      </w:r>
    </w:p>
    <w:p w:rsidR="0008640F" w:rsidRPr="0008640F" w:rsidRDefault="0008640F" w:rsidP="0008640F">
      <w:pPr>
        <w:pStyle w:val="ListParagraph"/>
        <w:spacing w:line="240" w:lineRule="auto"/>
        <w:rPr>
          <w:rFonts w:ascii="Times New Roman" w:hAnsi="Times New Roman" w:cs="Times New Roman"/>
          <w:sz w:val="24"/>
          <w:szCs w:val="24"/>
        </w:rPr>
      </w:pPr>
    </w:p>
    <w:p w:rsidR="0008640F" w:rsidRDefault="0008640F" w:rsidP="0008640F">
      <w:pPr>
        <w:pStyle w:val="ListParagraph"/>
        <w:numPr>
          <w:ilvl w:val="0"/>
          <w:numId w:val="6"/>
        </w:numPr>
        <w:spacing w:line="240" w:lineRule="auto"/>
        <w:rPr>
          <w:rFonts w:ascii="Times New Roman" w:hAnsi="Times New Roman" w:cs="Times New Roman"/>
          <w:sz w:val="24"/>
          <w:szCs w:val="24"/>
        </w:rPr>
      </w:pPr>
      <w:r w:rsidRPr="0008640F">
        <w:rPr>
          <w:rFonts w:ascii="Times New Roman" w:hAnsi="Times New Roman" w:cs="Times New Roman"/>
          <w:b/>
          <w:sz w:val="24"/>
          <w:szCs w:val="24"/>
        </w:rPr>
        <w:t>WAC 480-07-355(1)(a):</w:t>
      </w:r>
      <w:r w:rsidRPr="0008640F">
        <w:rPr>
          <w:rFonts w:ascii="Times New Roman" w:hAnsi="Times New Roman" w:cs="Times New Roman"/>
          <w:sz w:val="24"/>
          <w:szCs w:val="24"/>
        </w:rPr>
        <w:t xml:space="preserve">  To avoid ambiguity, the second sentence of subsection (a) should read “</w:t>
      </w:r>
      <w:r w:rsidRPr="0008640F">
        <w:rPr>
          <w:rFonts w:ascii="Times New Roman" w:hAnsi="Times New Roman" w:cs="Times New Roman"/>
          <w:sz w:val="24"/>
          <w:szCs w:val="24"/>
          <w:u w:val="double"/>
        </w:rPr>
        <w:t>Written</w:t>
      </w:r>
      <w:r w:rsidRPr="0008640F">
        <w:rPr>
          <w:rFonts w:ascii="Times New Roman" w:hAnsi="Times New Roman" w:cs="Times New Roman"/>
          <w:sz w:val="24"/>
          <w:szCs w:val="24"/>
        </w:rPr>
        <w:t xml:space="preserve"> </w:t>
      </w:r>
      <w:r w:rsidRPr="0008640F">
        <w:rPr>
          <w:rFonts w:ascii="Times New Roman" w:hAnsi="Times New Roman" w:cs="Times New Roman"/>
          <w:strike/>
          <w:sz w:val="24"/>
          <w:szCs w:val="24"/>
        </w:rPr>
        <w:t>Such</w:t>
      </w:r>
      <w:r w:rsidRPr="0008640F">
        <w:rPr>
          <w:rFonts w:ascii="Times New Roman" w:hAnsi="Times New Roman" w:cs="Times New Roman"/>
          <w:sz w:val="24"/>
          <w:szCs w:val="24"/>
        </w:rPr>
        <w:t xml:space="preserve"> petitions </w:t>
      </w:r>
      <w:r w:rsidRPr="0008640F">
        <w:rPr>
          <w:rFonts w:ascii="Times New Roman" w:hAnsi="Times New Roman" w:cs="Times New Roman"/>
          <w:sz w:val="24"/>
          <w:szCs w:val="24"/>
          <w:u w:val="double"/>
        </w:rPr>
        <w:t>to intervene</w:t>
      </w:r>
      <w:r w:rsidRPr="0008640F">
        <w:rPr>
          <w:rFonts w:ascii="Times New Roman" w:hAnsi="Times New Roman" w:cs="Times New Roman"/>
          <w:sz w:val="24"/>
          <w:szCs w:val="24"/>
        </w:rPr>
        <w:t xml:space="preserve"> should be filed at least three business days before the initial hearing date or prehearing conference date, whichever occurs first.”</w:t>
      </w:r>
    </w:p>
    <w:p w:rsidR="00F77B94" w:rsidRPr="00024A99" w:rsidRDefault="00F77B94" w:rsidP="00024A99">
      <w:pPr>
        <w:pStyle w:val="ListParagraph"/>
        <w:rPr>
          <w:rFonts w:ascii="Times New Roman" w:hAnsi="Times New Roman" w:cs="Times New Roman"/>
          <w:sz w:val="24"/>
          <w:szCs w:val="24"/>
        </w:rPr>
      </w:pPr>
    </w:p>
    <w:p w:rsidR="00F77B94" w:rsidRPr="00024A99" w:rsidRDefault="00F77B94" w:rsidP="00F77B94">
      <w:pPr>
        <w:pStyle w:val="ListParagraph"/>
        <w:numPr>
          <w:ilvl w:val="0"/>
          <w:numId w:val="6"/>
        </w:numPr>
        <w:spacing w:line="240" w:lineRule="auto"/>
        <w:rPr>
          <w:rFonts w:ascii="Times New Roman" w:hAnsi="Times New Roman" w:cs="Times New Roman"/>
          <w:sz w:val="24"/>
          <w:szCs w:val="24"/>
        </w:rPr>
      </w:pPr>
      <w:r w:rsidRPr="00C017C7">
        <w:rPr>
          <w:rFonts w:ascii="Times New Roman" w:hAnsi="Times New Roman" w:cs="Times New Roman"/>
          <w:b/>
          <w:sz w:val="24"/>
          <w:szCs w:val="24"/>
        </w:rPr>
        <w:t>WAC 480-07-370(a)(i):</w:t>
      </w:r>
      <w:r w:rsidRPr="00C017C7">
        <w:rPr>
          <w:rFonts w:ascii="Times New Roman" w:hAnsi="Times New Roman" w:cs="Times New Roman"/>
          <w:sz w:val="24"/>
          <w:szCs w:val="24"/>
        </w:rPr>
        <w:t xml:space="preserve">  </w:t>
      </w:r>
      <w:r>
        <w:rPr>
          <w:rFonts w:ascii="Times New Roman" w:hAnsi="Times New Roman" w:cs="Times New Roman"/>
          <w:sz w:val="24"/>
          <w:szCs w:val="24"/>
        </w:rPr>
        <w:t>The second sentence should read “</w:t>
      </w:r>
      <w:r w:rsidRPr="00C017C7">
        <w:rPr>
          <w:rFonts w:ascii="Times New Roman" w:hAnsi="Times New Roman" w:cs="Times New Roman"/>
          <w:sz w:val="24"/>
          <w:szCs w:val="24"/>
        </w:rPr>
        <w:t>For purposes of this rule, a formal complaint should not include a commission complaint, an</w:t>
      </w:r>
      <w:r w:rsidRPr="00C017C7">
        <w:rPr>
          <w:rFonts w:ascii="Times New Roman" w:hAnsi="Times New Roman" w:cs="Times New Roman"/>
          <w:strike/>
          <w:sz w:val="24"/>
          <w:szCs w:val="24"/>
        </w:rPr>
        <w:t>d</w:t>
      </w:r>
      <w:r w:rsidRPr="00C017C7">
        <w:rPr>
          <w:rFonts w:ascii="Times New Roman" w:hAnsi="Times New Roman" w:cs="Times New Roman"/>
          <w:sz w:val="24"/>
          <w:szCs w:val="24"/>
        </w:rPr>
        <w:t xml:space="preserve"> order suspending a general rate increase, </w:t>
      </w:r>
      <w:r w:rsidRPr="00C017C7">
        <w:rPr>
          <w:rFonts w:ascii="Times New Roman" w:hAnsi="Times New Roman" w:cs="Times New Roman"/>
          <w:sz w:val="24"/>
          <w:szCs w:val="24"/>
          <w:u w:val="double"/>
        </w:rPr>
        <w:t>an informal complaint filed under 480-07-910</w:t>
      </w:r>
      <w:r w:rsidRPr="00C017C7">
        <w:rPr>
          <w:rFonts w:ascii="Times New Roman" w:hAnsi="Times New Roman" w:cs="Times New Roman"/>
          <w:sz w:val="24"/>
          <w:szCs w:val="24"/>
        </w:rPr>
        <w:t>, or other tariff filing.</w:t>
      </w:r>
    </w:p>
    <w:p w:rsidR="005F3B06" w:rsidRPr="005F3B06" w:rsidRDefault="005F3B06" w:rsidP="005F3B06">
      <w:pPr>
        <w:pStyle w:val="ListParagraph"/>
        <w:rPr>
          <w:rFonts w:ascii="Times New Roman" w:hAnsi="Times New Roman" w:cs="Times New Roman"/>
          <w:sz w:val="24"/>
          <w:szCs w:val="24"/>
        </w:rPr>
      </w:pPr>
    </w:p>
    <w:p w:rsidR="005F3B06" w:rsidRDefault="005F3B06" w:rsidP="0008640F">
      <w:pPr>
        <w:pStyle w:val="ListParagraph"/>
        <w:numPr>
          <w:ilvl w:val="0"/>
          <w:numId w:val="6"/>
        </w:numPr>
        <w:spacing w:line="240" w:lineRule="auto"/>
        <w:rPr>
          <w:rFonts w:ascii="Times New Roman" w:hAnsi="Times New Roman" w:cs="Times New Roman"/>
          <w:sz w:val="24"/>
          <w:szCs w:val="24"/>
        </w:rPr>
      </w:pPr>
      <w:r w:rsidRPr="005F3B06">
        <w:rPr>
          <w:rFonts w:ascii="Times New Roman" w:hAnsi="Times New Roman" w:cs="Times New Roman"/>
          <w:b/>
          <w:sz w:val="24"/>
          <w:szCs w:val="24"/>
        </w:rPr>
        <w:t>WAC 480-07-405(7)(a):</w:t>
      </w:r>
      <w:r>
        <w:rPr>
          <w:rFonts w:ascii="Times New Roman" w:hAnsi="Times New Roman" w:cs="Times New Roman"/>
          <w:sz w:val="24"/>
          <w:szCs w:val="24"/>
        </w:rPr>
        <w:t xml:space="preserve">  To avoid ambiguity and to be consistent with the service of data requests, the first sentence should read “Parties must serve responses to data requests </w:t>
      </w:r>
      <w:r w:rsidRPr="005F3B06">
        <w:rPr>
          <w:rFonts w:ascii="Times New Roman" w:hAnsi="Times New Roman" w:cs="Times New Roman"/>
          <w:sz w:val="24"/>
          <w:szCs w:val="24"/>
          <w:u w:val="double"/>
        </w:rPr>
        <w:t>electronically</w:t>
      </w:r>
      <w:r>
        <w:rPr>
          <w:rFonts w:ascii="Times New Roman" w:hAnsi="Times New Roman" w:cs="Times New Roman"/>
          <w:sz w:val="24"/>
          <w:szCs w:val="24"/>
        </w:rPr>
        <w:t xml:space="preserve"> on the requesting party and on any other party that requests a copy, consistent with the terms of any protective order entered in the proceeding.”</w:t>
      </w:r>
    </w:p>
    <w:p w:rsidR="0008640F" w:rsidRPr="0008640F" w:rsidRDefault="0008640F" w:rsidP="0008640F">
      <w:pPr>
        <w:pStyle w:val="ListParagraph"/>
        <w:rPr>
          <w:rFonts w:ascii="Times New Roman" w:hAnsi="Times New Roman" w:cs="Times New Roman"/>
          <w:sz w:val="24"/>
          <w:szCs w:val="24"/>
          <w:u w:val="single"/>
        </w:rPr>
      </w:pPr>
    </w:p>
    <w:p w:rsidR="00024A99" w:rsidRDefault="00024A99">
      <w:pPr>
        <w:rPr>
          <w:rFonts w:ascii="Times New Roman" w:eastAsiaTheme="minorHAnsi" w:hAnsi="Times New Roman"/>
          <w:b/>
          <w:szCs w:val="24"/>
        </w:rPr>
      </w:pPr>
      <w:r>
        <w:rPr>
          <w:rFonts w:ascii="Times New Roman" w:hAnsi="Times New Roman"/>
          <w:b/>
          <w:szCs w:val="24"/>
        </w:rPr>
        <w:br w:type="page"/>
      </w:r>
    </w:p>
    <w:p w:rsidR="00E973BF" w:rsidRDefault="0008640F" w:rsidP="0008640F">
      <w:pPr>
        <w:pStyle w:val="ListParagraph"/>
        <w:numPr>
          <w:ilvl w:val="0"/>
          <w:numId w:val="6"/>
        </w:numPr>
        <w:spacing w:line="240" w:lineRule="auto"/>
        <w:rPr>
          <w:rFonts w:ascii="Times New Roman" w:hAnsi="Times New Roman" w:cs="Times New Roman"/>
          <w:sz w:val="24"/>
          <w:szCs w:val="24"/>
        </w:rPr>
      </w:pPr>
      <w:r w:rsidRPr="00E973BF">
        <w:rPr>
          <w:rFonts w:ascii="Times New Roman" w:hAnsi="Times New Roman" w:cs="Times New Roman"/>
          <w:b/>
          <w:sz w:val="24"/>
          <w:szCs w:val="24"/>
        </w:rPr>
        <w:lastRenderedPageBreak/>
        <w:t>WAC 480-07-420(1):</w:t>
      </w:r>
      <w:r w:rsidRPr="00E973BF">
        <w:rPr>
          <w:rFonts w:ascii="Times New Roman" w:hAnsi="Times New Roman" w:cs="Times New Roman"/>
          <w:sz w:val="24"/>
          <w:szCs w:val="24"/>
        </w:rPr>
        <w:t xml:space="preserve">  The second sentence of subsection (1) should be revised to read “Parties </w:t>
      </w:r>
      <w:r w:rsidRPr="00E973BF">
        <w:rPr>
          <w:rFonts w:ascii="Times New Roman" w:hAnsi="Times New Roman" w:cs="Times New Roman"/>
          <w:dstrike/>
          <w:sz w:val="24"/>
          <w:szCs w:val="24"/>
        </w:rPr>
        <w:t>must strictly limit the amount of information they designate as confidential and</w:t>
      </w:r>
      <w:r w:rsidRPr="00E973BF">
        <w:rPr>
          <w:rFonts w:ascii="Times New Roman" w:hAnsi="Times New Roman" w:cs="Times New Roman"/>
          <w:sz w:val="24"/>
          <w:szCs w:val="24"/>
        </w:rPr>
        <w:t xml:space="preserve"> must follow the instructions in WAC 480-07-160 for properly marking and submitting documents with the commission as confidential in a proceeding governed by a protective order.”  WAC 480-07-160 provides for “special handling and limited access to confidential information” that is properly designated consistent with RCW 80.04.095.  There is no limitation on the volume of information that may be designated as “confidential” so long as it qualifies for special treatment under RCW 80.04.095.  </w:t>
      </w:r>
      <w:r w:rsidR="00E973BF">
        <w:rPr>
          <w:rFonts w:ascii="Times New Roman" w:hAnsi="Times New Roman"/>
          <w:sz w:val="24"/>
          <w:szCs w:val="24"/>
        </w:rPr>
        <w:t>The phrase “must strictly limit the amount of information they designate as confidential” is unnecessary and ambiguous because WAC 480-07-160 already governs the types of materials that may be designated as “confidential.” </w:t>
      </w:r>
    </w:p>
    <w:p w:rsidR="00E973BF" w:rsidRPr="00E973BF" w:rsidRDefault="00E973BF" w:rsidP="00E973BF">
      <w:pPr>
        <w:pStyle w:val="ListParagraph"/>
        <w:rPr>
          <w:rFonts w:ascii="Times New Roman" w:hAnsi="Times New Roman" w:cs="Times New Roman"/>
          <w:b/>
          <w:sz w:val="24"/>
          <w:szCs w:val="24"/>
        </w:rPr>
      </w:pPr>
    </w:p>
    <w:p w:rsidR="0008640F" w:rsidRPr="00E973BF" w:rsidRDefault="0008640F" w:rsidP="0008640F">
      <w:pPr>
        <w:pStyle w:val="ListParagraph"/>
        <w:numPr>
          <w:ilvl w:val="0"/>
          <w:numId w:val="6"/>
        </w:numPr>
        <w:spacing w:line="240" w:lineRule="auto"/>
        <w:rPr>
          <w:rFonts w:ascii="Times New Roman" w:hAnsi="Times New Roman" w:cs="Times New Roman"/>
          <w:sz w:val="24"/>
          <w:szCs w:val="24"/>
        </w:rPr>
      </w:pPr>
      <w:r w:rsidRPr="00E973BF">
        <w:rPr>
          <w:rFonts w:ascii="Times New Roman" w:hAnsi="Times New Roman" w:cs="Times New Roman"/>
          <w:b/>
          <w:sz w:val="24"/>
          <w:szCs w:val="24"/>
        </w:rPr>
        <w:t>WAC 480-07-460(1)(a)(i):</w:t>
      </w:r>
      <w:r w:rsidRPr="00E973BF">
        <w:rPr>
          <w:rFonts w:ascii="Times New Roman" w:hAnsi="Times New Roman" w:cs="Times New Roman"/>
          <w:sz w:val="24"/>
          <w:szCs w:val="24"/>
        </w:rPr>
        <w:t xml:space="preserve"> This subsection should be revised to read “Prefiled testimony or exhibits may be revised </w:t>
      </w:r>
      <w:r w:rsidRPr="00E973BF">
        <w:rPr>
          <w:rFonts w:ascii="Times New Roman" w:hAnsi="Times New Roman" w:cs="Times New Roman"/>
          <w:sz w:val="24"/>
          <w:szCs w:val="24"/>
          <w:u w:val="double"/>
        </w:rPr>
        <w:t>without leave from the presiding officer</w:t>
      </w:r>
      <w:r w:rsidRPr="00E973BF">
        <w:rPr>
          <w:rFonts w:ascii="Times New Roman" w:hAnsi="Times New Roman" w:cs="Times New Roman"/>
          <w:sz w:val="24"/>
          <w:szCs w:val="24"/>
        </w:rPr>
        <w:t xml:space="preserve"> to correct mistakes of fact asserted by a witness.”   Subsection (ii) states that leave of the presiding officer is needed to make substantive changes to prefiled testimony or exhibits.  The proposed revision will make explicit that leave is not required under subsection (i) for correcting errors.</w:t>
      </w:r>
    </w:p>
    <w:p w:rsidR="0008640F" w:rsidRDefault="0008640F" w:rsidP="0008640F">
      <w:pPr>
        <w:pStyle w:val="ListParagraph"/>
        <w:spacing w:line="240" w:lineRule="auto"/>
        <w:rPr>
          <w:rFonts w:ascii="Times New Roman" w:hAnsi="Times New Roman" w:cs="Times New Roman"/>
          <w:sz w:val="24"/>
          <w:szCs w:val="24"/>
        </w:rPr>
      </w:pPr>
    </w:p>
    <w:p w:rsidR="0008640F" w:rsidRDefault="0008640F" w:rsidP="0008640F">
      <w:pPr>
        <w:pStyle w:val="ListParagraph"/>
        <w:numPr>
          <w:ilvl w:val="0"/>
          <w:numId w:val="6"/>
        </w:numPr>
        <w:spacing w:line="240" w:lineRule="auto"/>
        <w:rPr>
          <w:rFonts w:ascii="Times New Roman" w:hAnsi="Times New Roman" w:cs="Times New Roman"/>
          <w:sz w:val="24"/>
          <w:szCs w:val="24"/>
        </w:rPr>
      </w:pPr>
      <w:r w:rsidRPr="0008640F">
        <w:rPr>
          <w:rFonts w:ascii="Times New Roman" w:hAnsi="Times New Roman" w:cs="Times New Roman"/>
          <w:b/>
          <w:sz w:val="24"/>
          <w:szCs w:val="24"/>
        </w:rPr>
        <w:t>WAC 480-07-460(1)(a)(iii):</w:t>
      </w:r>
      <w:r w:rsidRPr="0008640F">
        <w:rPr>
          <w:rFonts w:ascii="Times New Roman" w:hAnsi="Times New Roman" w:cs="Times New Roman"/>
          <w:sz w:val="24"/>
          <w:szCs w:val="24"/>
        </w:rPr>
        <w:t xml:space="preserve"> Similarly to subsection (i), this subsection should be revised to read “A party may</w:t>
      </w:r>
      <w:r w:rsidRPr="0008640F">
        <w:rPr>
          <w:rFonts w:ascii="Times New Roman" w:hAnsi="Times New Roman" w:cs="Times New Roman"/>
          <w:sz w:val="24"/>
          <w:szCs w:val="24"/>
          <w:u w:val="double"/>
        </w:rPr>
        <w:t>, without leave of the presiding officer,</w:t>
      </w:r>
      <w:r w:rsidRPr="0008640F">
        <w:rPr>
          <w:rFonts w:ascii="Times New Roman" w:hAnsi="Times New Roman" w:cs="Times New Roman"/>
          <w:sz w:val="24"/>
          <w:szCs w:val="24"/>
        </w:rPr>
        <w:t xml:space="preserve"> make minor revisions to prefiled testimony and exhibits to correct typographical errors, printing errors, and nonsubstantive changes (e.g., a change in a witness’s address or employment.)”</w:t>
      </w:r>
    </w:p>
    <w:p w:rsidR="0008640F" w:rsidRPr="0008640F" w:rsidRDefault="0008640F" w:rsidP="0008640F">
      <w:pPr>
        <w:pStyle w:val="ListParagraph"/>
        <w:rPr>
          <w:rFonts w:ascii="Times New Roman" w:hAnsi="Times New Roman" w:cs="Times New Roman"/>
          <w:sz w:val="24"/>
          <w:szCs w:val="24"/>
          <w:u w:val="single"/>
        </w:rPr>
      </w:pPr>
    </w:p>
    <w:p w:rsidR="0008640F" w:rsidRDefault="0008640F" w:rsidP="0008640F">
      <w:pPr>
        <w:pStyle w:val="ListParagraph"/>
        <w:numPr>
          <w:ilvl w:val="0"/>
          <w:numId w:val="6"/>
        </w:numPr>
        <w:spacing w:line="240" w:lineRule="auto"/>
        <w:rPr>
          <w:rFonts w:ascii="Times New Roman" w:hAnsi="Times New Roman" w:cs="Times New Roman"/>
          <w:sz w:val="24"/>
          <w:szCs w:val="24"/>
        </w:rPr>
      </w:pPr>
      <w:r w:rsidRPr="0008640F">
        <w:rPr>
          <w:rFonts w:ascii="Times New Roman" w:hAnsi="Times New Roman" w:cs="Times New Roman"/>
          <w:b/>
          <w:sz w:val="24"/>
          <w:szCs w:val="24"/>
        </w:rPr>
        <w:t>WAC 480-07-490(3) and (4):</w:t>
      </w:r>
      <w:r w:rsidRPr="0008640F">
        <w:rPr>
          <w:rFonts w:ascii="Times New Roman" w:hAnsi="Times New Roman" w:cs="Times New Roman"/>
          <w:sz w:val="24"/>
          <w:szCs w:val="24"/>
        </w:rPr>
        <w:t xml:space="preserve"> </w:t>
      </w:r>
      <w:r w:rsidR="00C017C7">
        <w:rPr>
          <w:rFonts w:ascii="Times New Roman" w:hAnsi="Times New Roman" w:cs="Times New Roman"/>
          <w:sz w:val="24"/>
          <w:szCs w:val="24"/>
        </w:rPr>
        <w:t xml:space="preserve"> </w:t>
      </w:r>
      <w:r w:rsidRPr="0008640F">
        <w:rPr>
          <w:rFonts w:ascii="Times New Roman" w:hAnsi="Times New Roman" w:cs="Times New Roman"/>
          <w:sz w:val="24"/>
          <w:szCs w:val="24"/>
        </w:rPr>
        <w:t>The provisions allowing the parties to incorporate Commission files or records from other Commission proceedings into the evidentiary record should be retained.  These provisions reduce the volume of filings by allowing parties to incorporate documents from Commission files or proceedings by reference.</w:t>
      </w:r>
    </w:p>
    <w:p w:rsidR="00D531CC" w:rsidRPr="0008640F" w:rsidRDefault="00D531CC" w:rsidP="0008640F">
      <w:pPr>
        <w:pStyle w:val="ListParagraph"/>
        <w:spacing w:after="0" w:line="240" w:lineRule="auto"/>
        <w:ind w:left="1440"/>
        <w:rPr>
          <w:rFonts w:ascii="Times New Roman" w:hAnsi="Times New Roman" w:cs="Times New Roman"/>
          <w:sz w:val="24"/>
          <w:szCs w:val="24"/>
        </w:rPr>
      </w:pPr>
    </w:p>
    <w:p w:rsidR="001F2482" w:rsidRPr="0008640F" w:rsidRDefault="00F77B94" w:rsidP="0008640F">
      <w:pPr>
        <w:rPr>
          <w:rFonts w:ascii="Times New Roman" w:hAnsi="Times New Roman"/>
          <w:szCs w:val="24"/>
        </w:rPr>
      </w:pPr>
      <w:r w:rsidRPr="0008640F">
        <w:rPr>
          <w:rFonts w:ascii="Times New Roman" w:hAnsi="Times New Roman"/>
          <w:szCs w:val="24"/>
        </w:rPr>
        <w:t>Pacifi</w:t>
      </w:r>
      <w:r>
        <w:rPr>
          <w:rFonts w:ascii="Times New Roman" w:hAnsi="Times New Roman"/>
          <w:szCs w:val="24"/>
        </w:rPr>
        <w:t>c Power</w:t>
      </w:r>
      <w:r w:rsidRPr="0008640F">
        <w:rPr>
          <w:rFonts w:ascii="Times New Roman" w:hAnsi="Times New Roman"/>
          <w:szCs w:val="24"/>
        </w:rPr>
        <w:t xml:space="preserve"> </w:t>
      </w:r>
      <w:r w:rsidR="00B93852" w:rsidRPr="0008640F">
        <w:rPr>
          <w:rFonts w:ascii="Times New Roman" w:hAnsi="Times New Roman"/>
          <w:szCs w:val="24"/>
        </w:rPr>
        <w:t xml:space="preserve">appreciates the Commission’s efforts to update and clarify its procedural rules, as well as the opportunity to participate in the process.  </w:t>
      </w:r>
      <w:r w:rsidR="001F2482" w:rsidRPr="0008640F">
        <w:rPr>
          <w:rFonts w:ascii="Times New Roman" w:hAnsi="Times New Roman"/>
          <w:szCs w:val="24"/>
        </w:rPr>
        <w:t xml:space="preserve">Please direct inquiries to </w:t>
      </w:r>
      <w:r w:rsidR="00C017C7">
        <w:rPr>
          <w:rFonts w:ascii="Times New Roman" w:hAnsi="Times New Roman"/>
          <w:szCs w:val="24"/>
        </w:rPr>
        <w:t>Ariel Son, Manager, Regulatory Projects, at (503) 813-5410</w:t>
      </w:r>
      <w:r w:rsidR="001F2482" w:rsidRPr="0008640F">
        <w:rPr>
          <w:rFonts w:ascii="Times New Roman" w:hAnsi="Times New Roman"/>
          <w:szCs w:val="24"/>
        </w:rPr>
        <w:t>.</w:t>
      </w:r>
    </w:p>
    <w:p w:rsidR="00BD7A9A" w:rsidRPr="0008640F" w:rsidRDefault="00BD7A9A" w:rsidP="0008640F">
      <w:pPr>
        <w:rPr>
          <w:rFonts w:ascii="Times New Roman" w:hAnsi="Times New Roman"/>
          <w:szCs w:val="24"/>
        </w:rPr>
      </w:pPr>
    </w:p>
    <w:p w:rsidR="00AE7E85" w:rsidRPr="0008640F" w:rsidRDefault="005A1299" w:rsidP="0008640F">
      <w:pPr>
        <w:rPr>
          <w:rFonts w:ascii="Times New Roman" w:hAnsi="Times New Roman"/>
          <w:szCs w:val="24"/>
        </w:rPr>
      </w:pPr>
      <w:r w:rsidRPr="0008640F">
        <w:rPr>
          <w:rFonts w:ascii="Times New Roman" w:hAnsi="Times New Roman"/>
          <w:szCs w:val="24"/>
        </w:rPr>
        <w:t>Sin</w:t>
      </w:r>
      <w:r w:rsidR="00AE7E85" w:rsidRPr="0008640F">
        <w:rPr>
          <w:rFonts w:ascii="Times New Roman" w:hAnsi="Times New Roman"/>
          <w:szCs w:val="24"/>
        </w:rPr>
        <w:t>cerely,</w:t>
      </w:r>
    </w:p>
    <w:p w:rsidR="00AE7E85" w:rsidRPr="0008640F" w:rsidRDefault="00AE7E85" w:rsidP="0008640F">
      <w:pPr>
        <w:rPr>
          <w:rFonts w:ascii="Times New Roman" w:hAnsi="Times New Roman"/>
          <w:szCs w:val="24"/>
        </w:rPr>
      </w:pPr>
    </w:p>
    <w:p w:rsidR="00AE7E85" w:rsidRPr="0008640F" w:rsidRDefault="00AE7E85" w:rsidP="0008640F">
      <w:pPr>
        <w:rPr>
          <w:rFonts w:ascii="Times New Roman" w:hAnsi="Times New Roman"/>
          <w:szCs w:val="24"/>
        </w:rPr>
      </w:pPr>
    </w:p>
    <w:p w:rsidR="00AE7E85" w:rsidRPr="0008640F" w:rsidRDefault="00AE7E85" w:rsidP="0008640F">
      <w:pPr>
        <w:rPr>
          <w:rFonts w:ascii="Times New Roman" w:hAnsi="Times New Roman"/>
          <w:szCs w:val="24"/>
        </w:rPr>
      </w:pPr>
    </w:p>
    <w:p w:rsidR="00AE7E85" w:rsidRPr="0008640F" w:rsidRDefault="003C1334" w:rsidP="0008640F">
      <w:pPr>
        <w:rPr>
          <w:rFonts w:ascii="Times New Roman" w:hAnsi="Times New Roman"/>
          <w:szCs w:val="24"/>
        </w:rPr>
      </w:pPr>
      <w:r w:rsidRPr="0008640F">
        <w:rPr>
          <w:rFonts w:ascii="Times New Roman" w:hAnsi="Times New Roman"/>
          <w:szCs w:val="24"/>
        </w:rPr>
        <w:t>R. Bryce Dalley</w:t>
      </w:r>
    </w:p>
    <w:p w:rsidR="00AE7E85" w:rsidRPr="0008640F" w:rsidRDefault="0019180C" w:rsidP="0008640F">
      <w:pPr>
        <w:rPr>
          <w:rFonts w:ascii="Times New Roman" w:hAnsi="Times New Roman"/>
          <w:szCs w:val="24"/>
        </w:rPr>
      </w:pPr>
      <w:r w:rsidRPr="0008640F">
        <w:rPr>
          <w:rFonts w:ascii="Times New Roman" w:hAnsi="Times New Roman"/>
          <w:szCs w:val="24"/>
        </w:rPr>
        <w:t>Vice President</w:t>
      </w:r>
      <w:r w:rsidR="00280CFB" w:rsidRPr="0008640F">
        <w:rPr>
          <w:rFonts w:ascii="Times New Roman" w:hAnsi="Times New Roman"/>
          <w:szCs w:val="24"/>
        </w:rPr>
        <w:t>, Regulation</w:t>
      </w:r>
      <w:r w:rsidR="006D6F4B" w:rsidRPr="0008640F">
        <w:rPr>
          <w:rFonts w:ascii="Times New Roman" w:hAnsi="Times New Roman"/>
          <w:szCs w:val="24"/>
        </w:rPr>
        <w:t xml:space="preserve"> </w:t>
      </w:r>
    </w:p>
    <w:p w:rsidR="00AE7E85" w:rsidRPr="0008640F" w:rsidRDefault="00AE7E85" w:rsidP="0008640F">
      <w:pPr>
        <w:rPr>
          <w:rFonts w:ascii="Times New Roman" w:hAnsi="Times New Roman"/>
          <w:szCs w:val="24"/>
        </w:rPr>
      </w:pPr>
    </w:p>
    <w:p w:rsidR="005E13D6" w:rsidRPr="0008640F" w:rsidRDefault="005E13D6" w:rsidP="0008640F">
      <w:pPr>
        <w:pStyle w:val="ReLine"/>
        <w:spacing w:before="0"/>
        <w:ind w:left="720" w:right="115"/>
        <w:rPr>
          <w:rFonts w:hAnsi="Times New Roman"/>
          <w:b w:val="0"/>
          <w:szCs w:val="24"/>
        </w:rPr>
      </w:pPr>
    </w:p>
    <w:p w:rsidR="0008640F" w:rsidRPr="0008640F" w:rsidRDefault="0008640F" w:rsidP="0008640F">
      <w:pPr>
        <w:pStyle w:val="ReLine"/>
        <w:spacing w:before="0"/>
        <w:ind w:left="720" w:right="115"/>
        <w:rPr>
          <w:rFonts w:hAnsi="Times New Roman"/>
          <w:b w:val="0"/>
          <w:szCs w:val="24"/>
        </w:rPr>
      </w:pPr>
    </w:p>
    <w:sectPr w:rsidR="0008640F" w:rsidRPr="0008640F" w:rsidSect="000D12C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41" w:rsidRDefault="00EB1B41">
      <w:r>
        <w:separator/>
      </w:r>
    </w:p>
  </w:endnote>
  <w:endnote w:type="continuationSeparator" w:id="0">
    <w:p w:rsidR="00EB1B41" w:rsidRDefault="00EB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5D" w:rsidRDefault="007A1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5D" w:rsidRDefault="007A1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5D" w:rsidRDefault="007A1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41" w:rsidRDefault="00EB1B41">
      <w:r>
        <w:separator/>
      </w:r>
    </w:p>
  </w:footnote>
  <w:footnote w:type="continuationSeparator" w:id="0">
    <w:p w:rsidR="00EB1B41" w:rsidRDefault="00EB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5D" w:rsidRDefault="007A1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37" w:rsidRPr="005D1F31" w:rsidRDefault="00874CDB">
    <w:pPr>
      <w:pStyle w:val="Header"/>
      <w:rPr>
        <w:sz w:val="22"/>
        <w:szCs w:val="22"/>
      </w:rPr>
    </w:pPr>
    <w:r>
      <w:rPr>
        <w:sz w:val="22"/>
        <w:szCs w:val="22"/>
      </w:rPr>
      <w:t>Docket A-130355</w:t>
    </w:r>
  </w:p>
  <w:p w:rsidR="00A57437" w:rsidRPr="005D1F31" w:rsidRDefault="00874CDB">
    <w:pPr>
      <w:pStyle w:val="Header"/>
      <w:rPr>
        <w:sz w:val="22"/>
        <w:szCs w:val="22"/>
      </w:rPr>
    </w:pPr>
    <w:r>
      <w:rPr>
        <w:sz w:val="22"/>
        <w:szCs w:val="22"/>
      </w:rPr>
      <w:t xml:space="preserve">Washington Utilities and Transportation </w:t>
    </w:r>
    <w:r w:rsidR="00A57437" w:rsidRPr="005D1F31">
      <w:rPr>
        <w:sz w:val="22"/>
        <w:szCs w:val="22"/>
      </w:rPr>
      <w:t>Commission</w:t>
    </w:r>
  </w:p>
  <w:p w:rsidR="00874CDB" w:rsidRPr="005D1F31" w:rsidRDefault="00C017C7">
    <w:pPr>
      <w:pStyle w:val="Header"/>
      <w:rPr>
        <w:sz w:val="22"/>
        <w:szCs w:val="22"/>
      </w:rPr>
    </w:pPr>
    <w:r>
      <w:rPr>
        <w:sz w:val="22"/>
        <w:szCs w:val="22"/>
      </w:rPr>
      <w:t>July 20, 2015</w:t>
    </w:r>
  </w:p>
  <w:p w:rsidR="00A57437" w:rsidRPr="005D1F31" w:rsidRDefault="00A57437">
    <w:pPr>
      <w:pStyle w:val="Header"/>
      <w:rPr>
        <w:sz w:val="22"/>
        <w:szCs w:val="22"/>
      </w:rPr>
    </w:pPr>
    <w:r w:rsidRPr="005D1F31">
      <w:rPr>
        <w:sz w:val="22"/>
        <w:szCs w:val="22"/>
      </w:rPr>
      <w:t xml:space="preserve">Page </w:t>
    </w:r>
    <w:r w:rsidR="00722ED0" w:rsidRPr="005D1F31">
      <w:rPr>
        <w:rStyle w:val="PageNumber"/>
        <w:sz w:val="22"/>
        <w:szCs w:val="22"/>
      </w:rPr>
      <w:fldChar w:fldCharType="begin"/>
    </w:r>
    <w:r w:rsidRPr="005D1F31">
      <w:rPr>
        <w:rStyle w:val="PageNumber"/>
        <w:sz w:val="22"/>
        <w:szCs w:val="22"/>
      </w:rPr>
      <w:instrText xml:space="preserve"> PAGE </w:instrText>
    </w:r>
    <w:r w:rsidR="00722ED0" w:rsidRPr="005D1F31">
      <w:rPr>
        <w:rStyle w:val="PageNumber"/>
        <w:sz w:val="22"/>
        <w:szCs w:val="22"/>
      </w:rPr>
      <w:fldChar w:fldCharType="separate"/>
    </w:r>
    <w:r w:rsidR="007A145D">
      <w:rPr>
        <w:rStyle w:val="PageNumber"/>
        <w:noProof/>
        <w:sz w:val="22"/>
        <w:szCs w:val="22"/>
      </w:rPr>
      <w:t>2</w:t>
    </w:r>
    <w:r w:rsidR="00722ED0"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5D" w:rsidRDefault="007A1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0710B"/>
    <w:multiLevelType w:val="hybridMultilevel"/>
    <w:tmpl w:val="FC5CEF02"/>
    <w:lvl w:ilvl="0" w:tplc="746274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059E7"/>
    <w:multiLevelType w:val="hybridMultilevel"/>
    <w:tmpl w:val="DE0E4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2F5D"/>
    <w:rsid w:val="00015282"/>
    <w:rsid w:val="00024A99"/>
    <w:rsid w:val="00041B90"/>
    <w:rsid w:val="00050C43"/>
    <w:rsid w:val="00053C1F"/>
    <w:rsid w:val="00081903"/>
    <w:rsid w:val="0008640F"/>
    <w:rsid w:val="0008771C"/>
    <w:rsid w:val="000916A3"/>
    <w:rsid w:val="00095522"/>
    <w:rsid w:val="000A162B"/>
    <w:rsid w:val="000B4832"/>
    <w:rsid w:val="000C0169"/>
    <w:rsid w:val="000D12C2"/>
    <w:rsid w:val="000E2BB3"/>
    <w:rsid w:val="000F66D2"/>
    <w:rsid w:val="0013643C"/>
    <w:rsid w:val="001554BD"/>
    <w:rsid w:val="0016659E"/>
    <w:rsid w:val="00171FEC"/>
    <w:rsid w:val="0019180C"/>
    <w:rsid w:val="00192311"/>
    <w:rsid w:val="001B5D69"/>
    <w:rsid w:val="001D4F84"/>
    <w:rsid w:val="001E353B"/>
    <w:rsid w:val="001E6657"/>
    <w:rsid w:val="001F2482"/>
    <w:rsid w:val="001F5D96"/>
    <w:rsid w:val="001F6408"/>
    <w:rsid w:val="00211B5B"/>
    <w:rsid w:val="00250A4F"/>
    <w:rsid w:val="00280CFB"/>
    <w:rsid w:val="002A12A9"/>
    <w:rsid w:val="002B717A"/>
    <w:rsid w:val="002B7AC8"/>
    <w:rsid w:val="002C037D"/>
    <w:rsid w:val="002C51FF"/>
    <w:rsid w:val="002D27F5"/>
    <w:rsid w:val="002D42B6"/>
    <w:rsid w:val="002E3F4F"/>
    <w:rsid w:val="002F531A"/>
    <w:rsid w:val="0032105A"/>
    <w:rsid w:val="00330A91"/>
    <w:rsid w:val="00331296"/>
    <w:rsid w:val="00341B89"/>
    <w:rsid w:val="0034381C"/>
    <w:rsid w:val="0034493C"/>
    <w:rsid w:val="003607CC"/>
    <w:rsid w:val="0036312F"/>
    <w:rsid w:val="003B0B60"/>
    <w:rsid w:val="003B6E12"/>
    <w:rsid w:val="003C1334"/>
    <w:rsid w:val="003D2411"/>
    <w:rsid w:val="003E41B7"/>
    <w:rsid w:val="003E5C58"/>
    <w:rsid w:val="00417C74"/>
    <w:rsid w:val="00423A41"/>
    <w:rsid w:val="00424FE0"/>
    <w:rsid w:val="00430F7D"/>
    <w:rsid w:val="00450897"/>
    <w:rsid w:val="00455A14"/>
    <w:rsid w:val="00461480"/>
    <w:rsid w:val="004A4275"/>
    <w:rsid w:val="004B5BE5"/>
    <w:rsid w:val="004C3BE6"/>
    <w:rsid w:val="004F4400"/>
    <w:rsid w:val="0051735F"/>
    <w:rsid w:val="00535613"/>
    <w:rsid w:val="00555689"/>
    <w:rsid w:val="00560EB2"/>
    <w:rsid w:val="00570C14"/>
    <w:rsid w:val="00571211"/>
    <w:rsid w:val="00594C28"/>
    <w:rsid w:val="005A1299"/>
    <w:rsid w:val="005B2406"/>
    <w:rsid w:val="005C7475"/>
    <w:rsid w:val="005D1418"/>
    <w:rsid w:val="005D1F31"/>
    <w:rsid w:val="005E13D6"/>
    <w:rsid w:val="005F3B06"/>
    <w:rsid w:val="005F4737"/>
    <w:rsid w:val="00602283"/>
    <w:rsid w:val="006038CB"/>
    <w:rsid w:val="00626755"/>
    <w:rsid w:val="0065431B"/>
    <w:rsid w:val="00662A85"/>
    <w:rsid w:val="00666237"/>
    <w:rsid w:val="00671B72"/>
    <w:rsid w:val="006A561C"/>
    <w:rsid w:val="006B0472"/>
    <w:rsid w:val="006B2C1B"/>
    <w:rsid w:val="006D6F4B"/>
    <w:rsid w:val="00713D32"/>
    <w:rsid w:val="007158F1"/>
    <w:rsid w:val="00722ED0"/>
    <w:rsid w:val="00727DDC"/>
    <w:rsid w:val="0074443A"/>
    <w:rsid w:val="00745CC9"/>
    <w:rsid w:val="007472FB"/>
    <w:rsid w:val="0075745B"/>
    <w:rsid w:val="007647D8"/>
    <w:rsid w:val="00767693"/>
    <w:rsid w:val="00770EAC"/>
    <w:rsid w:val="00775036"/>
    <w:rsid w:val="00795009"/>
    <w:rsid w:val="007A145D"/>
    <w:rsid w:val="007B6068"/>
    <w:rsid w:val="007C10CE"/>
    <w:rsid w:val="007C5BE2"/>
    <w:rsid w:val="007E3952"/>
    <w:rsid w:val="0081167A"/>
    <w:rsid w:val="0085054B"/>
    <w:rsid w:val="00874CDB"/>
    <w:rsid w:val="00893058"/>
    <w:rsid w:val="00894FF0"/>
    <w:rsid w:val="008A238C"/>
    <w:rsid w:val="008B2318"/>
    <w:rsid w:val="008C6938"/>
    <w:rsid w:val="008E694E"/>
    <w:rsid w:val="00901F2A"/>
    <w:rsid w:val="00915A7D"/>
    <w:rsid w:val="00917971"/>
    <w:rsid w:val="00924901"/>
    <w:rsid w:val="00937F98"/>
    <w:rsid w:val="0094661C"/>
    <w:rsid w:val="009558BA"/>
    <w:rsid w:val="009741A7"/>
    <w:rsid w:val="00976E1E"/>
    <w:rsid w:val="00980959"/>
    <w:rsid w:val="00983485"/>
    <w:rsid w:val="00984A53"/>
    <w:rsid w:val="009A2C40"/>
    <w:rsid w:val="009C0DEF"/>
    <w:rsid w:val="009D46E5"/>
    <w:rsid w:val="009E5DC7"/>
    <w:rsid w:val="009F20C1"/>
    <w:rsid w:val="00A00189"/>
    <w:rsid w:val="00A31886"/>
    <w:rsid w:val="00A42CB3"/>
    <w:rsid w:val="00A458B3"/>
    <w:rsid w:val="00A57437"/>
    <w:rsid w:val="00A65976"/>
    <w:rsid w:val="00A821AD"/>
    <w:rsid w:val="00A856EB"/>
    <w:rsid w:val="00A900F2"/>
    <w:rsid w:val="00AA3B6D"/>
    <w:rsid w:val="00AE7E85"/>
    <w:rsid w:val="00AF46F7"/>
    <w:rsid w:val="00B0301B"/>
    <w:rsid w:val="00B202E7"/>
    <w:rsid w:val="00B2397E"/>
    <w:rsid w:val="00B47C7C"/>
    <w:rsid w:val="00B65382"/>
    <w:rsid w:val="00B66729"/>
    <w:rsid w:val="00B93852"/>
    <w:rsid w:val="00BA03DD"/>
    <w:rsid w:val="00BA32B0"/>
    <w:rsid w:val="00BA6008"/>
    <w:rsid w:val="00BC48FC"/>
    <w:rsid w:val="00BD47D8"/>
    <w:rsid w:val="00BD5B7C"/>
    <w:rsid w:val="00BD7A9A"/>
    <w:rsid w:val="00BE0A33"/>
    <w:rsid w:val="00BE59A6"/>
    <w:rsid w:val="00BF5E47"/>
    <w:rsid w:val="00C017C7"/>
    <w:rsid w:val="00C339D3"/>
    <w:rsid w:val="00C46701"/>
    <w:rsid w:val="00C60CE0"/>
    <w:rsid w:val="00C66813"/>
    <w:rsid w:val="00C676B1"/>
    <w:rsid w:val="00C72DEF"/>
    <w:rsid w:val="00C815B4"/>
    <w:rsid w:val="00C82F27"/>
    <w:rsid w:val="00C9377D"/>
    <w:rsid w:val="00CC1023"/>
    <w:rsid w:val="00CC2929"/>
    <w:rsid w:val="00CE04F4"/>
    <w:rsid w:val="00CF496C"/>
    <w:rsid w:val="00CF6EE9"/>
    <w:rsid w:val="00D037ED"/>
    <w:rsid w:val="00D17374"/>
    <w:rsid w:val="00D218E6"/>
    <w:rsid w:val="00D35EE2"/>
    <w:rsid w:val="00D454C6"/>
    <w:rsid w:val="00D531CC"/>
    <w:rsid w:val="00D6653B"/>
    <w:rsid w:val="00D71649"/>
    <w:rsid w:val="00DB1233"/>
    <w:rsid w:val="00DF35F3"/>
    <w:rsid w:val="00E03EEC"/>
    <w:rsid w:val="00E17531"/>
    <w:rsid w:val="00E6262D"/>
    <w:rsid w:val="00E675B9"/>
    <w:rsid w:val="00E857DF"/>
    <w:rsid w:val="00E92AE8"/>
    <w:rsid w:val="00E973BF"/>
    <w:rsid w:val="00EA6FE0"/>
    <w:rsid w:val="00EB1B41"/>
    <w:rsid w:val="00EB6039"/>
    <w:rsid w:val="00ED22FA"/>
    <w:rsid w:val="00ED5114"/>
    <w:rsid w:val="00EE242B"/>
    <w:rsid w:val="00F0334A"/>
    <w:rsid w:val="00F15344"/>
    <w:rsid w:val="00F303DC"/>
    <w:rsid w:val="00F40293"/>
    <w:rsid w:val="00F4359F"/>
    <w:rsid w:val="00F437A9"/>
    <w:rsid w:val="00F52D80"/>
    <w:rsid w:val="00F57120"/>
    <w:rsid w:val="00F61444"/>
    <w:rsid w:val="00F62D07"/>
    <w:rsid w:val="00F77B94"/>
    <w:rsid w:val="00F82ADF"/>
    <w:rsid w:val="00F91205"/>
    <w:rsid w:val="00FB6A67"/>
    <w:rsid w:val="00FB7CCF"/>
    <w:rsid w:val="00FC26F5"/>
    <w:rsid w:val="00FC640A"/>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884">
      <w:bodyDiv w:val="1"/>
      <w:marLeft w:val="0"/>
      <w:marRight w:val="0"/>
      <w:marTop w:val="0"/>
      <w:marBottom w:val="0"/>
      <w:divBdr>
        <w:top w:val="none" w:sz="0" w:space="0" w:color="auto"/>
        <w:left w:val="none" w:sz="0" w:space="0" w:color="auto"/>
        <w:bottom w:val="none" w:sz="0" w:space="0" w:color="auto"/>
        <w:right w:val="none" w:sz="0" w:space="0" w:color="auto"/>
      </w:divBdr>
    </w:div>
    <w:div w:id="1792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2015-07-20T07:00:00+00:00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6D188-79BC-41FB-BF2A-905152D21E5A}"/>
</file>

<file path=customXml/itemProps2.xml><?xml version="1.0" encoding="utf-8"?>
<ds:datastoreItem xmlns:ds="http://schemas.openxmlformats.org/officeDocument/2006/customXml" ds:itemID="{DCF8D00D-9B09-4A98-8CBE-C4B36BDF9490}"/>
</file>

<file path=customXml/itemProps3.xml><?xml version="1.0" encoding="utf-8"?>
<ds:datastoreItem xmlns:ds="http://schemas.openxmlformats.org/officeDocument/2006/customXml" ds:itemID="{734537DD-B8BA-4EF0-A46E-4B632A7D89C5}"/>
</file>

<file path=customXml/itemProps4.xml><?xml version="1.0" encoding="utf-8"?>
<ds:datastoreItem xmlns:ds="http://schemas.openxmlformats.org/officeDocument/2006/customXml" ds:itemID="{60385A26-17D4-40C3-A4CA-D0E6081D88A9}"/>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3689</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2015-07-20T16:52:00Z</dcterms:created>
  <dcterms:modified xsi:type="dcterms:W3CDTF">2015-07-20T16:52:00Z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0x0101006E56B4D1795A2E4DB2F0B01679ED314A00BF646EE6BD3DCD449D83A8777965FB75</vt:lpwstr>
  </property>
  <property fmtid="{D5CDD505-2E9C-101B-9397-08002B2CF9AE}" pid="4" name="_docset_NoMedatataSyncRequired">
    <vt:lpwstr>False</vt:lpwstr>
  </property>
</Properties>
</file>