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152161">
        <w:t>11/28</w:t>
      </w:r>
      <w:r w:rsidR="003549BB">
        <w:t>/</w:t>
      </w:r>
      <w:r w:rsidR="008022DE">
        <w:t>20</w:t>
      </w:r>
      <w:r w:rsidR="0069040D">
        <w:t>1</w:t>
      </w:r>
      <w:r w:rsidR="00186A4B">
        <w:t>6</w:t>
      </w:r>
    </w:p>
    <w:p w:rsidR="00FD536A" w:rsidRDefault="00FD536A" w:rsidP="00F731E6">
      <w:pPr>
        <w:pStyle w:val="Heading1"/>
        <w:tabs>
          <w:tab w:val="clear" w:pos="4320"/>
          <w:tab w:val="left" w:pos="4770"/>
        </w:tabs>
      </w:pPr>
      <w:r>
        <w:t>CASE NO:</w:t>
      </w:r>
      <w:r>
        <w:tab/>
      </w:r>
      <w:r w:rsidRPr="00941853">
        <w:t>U</w:t>
      </w:r>
      <w:r w:rsidR="00E64D12" w:rsidRPr="00941853">
        <w:t>E-</w:t>
      </w:r>
      <w:r w:rsidR="00390064">
        <w:t>1</w:t>
      </w:r>
      <w:r w:rsidR="00186A4B">
        <w:t>60228</w:t>
      </w:r>
      <w:r w:rsidR="00E64D12" w:rsidRPr="00941853">
        <w:t xml:space="preserve"> &amp; </w:t>
      </w:r>
      <w:r w:rsidR="00C73FA6" w:rsidRPr="00941853">
        <w:t>UG-</w:t>
      </w:r>
      <w:r w:rsidR="00390064">
        <w:t>1</w:t>
      </w:r>
      <w:r w:rsidR="00186A4B">
        <w:t>60229</w:t>
      </w:r>
      <w:r>
        <w:tab/>
        <w:t>WITNESS:</w:t>
      </w:r>
      <w:r>
        <w:tab/>
      </w:r>
      <w:r w:rsidR="00F731E6">
        <w:tab/>
      </w:r>
      <w:r w:rsidR="00F731E6">
        <w:tab/>
      </w:r>
      <w:r w:rsidR="00E512F0">
        <w:t>Andrews/Johnson/Kalich</w:t>
      </w:r>
    </w:p>
    <w:p w:rsidR="001004DE" w:rsidRDefault="00C73FA6" w:rsidP="00F731E6">
      <w:pPr>
        <w:pStyle w:val="Heading1"/>
        <w:tabs>
          <w:tab w:val="clear" w:pos="4320"/>
          <w:tab w:val="left" w:pos="4770"/>
        </w:tabs>
      </w:pPr>
      <w:r>
        <w:t>REQUESTER:</w:t>
      </w:r>
      <w:r>
        <w:tab/>
      </w:r>
      <w:r w:rsidR="00E74D6E">
        <w:t>Bench</w:t>
      </w:r>
      <w:r w:rsidR="00FD536A">
        <w:tab/>
        <w:t>RESPONDER:</w:t>
      </w:r>
      <w:r w:rsidR="00FD536A">
        <w:tab/>
      </w:r>
      <w:r w:rsidR="00F731E6">
        <w:tab/>
      </w:r>
      <w:r w:rsidR="00F731E6">
        <w:tab/>
      </w:r>
      <w:r w:rsidR="00E512F0">
        <w:t>Andrews/Johnson/Kalich</w:t>
      </w:r>
    </w:p>
    <w:p w:rsidR="001004DE" w:rsidRDefault="004E636C" w:rsidP="00F731E6">
      <w:pPr>
        <w:pStyle w:val="Heading1"/>
        <w:tabs>
          <w:tab w:val="clear" w:pos="4320"/>
          <w:tab w:val="left" w:pos="4770"/>
        </w:tabs>
      </w:pPr>
      <w:r>
        <w:t>TYPE:</w:t>
      </w:r>
      <w:r>
        <w:tab/>
        <w:t>Bench</w:t>
      </w:r>
      <w:r w:rsidR="00FD536A">
        <w:t xml:space="preserve"> Request</w:t>
      </w:r>
      <w:r w:rsidR="00FD536A">
        <w:tab/>
        <w:t>DEPT:</w:t>
      </w:r>
      <w:r w:rsidR="00FD536A">
        <w:tab/>
      </w:r>
      <w:r w:rsidR="00941853">
        <w:tab/>
      </w:r>
      <w:r w:rsidR="00941853">
        <w:tab/>
      </w:r>
      <w:r w:rsidR="00E512F0">
        <w:t>Rates/Power Supply</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E74D6E">
        <w:t>Bench</w:t>
      </w:r>
      <w:r w:rsidR="00E94E42">
        <w:t xml:space="preserve"> </w:t>
      </w:r>
      <w:proofErr w:type="spellStart"/>
      <w:r w:rsidR="008D6646">
        <w:t>Req</w:t>
      </w:r>
      <w:proofErr w:type="spellEnd"/>
      <w:r w:rsidR="004E636C">
        <w:t xml:space="preserve"> No. </w:t>
      </w:r>
      <w:r w:rsidR="003549BB">
        <w:t>10</w:t>
      </w:r>
      <w:r w:rsidR="000901C6">
        <w:t>.4</w:t>
      </w:r>
      <w:r w:rsidR="008D6646">
        <w:t>-Revised</w:t>
      </w:r>
      <w:r w:rsidR="004A7704">
        <w:tab/>
      </w:r>
      <w:r w:rsidR="00FD536A">
        <w:t>TELEPHONE:</w:t>
      </w:r>
      <w:r w:rsidR="00FD536A">
        <w:tab/>
      </w:r>
      <w:r w:rsidR="00F731E6">
        <w:tab/>
      </w:r>
      <w:r w:rsidR="00F731E6">
        <w:tab/>
      </w:r>
      <w:r w:rsidR="00FD536A">
        <w:t>(509) 495-</w:t>
      </w:r>
      <w:r w:rsidR="008726D6">
        <w:t>8601</w:t>
      </w:r>
    </w:p>
    <w:p w:rsidR="00FD536A" w:rsidRDefault="00AA791F" w:rsidP="00390064">
      <w:pPr>
        <w:tabs>
          <w:tab w:val="left" w:pos="1890"/>
          <w:tab w:val="left" w:pos="4770"/>
          <w:tab w:val="left" w:pos="6480"/>
        </w:tabs>
        <w:ind w:right="-306"/>
        <w:rPr>
          <w:sz w:val="24"/>
          <w:szCs w:val="24"/>
        </w:rPr>
      </w:pPr>
      <w:r>
        <w:rPr>
          <w:sz w:val="24"/>
          <w:szCs w:val="24"/>
        </w:rPr>
        <w:tab/>
      </w:r>
      <w:r>
        <w:rPr>
          <w:sz w:val="24"/>
          <w:szCs w:val="24"/>
        </w:rPr>
        <w:tab/>
        <w:t>EMAIL:</w:t>
      </w:r>
      <w:r>
        <w:rPr>
          <w:sz w:val="24"/>
          <w:szCs w:val="24"/>
        </w:rPr>
        <w:tab/>
      </w:r>
      <w:r w:rsidR="00941853">
        <w:rPr>
          <w:sz w:val="24"/>
          <w:szCs w:val="24"/>
        </w:rPr>
        <w:tab/>
      </w:r>
      <w:r w:rsidR="008726D6">
        <w:rPr>
          <w:sz w:val="24"/>
          <w:szCs w:val="24"/>
        </w:rPr>
        <w:t>liz.andrews</w:t>
      </w:r>
      <w:r w:rsidR="00417AA4">
        <w:rPr>
          <w:sz w:val="24"/>
          <w:szCs w:val="24"/>
        </w:rPr>
        <w:t>@avistacorp.com</w:t>
      </w:r>
    </w:p>
    <w:p w:rsidR="000E629D" w:rsidRDefault="000E629D">
      <w:pPr>
        <w:tabs>
          <w:tab w:val="left" w:pos="1890"/>
          <w:tab w:val="left" w:pos="4320"/>
          <w:tab w:val="left" w:pos="6480"/>
        </w:tabs>
        <w:rPr>
          <w:sz w:val="24"/>
          <w:szCs w:val="24"/>
        </w:rPr>
      </w:pPr>
    </w:p>
    <w:p w:rsidR="00015F36" w:rsidRDefault="00015F36">
      <w:pPr>
        <w:tabs>
          <w:tab w:val="left" w:pos="1890"/>
          <w:tab w:val="left" w:pos="4320"/>
          <w:tab w:val="left" w:pos="6480"/>
        </w:tabs>
        <w:jc w:val="both"/>
        <w:rPr>
          <w:b/>
          <w:bCs/>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r w:rsidR="000901C6">
        <w:rPr>
          <w:b/>
          <w:bCs/>
          <w:sz w:val="24"/>
          <w:szCs w:val="24"/>
        </w:rPr>
        <w:t xml:space="preserve"> 10.4:</w:t>
      </w:r>
    </w:p>
    <w:p w:rsidR="0068144C" w:rsidRPr="0068144C" w:rsidRDefault="0068144C" w:rsidP="00F34878">
      <w:pPr>
        <w:pStyle w:val="Default"/>
        <w:jc w:val="both"/>
      </w:pPr>
      <w:r w:rsidRPr="0068144C">
        <w:t>Please provide workpapers supporting Electric Adjustment 3.00 Pro Forma Power Supply to include amounts aggregated by FERC account and subaccount (i.e., Account 555 Purchased Power, Subaccount WNP-3) adjusted for November 1, 2016 power cost update</w:t>
      </w:r>
      <w:r w:rsidR="007C16B0">
        <w:t>.</w:t>
      </w:r>
      <w:r w:rsidRPr="0068144C">
        <w:t xml:space="preserve"> </w:t>
      </w:r>
    </w:p>
    <w:p w:rsidR="003549BB" w:rsidRPr="0068144C" w:rsidRDefault="003549BB" w:rsidP="000E629D">
      <w:pPr>
        <w:tabs>
          <w:tab w:val="left" w:pos="1890"/>
          <w:tab w:val="left" w:pos="4320"/>
          <w:tab w:val="left" w:pos="6480"/>
        </w:tabs>
        <w:jc w:val="both"/>
        <w:rPr>
          <w:b/>
          <w:sz w:val="24"/>
          <w:szCs w:val="24"/>
        </w:rPr>
      </w:pPr>
    </w:p>
    <w:p w:rsidR="00015F36" w:rsidRDefault="00015F36" w:rsidP="000E629D">
      <w:pPr>
        <w:tabs>
          <w:tab w:val="left" w:pos="1890"/>
          <w:tab w:val="left" w:pos="4320"/>
          <w:tab w:val="left" w:pos="6480"/>
        </w:tabs>
        <w:jc w:val="both"/>
        <w:rPr>
          <w:b/>
          <w:sz w:val="24"/>
          <w:szCs w:val="24"/>
        </w:rPr>
      </w:pPr>
    </w:p>
    <w:p w:rsidR="00D40664" w:rsidRDefault="00BB070F" w:rsidP="000E629D">
      <w:pPr>
        <w:tabs>
          <w:tab w:val="left" w:pos="1890"/>
          <w:tab w:val="left" w:pos="4320"/>
          <w:tab w:val="left" w:pos="6480"/>
        </w:tabs>
        <w:jc w:val="both"/>
        <w:rPr>
          <w:b/>
          <w:sz w:val="24"/>
          <w:szCs w:val="24"/>
        </w:rPr>
      </w:pPr>
      <w:r>
        <w:rPr>
          <w:b/>
          <w:sz w:val="24"/>
          <w:szCs w:val="24"/>
        </w:rPr>
        <w:t xml:space="preserve">REVISED </w:t>
      </w:r>
      <w:r w:rsidR="00FD536A" w:rsidRPr="000E629D">
        <w:rPr>
          <w:b/>
          <w:sz w:val="24"/>
          <w:szCs w:val="24"/>
        </w:rPr>
        <w:t>RESPONSE</w:t>
      </w:r>
      <w:r>
        <w:rPr>
          <w:b/>
          <w:sz w:val="24"/>
          <w:szCs w:val="24"/>
        </w:rPr>
        <w:t xml:space="preserve"> NOV 28, 2016</w:t>
      </w:r>
      <w:r w:rsidR="00FD536A" w:rsidRPr="000E629D">
        <w:rPr>
          <w:b/>
          <w:sz w:val="24"/>
          <w:szCs w:val="24"/>
        </w:rPr>
        <w:t>:</w:t>
      </w:r>
    </w:p>
    <w:p w:rsidR="00E26051" w:rsidRDefault="00E26051" w:rsidP="000E629D">
      <w:pPr>
        <w:tabs>
          <w:tab w:val="left" w:pos="1890"/>
          <w:tab w:val="left" w:pos="4320"/>
          <w:tab w:val="left" w:pos="6480"/>
        </w:tabs>
        <w:jc w:val="both"/>
        <w:rPr>
          <w:b/>
          <w:sz w:val="24"/>
          <w:szCs w:val="24"/>
        </w:rPr>
      </w:pPr>
    </w:p>
    <w:p w:rsidR="00A939CD" w:rsidRDefault="00BB070F" w:rsidP="00E26051">
      <w:pPr>
        <w:tabs>
          <w:tab w:val="left" w:pos="1890"/>
          <w:tab w:val="left" w:pos="4320"/>
          <w:tab w:val="left" w:pos="6480"/>
        </w:tabs>
        <w:jc w:val="both"/>
        <w:rPr>
          <w:sz w:val="24"/>
          <w:szCs w:val="24"/>
        </w:rPr>
      </w:pPr>
      <w:r>
        <w:rPr>
          <w:sz w:val="24"/>
          <w:szCs w:val="24"/>
        </w:rPr>
        <w:t>Per UTC Order 05 dated November 22, 2016</w:t>
      </w:r>
      <w:r w:rsidR="00E26051">
        <w:rPr>
          <w:sz w:val="24"/>
          <w:szCs w:val="24"/>
        </w:rPr>
        <w:t xml:space="preserve"> </w:t>
      </w:r>
      <w:r>
        <w:rPr>
          <w:sz w:val="24"/>
          <w:szCs w:val="24"/>
        </w:rPr>
        <w:t xml:space="preserve">in these Dockets, </w:t>
      </w:r>
      <w:r w:rsidR="00E26051">
        <w:rPr>
          <w:sz w:val="24"/>
          <w:szCs w:val="24"/>
        </w:rPr>
        <w:t xml:space="preserve">Avista </w:t>
      </w:r>
      <w:r>
        <w:rPr>
          <w:sz w:val="24"/>
          <w:szCs w:val="24"/>
        </w:rPr>
        <w:t xml:space="preserve">is providing this revised response to </w:t>
      </w:r>
      <w:r w:rsidR="00E26051">
        <w:rPr>
          <w:sz w:val="24"/>
          <w:szCs w:val="24"/>
        </w:rPr>
        <w:t xml:space="preserve">Bench Request </w:t>
      </w:r>
      <w:r>
        <w:rPr>
          <w:sz w:val="24"/>
          <w:szCs w:val="24"/>
        </w:rPr>
        <w:t xml:space="preserve">10.4.  </w:t>
      </w:r>
      <w:r w:rsidR="00A939CD">
        <w:rPr>
          <w:sz w:val="24"/>
          <w:szCs w:val="24"/>
        </w:rPr>
        <w:t xml:space="preserve">The power cost update included in this revised response reflects only the following changes:  (1) </w:t>
      </w:r>
      <w:r w:rsidR="00E26051" w:rsidRPr="00E26051">
        <w:rPr>
          <w:sz w:val="24"/>
          <w:szCs w:val="24"/>
        </w:rPr>
        <w:t>update for material, known and measurable chang</w:t>
      </w:r>
      <w:r w:rsidR="00A939CD">
        <w:rPr>
          <w:sz w:val="24"/>
          <w:szCs w:val="24"/>
        </w:rPr>
        <w:t xml:space="preserve">es to power contracts; (2) </w:t>
      </w:r>
      <w:r w:rsidR="00E26051" w:rsidRPr="00E26051">
        <w:rPr>
          <w:sz w:val="24"/>
          <w:szCs w:val="24"/>
        </w:rPr>
        <w:t xml:space="preserve">update for forward </w:t>
      </w:r>
      <w:r w:rsidR="004E4EF0">
        <w:rPr>
          <w:sz w:val="24"/>
          <w:szCs w:val="24"/>
        </w:rPr>
        <w:t xml:space="preserve">natural </w:t>
      </w:r>
      <w:r w:rsidR="00E26051" w:rsidRPr="00E26051">
        <w:rPr>
          <w:sz w:val="24"/>
          <w:szCs w:val="24"/>
        </w:rPr>
        <w:t>gas and market</w:t>
      </w:r>
      <w:r w:rsidR="00A939CD">
        <w:rPr>
          <w:sz w:val="24"/>
          <w:szCs w:val="24"/>
        </w:rPr>
        <w:t xml:space="preserve"> power prices; and (3) </w:t>
      </w:r>
      <w:r w:rsidR="00E26051" w:rsidRPr="00E26051">
        <w:rPr>
          <w:sz w:val="24"/>
          <w:szCs w:val="24"/>
        </w:rPr>
        <w:t xml:space="preserve">AURORA model-run parameters </w:t>
      </w:r>
      <w:r w:rsidR="00A939CD">
        <w:rPr>
          <w:sz w:val="24"/>
          <w:szCs w:val="24"/>
        </w:rPr>
        <w:t>are the same as</w:t>
      </w:r>
      <w:r w:rsidR="00E26051" w:rsidRPr="00E26051">
        <w:rPr>
          <w:sz w:val="24"/>
          <w:szCs w:val="24"/>
        </w:rPr>
        <w:t xml:space="preserve"> those in Avista’s as-file</w:t>
      </w:r>
      <w:r w:rsidR="00A939CD">
        <w:rPr>
          <w:sz w:val="24"/>
          <w:szCs w:val="24"/>
        </w:rPr>
        <w:t>d</w:t>
      </w:r>
      <w:r w:rsidR="00344C9A">
        <w:rPr>
          <w:sz w:val="24"/>
          <w:szCs w:val="24"/>
        </w:rPr>
        <w:t xml:space="preserve"> case</w:t>
      </w:r>
      <w:r w:rsidR="00E26051" w:rsidRPr="00E26051">
        <w:rPr>
          <w:sz w:val="24"/>
          <w:szCs w:val="24"/>
        </w:rPr>
        <w:t>.</w:t>
      </w:r>
      <w:r w:rsidR="004E4EF0">
        <w:rPr>
          <w:sz w:val="24"/>
          <w:szCs w:val="24"/>
        </w:rPr>
        <w:t xml:space="preserve">  </w:t>
      </w:r>
      <w:r w:rsidR="001A2AC8">
        <w:rPr>
          <w:sz w:val="24"/>
          <w:szCs w:val="24"/>
        </w:rPr>
        <w:t xml:space="preserve">In the Multiparty Settlement Stipulation in Avista’s prior general rate case, Docket Nos. UE-150204 and UG-150205, the parties to the Stipulation supported a power cost update in that case, which was described as follows on page 3, footnote 2:  </w:t>
      </w:r>
    </w:p>
    <w:p w:rsidR="001A2AC8" w:rsidRDefault="001A2AC8" w:rsidP="00E26051">
      <w:pPr>
        <w:tabs>
          <w:tab w:val="left" w:pos="1890"/>
          <w:tab w:val="left" w:pos="4320"/>
          <w:tab w:val="left" w:pos="6480"/>
        </w:tabs>
        <w:jc w:val="both"/>
        <w:rPr>
          <w:sz w:val="24"/>
          <w:szCs w:val="24"/>
        </w:rPr>
      </w:pPr>
    </w:p>
    <w:p w:rsidR="001A2AC8" w:rsidRDefault="001A2AC8" w:rsidP="001A2AC8">
      <w:pPr>
        <w:tabs>
          <w:tab w:val="left" w:pos="1890"/>
          <w:tab w:val="left" w:pos="4320"/>
          <w:tab w:val="left" w:pos="6480"/>
        </w:tabs>
        <w:ind w:left="540" w:hanging="540"/>
        <w:jc w:val="both"/>
        <w:rPr>
          <w:sz w:val="24"/>
          <w:szCs w:val="24"/>
        </w:rPr>
      </w:pPr>
      <w:r>
        <w:rPr>
          <w:sz w:val="24"/>
          <w:szCs w:val="24"/>
        </w:rPr>
        <w:tab/>
        <w:t>As in past proceedings, the purpose of this power supply update would be to:  1) update the three-month average of natural gas and electricity market prices; 2) include new short-term contracts for gas and electric; and 3) update or correct power and transmission service contracts for the 2016 rate year.</w:t>
      </w:r>
    </w:p>
    <w:p w:rsidR="001A2AC8" w:rsidRDefault="001A2AC8" w:rsidP="00E26051">
      <w:pPr>
        <w:tabs>
          <w:tab w:val="left" w:pos="1890"/>
          <w:tab w:val="left" w:pos="4320"/>
          <w:tab w:val="left" w:pos="6480"/>
        </w:tabs>
        <w:jc w:val="both"/>
        <w:rPr>
          <w:sz w:val="24"/>
          <w:szCs w:val="24"/>
        </w:rPr>
      </w:pPr>
    </w:p>
    <w:p w:rsidR="00A939CD" w:rsidRDefault="001A2AC8" w:rsidP="00E26051">
      <w:pPr>
        <w:tabs>
          <w:tab w:val="left" w:pos="1890"/>
          <w:tab w:val="left" w:pos="4320"/>
          <w:tab w:val="left" w:pos="6480"/>
        </w:tabs>
        <w:jc w:val="both"/>
        <w:rPr>
          <w:sz w:val="24"/>
          <w:szCs w:val="24"/>
        </w:rPr>
      </w:pPr>
      <w:r>
        <w:rPr>
          <w:sz w:val="24"/>
          <w:szCs w:val="24"/>
        </w:rPr>
        <w:t>The power cost update included in this response is performed the same manner as the prior case.</w:t>
      </w:r>
      <w:r w:rsidRPr="001A2AC8">
        <w:rPr>
          <w:rStyle w:val="FootnoteReference"/>
          <w:sz w:val="24"/>
          <w:szCs w:val="24"/>
        </w:rPr>
        <w:t xml:space="preserve"> </w:t>
      </w:r>
      <w:r>
        <w:rPr>
          <w:rStyle w:val="FootnoteReference"/>
          <w:sz w:val="24"/>
          <w:szCs w:val="24"/>
        </w:rPr>
        <w:footnoteReference w:id="1"/>
      </w:r>
      <w:r w:rsidR="000F6018">
        <w:rPr>
          <w:rStyle w:val="FootnoteReference"/>
          <w:sz w:val="24"/>
          <w:szCs w:val="24"/>
        </w:rPr>
        <w:t>/</w:t>
      </w:r>
      <w:r w:rsidR="00420D25">
        <w:rPr>
          <w:rStyle w:val="FootnoteReference"/>
          <w:sz w:val="24"/>
          <w:szCs w:val="24"/>
        </w:rPr>
        <w:footnoteReference w:id="2"/>
      </w:r>
      <w:r>
        <w:rPr>
          <w:sz w:val="24"/>
          <w:szCs w:val="24"/>
        </w:rPr>
        <w:t xml:space="preserve"> </w:t>
      </w:r>
    </w:p>
    <w:p w:rsidR="001A2AC8" w:rsidRDefault="001A2AC8" w:rsidP="00E26051">
      <w:pPr>
        <w:tabs>
          <w:tab w:val="left" w:pos="1890"/>
          <w:tab w:val="left" w:pos="4320"/>
          <w:tab w:val="left" w:pos="6480"/>
        </w:tabs>
        <w:jc w:val="both"/>
        <w:rPr>
          <w:sz w:val="24"/>
          <w:szCs w:val="24"/>
        </w:rPr>
      </w:pPr>
    </w:p>
    <w:p w:rsidR="003E1E1B" w:rsidRDefault="00544049" w:rsidP="004A4969">
      <w:pPr>
        <w:tabs>
          <w:tab w:val="left" w:pos="1890"/>
          <w:tab w:val="left" w:pos="4320"/>
          <w:tab w:val="left" w:pos="6480"/>
        </w:tabs>
        <w:jc w:val="both"/>
        <w:rPr>
          <w:sz w:val="24"/>
          <w:szCs w:val="24"/>
        </w:rPr>
      </w:pPr>
      <w:r>
        <w:rPr>
          <w:sz w:val="24"/>
          <w:szCs w:val="24"/>
        </w:rPr>
        <w:t xml:space="preserve">With regard to the update to the three-month average of natural gas and electricity market prices, </w:t>
      </w:r>
      <w:r w:rsidR="004A4969">
        <w:rPr>
          <w:sz w:val="24"/>
          <w:szCs w:val="24"/>
        </w:rPr>
        <w:t>Avista has updated f</w:t>
      </w:r>
      <w:r w:rsidR="003E1E1B" w:rsidRPr="004A4969">
        <w:rPr>
          <w:sz w:val="24"/>
          <w:szCs w:val="24"/>
        </w:rPr>
        <w:t xml:space="preserve">orward natural gas prices </w:t>
      </w:r>
      <w:r w:rsidR="00344C9A">
        <w:rPr>
          <w:sz w:val="24"/>
          <w:szCs w:val="24"/>
        </w:rPr>
        <w:t>using the three-month</w:t>
      </w:r>
      <w:r w:rsidR="004A4969">
        <w:rPr>
          <w:sz w:val="24"/>
          <w:szCs w:val="24"/>
        </w:rPr>
        <w:t xml:space="preserve"> time period of </w:t>
      </w:r>
      <w:r w:rsidR="003E1E1B" w:rsidRPr="004A4969">
        <w:rPr>
          <w:sz w:val="24"/>
          <w:szCs w:val="24"/>
        </w:rPr>
        <w:t>7/20/2016 to 10/19/2016</w:t>
      </w:r>
      <w:r>
        <w:rPr>
          <w:sz w:val="24"/>
          <w:szCs w:val="24"/>
        </w:rPr>
        <w:t>, which replaces the originally-</w:t>
      </w:r>
      <w:r w:rsidR="004A4969">
        <w:rPr>
          <w:sz w:val="24"/>
          <w:szCs w:val="24"/>
        </w:rPr>
        <w:t xml:space="preserve">filed </w:t>
      </w:r>
      <w:r w:rsidR="003E1E1B" w:rsidRPr="004A4969">
        <w:rPr>
          <w:sz w:val="24"/>
          <w:szCs w:val="24"/>
        </w:rPr>
        <w:t>natural gas prices</w:t>
      </w:r>
      <w:r w:rsidR="00344C9A">
        <w:rPr>
          <w:sz w:val="24"/>
          <w:szCs w:val="24"/>
        </w:rPr>
        <w:t xml:space="preserve"> for the three-month</w:t>
      </w:r>
      <w:r w:rsidR="004A4969">
        <w:rPr>
          <w:sz w:val="24"/>
          <w:szCs w:val="24"/>
        </w:rPr>
        <w:t xml:space="preserve"> time period of</w:t>
      </w:r>
      <w:r w:rsidR="003E1E1B" w:rsidRPr="004A4969">
        <w:rPr>
          <w:sz w:val="24"/>
          <w:szCs w:val="24"/>
        </w:rPr>
        <w:t xml:space="preserve"> 9/15/2015 to 12/11/2015</w:t>
      </w:r>
      <w:r w:rsidR="004A4969">
        <w:rPr>
          <w:sz w:val="24"/>
          <w:szCs w:val="24"/>
        </w:rPr>
        <w:t xml:space="preserve">.  </w:t>
      </w:r>
      <w:r>
        <w:rPr>
          <w:sz w:val="24"/>
          <w:szCs w:val="24"/>
        </w:rPr>
        <w:t xml:space="preserve">The </w:t>
      </w:r>
      <w:r w:rsidRPr="004A4969">
        <w:rPr>
          <w:sz w:val="24"/>
          <w:szCs w:val="24"/>
        </w:rPr>
        <w:t>7/20/2016 to 10/19/2016</w:t>
      </w:r>
      <w:r>
        <w:rPr>
          <w:sz w:val="24"/>
          <w:szCs w:val="24"/>
        </w:rPr>
        <w:t xml:space="preserve"> period</w:t>
      </w:r>
      <w:r w:rsidR="004A4969">
        <w:rPr>
          <w:sz w:val="24"/>
          <w:szCs w:val="24"/>
        </w:rPr>
        <w:t xml:space="preserve"> is the same time period that the Company used in its November 1, </w:t>
      </w:r>
      <w:r w:rsidR="004A4969">
        <w:rPr>
          <w:sz w:val="24"/>
          <w:szCs w:val="24"/>
        </w:rPr>
        <w:lastRenderedPageBreak/>
        <w:t>2016 Power Cost Update</w:t>
      </w:r>
      <w:r w:rsidR="00AB77AB">
        <w:rPr>
          <w:sz w:val="24"/>
          <w:szCs w:val="24"/>
        </w:rPr>
        <w:t xml:space="preserve"> provided in its initial response to this Bench Request</w:t>
      </w:r>
      <w:r w:rsidR="004A4969">
        <w:rPr>
          <w:sz w:val="24"/>
          <w:szCs w:val="24"/>
        </w:rPr>
        <w:t>.</w:t>
      </w:r>
      <w:r w:rsidR="003E1E1B" w:rsidRPr="004A4969">
        <w:rPr>
          <w:sz w:val="24"/>
          <w:szCs w:val="24"/>
        </w:rPr>
        <w:t xml:space="preserve"> The annual prices are shown in the tables below from the filed case and power supply cost update.</w:t>
      </w:r>
    </w:p>
    <w:p w:rsidR="00544049" w:rsidRDefault="00544049" w:rsidP="004A4969">
      <w:pPr>
        <w:tabs>
          <w:tab w:val="left" w:pos="1890"/>
          <w:tab w:val="left" w:pos="4320"/>
          <w:tab w:val="left" w:pos="6480"/>
        </w:tabs>
        <w:jc w:val="both"/>
        <w:rPr>
          <w:sz w:val="24"/>
          <w:szCs w:val="24"/>
        </w:rPr>
      </w:pPr>
    </w:p>
    <w:p w:rsidR="00544049" w:rsidRDefault="00544049" w:rsidP="00A20BA3">
      <w:pPr>
        <w:rPr>
          <w:b/>
        </w:rPr>
      </w:pPr>
    </w:p>
    <w:p w:rsidR="00544049" w:rsidRPr="004A4969" w:rsidRDefault="00544049" w:rsidP="002318FE">
      <w:pPr>
        <w:ind w:firstLine="1080"/>
        <w:rPr>
          <w:b/>
          <w:sz w:val="24"/>
          <w:szCs w:val="24"/>
        </w:rPr>
      </w:pPr>
      <w:r>
        <w:rPr>
          <w:b/>
          <w:sz w:val="24"/>
          <w:szCs w:val="24"/>
        </w:rPr>
        <w:t xml:space="preserve">ORIGINAL FILING -- </w:t>
      </w:r>
      <w:r w:rsidRPr="004A4969">
        <w:rPr>
          <w:b/>
          <w:sz w:val="24"/>
          <w:szCs w:val="24"/>
        </w:rPr>
        <w:t xml:space="preserve">Natural Gas Prices from 9/15/2015 to </w:t>
      </w:r>
      <w:r>
        <w:rPr>
          <w:b/>
          <w:sz w:val="24"/>
          <w:szCs w:val="24"/>
        </w:rPr>
        <w:t>12/11/2015</w:t>
      </w:r>
    </w:p>
    <w:tbl>
      <w:tblPr>
        <w:tblW w:w="8180" w:type="dxa"/>
        <w:jc w:val="center"/>
        <w:tblLayout w:type="fixed"/>
        <w:tblLook w:val="04A0" w:firstRow="1" w:lastRow="0" w:firstColumn="1" w:lastColumn="0" w:noHBand="0" w:noVBand="1"/>
      </w:tblPr>
      <w:tblGrid>
        <w:gridCol w:w="1120"/>
        <w:gridCol w:w="1390"/>
        <w:gridCol w:w="1390"/>
        <w:gridCol w:w="1400"/>
        <w:gridCol w:w="1440"/>
        <w:gridCol w:w="1440"/>
      </w:tblGrid>
      <w:tr w:rsidR="00544049" w:rsidRPr="004A4969" w:rsidTr="007D636C">
        <w:trPr>
          <w:trHeight w:val="675"/>
          <w:jc w:val="center"/>
        </w:trPr>
        <w:tc>
          <w:tcPr>
            <w:tcW w:w="11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544049" w:rsidRPr="004A4969" w:rsidRDefault="00544049" w:rsidP="007D636C">
            <w:pPr>
              <w:jc w:val="center"/>
              <w:rPr>
                <w:b/>
                <w:bCs/>
                <w:sz w:val="24"/>
                <w:szCs w:val="24"/>
              </w:rPr>
            </w:pPr>
            <w:r w:rsidRPr="004A4969">
              <w:rPr>
                <w:b/>
                <w:bCs/>
                <w:sz w:val="24"/>
                <w:szCs w:val="24"/>
              </w:rPr>
              <w:t>Basis</w:t>
            </w:r>
          </w:p>
        </w:tc>
        <w:tc>
          <w:tcPr>
            <w:tcW w:w="1390" w:type="dxa"/>
            <w:tcBorders>
              <w:top w:val="single" w:sz="8" w:space="0" w:color="auto"/>
              <w:left w:val="nil"/>
              <w:bottom w:val="single" w:sz="8" w:space="0" w:color="auto"/>
              <w:right w:val="single" w:sz="4" w:space="0" w:color="auto"/>
            </w:tcBorders>
            <w:shd w:val="clear" w:color="auto" w:fill="auto"/>
            <w:vAlign w:val="bottom"/>
            <w:hideMark/>
          </w:tcPr>
          <w:p w:rsidR="00544049" w:rsidRPr="004A4969" w:rsidRDefault="00544049" w:rsidP="007D636C">
            <w:pPr>
              <w:jc w:val="center"/>
              <w:rPr>
                <w:b/>
                <w:bCs/>
                <w:sz w:val="24"/>
                <w:szCs w:val="24"/>
              </w:rPr>
            </w:pPr>
            <w:r w:rsidRPr="004A4969">
              <w:rPr>
                <w:b/>
                <w:bCs/>
                <w:sz w:val="24"/>
                <w:szCs w:val="24"/>
              </w:rPr>
              <w:t>Price  ($2017/</w:t>
            </w:r>
            <w:proofErr w:type="spellStart"/>
            <w:r w:rsidRPr="004A4969">
              <w:rPr>
                <w:b/>
                <w:bCs/>
                <w:sz w:val="24"/>
                <w:szCs w:val="24"/>
              </w:rPr>
              <w:t>dth</w:t>
            </w:r>
            <w:proofErr w:type="spellEnd"/>
            <w:r w:rsidRPr="004A4969">
              <w:rPr>
                <w:b/>
                <w:bCs/>
                <w:sz w:val="24"/>
                <w:szCs w:val="24"/>
              </w:rPr>
              <w:t>)</w:t>
            </w:r>
          </w:p>
        </w:tc>
        <w:tc>
          <w:tcPr>
            <w:tcW w:w="1390" w:type="dxa"/>
            <w:tcBorders>
              <w:top w:val="single" w:sz="8" w:space="0" w:color="auto"/>
              <w:left w:val="nil"/>
              <w:bottom w:val="single" w:sz="8" w:space="0" w:color="auto"/>
              <w:right w:val="single" w:sz="8" w:space="0" w:color="auto"/>
            </w:tcBorders>
            <w:shd w:val="clear" w:color="auto" w:fill="auto"/>
            <w:vAlign w:val="bottom"/>
            <w:hideMark/>
          </w:tcPr>
          <w:p w:rsidR="00544049" w:rsidRPr="004A4969" w:rsidRDefault="00544049" w:rsidP="007D636C">
            <w:pPr>
              <w:jc w:val="center"/>
              <w:rPr>
                <w:b/>
                <w:bCs/>
                <w:sz w:val="24"/>
                <w:szCs w:val="24"/>
              </w:rPr>
            </w:pPr>
            <w:r w:rsidRPr="004A4969">
              <w:rPr>
                <w:b/>
                <w:bCs/>
                <w:sz w:val="24"/>
                <w:szCs w:val="24"/>
              </w:rPr>
              <w:t>Price  ($2018/</w:t>
            </w:r>
            <w:proofErr w:type="spellStart"/>
            <w:r w:rsidRPr="004A4969">
              <w:rPr>
                <w:b/>
                <w:bCs/>
                <w:sz w:val="24"/>
                <w:szCs w:val="24"/>
              </w:rPr>
              <w:t>dth</w:t>
            </w:r>
            <w:proofErr w:type="spellEnd"/>
            <w:r w:rsidRPr="004A4969">
              <w:rPr>
                <w:b/>
                <w:bCs/>
                <w:sz w:val="24"/>
                <w:szCs w:val="24"/>
              </w:rPr>
              <w:t>)</w:t>
            </w:r>
          </w:p>
        </w:tc>
        <w:tc>
          <w:tcPr>
            <w:tcW w:w="1400" w:type="dxa"/>
            <w:tcBorders>
              <w:top w:val="single" w:sz="8" w:space="0" w:color="auto"/>
              <w:left w:val="nil"/>
              <w:bottom w:val="single" w:sz="8" w:space="0" w:color="auto"/>
              <w:right w:val="single" w:sz="4" w:space="0" w:color="auto"/>
            </w:tcBorders>
            <w:shd w:val="clear" w:color="auto" w:fill="auto"/>
            <w:vAlign w:val="bottom"/>
            <w:hideMark/>
          </w:tcPr>
          <w:p w:rsidR="00544049" w:rsidRPr="004A4969" w:rsidRDefault="00544049" w:rsidP="007D636C">
            <w:pPr>
              <w:jc w:val="center"/>
              <w:rPr>
                <w:b/>
                <w:bCs/>
                <w:sz w:val="24"/>
                <w:szCs w:val="24"/>
              </w:rPr>
            </w:pPr>
            <w:r w:rsidRPr="004A4969">
              <w:rPr>
                <w:b/>
                <w:bCs/>
                <w:sz w:val="24"/>
                <w:szCs w:val="24"/>
              </w:rPr>
              <w:t>Basis</w:t>
            </w:r>
          </w:p>
        </w:tc>
        <w:tc>
          <w:tcPr>
            <w:tcW w:w="1440" w:type="dxa"/>
            <w:tcBorders>
              <w:top w:val="single" w:sz="8" w:space="0" w:color="auto"/>
              <w:left w:val="nil"/>
              <w:bottom w:val="single" w:sz="8" w:space="0" w:color="auto"/>
              <w:right w:val="single" w:sz="4" w:space="0" w:color="auto"/>
            </w:tcBorders>
            <w:shd w:val="clear" w:color="auto" w:fill="auto"/>
            <w:vAlign w:val="bottom"/>
            <w:hideMark/>
          </w:tcPr>
          <w:p w:rsidR="00544049" w:rsidRPr="004A4969" w:rsidRDefault="00544049" w:rsidP="007D636C">
            <w:pPr>
              <w:jc w:val="center"/>
              <w:rPr>
                <w:b/>
                <w:bCs/>
                <w:sz w:val="24"/>
                <w:szCs w:val="24"/>
              </w:rPr>
            </w:pPr>
            <w:r w:rsidRPr="004A4969">
              <w:rPr>
                <w:b/>
                <w:bCs/>
                <w:sz w:val="24"/>
                <w:szCs w:val="24"/>
              </w:rPr>
              <w:t>Price  ($2017/</w:t>
            </w:r>
            <w:proofErr w:type="spellStart"/>
            <w:r w:rsidRPr="004A4969">
              <w:rPr>
                <w:b/>
                <w:bCs/>
                <w:sz w:val="24"/>
                <w:szCs w:val="24"/>
              </w:rPr>
              <w:t>dth</w:t>
            </w:r>
            <w:proofErr w:type="spellEnd"/>
            <w:r w:rsidRPr="004A4969">
              <w:rPr>
                <w:b/>
                <w:bCs/>
                <w:sz w:val="24"/>
                <w:szCs w:val="24"/>
              </w:rPr>
              <w:t>)</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544049" w:rsidRPr="004A4969" w:rsidRDefault="00544049" w:rsidP="007D636C">
            <w:pPr>
              <w:jc w:val="center"/>
              <w:rPr>
                <w:b/>
                <w:bCs/>
                <w:sz w:val="24"/>
                <w:szCs w:val="24"/>
              </w:rPr>
            </w:pPr>
            <w:r w:rsidRPr="004A4969">
              <w:rPr>
                <w:b/>
                <w:bCs/>
                <w:sz w:val="24"/>
                <w:szCs w:val="24"/>
              </w:rPr>
              <w:t>Price  ($2018/</w:t>
            </w:r>
            <w:proofErr w:type="spellStart"/>
            <w:r w:rsidRPr="004A4969">
              <w:rPr>
                <w:b/>
                <w:bCs/>
                <w:sz w:val="24"/>
                <w:szCs w:val="24"/>
              </w:rPr>
              <w:t>dth</w:t>
            </w:r>
            <w:proofErr w:type="spellEnd"/>
            <w:r w:rsidRPr="004A4969">
              <w:rPr>
                <w:b/>
                <w:bCs/>
                <w:sz w:val="24"/>
                <w:szCs w:val="24"/>
              </w:rPr>
              <w:t>)</w:t>
            </w:r>
          </w:p>
        </w:tc>
      </w:tr>
      <w:tr w:rsidR="00544049" w:rsidRPr="004A4969" w:rsidTr="007D636C">
        <w:trPr>
          <w:trHeight w:val="315"/>
          <w:jc w:val="center"/>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544049" w:rsidRPr="004A4969" w:rsidRDefault="00544049" w:rsidP="007D636C">
            <w:pPr>
              <w:rPr>
                <w:sz w:val="24"/>
                <w:szCs w:val="24"/>
              </w:rPr>
            </w:pPr>
            <w:r w:rsidRPr="004A4969">
              <w:rPr>
                <w:sz w:val="24"/>
                <w:szCs w:val="24"/>
              </w:rPr>
              <w:t>AECO</w:t>
            </w:r>
          </w:p>
        </w:tc>
        <w:tc>
          <w:tcPr>
            <w:tcW w:w="1390" w:type="dxa"/>
            <w:tcBorders>
              <w:top w:val="nil"/>
              <w:left w:val="nil"/>
              <w:bottom w:val="single" w:sz="4" w:space="0" w:color="auto"/>
              <w:right w:val="single" w:sz="4"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2.24 </w:t>
            </w:r>
          </w:p>
        </w:tc>
        <w:tc>
          <w:tcPr>
            <w:tcW w:w="1390" w:type="dxa"/>
            <w:tcBorders>
              <w:top w:val="nil"/>
              <w:left w:val="nil"/>
              <w:bottom w:val="single" w:sz="4" w:space="0" w:color="auto"/>
              <w:right w:val="single" w:sz="8"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2.37 </w:t>
            </w:r>
          </w:p>
        </w:tc>
        <w:tc>
          <w:tcPr>
            <w:tcW w:w="1400" w:type="dxa"/>
            <w:tcBorders>
              <w:top w:val="nil"/>
              <w:left w:val="nil"/>
              <w:bottom w:val="single" w:sz="4" w:space="0" w:color="auto"/>
              <w:right w:val="single" w:sz="4" w:space="0" w:color="auto"/>
            </w:tcBorders>
            <w:shd w:val="clear" w:color="auto" w:fill="auto"/>
            <w:noWrap/>
            <w:vAlign w:val="bottom"/>
            <w:hideMark/>
          </w:tcPr>
          <w:p w:rsidR="00544049" w:rsidRPr="004A4969" w:rsidRDefault="00544049" w:rsidP="007D636C">
            <w:pPr>
              <w:rPr>
                <w:sz w:val="24"/>
                <w:szCs w:val="24"/>
              </w:rPr>
            </w:pPr>
            <w:r w:rsidRPr="004A4969">
              <w:rPr>
                <w:sz w:val="24"/>
                <w:szCs w:val="24"/>
              </w:rPr>
              <w:t>Stanfield</w:t>
            </w:r>
          </w:p>
        </w:tc>
        <w:tc>
          <w:tcPr>
            <w:tcW w:w="1440" w:type="dxa"/>
            <w:tcBorders>
              <w:top w:val="nil"/>
              <w:left w:val="nil"/>
              <w:bottom w:val="single" w:sz="4" w:space="0" w:color="auto"/>
              <w:right w:val="single" w:sz="4"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2.72 </w:t>
            </w:r>
          </w:p>
        </w:tc>
        <w:tc>
          <w:tcPr>
            <w:tcW w:w="1440" w:type="dxa"/>
            <w:tcBorders>
              <w:top w:val="nil"/>
              <w:left w:val="nil"/>
              <w:bottom w:val="single" w:sz="4" w:space="0" w:color="auto"/>
              <w:right w:val="single" w:sz="8"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2.85 </w:t>
            </w:r>
          </w:p>
        </w:tc>
      </w:tr>
      <w:tr w:rsidR="00544049" w:rsidRPr="004A4969" w:rsidTr="007D636C">
        <w:trPr>
          <w:trHeight w:val="315"/>
          <w:jc w:val="center"/>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544049" w:rsidRPr="004A4969" w:rsidRDefault="00544049" w:rsidP="007D636C">
            <w:pPr>
              <w:rPr>
                <w:sz w:val="24"/>
                <w:szCs w:val="24"/>
              </w:rPr>
            </w:pPr>
            <w:r w:rsidRPr="004A4969">
              <w:rPr>
                <w:sz w:val="24"/>
                <w:szCs w:val="24"/>
              </w:rPr>
              <w:t>Malin</w:t>
            </w:r>
          </w:p>
        </w:tc>
        <w:tc>
          <w:tcPr>
            <w:tcW w:w="1390" w:type="dxa"/>
            <w:tcBorders>
              <w:top w:val="nil"/>
              <w:left w:val="nil"/>
              <w:bottom w:val="single" w:sz="4" w:space="0" w:color="auto"/>
              <w:right w:val="single" w:sz="4"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2.80 </w:t>
            </w:r>
          </w:p>
        </w:tc>
        <w:tc>
          <w:tcPr>
            <w:tcW w:w="1390" w:type="dxa"/>
            <w:tcBorders>
              <w:top w:val="nil"/>
              <w:left w:val="nil"/>
              <w:bottom w:val="single" w:sz="4" w:space="0" w:color="auto"/>
              <w:right w:val="single" w:sz="8"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2.93 </w:t>
            </w:r>
          </w:p>
        </w:tc>
        <w:tc>
          <w:tcPr>
            <w:tcW w:w="1400" w:type="dxa"/>
            <w:tcBorders>
              <w:top w:val="nil"/>
              <w:left w:val="nil"/>
              <w:bottom w:val="single" w:sz="4" w:space="0" w:color="auto"/>
              <w:right w:val="single" w:sz="4" w:space="0" w:color="auto"/>
            </w:tcBorders>
            <w:shd w:val="clear" w:color="auto" w:fill="auto"/>
            <w:noWrap/>
            <w:vAlign w:val="bottom"/>
            <w:hideMark/>
          </w:tcPr>
          <w:p w:rsidR="00544049" w:rsidRPr="004A4969" w:rsidRDefault="00544049" w:rsidP="007D636C">
            <w:pPr>
              <w:rPr>
                <w:sz w:val="24"/>
                <w:szCs w:val="24"/>
              </w:rPr>
            </w:pPr>
            <w:r w:rsidRPr="004A4969">
              <w:rPr>
                <w:sz w:val="24"/>
                <w:szCs w:val="24"/>
              </w:rPr>
              <w:t>Sumas</w:t>
            </w:r>
          </w:p>
        </w:tc>
        <w:tc>
          <w:tcPr>
            <w:tcW w:w="1440" w:type="dxa"/>
            <w:tcBorders>
              <w:top w:val="nil"/>
              <w:left w:val="nil"/>
              <w:bottom w:val="single" w:sz="4" w:space="0" w:color="auto"/>
              <w:right w:val="single" w:sz="4"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2.50 </w:t>
            </w:r>
          </w:p>
        </w:tc>
        <w:tc>
          <w:tcPr>
            <w:tcW w:w="1440" w:type="dxa"/>
            <w:tcBorders>
              <w:top w:val="nil"/>
              <w:left w:val="nil"/>
              <w:bottom w:val="single" w:sz="4" w:space="0" w:color="auto"/>
              <w:right w:val="single" w:sz="8"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2.69 </w:t>
            </w:r>
          </w:p>
        </w:tc>
      </w:tr>
      <w:tr w:rsidR="00544049" w:rsidRPr="004A4969" w:rsidTr="007D636C">
        <w:trPr>
          <w:trHeight w:val="315"/>
          <w:jc w:val="center"/>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544049" w:rsidRPr="004A4969" w:rsidRDefault="00544049" w:rsidP="007D636C">
            <w:pPr>
              <w:rPr>
                <w:sz w:val="24"/>
                <w:szCs w:val="24"/>
              </w:rPr>
            </w:pPr>
            <w:r w:rsidRPr="004A4969">
              <w:rPr>
                <w:sz w:val="24"/>
                <w:szCs w:val="24"/>
              </w:rPr>
              <w:t>Spokane</w:t>
            </w:r>
          </w:p>
        </w:tc>
        <w:tc>
          <w:tcPr>
            <w:tcW w:w="1390" w:type="dxa"/>
            <w:tcBorders>
              <w:top w:val="nil"/>
              <w:left w:val="nil"/>
              <w:bottom w:val="single" w:sz="4" w:space="0" w:color="auto"/>
              <w:right w:val="single" w:sz="4"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2.88 </w:t>
            </w:r>
          </w:p>
        </w:tc>
        <w:tc>
          <w:tcPr>
            <w:tcW w:w="1390" w:type="dxa"/>
            <w:tcBorders>
              <w:top w:val="nil"/>
              <w:left w:val="nil"/>
              <w:bottom w:val="single" w:sz="4" w:space="0" w:color="auto"/>
              <w:right w:val="single" w:sz="8"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3.02 </w:t>
            </w:r>
          </w:p>
        </w:tc>
        <w:tc>
          <w:tcPr>
            <w:tcW w:w="1400" w:type="dxa"/>
            <w:tcBorders>
              <w:top w:val="nil"/>
              <w:left w:val="nil"/>
              <w:bottom w:val="single" w:sz="4" w:space="0" w:color="auto"/>
              <w:right w:val="single" w:sz="4" w:space="0" w:color="auto"/>
            </w:tcBorders>
            <w:shd w:val="clear" w:color="auto" w:fill="auto"/>
            <w:noWrap/>
            <w:vAlign w:val="bottom"/>
            <w:hideMark/>
          </w:tcPr>
          <w:p w:rsidR="00544049" w:rsidRPr="004A4969" w:rsidRDefault="00544049" w:rsidP="007D636C">
            <w:pPr>
              <w:rPr>
                <w:sz w:val="24"/>
                <w:szCs w:val="24"/>
              </w:rPr>
            </w:pPr>
            <w:r w:rsidRPr="004A4969">
              <w:rPr>
                <w:sz w:val="24"/>
                <w:szCs w:val="24"/>
              </w:rPr>
              <w:t>Henry Hub</w:t>
            </w:r>
          </w:p>
        </w:tc>
        <w:tc>
          <w:tcPr>
            <w:tcW w:w="1440" w:type="dxa"/>
            <w:tcBorders>
              <w:top w:val="nil"/>
              <w:left w:val="nil"/>
              <w:bottom w:val="single" w:sz="4" w:space="0" w:color="auto"/>
              <w:right w:val="single" w:sz="4"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2.92 </w:t>
            </w:r>
          </w:p>
        </w:tc>
        <w:tc>
          <w:tcPr>
            <w:tcW w:w="1440" w:type="dxa"/>
            <w:tcBorders>
              <w:top w:val="nil"/>
              <w:left w:val="nil"/>
              <w:bottom w:val="single" w:sz="4" w:space="0" w:color="auto"/>
              <w:right w:val="single" w:sz="8"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3.01 </w:t>
            </w:r>
          </w:p>
        </w:tc>
      </w:tr>
      <w:tr w:rsidR="00544049" w:rsidRPr="004A4969" w:rsidTr="007D636C">
        <w:trPr>
          <w:trHeight w:val="330"/>
          <w:jc w:val="center"/>
        </w:trPr>
        <w:tc>
          <w:tcPr>
            <w:tcW w:w="1120" w:type="dxa"/>
            <w:tcBorders>
              <w:top w:val="nil"/>
              <w:left w:val="single" w:sz="8" w:space="0" w:color="auto"/>
              <w:bottom w:val="single" w:sz="8" w:space="0" w:color="auto"/>
              <w:right w:val="single" w:sz="4" w:space="0" w:color="auto"/>
            </w:tcBorders>
            <w:shd w:val="clear" w:color="auto" w:fill="auto"/>
            <w:noWrap/>
            <w:vAlign w:val="bottom"/>
            <w:hideMark/>
          </w:tcPr>
          <w:p w:rsidR="00544049" w:rsidRPr="004A4969" w:rsidRDefault="00544049" w:rsidP="007D636C">
            <w:pPr>
              <w:rPr>
                <w:sz w:val="24"/>
                <w:szCs w:val="24"/>
              </w:rPr>
            </w:pPr>
            <w:r w:rsidRPr="004A4969">
              <w:rPr>
                <w:sz w:val="24"/>
                <w:szCs w:val="24"/>
              </w:rPr>
              <w:t>Rockies</w:t>
            </w:r>
          </w:p>
        </w:tc>
        <w:tc>
          <w:tcPr>
            <w:tcW w:w="1390" w:type="dxa"/>
            <w:tcBorders>
              <w:top w:val="nil"/>
              <w:left w:val="nil"/>
              <w:bottom w:val="single" w:sz="8" w:space="0" w:color="auto"/>
              <w:right w:val="single" w:sz="4"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2.71 </w:t>
            </w:r>
          </w:p>
        </w:tc>
        <w:tc>
          <w:tcPr>
            <w:tcW w:w="1390" w:type="dxa"/>
            <w:tcBorders>
              <w:top w:val="nil"/>
              <w:left w:val="nil"/>
              <w:bottom w:val="single" w:sz="8" w:space="0" w:color="auto"/>
              <w:right w:val="single" w:sz="8"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2.82 </w:t>
            </w:r>
          </w:p>
        </w:tc>
        <w:tc>
          <w:tcPr>
            <w:tcW w:w="1400" w:type="dxa"/>
            <w:tcBorders>
              <w:top w:val="nil"/>
              <w:left w:val="nil"/>
              <w:bottom w:val="single" w:sz="8" w:space="0" w:color="auto"/>
              <w:right w:val="single" w:sz="4" w:space="0" w:color="auto"/>
            </w:tcBorders>
            <w:shd w:val="clear" w:color="auto" w:fill="auto"/>
            <w:noWrap/>
            <w:vAlign w:val="bottom"/>
            <w:hideMark/>
          </w:tcPr>
          <w:p w:rsidR="00544049" w:rsidRPr="004A4969" w:rsidRDefault="00544049" w:rsidP="007D636C">
            <w:pPr>
              <w:rPr>
                <w:sz w:val="24"/>
                <w:szCs w:val="24"/>
              </w:rPr>
            </w:pPr>
            <w:r w:rsidRPr="004A4969">
              <w:rPr>
                <w:sz w:val="24"/>
                <w:szCs w:val="24"/>
              </w:rPr>
              <w:t>S. Calif.</w:t>
            </w:r>
          </w:p>
        </w:tc>
        <w:tc>
          <w:tcPr>
            <w:tcW w:w="1440" w:type="dxa"/>
            <w:tcBorders>
              <w:top w:val="nil"/>
              <w:left w:val="nil"/>
              <w:bottom w:val="single" w:sz="8" w:space="0" w:color="auto"/>
              <w:right w:val="single" w:sz="4" w:space="0" w:color="auto"/>
            </w:tcBorders>
            <w:shd w:val="clear" w:color="auto" w:fill="auto"/>
            <w:noWrap/>
            <w:vAlign w:val="bottom"/>
            <w:hideMark/>
          </w:tcPr>
          <w:p w:rsidR="00544049" w:rsidRPr="004A4969" w:rsidRDefault="00544049" w:rsidP="007D636C">
            <w:pPr>
              <w:jc w:val="right"/>
              <w:rPr>
                <w:sz w:val="24"/>
                <w:szCs w:val="24"/>
              </w:rPr>
            </w:pPr>
            <w:r w:rsidRPr="004A4969">
              <w:rPr>
                <w:sz w:val="24"/>
                <w:szCs w:val="24"/>
              </w:rPr>
              <w:t xml:space="preserve">2.92 </w:t>
            </w:r>
          </w:p>
        </w:tc>
        <w:tc>
          <w:tcPr>
            <w:tcW w:w="1440" w:type="dxa"/>
            <w:tcBorders>
              <w:top w:val="nil"/>
              <w:left w:val="nil"/>
              <w:bottom w:val="single" w:sz="8" w:space="0" w:color="auto"/>
              <w:right w:val="single" w:sz="8" w:space="0" w:color="auto"/>
            </w:tcBorders>
            <w:shd w:val="clear" w:color="auto" w:fill="auto"/>
            <w:noWrap/>
            <w:vAlign w:val="bottom"/>
            <w:hideMark/>
          </w:tcPr>
          <w:p w:rsidR="00544049" w:rsidRPr="004A4969" w:rsidRDefault="00544049" w:rsidP="007D636C">
            <w:pPr>
              <w:numPr>
                <w:ilvl w:val="1"/>
                <w:numId w:val="38"/>
              </w:numPr>
              <w:jc w:val="right"/>
              <w:rPr>
                <w:sz w:val="24"/>
                <w:szCs w:val="24"/>
              </w:rPr>
            </w:pPr>
          </w:p>
        </w:tc>
      </w:tr>
    </w:tbl>
    <w:p w:rsidR="00544049" w:rsidRPr="004A4969" w:rsidRDefault="00544049" w:rsidP="00544049">
      <w:pPr>
        <w:rPr>
          <w:sz w:val="24"/>
          <w:szCs w:val="24"/>
        </w:rPr>
      </w:pPr>
    </w:p>
    <w:p w:rsidR="003E1E1B" w:rsidRPr="004A4969" w:rsidRDefault="003E1E1B" w:rsidP="003E1E1B">
      <w:pPr>
        <w:pStyle w:val="ListParagraph"/>
      </w:pPr>
    </w:p>
    <w:p w:rsidR="003E1E1B" w:rsidRPr="001A3D09" w:rsidRDefault="00544049" w:rsidP="002318FE">
      <w:pPr>
        <w:pStyle w:val="ListParagraph"/>
        <w:ind w:firstLine="360"/>
        <w:rPr>
          <w:b/>
        </w:rPr>
      </w:pPr>
      <w:r>
        <w:rPr>
          <w:b/>
        </w:rPr>
        <w:t xml:space="preserve">POWER COST UPDATE -- </w:t>
      </w:r>
      <w:r w:rsidR="003E1E1B" w:rsidRPr="001A3D09">
        <w:rPr>
          <w:b/>
        </w:rPr>
        <w:t xml:space="preserve">Natural Gas Prices from 7/20/2016 to </w:t>
      </w:r>
      <w:r>
        <w:rPr>
          <w:b/>
        </w:rPr>
        <w:t>10/19/2016</w:t>
      </w:r>
    </w:p>
    <w:tbl>
      <w:tblPr>
        <w:tblW w:w="8270" w:type="dxa"/>
        <w:jc w:val="center"/>
        <w:tblLayout w:type="fixed"/>
        <w:tblLook w:val="04A0" w:firstRow="1" w:lastRow="0" w:firstColumn="1" w:lastColumn="0" w:noHBand="0" w:noVBand="1"/>
      </w:tblPr>
      <w:tblGrid>
        <w:gridCol w:w="1120"/>
        <w:gridCol w:w="1390"/>
        <w:gridCol w:w="1390"/>
        <w:gridCol w:w="1400"/>
        <w:gridCol w:w="1530"/>
        <w:gridCol w:w="1440"/>
      </w:tblGrid>
      <w:tr w:rsidR="003E1E1B" w:rsidRPr="001A3D09" w:rsidTr="00EB4F1D">
        <w:trPr>
          <w:trHeight w:val="675"/>
          <w:jc w:val="center"/>
        </w:trPr>
        <w:tc>
          <w:tcPr>
            <w:tcW w:w="11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E1E1B" w:rsidRPr="004A4969" w:rsidRDefault="003E1E1B" w:rsidP="00EB4F1D">
            <w:pPr>
              <w:jc w:val="center"/>
              <w:rPr>
                <w:b/>
                <w:bCs/>
                <w:sz w:val="24"/>
                <w:szCs w:val="24"/>
              </w:rPr>
            </w:pPr>
            <w:r w:rsidRPr="004A4969">
              <w:rPr>
                <w:b/>
                <w:bCs/>
                <w:sz w:val="24"/>
                <w:szCs w:val="24"/>
              </w:rPr>
              <w:t>Basis</w:t>
            </w:r>
          </w:p>
        </w:tc>
        <w:tc>
          <w:tcPr>
            <w:tcW w:w="1390" w:type="dxa"/>
            <w:tcBorders>
              <w:top w:val="single" w:sz="8" w:space="0" w:color="auto"/>
              <w:left w:val="nil"/>
              <w:bottom w:val="single" w:sz="8" w:space="0" w:color="auto"/>
              <w:right w:val="single" w:sz="4" w:space="0" w:color="auto"/>
            </w:tcBorders>
            <w:shd w:val="clear" w:color="auto" w:fill="auto"/>
            <w:vAlign w:val="bottom"/>
            <w:hideMark/>
          </w:tcPr>
          <w:p w:rsidR="003E1E1B" w:rsidRPr="004A4969" w:rsidRDefault="003E1E1B" w:rsidP="00EB4F1D">
            <w:pPr>
              <w:jc w:val="center"/>
              <w:rPr>
                <w:b/>
                <w:bCs/>
                <w:sz w:val="24"/>
                <w:szCs w:val="24"/>
              </w:rPr>
            </w:pPr>
            <w:r w:rsidRPr="004A4969">
              <w:rPr>
                <w:b/>
                <w:bCs/>
                <w:sz w:val="24"/>
                <w:szCs w:val="24"/>
              </w:rPr>
              <w:t>Price  ($2017/</w:t>
            </w:r>
            <w:proofErr w:type="spellStart"/>
            <w:r w:rsidRPr="004A4969">
              <w:rPr>
                <w:b/>
                <w:bCs/>
                <w:sz w:val="24"/>
                <w:szCs w:val="24"/>
              </w:rPr>
              <w:t>dth</w:t>
            </w:r>
            <w:proofErr w:type="spellEnd"/>
            <w:r w:rsidRPr="004A4969">
              <w:rPr>
                <w:b/>
                <w:bCs/>
                <w:sz w:val="24"/>
                <w:szCs w:val="24"/>
              </w:rPr>
              <w:t>)</w:t>
            </w:r>
          </w:p>
        </w:tc>
        <w:tc>
          <w:tcPr>
            <w:tcW w:w="1390" w:type="dxa"/>
            <w:tcBorders>
              <w:top w:val="single" w:sz="8" w:space="0" w:color="auto"/>
              <w:left w:val="nil"/>
              <w:bottom w:val="single" w:sz="8" w:space="0" w:color="auto"/>
              <w:right w:val="single" w:sz="8" w:space="0" w:color="auto"/>
            </w:tcBorders>
            <w:shd w:val="clear" w:color="auto" w:fill="auto"/>
            <w:vAlign w:val="bottom"/>
            <w:hideMark/>
          </w:tcPr>
          <w:p w:rsidR="003E1E1B" w:rsidRPr="004A4969" w:rsidRDefault="003E1E1B" w:rsidP="00EB4F1D">
            <w:pPr>
              <w:jc w:val="center"/>
              <w:rPr>
                <w:b/>
                <w:bCs/>
                <w:sz w:val="24"/>
                <w:szCs w:val="24"/>
              </w:rPr>
            </w:pPr>
            <w:r w:rsidRPr="004A4969">
              <w:rPr>
                <w:b/>
                <w:bCs/>
                <w:sz w:val="24"/>
                <w:szCs w:val="24"/>
              </w:rPr>
              <w:t>Price  ($2018/</w:t>
            </w:r>
            <w:proofErr w:type="spellStart"/>
            <w:r w:rsidRPr="004A4969">
              <w:rPr>
                <w:b/>
                <w:bCs/>
                <w:sz w:val="24"/>
                <w:szCs w:val="24"/>
              </w:rPr>
              <w:t>dth</w:t>
            </w:r>
            <w:proofErr w:type="spellEnd"/>
            <w:r w:rsidRPr="004A4969">
              <w:rPr>
                <w:b/>
                <w:bCs/>
                <w:sz w:val="24"/>
                <w:szCs w:val="24"/>
              </w:rPr>
              <w:t>)</w:t>
            </w:r>
          </w:p>
        </w:tc>
        <w:tc>
          <w:tcPr>
            <w:tcW w:w="1400" w:type="dxa"/>
            <w:tcBorders>
              <w:top w:val="single" w:sz="8" w:space="0" w:color="auto"/>
              <w:left w:val="nil"/>
              <w:bottom w:val="single" w:sz="8" w:space="0" w:color="auto"/>
              <w:right w:val="single" w:sz="4" w:space="0" w:color="auto"/>
            </w:tcBorders>
            <w:shd w:val="clear" w:color="auto" w:fill="auto"/>
            <w:vAlign w:val="bottom"/>
            <w:hideMark/>
          </w:tcPr>
          <w:p w:rsidR="003E1E1B" w:rsidRPr="004A4969" w:rsidRDefault="003E1E1B" w:rsidP="00EB4F1D">
            <w:pPr>
              <w:jc w:val="center"/>
              <w:rPr>
                <w:b/>
                <w:bCs/>
                <w:sz w:val="24"/>
                <w:szCs w:val="24"/>
              </w:rPr>
            </w:pPr>
            <w:r w:rsidRPr="004A4969">
              <w:rPr>
                <w:b/>
                <w:bCs/>
                <w:sz w:val="24"/>
                <w:szCs w:val="24"/>
              </w:rPr>
              <w:t>Basis</w:t>
            </w:r>
          </w:p>
        </w:tc>
        <w:tc>
          <w:tcPr>
            <w:tcW w:w="1530" w:type="dxa"/>
            <w:tcBorders>
              <w:top w:val="single" w:sz="8" w:space="0" w:color="auto"/>
              <w:left w:val="nil"/>
              <w:bottom w:val="single" w:sz="8" w:space="0" w:color="auto"/>
              <w:right w:val="single" w:sz="4" w:space="0" w:color="auto"/>
            </w:tcBorders>
            <w:shd w:val="clear" w:color="auto" w:fill="auto"/>
            <w:vAlign w:val="bottom"/>
            <w:hideMark/>
          </w:tcPr>
          <w:p w:rsidR="003E1E1B" w:rsidRPr="004A4969" w:rsidRDefault="003E1E1B" w:rsidP="00EB4F1D">
            <w:pPr>
              <w:jc w:val="center"/>
              <w:rPr>
                <w:b/>
                <w:bCs/>
                <w:sz w:val="24"/>
                <w:szCs w:val="24"/>
              </w:rPr>
            </w:pPr>
            <w:r w:rsidRPr="004A4969">
              <w:rPr>
                <w:b/>
                <w:bCs/>
                <w:sz w:val="24"/>
                <w:szCs w:val="24"/>
              </w:rPr>
              <w:t>Price  ($2017/</w:t>
            </w:r>
            <w:proofErr w:type="spellStart"/>
            <w:r w:rsidRPr="004A4969">
              <w:rPr>
                <w:b/>
                <w:bCs/>
                <w:sz w:val="24"/>
                <w:szCs w:val="24"/>
              </w:rPr>
              <w:t>dth</w:t>
            </w:r>
            <w:proofErr w:type="spellEnd"/>
            <w:r w:rsidRPr="004A4969">
              <w:rPr>
                <w:b/>
                <w:bCs/>
                <w:sz w:val="24"/>
                <w:szCs w:val="24"/>
              </w:rPr>
              <w:t>)</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3E1E1B" w:rsidRPr="004A4969" w:rsidRDefault="003E1E1B" w:rsidP="00EB4F1D">
            <w:pPr>
              <w:jc w:val="center"/>
              <w:rPr>
                <w:b/>
                <w:bCs/>
                <w:sz w:val="24"/>
                <w:szCs w:val="24"/>
              </w:rPr>
            </w:pPr>
            <w:r w:rsidRPr="004A4969">
              <w:rPr>
                <w:b/>
                <w:bCs/>
                <w:sz w:val="24"/>
                <w:szCs w:val="24"/>
              </w:rPr>
              <w:t>Price  ($2018/</w:t>
            </w:r>
            <w:proofErr w:type="spellStart"/>
            <w:r w:rsidRPr="004A4969">
              <w:rPr>
                <w:b/>
                <w:bCs/>
                <w:sz w:val="24"/>
                <w:szCs w:val="24"/>
              </w:rPr>
              <w:t>dth</w:t>
            </w:r>
            <w:proofErr w:type="spellEnd"/>
            <w:r w:rsidRPr="004A4969">
              <w:rPr>
                <w:b/>
                <w:bCs/>
                <w:sz w:val="24"/>
                <w:szCs w:val="24"/>
              </w:rPr>
              <w:t>)</w:t>
            </w:r>
          </w:p>
        </w:tc>
      </w:tr>
      <w:tr w:rsidR="003E1E1B" w:rsidRPr="001A3D09" w:rsidTr="00EB4F1D">
        <w:trPr>
          <w:trHeight w:val="315"/>
          <w:jc w:val="center"/>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E1B" w:rsidRPr="004A4969" w:rsidRDefault="003E1E1B" w:rsidP="00EB4F1D">
            <w:pPr>
              <w:rPr>
                <w:sz w:val="24"/>
                <w:szCs w:val="24"/>
              </w:rPr>
            </w:pPr>
            <w:r w:rsidRPr="004A4969">
              <w:rPr>
                <w:sz w:val="24"/>
                <w:szCs w:val="24"/>
              </w:rPr>
              <w:t>AECO</w:t>
            </w:r>
          </w:p>
        </w:tc>
        <w:tc>
          <w:tcPr>
            <w:tcW w:w="1390" w:type="dxa"/>
            <w:tcBorders>
              <w:top w:val="nil"/>
              <w:left w:val="nil"/>
              <w:bottom w:val="single" w:sz="4" w:space="0" w:color="auto"/>
              <w:right w:val="single" w:sz="4"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2.23 </w:t>
            </w:r>
          </w:p>
        </w:tc>
        <w:tc>
          <w:tcPr>
            <w:tcW w:w="1390" w:type="dxa"/>
            <w:tcBorders>
              <w:top w:val="nil"/>
              <w:left w:val="nil"/>
              <w:bottom w:val="single" w:sz="4" w:space="0" w:color="auto"/>
              <w:right w:val="single" w:sz="8"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2.19 </w:t>
            </w:r>
          </w:p>
        </w:tc>
        <w:tc>
          <w:tcPr>
            <w:tcW w:w="1400" w:type="dxa"/>
            <w:tcBorders>
              <w:top w:val="nil"/>
              <w:left w:val="nil"/>
              <w:bottom w:val="single" w:sz="4" w:space="0" w:color="auto"/>
              <w:right w:val="single" w:sz="4" w:space="0" w:color="auto"/>
            </w:tcBorders>
            <w:shd w:val="clear" w:color="auto" w:fill="auto"/>
            <w:noWrap/>
            <w:vAlign w:val="bottom"/>
            <w:hideMark/>
          </w:tcPr>
          <w:p w:rsidR="003E1E1B" w:rsidRPr="004A4969" w:rsidRDefault="003E1E1B" w:rsidP="00EB4F1D">
            <w:pPr>
              <w:rPr>
                <w:sz w:val="24"/>
                <w:szCs w:val="24"/>
              </w:rPr>
            </w:pPr>
            <w:r w:rsidRPr="004A4969">
              <w:rPr>
                <w:sz w:val="24"/>
                <w:szCs w:val="24"/>
              </w:rPr>
              <w:t>Stanfield</w:t>
            </w:r>
          </w:p>
        </w:tc>
        <w:tc>
          <w:tcPr>
            <w:tcW w:w="1530" w:type="dxa"/>
            <w:tcBorders>
              <w:top w:val="nil"/>
              <w:left w:val="nil"/>
              <w:bottom w:val="single" w:sz="4" w:space="0" w:color="auto"/>
              <w:right w:val="single" w:sz="4"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2.94 </w:t>
            </w:r>
          </w:p>
        </w:tc>
        <w:tc>
          <w:tcPr>
            <w:tcW w:w="1440" w:type="dxa"/>
            <w:tcBorders>
              <w:top w:val="nil"/>
              <w:left w:val="nil"/>
              <w:bottom w:val="single" w:sz="4" w:space="0" w:color="auto"/>
              <w:right w:val="single" w:sz="8"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2.77 </w:t>
            </w:r>
          </w:p>
        </w:tc>
      </w:tr>
      <w:tr w:rsidR="003E1E1B" w:rsidRPr="001A3D09" w:rsidTr="00EB4F1D">
        <w:trPr>
          <w:trHeight w:val="315"/>
          <w:jc w:val="center"/>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E1B" w:rsidRPr="004A4969" w:rsidRDefault="003E1E1B" w:rsidP="00EB4F1D">
            <w:pPr>
              <w:rPr>
                <w:sz w:val="24"/>
                <w:szCs w:val="24"/>
              </w:rPr>
            </w:pPr>
            <w:r w:rsidRPr="004A4969">
              <w:rPr>
                <w:sz w:val="24"/>
                <w:szCs w:val="24"/>
              </w:rPr>
              <w:t>Malin</w:t>
            </w:r>
          </w:p>
        </w:tc>
        <w:tc>
          <w:tcPr>
            <w:tcW w:w="1390" w:type="dxa"/>
            <w:tcBorders>
              <w:top w:val="nil"/>
              <w:left w:val="nil"/>
              <w:bottom w:val="single" w:sz="4" w:space="0" w:color="auto"/>
              <w:right w:val="single" w:sz="4"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3.02 </w:t>
            </w:r>
          </w:p>
        </w:tc>
        <w:tc>
          <w:tcPr>
            <w:tcW w:w="1390" w:type="dxa"/>
            <w:tcBorders>
              <w:top w:val="nil"/>
              <w:left w:val="nil"/>
              <w:bottom w:val="single" w:sz="4" w:space="0" w:color="auto"/>
              <w:right w:val="single" w:sz="8"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2.85 </w:t>
            </w:r>
          </w:p>
        </w:tc>
        <w:tc>
          <w:tcPr>
            <w:tcW w:w="1400" w:type="dxa"/>
            <w:tcBorders>
              <w:top w:val="nil"/>
              <w:left w:val="nil"/>
              <w:bottom w:val="single" w:sz="4" w:space="0" w:color="auto"/>
              <w:right w:val="single" w:sz="4" w:space="0" w:color="auto"/>
            </w:tcBorders>
            <w:shd w:val="clear" w:color="auto" w:fill="auto"/>
            <w:noWrap/>
            <w:vAlign w:val="bottom"/>
            <w:hideMark/>
          </w:tcPr>
          <w:p w:rsidR="003E1E1B" w:rsidRPr="004A4969" w:rsidRDefault="003E1E1B" w:rsidP="00EB4F1D">
            <w:pPr>
              <w:rPr>
                <w:sz w:val="24"/>
                <w:szCs w:val="24"/>
              </w:rPr>
            </w:pPr>
            <w:r w:rsidRPr="004A4969">
              <w:rPr>
                <w:sz w:val="24"/>
                <w:szCs w:val="24"/>
              </w:rPr>
              <w:t>Sumas</w:t>
            </w:r>
          </w:p>
        </w:tc>
        <w:tc>
          <w:tcPr>
            <w:tcW w:w="1530" w:type="dxa"/>
            <w:tcBorders>
              <w:top w:val="nil"/>
              <w:left w:val="nil"/>
              <w:bottom w:val="single" w:sz="4" w:space="0" w:color="auto"/>
              <w:right w:val="single" w:sz="4"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2.76 </w:t>
            </w:r>
          </w:p>
        </w:tc>
        <w:tc>
          <w:tcPr>
            <w:tcW w:w="1440" w:type="dxa"/>
            <w:tcBorders>
              <w:top w:val="nil"/>
              <w:left w:val="nil"/>
              <w:bottom w:val="single" w:sz="4" w:space="0" w:color="auto"/>
              <w:right w:val="single" w:sz="8"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2.61 </w:t>
            </w:r>
          </w:p>
        </w:tc>
      </w:tr>
      <w:tr w:rsidR="003E1E1B" w:rsidRPr="001A3D09" w:rsidTr="00EB4F1D">
        <w:trPr>
          <w:trHeight w:val="315"/>
          <w:jc w:val="center"/>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rsidR="003E1E1B" w:rsidRPr="004A4969" w:rsidRDefault="003E1E1B" w:rsidP="00EB4F1D">
            <w:pPr>
              <w:rPr>
                <w:sz w:val="24"/>
                <w:szCs w:val="24"/>
              </w:rPr>
            </w:pPr>
            <w:r w:rsidRPr="004A4969">
              <w:rPr>
                <w:sz w:val="24"/>
                <w:szCs w:val="24"/>
              </w:rPr>
              <w:t>Spokane</w:t>
            </w:r>
          </w:p>
        </w:tc>
        <w:tc>
          <w:tcPr>
            <w:tcW w:w="1390" w:type="dxa"/>
            <w:tcBorders>
              <w:top w:val="nil"/>
              <w:left w:val="nil"/>
              <w:bottom w:val="single" w:sz="4" w:space="0" w:color="auto"/>
              <w:right w:val="single" w:sz="4"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3.10 </w:t>
            </w:r>
          </w:p>
        </w:tc>
        <w:tc>
          <w:tcPr>
            <w:tcW w:w="1390" w:type="dxa"/>
            <w:tcBorders>
              <w:top w:val="nil"/>
              <w:left w:val="nil"/>
              <w:bottom w:val="single" w:sz="4" w:space="0" w:color="auto"/>
              <w:right w:val="single" w:sz="8"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2.93 </w:t>
            </w:r>
          </w:p>
        </w:tc>
        <w:tc>
          <w:tcPr>
            <w:tcW w:w="1400" w:type="dxa"/>
            <w:tcBorders>
              <w:top w:val="nil"/>
              <w:left w:val="nil"/>
              <w:bottom w:val="single" w:sz="4" w:space="0" w:color="auto"/>
              <w:right w:val="single" w:sz="4" w:space="0" w:color="auto"/>
            </w:tcBorders>
            <w:shd w:val="clear" w:color="auto" w:fill="auto"/>
            <w:noWrap/>
            <w:vAlign w:val="bottom"/>
            <w:hideMark/>
          </w:tcPr>
          <w:p w:rsidR="003E1E1B" w:rsidRPr="004A4969" w:rsidRDefault="003E1E1B" w:rsidP="00EB4F1D">
            <w:pPr>
              <w:rPr>
                <w:sz w:val="24"/>
                <w:szCs w:val="24"/>
              </w:rPr>
            </w:pPr>
            <w:r w:rsidRPr="004A4969">
              <w:rPr>
                <w:sz w:val="24"/>
                <w:szCs w:val="24"/>
              </w:rPr>
              <w:t>Henry Hub</w:t>
            </w:r>
          </w:p>
        </w:tc>
        <w:tc>
          <w:tcPr>
            <w:tcW w:w="1530" w:type="dxa"/>
            <w:tcBorders>
              <w:top w:val="nil"/>
              <w:left w:val="nil"/>
              <w:bottom w:val="single" w:sz="4" w:space="0" w:color="auto"/>
              <w:right w:val="single" w:sz="4"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3.15 </w:t>
            </w:r>
          </w:p>
        </w:tc>
        <w:tc>
          <w:tcPr>
            <w:tcW w:w="1440" w:type="dxa"/>
            <w:tcBorders>
              <w:top w:val="nil"/>
              <w:left w:val="nil"/>
              <w:bottom w:val="single" w:sz="4" w:space="0" w:color="auto"/>
              <w:right w:val="single" w:sz="8"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2.99 </w:t>
            </w:r>
          </w:p>
        </w:tc>
      </w:tr>
      <w:tr w:rsidR="003E1E1B" w:rsidRPr="001A3D09" w:rsidTr="00EB4F1D">
        <w:trPr>
          <w:trHeight w:val="330"/>
          <w:jc w:val="center"/>
        </w:trPr>
        <w:tc>
          <w:tcPr>
            <w:tcW w:w="1120" w:type="dxa"/>
            <w:tcBorders>
              <w:top w:val="nil"/>
              <w:left w:val="single" w:sz="8" w:space="0" w:color="auto"/>
              <w:bottom w:val="single" w:sz="8" w:space="0" w:color="auto"/>
              <w:right w:val="single" w:sz="4" w:space="0" w:color="auto"/>
            </w:tcBorders>
            <w:shd w:val="clear" w:color="auto" w:fill="auto"/>
            <w:noWrap/>
            <w:vAlign w:val="bottom"/>
            <w:hideMark/>
          </w:tcPr>
          <w:p w:rsidR="003E1E1B" w:rsidRPr="004A4969" w:rsidRDefault="003E1E1B" w:rsidP="00EB4F1D">
            <w:pPr>
              <w:rPr>
                <w:sz w:val="24"/>
                <w:szCs w:val="24"/>
              </w:rPr>
            </w:pPr>
            <w:r w:rsidRPr="004A4969">
              <w:rPr>
                <w:sz w:val="24"/>
                <w:szCs w:val="24"/>
              </w:rPr>
              <w:t>Rockies</w:t>
            </w:r>
          </w:p>
        </w:tc>
        <w:tc>
          <w:tcPr>
            <w:tcW w:w="1390" w:type="dxa"/>
            <w:tcBorders>
              <w:top w:val="nil"/>
              <w:left w:val="nil"/>
              <w:bottom w:val="single" w:sz="8" w:space="0" w:color="auto"/>
              <w:right w:val="single" w:sz="4"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2.95 </w:t>
            </w:r>
          </w:p>
        </w:tc>
        <w:tc>
          <w:tcPr>
            <w:tcW w:w="1390" w:type="dxa"/>
            <w:tcBorders>
              <w:top w:val="nil"/>
              <w:left w:val="nil"/>
              <w:bottom w:val="single" w:sz="8" w:space="0" w:color="auto"/>
              <w:right w:val="single" w:sz="8"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2.78 </w:t>
            </w:r>
          </w:p>
        </w:tc>
        <w:tc>
          <w:tcPr>
            <w:tcW w:w="1400" w:type="dxa"/>
            <w:tcBorders>
              <w:top w:val="nil"/>
              <w:left w:val="nil"/>
              <w:bottom w:val="single" w:sz="8" w:space="0" w:color="auto"/>
              <w:right w:val="single" w:sz="4" w:space="0" w:color="auto"/>
            </w:tcBorders>
            <w:shd w:val="clear" w:color="auto" w:fill="auto"/>
            <w:noWrap/>
            <w:vAlign w:val="bottom"/>
            <w:hideMark/>
          </w:tcPr>
          <w:p w:rsidR="003E1E1B" w:rsidRPr="004A4969" w:rsidRDefault="003E1E1B" w:rsidP="00EB4F1D">
            <w:pPr>
              <w:rPr>
                <w:sz w:val="24"/>
                <w:szCs w:val="24"/>
              </w:rPr>
            </w:pPr>
            <w:r w:rsidRPr="004A4969">
              <w:rPr>
                <w:sz w:val="24"/>
                <w:szCs w:val="24"/>
              </w:rPr>
              <w:t>S. Calif.</w:t>
            </w:r>
          </w:p>
        </w:tc>
        <w:tc>
          <w:tcPr>
            <w:tcW w:w="1530" w:type="dxa"/>
            <w:tcBorders>
              <w:top w:val="nil"/>
              <w:left w:val="nil"/>
              <w:bottom w:val="single" w:sz="8" w:space="0" w:color="auto"/>
              <w:right w:val="single" w:sz="4"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3.16 </w:t>
            </w:r>
          </w:p>
        </w:tc>
        <w:tc>
          <w:tcPr>
            <w:tcW w:w="1440" w:type="dxa"/>
            <w:tcBorders>
              <w:top w:val="nil"/>
              <w:left w:val="nil"/>
              <w:bottom w:val="single" w:sz="8" w:space="0" w:color="auto"/>
              <w:right w:val="single" w:sz="8" w:space="0" w:color="auto"/>
            </w:tcBorders>
            <w:shd w:val="clear" w:color="auto" w:fill="auto"/>
            <w:noWrap/>
            <w:vAlign w:val="bottom"/>
            <w:hideMark/>
          </w:tcPr>
          <w:p w:rsidR="003E1E1B" w:rsidRPr="004A4969" w:rsidRDefault="003E1E1B" w:rsidP="00EB4F1D">
            <w:pPr>
              <w:jc w:val="right"/>
              <w:rPr>
                <w:sz w:val="24"/>
                <w:szCs w:val="24"/>
              </w:rPr>
            </w:pPr>
            <w:r w:rsidRPr="004A4969">
              <w:rPr>
                <w:sz w:val="24"/>
                <w:szCs w:val="24"/>
              </w:rPr>
              <w:t xml:space="preserve">2.99 </w:t>
            </w:r>
          </w:p>
        </w:tc>
      </w:tr>
    </w:tbl>
    <w:p w:rsidR="003E1E1B" w:rsidRPr="001A3D09" w:rsidRDefault="003E1E1B" w:rsidP="003E1E1B"/>
    <w:p w:rsidR="00390AC8" w:rsidRDefault="00390AC8" w:rsidP="004A4969">
      <w:pPr>
        <w:pStyle w:val="ListParagraph"/>
        <w:spacing w:after="160" w:line="259" w:lineRule="auto"/>
        <w:ind w:left="0"/>
        <w:contextualSpacing/>
      </w:pPr>
    </w:p>
    <w:p w:rsidR="003E1E1B" w:rsidRDefault="00CC6B87" w:rsidP="00240B89">
      <w:pPr>
        <w:pStyle w:val="ListParagraph"/>
        <w:spacing w:after="160" w:line="259" w:lineRule="auto"/>
        <w:ind w:left="0"/>
        <w:contextualSpacing/>
        <w:jc w:val="both"/>
      </w:pPr>
      <w:r>
        <w:t>C</w:t>
      </w:r>
      <w:r w:rsidR="004A4969" w:rsidRPr="00CC6B87">
        <w:t xml:space="preserve">onsistent with </w:t>
      </w:r>
      <w:r>
        <w:t>Avista’s original filing, as well as prior</w:t>
      </w:r>
      <w:r w:rsidR="004A4969" w:rsidRPr="00CC6B87">
        <w:t xml:space="preserve"> powe</w:t>
      </w:r>
      <w:r>
        <w:t xml:space="preserve">r cost </w:t>
      </w:r>
      <w:r w:rsidR="004A4969" w:rsidRPr="00CC6B87">
        <w:t>updates</w:t>
      </w:r>
      <w:r>
        <w:t>,</w:t>
      </w:r>
      <w:r w:rsidR="004A4969" w:rsidRPr="00CC6B87">
        <w:t xml:space="preserve"> </w:t>
      </w:r>
      <w:r>
        <w:t xml:space="preserve">adjustments </w:t>
      </w:r>
      <w:r w:rsidR="00576DCF">
        <w:t>we</w:t>
      </w:r>
      <w:r>
        <w:t>re</w:t>
      </w:r>
      <w:r w:rsidR="003E1E1B" w:rsidRPr="001A3D09">
        <w:t xml:space="preserve"> made to </w:t>
      </w:r>
      <w:proofErr w:type="spellStart"/>
      <w:r w:rsidR="003E1E1B" w:rsidRPr="001A3D09">
        <w:t>AURORA’s</w:t>
      </w:r>
      <w:proofErr w:type="spellEnd"/>
      <w:r w:rsidR="003E1E1B" w:rsidRPr="001A3D09">
        <w:t xml:space="preserve"> regional hydro and load assumptions so that </w:t>
      </w:r>
      <w:r w:rsidR="005655CF">
        <w:t xml:space="preserve">electric market </w:t>
      </w:r>
      <w:r w:rsidR="003E1E1B" w:rsidRPr="001A3D09">
        <w:t>prices fr</w:t>
      </w:r>
      <w:r w:rsidR="00240B89">
        <w:t xml:space="preserve">om the 80 </w:t>
      </w:r>
      <w:r w:rsidR="00390AC8">
        <w:t>year AURORA</w:t>
      </w:r>
      <w:r w:rsidR="00240B89">
        <w:t xml:space="preserve"> study</w:t>
      </w:r>
      <w:r w:rsidR="003E1E1B" w:rsidRPr="001A3D09">
        <w:t xml:space="preserve"> </w:t>
      </w:r>
      <w:r w:rsidR="00240B89">
        <w:t xml:space="preserve">are aligned with </w:t>
      </w:r>
      <w:r w:rsidR="003E1E1B" w:rsidRPr="001A3D09">
        <w:t xml:space="preserve">current </w:t>
      </w:r>
      <w:r w:rsidR="00240B89">
        <w:t xml:space="preserve">forward market </w:t>
      </w:r>
      <w:r w:rsidR="003E1E1B" w:rsidRPr="001A3D09">
        <w:t>pricing.</w:t>
      </w:r>
      <w:r w:rsidR="00240B89">
        <w:rPr>
          <w:rStyle w:val="FootnoteReference"/>
        </w:rPr>
        <w:footnoteReference w:id="3"/>
      </w:r>
      <w:r w:rsidR="004A4969">
        <w:t xml:space="preserve"> </w:t>
      </w:r>
      <w:r w:rsidR="006E44C7">
        <w:t xml:space="preserve"> </w:t>
      </w:r>
      <w:r w:rsidR="006E44C7" w:rsidRPr="001A3D09">
        <w:t>The two charts below show the forward pri</w:t>
      </w:r>
      <w:r w:rsidR="00AE7DAE">
        <w:t xml:space="preserve">cing and the resulting prices from AURORA for: </w:t>
      </w:r>
      <w:r w:rsidR="006E44C7" w:rsidRPr="001A3D09">
        <w:t xml:space="preserve"> </w:t>
      </w:r>
      <w:r w:rsidR="00052FC4">
        <w:t xml:space="preserve">1) </w:t>
      </w:r>
      <w:r w:rsidR="006E44C7" w:rsidRPr="001A3D09">
        <w:t xml:space="preserve">the </w:t>
      </w:r>
      <w:r w:rsidR="005039C2">
        <w:t xml:space="preserve">power cost update included in this response, and </w:t>
      </w:r>
      <w:r w:rsidR="00052FC4">
        <w:t xml:space="preserve">2) </w:t>
      </w:r>
      <w:r w:rsidR="00DD3D12">
        <w:t>Avista’s original filing for calendar y</w:t>
      </w:r>
      <w:r w:rsidR="006E44C7" w:rsidRPr="001A3D09">
        <w:t>ear 2017.</w:t>
      </w:r>
    </w:p>
    <w:p w:rsidR="00390AC8" w:rsidRDefault="00390AC8" w:rsidP="00240B89">
      <w:pPr>
        <w:pStyle w:val="ListParagraph"/>
        <w:spacing w:after="160" w:line="259" w:lineRule="auto"/>
        <w:ind w:left="0"/>
        <w:contextualSpacing/>
        <w:jc w:val="both"/>
      </w:pPr>
    </w:p>
    <w:p w:rsidR="00240B89" w:rsidRPr="001A3D09" w:rsidRDefault="00240B89" w:rsidP="00240B89">
      <w:pPr>
        <w:pStyle w:val="ListParagraph"/>
        <w:spacing w:after="160" w:line="259" w:lineRule="auto"/>
        <w:ind w:left="0"/>
        <w:contextualSpacing/>
        <w:jc w:val="both"/>
      </w:pPr>
    </w:p>
    <w:p w:rsidR="003E1E1B" w:rsidRDefault="006D5C89" w:rsidP="003E1E1B">
      <w:pPr>
        <w:pStyle w:val="ListParagraph"/>
        <w:ind w:left="1440"/>
      </w:pPr>
      <w:r w:rsidRPr="0016741B">
        <w:rPr>
          <w:noProof/>
        </w:rPr>
        <w:drawing>
          <wp:inline distT="0" distB="0" distL="0" distR="0">
            <wp:extent cx="4191000" cy="23717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2371725"/>
                    </a:xfrm>
                    <a:prstGeom prst="rect">
                      <a:avLst/>
                    </a:prstGeom>
                    <a:noFill/>
                    <a:ln>
                      <a:noFill/>
                    </a:ln>
                  </pic:spPr>
                </pic:pic>
              </a:graphicData>
            </a:graphic>
          </wp:inline>
        </w:drawing>
      </w:r>
    </w:p>
    <w:p w:rsidR="003E1E1B" w:rsidRPr="001A3D09" w:rsidRDefault="003E1E1B" w:rsidP="003E1E1B">
      <w:pPr>
        <w:pStyle w:val="ListParagraph"/>
        <w:ind w:left="1440"/>
      </w:pPr>
    </w:p>
    <w:p w:rsidR="003E1E1B" w:rsidRPr="001A3D09" w:rsidRDefault="006D5C89" w:rsidP="003E1E1B">
      <w:pPr>
        <w:pStyle w:val="ListParagraph"/>
        <w:ind w:left="1440"/>
      </w:pPr>
      <w:r w:rsidRPr="0016741B">
        <w:rPr>
          <w:noProof/>
        </w:rPr>
        <w:lastRenderedPageBreak/>
        <w:drawing>
          <wp:inline distT="0" distB="0" distL="0" distR="0">
            <wp:extent cx="4162425" cy="23622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2425" cy="2362200"/>
                    </a:xfrm>
                    <a:prstGeom prst="rect">
                      <a:avLst/>
                    </a:prstGeom>
                    <a:noFill/>
                    <a:ln>
                      <a:noFill/>
                    </a:ln>
                  </pic:spPr>
                </pic:pic>
              </a:graphicData>
            </a:graphic>
          </wp:inline>
        </w:drawing>
      </w:r>
    </w:p>
    <w:p w:rsidR="003E1E1B" w:rsidRDefault="003E1E1B" w:rsidP="00E26051">
      <w:pPr>
        <w:tabs>
          <w:tab w:val="left" w:pos="1890"/>
          <w:tab w:val="left" w:pos="4320"/>
          <w:tab w:val="left" w:pos="6480"/>
        </w:tabs>
        <w:jc w:val="both"/>
        <w:rPr>
          <w:sz w:val="24"/>
          <w:szCs w:val="24"/>
        </w:rPr>
      </w:pPr>
    </w:p>
    <w:p w:rsidR="003E1E1B" w:rsidRDefault="003E1E1B" w:rsidP="00E26051">
      <w:pPr>
        <w:tabs>
          <w:tab w:val="left" w:pos="1890"/>
          <w:tab w:val="left" w:pos="4320"/>
          <w:tab w:val="left" w:pos="6480"/>
        </w:tabs>
        <w:jc w:val="both"/>
        <w:rPr>
          <w:sz w:val="24"/>
          <w:szCs w:val="24"/>
        </w:rPr>
      </w:pPr>
    </w:p>
    <w:p w:rsidR="00152161" w:rsidRPr="001552EE" w:rsidRDefault="00A13CF4" w:rsidP="00152161">
      <w:pPr>
        <w:tabs>
          <w:tab w:val="left" w:pos="1890"/>
          <w:tab w:val="left" w:pos="4320"/>
          <w:tab w:val="left" w:pos="6480"/>
        </w:tabs>
        <w:jc w:val="both"/>
        <w:rPr>
          <w:sz w:val="24"/>
          <w:szCs w:val="24"/>
        </w:rPr>
      </w:pPr>
      <w:r w:rsidRPr="001552EE">
        <w:rPr>
          <w:sz w:val="24"/>
          <w:szCs w:val="24"/>
        </w:rPr>
        <w:t>This power cost update includes</w:t>
      </w:r>
      <w:r w:rsidR="00152161" w:rsidRPr="001552EE">
        <w:rPr>
          <w:sz w:val="24"/>
          <w:szCs w:val="24"/>
        </w:rPr>
        <w:t xml:space="preserve"> four power supply studies </w:t>
      </w:r>
      <w:r w:rsidRPr="001552EE">
        <w:rPr>
          <w:sz w:val="24"/>
          <w:szCs w:val="24"/>
        </w:rPr>
        <w:t>(AURORA model runs)</w:t>
      </w:r>
      <w:r w:rsidR="00390849" w:rsidRPr="001552EE">
        <w:rPr>
          <w:sz w:val="24"/>
          <w:szCs w:val="24"/>
        </w:rPr>
        <w:t xml:space="preserve"> as identified below</w:t>
      </w:r>
      <w:r w:rsidR="003C652A" w:rsidRPr="001552EE">
        <w:rPr>
          <w:sz w:val="24"/>
          <w:szCs w:val="24"/>
        </w:rPr>
        <w:t xml:space="preserve">.  </w:t>
      </w:r>
      <w:r w:rsidR="00274F86">
        <w:rPr>
          <w:sz w:val="24"/>
          <w:szCs w:val="24"/>
        </w:rPr>
        <w:t>Due to the voluminous and e</w:t>
      </w:r>
      <w:r w:rsidR="003C652A" w:rsidRPr="001552EE">
        <w:rPr>
          <w:sz w:val="24"/>
          <w:szCs w:val="24"/>
        </w:rPr>
        <w:t>lectronic</w:t>
      </w:r>
      <w:r w:rsidR="00274F86">
        <w:rPr>
          <w:sz w:val="24"/>
          <w:szCs w:val="24"/>
        </w:rPr>
        <w:t xml:space="preserve"> nature of each study,</w:t>
      </w:r>
      <w:r w:rsidR="003C652A" w:rsidRPr="001552EE">
        <w:rPr>
          <w:sz w:val="24"/>
          <w:szCs w:val="24"/>
        </w:rPr>
        <w:t xml:space="preserve"> </w:t>
      </w:r>
      <w:r w:rsidR="003C4771">
        <w:rPr>
          <w:sz w:val="24"/>
          <w:szCs w:val="24"/>
        </w:rPr>
        <w:t xml:space="preserve">electronic </w:t>
      </w:r>
      <w:r w:rsidR="003C652A" w:rsidRPr="001552EE">
        <w:rPr>
          <w:sz w:val="24"/>
          <w:szCs w:val="24"/>
        </w:rPr>
        <w:t xml:space="preserve">copies </w:t>
      </w:r>
      <w:r w:rsidR="003C4771">
        <w:rPr>
          <w:sz w:val="24"/>
          <w:szCs w:val="24"/>
        </w:rPr>
        <w:t xml:space="preserve">only </w:t>
      </w:r>
      <w:r w:rsidR="003C652A" w:rsidRPr="001552EE">
        <w:rPr>
          <w:sz w:val="24"/>
          <w:szCs w:val="24"/>
        </w:rPr>
        <w:t>have been provided with this response</w:t>
      </w:r>
      <w:r w:rsidR="00390849" w:rsidRPr="001552EE">
        <w:rPr>
          <w:sz w:val="24"/>
          <w:szCs w:val="24"/>
        </w:rPr>
        <w:t>.  The parameters for each of the studies can be found in the AURORA files by reviewing the “Change Sets” functionality in the AURORA model</w:t>
      </w:r>
      <w:r w:rsidR="00152161" w:rsidRPr="001552EE">
        <w:rPr>
          <w:sz w:val="24"/>
          <w:szCs w:val="24"/>
        </w:rPr>
        <w:t>:</w:t>
      </w:r>
    </w:p>
    <w:p w:rsidR="001552EE" w:rsidRPr="00A13CF4" w:rsidRDefault="001552EE" w:rsidP="00152161">
      <w:pPr>
        <w:tabs>
          <w:tab w:val="left" w:pos="1890"/>
          <w:tab w:val="left" w:pos="4320"/>
          <w:tab w:val="left" w:pos="6480"/>
        </w:tabs>
        <w:jc w:val="both"/>
        <w:rPr>
          <w:sz w:val="24"/>
          <w:szCs w:val="24"/>
        </w:rPr>
      </w:pPr>
    </w:p>
    <w:p w:rsidR="00152161" w:rsidRPr="00A13CF4" w:rsidRDefault="00326626" w:rsidP="003C4771">
      <w:pPr>
        <w:pStyle w:val="ListParagraph"/>
        <w:numPr>
          <w:ilvl w:val="0"/>
          <w:numId w:val="42"/>
        </w:numPr>
        <w:spacing w:after="160" w:line="259" w:lineRule="auto"/>
        <w:contextualSpacing/>
      </w:pPr>
      <w:r>
        <w:t xml:space="preserve">Confidential </w:t>
      </w:r>
      <w:r w:rsidR="003C4771">
        <w:t xml:space="preserve">Attachment C - </w:t>
      </w:r>
      <w:r w:rsidR="00152161" w:rsidRPr="00A13CF4">
        <w:t>2017 Historical Load</w:t>
      </w:r>
    </w:p>
    <w:p w:rsidR="00152161" w:rsidRPr="00A13CF4" w:rsidRDefault="00326626" w:rsidP="003C4771">
      <w:pPr>
        <w:pStyle w:val="ListParagraph"/>
        <w:numPr>
          <w:ilvl w:val="0"/>
          <w:numId w:val="42"/>
        </w:numPr>
        <w:spacing w:after="160" w:line="259" w:lineRule="auto"/>
        <w:contextualSpacing/>
      </w:pPr>
      <w:r>
        <w:t xml:space="preserve">Confidential </w:t>
      </w:r>
      <w:r w:rsidR="003C4771">
        <w:t xml:space="preserve">Attachment D - </w:t>
      </w:r>
      <w:r w:rsidR="00152161" w:rsidRPr="00A13CF4">
        <w:t>2017 Pro</w:t>
      </w:r>
      <w:r w:rsidR="001B54C6">
        <w:t xml:space="preserve"> </w:t>
      </w:r>
      <w:r w:rsidR="00152161" w:rsidRPr="00A13CF4">
        <w:t>forma Load</w:t>
      </w:r>
    </w:p>
    <w:p w:rsidR="00152161" w:rsidRPr="00A13CF4" w:rsidRDefault="00326626" w:rsidP="003C4771">
      <w:pPr>
        <w:pStyle w:val="ListParagraph"/>
        <w:numPr>
          <w:ilvl w:val="0"/>
          <w:numId w:val="42"/>
        </w:numPr>
        <w:spacing w:after="160" w:line="259" w:lineRule="auto"/>
        <w:contextualSpacing/>
      </w:pPr>
      <w:r>
        <w:t xml:space="preserve">Confidential </w:t>
      </w:r>
      <w:r w:rsidR="003C4771">
        <w:t xml:space="preserve">Attachment E - </w:t>
      </w:r>
      <w:r w:rsidR="00152161" w:rsidRPr="00A13CF4">
        <w:t>2018 Historical Loa</w:t>
      </w:r>
      <w:r w:rsidR="00A13CF4">
        <w:t>d (used for Jan-Jun 2018 period</w:t>
      </w:r>
      <w:r w:rsidR="00152161" w:rsidRPr="00A13CF4">
        <w:t>)</w:t>
      </w:r>
    </w:p>
    <w:p w:rsidR="00152161" w:rsidRPr="00A13CF4" w:rsidRDefault="00326626" w:rsidP="003C4771">
      <w:pPr>
        <w:pStyle w:val="ListParagraph"/>
        <w:numPr>
          <w:ilvl w:val="0"/>
          <w:numId w:val="42"/>
        </w:numPr>
        <w:spacing w:after="160" w:line="259" w:lineRule="auto"/>
        <w:contextualSpacing/>
      </w:pPr>
      <w:r>
        <w:t xml:space="preserve">Confidential </w:t>
      </w:r>
      <w:r w:rsidR="003C4771">
        <w:t xml:space="preserve">Attachment F - </w:t>
      </w:r>
      <w:r w:rsidR="00152161" w:rsidRPr="00A13CF4">
        <w:t>2018 Pro</w:t>
      </w:r>
      <w:r w:rsidR="001B54C6">
        <w:t xml:space="preserve"> </w:t>
      </w:r>
      <w:r w:rsidR="00152161" w:rsidRPr="00A13CF4">
        <w:t>forma Load (</w:t>
      </w:r>
      <w:r w:rsidR="00A13CF4">
        <w:t>used for Jan-Jun 2018 period</w:t>
      </w:r>
      <w:r w:rsidR="00152161" w:rsidRPr="00A13CF4">
        <w:t>)</w:t>
      </w:r>
    </w:p>
    <w:p w:rsidR="006D5C89" w:rsidRPr="00A13CF4" w:rsidRDefault="006D5C89" w:rsidP="006D5C89">
      <w:pPr>
        <w:pStyle w:val="ListParagraph"/>
        <w:spacing w:after="160" w:line="259" w:lineRule="auto"/>
        <w:ind w:left="0"/>
        <w:contextualSpacing/>
        <w:jc w:val="both"/>
      </w:pPr>
    </w:p>
    <w:p w:rsidR="00E549EC" w:rsidRDefault="005A0917" w:rsidP="00152161">
      <w:pPr>
        <w:pStyle w:val="ListParagraph"/>
        <w:spacing w:after="160" w:line="259" w:lineRule="auto"/>
        <w:ind w:left="0"/>
        <w:contextualSpacing/>
      </w:pPr>
      <w:r>
        <w:t xml:space="preserve">New short-term electric and natural gas contracts incorporated in this power cost update are </w:t>
      </w:r>
      <w:r w:rsidR="00F10734">
        <w:t>identified i</w:t>
      </w:r>
      <w:r w:rsidR="004B3E11">
        <w:t xml:space="preserve">n Attachment </w:t>
      </w:r>
      <w:proofErr w:type="gramStart"/>
      <w:r w:rsidR="00326626">
        <w:t>A</w:t>
      </w:r>
      <w:proofErr w:type="gramEnd"/>
      <w:r w:rsidR="00326626">
        <w:t>, page 1</w:t>
      </w:r>
      <w:r w:rsidR="00887DEA">
        <w:t xml:space="preserve">, and have been incorporated in the same manner as power cost updates in prior general rate cases.  </w:t>
      </w:r>
      <w:r w:rsidR="004B3E11">
        <w:t xml:space="preserve">Updates to “power and transmission service contracts” are shown on lines </w:t>
      </w:r>
      <w:r w:rsidR="00326626">
        <w:t>1</w:t>
      </w:r>
      <w:r w:rsidR="004B3E11">
        <w:t xml:space="preserve"> through </w:t>
      </w:r>
      <w:r w:rsidR="00326626">
        <w:t>12</w:t>
      </w:r>
      <w:r w:rsidR="004B3E11">
        <w:t xml:space="preserve"> of Attachment </w:t>
      </w:r>
      <w:r w:rsidR="00326626">
        <w:t>A, page 1</w:t>
      </w:r>
      <w:r w:rsidR="004B3E11">
        <w:t>.</w:t>
      </w:r>
    </w:p>
    <w:p w:rsidR="00415278" w:rsidRDefault="00415278" w:rsidP="00152161">
      <w:pPr>
        <w:pStyle w:val="ListParagraph"/>
        <w:spacing w:after="160" w:line="259" w:lineRule="auto"/>
        <w:ind w:left="0"/>
        <w:contextualSpacing/>
      </w:pPr>
    </w:p>
    <w:p w:rsidR="00326626" w:rsidRPr="00326626" w:rsidRDefault="00326626" w:rsidP="00152161">
      <w:pPr>
        <w:pStyle w:val="ListParagraph"/>
        <w:spacing w:after="160" w:line="259" w:lineRule="auto"/>
        <w:ind w:left="0"/>
        <w:contextualSpacing/>
        <w:rPr>
          <w:b/>
          <w:u w:val="single"/>
        </w:rPr>
      </w:pPr>
      <w:r w:rsidRPr="00326626">
        <w:rPr>
          <w:b/>
          <w:u w:val="single"/>
        </w:rPr>
        <w:t>Pro Forma/Cross Check Adjustment – See Attachment A</w:t>
      </w:r>
    </w:p>
    <w:p w:rsidR="00326626" w:rsidRDefault="00326626" w:rsidP="00152161">
      <w:pPr>
        <w:pStyle w:val="ListParagraph"/>
        <w:spacing w:after="160" w:line="259" w:lineRule="auto"/>
        <w:ind w:left="0"/>
        <w:contextualSpacing/>
      </w:pPr>
      <w:r>
        <w:t xml:space="preserve">Per Bench Request 10.4, Attachment A provides information and </w:t>
      </w:r>
      <w:r w:rsidRPr="0068144C">
        <w:t>workpapers supporting Electric Adjustment 3.00 Pro Forma Power Supply</w:t>
      </w:r>
      <w:r>
        <w:t xml:space="preserve">, </w:t>
      </w:r>
      <w:r w:rsidRPr="0068144C">
        <w:t>includ</w:t>
      </w:r>
      <w:r>
        <w:t>ing a</w:t>
      </w:r>
      <w:r w:rsidRPr="0068144C">
        <w:t>mounts aggregated by FERC account and subaccount (i.e., Account 555 Purchased Power, Subaccount WNP-3) adjusted for November 1, 2016 power cost update</w:t>
      </w:r>
      <w:r>
        <w:t xml:space="preserve">. </w:t>
      </w:r>
    </w:p>
    <w:p w:rsidR="009877F9" w:rsidRDefault="009877F9" w:rsidP="00152161">
      <w:pPr>
        <w:pStyle w:val="ListParagraph"/>
        <w:spacing w:after="160" w:line="259" w:lineRule="auto"/>
        <w:ind w:left="0"/>
        <w:contextualSpacing/>
        <w:rPr>
          <w:b/>
          <w:u w:val="single"/>
        </w:rPr>
      </w:pPr>
    </w:p>
    <w:p w:rsidR="00326626" w:rsidRPr="00326626" w:rsidRDefault="00326626" w:rsidP="00152161">
      <w:pPr>
        <w:pStyle w:val="ListParagraph"/>
        <w:spacing w:after="160" w:line="259" w:lineRule="auto"/>
        <w:ind w:left="0"/>
        <w:contextualSpacing/>
        <w:rPr>
          <w:b/>
          <w:u w:val="single"/>
        </w:rPr>
      </w:pPr>
      <w:r w:rsidRPr="00326626">
        <w:rPr>
          <w:b/>
          <w:u w:val="single"/>
        </w:rPr>
        <w:t>Attachment A:</w:t>
      </w:r>
    </w:p>
    <w:p w:rsidR="009877F9" w:rsidRDefault="00326626" w:rsidP="00152161">
      <w:pPr>
        <w:pStyle w:val="ListParagraph"/>
        <w:spacing w:after="160" w:line="259" w:lineRule="auto"/>
        <w:ind w:left="0"/>
        <w:contextualSpacing/>
      </w:pPr>
      <w:r w:rsidRPr="0077330C">
        <w:rPr>
          <w:u w:val="single"/>
        </w:rPr>
        <w:t>Page 1</w:t>
      </w:r>
      <w:r w:rsidR="00F057EB">
        <w:t xml:space="preserve"> (Power Supply Update detail recap)</w:t>
      </w:r>
      <w:r>
        <w:t xml:space="preserve"> – provides a detail</w:t>
      </w:r>
      <w:r w:rsidR="00576DCF">
        <w:t>ed</w:t>
      </w:r>
      <w:r>
        <w:t xml:space="preserve"> recap of </w:t>
      </w:r>
      <w:r w:rsidR="00F057EB">
        <w:t xml:space="preserve">2017 and 2018 changes in </w:t>
      </w:r>
      <w:r>
        <w:t>short-term electric and natural gas contracts, impact of gas prices on a</w:t>
      </w:r>
      <w:r w:rsidR="00F057EB">
        <w:t xml:space="preserve"> system basis, and changes in Transmission Wheeling Revenue contracts (FERC acct 456), consistent with prior power supply updates, as noted above. The net change of updating net power supply (expenses and transmission revenues) is a </w:t>
      </w:r>
      <w:r w:rsidR="00F057EB" w:rsidRPr="00705E07">
        <w:rPr>
          <w:u w:val="single"/>
        </w:rPr>
        <w:t>system</w:t>
      </w:r>
      <w:r w:rsidR="00F057EB">
        <w:t xml:space="preserve"> reduction to net expense of $715,000</w:t>
      </w:r>
      <w:r w:rsidR="00705E07">
        <w:t xml:space="preserve"> ($469,000 WA share)</w:t>
      </w:r>
      <w:r w:rsidR="00F057EB">
        <w:t>.</w:t>
      </w:r>
      <w:r w:rsidR="009877F9">
        <w:t xml:space="preserve"> The table below summarizes the change in Washington net expense and pro forma revenue requirement.</w:t>
      </w:r>
    </w:p>
    <w:p w:rsidR="009877F9" w:rsidRDefault="009877F9" w:rsidP="00152161">
      <w:pPr>
        <w:pStyle w:val="ListParagraph"/>
        <w:spacing w:after="160" w:line="259" w:lineRule="auto"/>
        <w:ind w:left="0"/>
        <w:contextualSpacing/>
      </w:pPr>
    </w:p>
    <w:p w:rsidR="009877F9" w:rsidRDefault="009877F9" w:rsidP="00152161">
      <w:pPr>
        <w:pStyle w:val="ListParagraph"/>
        <w:spacing w:after="160" w:line="259" w:lineRule="auto"/>
        <w:ind w:left="0"/>
        <w:contextualSpacing/>
      </w:pPr>
    </w:p>
    <w:p w:rsidR="009877F9" w:rsidRDefault="009877F9" w:rsidP="00152161">
      <w:pPr>
        <w:pStyle w:val="ListParagraph"/>
        <w:spacing w:after="160" w:line="259" w:lineRule="auto"/>
        <w:ind w:left="0"/>
        <w:contextualSpacing/>
      </w:pPr>
    </w:p>
    <w:p w:rsidR="009877F9" w:rsidRDefault="009877F9" w:rsidP="00152161">
      <w:pPr>
        <w:pStyle w:val="ListParagraph"/>
        <w:spacing w:after="160" w:line="259" w:lineRule="auto"/>
        <w:ind w:left="0"/>
        <w:contextualSpacing/>
      </w:pPr>
    </w:p>
    <w:p w:rsidR="009877F9" w:rsidRDefault="009877F9" w:rsidP="00152161">
      <w:pPr>
        <w:pStyle w:val="ListParagraph"/>
        <w:spacing w:after="160" w:line="259" w:lineRule="auto"/>
        <w:ind w:left="0"/>
        <w:contextualSpacing/>
      </w:pPr>
      <w:r w:rsidRPr="009877F9">
        <w:rPr>
          <w:noProof/>
        </w:rPr>
        <w:lastRenderedPageBreak/>
        <w:drawing>
          <wp:anchor distT="0" distB="0" distL="114300" distR="114300" simplePos="0" relativeHeight="251658240" behindDoc="0" locked="0" layoutInCell="1" allowOverlap="1" wp14:anchorId="0DA9BE2C" wp14:editId="43F152BC">
            <wp:simplePos x="0" y="0"/>
            <wp:positionH relativeFrom="column">
              <wp:posOffset>24938</wp:posOffset>
            </wp:positionH>
            <wp:positionV relativeFrom="paragraph">
              <wp:posOffset>127561</wp:posOffset>
            </wp:positionV>
            <wp:extent cx="4500748" cy="1069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5507" cy="10753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77F9" w:rsidRDefault="009877F9" w:rsidP="00152161">
      <w:pPr>
        <w:pStyle w:val="ListParagraph"/>
        <w:spacing w:after="160" w:line="259" w:lineRule="auto"/>
        <w:ind w:left="0"/>
        <w:contextualSpacing/>
      </w:pPr>
    </w:p>
    <w:p w:rsidR="009877F9" w:rsidRDefault="009877F9" w:rsidP="00152161">
      <w:pPr>
        <w:pStyle w:val="ListParagraph"/>
        <w:spacing w:after="160" w:line="259" w:lineRule="auto"/>
        <w:ind w:left="0"/>
        <w:contextualSpacing/>
      </w:pPr>
    </w:p>
    <w:p w:rsidR="009877F9" w:rsidRDefault="009877F9" w:rsidP="00152161">
      <w:pPr>
        <w:pStyle w:val="ListParagraph"/>
        <w:spacing w:after="160" w:line="259" w:lineRule="auto"/>
        <w:ind w:left="0"/>
        <w:contextualSpacing/>
      </w:pPr>
    </w:p>
    <w:p w:rsidR="009877F9" w:rsidRDefault="009877F9" w:rsidP="00152161">
      <w:pPr>
        <w:pStyle w:val="ListParagraph"/>
        <w:spacing w:after="160" w:line="259" w:lineRule="auto"/>
        <w:ind w:left="0"/>
        <w:contextualSpacing/>
      </w:pPr>
    </w:p>
    <w:p w:rsidR="009877F9" w:rsidRDefault="009877F9" w:rsidP="00152161">
      <w:pPr>
        <w:pStyle w:val="ListParagraph"/>
        <w:spacing w:after="160" w:line="259" w:lineRule="auto"/>
        <w:ind w:left="0"/>
        <w:contextualSpacing/>
      </w:pPr>
    </w:p>
    <w:p w:rsidR="009877F9" w:rsidRDefault="009877F9" w:rsidP="00152161">
      <w:pPr>
        <w:pStyle w:val="ListParagraph"/>
        <w:spacing w:after="160" w:line="259" w:lineRule="auto"/>
        <w:ind w:left="0"/>
        <w:contextualSpacing/>
      </w:pPr>
    </w:p>
    <w:p w:rsidR="00F057EB" w:rsidRDefault="00326626" w:rsidP="00152161">
      <w:pPr>
        <w:pStyle w:val="ListParagraph"/>
        <w:spacing w:after="160" w:line="259" w:lineRule="auto"/>
        <w:ind w:left="0"/>
        <w:contextualSpacing/>
      </w:pPr>
      <w:r>
        <w:t xml:space="preserve"> </w:t>
      </w:r>
      <w:r w:rsidR="00F057EB" w:rsidRPr="0077330C">
        <w:rPr>
          <w:u w:val="single"/>
        </w:rPr>
        <w:t>Page 2-5</w:t>
      </w:r>
      <w:r w:rsidR="00F057EB">
        <w:t xml:space="preserve"> – (PF 3.00 Power Supply adjustment and workpapers) – page 2 provides the Revised PF 3.00 Adjustment, which replaces Adj. 3.00 provided in Company rebuttal Exhibit No. JSS-5, page 4, column 3.00</w:t>
      </w:r>
      <w:r w:rsidR="0077330C">
        <w:t>.</w:t>
      </w:r>
      <w:r w:rsidR="00F057EB">
        <w:rPr>
          <w:rStyle w:val="FootnoteReference"/>
        </w:rPr>
        <w:footnoteReference w:id="4"/>
      </w:r>
      <w:r w:rsidR="0077330C">
        <w:t xml:space="preserve">  The </w:t>
      </w:r>
      <w:r w:rsidR="00705E07">
        <w:t xml:space="preserve">net </w:t>
      </w:r>
      <w:r w:rsidR="0077330C">
        <w:t xml:space="preserve">impact of this adjustment </w:t>
      </w:r>
      <w:r w:rsidR="00705E07">
        <w:t>increases power supply expense $44</w:t>
      </w:r>
      <w:r w:rsidR="009877F9">
        <w:t>6</w:t>
      </w:r>
      <w:r w:rsidR="00705E07">
        <w:t xml:space="preserve">,000 (WA share). </w:t>
      </w:r>
      <w:r w:rsidR="0077330C">
        <w:t xml:space="preserve"> Page 3 shows the system and Washington impact of updating 3.00</w:t>
      </w:r>
      <w:r w:rsidR="00705E07">
        <w:t>.  P</w:t>
      </w:r>
      <w:r w:rsidR="0077330C">
        <w:t xml:space="preserve">ages 4-5 provide the system power supply expense detail, </w:t>
      </w:r>
      <w:r w:rsidR="0077330C" w:rsidRPr="0068144C">
        <w:t>includ</w:t>
      </w:r>
      <w:r w:rsidR="0077330C">
        <w:t>ing a</w:t>
      </w:r>
      <w:r w:rsidR="0077330C" w:rsidRPr="0068144C">
        <w:t>mounts aggregated by FERC account and subaccount</w:t>
      </w:r>
      <w:r w:rsidR="0077330C">
        <w:t xml:space="preserve">.  </w:t>
      </w:r>
    </w:p>
    <w:p w:rsidR="0077330C" w:rsidRDefault="0077330C" w:rsidP="00152161">
      <w:pPr>
        <w:pStyle w:val="ListParagraph"/>
        <w:spacing w:after="160" w:line="259" w:lineRule="auto"/>
        <w:ind w:left="0"/>
        <w:contextualSpacing/>
      </w:pPr>
    </w:p>
    <w:p w:rsidR="0077330C" w:rsidRDefault="0077330C" w:rsidP="00152161">
      <w:pPr>
        <w:pStyle w:val="ListParagraph"/>
        <w:spacing w:after="160" w:line="259" w:lineRule="auto"/>
        <w:ind w:left="0"/>
        <w:contextualSpacing/>
      </w:pPr>
      <w:r w:rsidRPr="00181362">
        <w:rPr>
          <w:u w:val="single"/>
        </w:rPr>
        <w:t>Page 6-7</w:t>
      </w:r>
      <w:r>
        <w:t xml:space="preserve"> (PF 3.01 Transmission adjustment and workpapers) – page 6 provides the Revised PF 3.01 Adjustment, which replaces Adj. 3.01 provided in Company rebuttal Exhibit No. JSS-5, page 4, column 3.01.  This update adjusts FERC Acct 456 (Other electric Revenue), consistent with prior power supply updates.  </w:t>
      </w:r>
      <w:r w:rsidR="00705E07">
        <w:t>The net impact of this adjustment increases revenues (</w:t>
      </w:r>
      <w:r w:rsidR="00705E07" w:rsidRPr="00181362">
        <w:rPr>
          <w:u w:val="single"/>
        </w:rPr>
        <w:t>reducing overall net expense</w:t>
      </w:r>
      <w:r w:rsidR="00705E07">
        <w:t>) $9</w:t>
      </w:r>
      <w:r w:rsidR="00181362">
        <w:t>1</w:t>
      </w:r>
      <w:r w:rsidR="009877F9">
        <w:t>5</w:t>
      </w:r>
      <w:r w:rsidR="00705E07">
        <w:t xml:space="preserve">,000 (WA share).  </w:t>
      </w:r>
      <w:r>
        <w:t>Page 7</w:t>
      </w:r>
      <w:r w:rsidR="00181362">
        <w:t xml:space="preserve"> provides system transmission revenues and expense detail, </w:t>
      </w:r>
      <w:r w:rsidR="00181362" w:rsidRPr="0068144C">
        <w:t>includ</w:t>
      </w:r>
      <w:r w:rsidR="00181362">
        <w:t>ing a</w:t>
      </w:r>
      <w:r w:rsidR="00181362" w:rsidRPr="0068144C">
        <w:t>mounts aggregated by FERC account and subaccount</w:t>
      </w:r>
      <w:r w:rsidR="00181362">
        <w:t>.</w:t>
      </w:r>
    </w:p>
    <w:p w:rsidR="00181362" w:rsidRDefault="00181362" w:rsidP="00152161">
      <w:pPr>
        <w:pStyle w:val="ListParagraph"/>
        <w:spacing w:after="160" w:line="259" w:lineRule="auto"/>
        <w:ind w:left="0"/>
        <w:contextualSpacing/>
      </w:pPr>
    </w:p>
    <w:p w:rsidR="00181362" w:rsidRDefault="00181362" w:rsidP="00152161">
      <w:pPr>
        <w:pStyle w:val="ListParagraph"/>
        <w:spacing w:after="160" w:line="259" w:lineRule="auto"/>
        <w:ind w:left="0"/>
        <w:contextualSpacing/>
      </w:pPr>
      <w:r>
        <w:t>Page 8-9 (Proposed ERM Authorized Expenses for 2017 and 2018 – provides the proposed authorized ERM base expense, revenues, retail sales and retail revenue credit rate for calendar 2017 and Jan 201</w:t>
      </w:r>
      <w:r w:rsidR="0091130E">
        <w:t>8</w:t>
      </w:r>
      <w:r>
        <w:t xml:space="preserve"> – Jun 2018 rate periods. </w:t>
      </w:r>
    </w:p>
    <w:p w:rsidR="00181362" w:rsidRDefault="00181362" w:rsidP="00152161">
      <w:pPr>
        <w:pStyle w:val="ListParagraph"/>
        <w:spacing w:after="160" w:line="259" w:lineRule="auto"/>
        <w:ind w:left="0"/>
        <w:contextualSpacing/>
      </w:pPr>
    </w:p>
    <w:p w:rsidR="009877F9" w:rsidRDefault="009877F9" w:rsidP="009877F9">
      <w:pPr>
        <w:pStyle w:val="ListParagraph"/>
        <w:spacing w:after="160" w:line="259" w:lineRule="auto"/>
        <w:ind w:left="0"/>
        <w:contextualSpacing/>
        <w:rPr>
          <w:b/>
          <w:u w:val="single"/>
        </w:rPr>
      </w:pPr>
      <w:r>
        <w:rPr>
          <w:b/>
          <w:u w:val="single"/>
        </w:rPr>
        <w:t>2017 and 2018 Electric Attrition Studies</w:t>
      </w:r>
      <w:r w:rsidRPr="00326626">
        <w:rPr>
          <w:b/>
          <w:u w:val="single"/>
        </w:rPr>
        <w:t xml:space="preserve"> – See Attachment </w:t>
      </w:r>
      <w:r>
        <w:rPr>
          <w:b/>
          <w:u w:val="single"/>
        </w:rPr>
        <w:t>B</w:t>
      </w:r>
    </w:p>
    <w:p w:rsidR="009877F9" w:rsidRDefault="009877F9" w:rsidP="009877F9">
      <w:pPr>
        <w:pStyle w:val="ListParagraph"/>
        <w:spacing w:after="160" w:line="259" w:lineRule="auto"/>
        <w:ind w:left="0"/>
        <w:contextualSpacing/>
      </w:pPr>
      <w:r>
        <w:t>Included as Attachment B are revised electric 2017 and 2018 Attriti</w:t>
      </w:r>
      <w:r w:rsidR="0085301D">
        <w:t>on models showing the impact of the November Power Supply update. The table below summarizes the overall revenue requirement impact:</w:t>
      </w:r>
      <w:r w:rsidR="00A13E83">
        <w:rPr>
          <w:rStyle w:val="FootnoteReference"/>
        </w:rPr>
        <w:footnoteReference w:id="5"/>
      </w:r>
    </w:p>
    <w:p w:rsidR="0085301D" w:rsidRDefault="0085301D" w:rsidP="009877F9">
      <w:pPr>
        <w:pStyle w:val="ListParagraph"/>
        <w:spacing w:after="160" w:line="259" w:lineRule="auto"/>
        <w:ind w:left="0"/>
        <w:contextualSpacing/>
      </w:pPr>
      <w:r w:rsidRPr="0085301D">
        <w:rPr>
          <w:noProof/>
        </w:rPr>
        <w:drawing>
          <wp:anchor distT="0" distB="0" distL="114300" distR="114300" simplePos="0" relativeHeight="251659264" behindDoc="0" locked="0" layoutInCell="1" allowOverlap="1" wp14:anchorId="5EDC7CD9" wp14:editId="4BAE7F33">
            <wp:simplePos x="0" y="0"/>
            <wp:positionH relativeFrom="column">
              <wp:posOffset>24385</wp:posOffset>
            </wp:positionH>
            <wp:positionV relativeFrom="paragraph">
              <wp:posOffset>98260</wp:posOffset>
            </wp:positionV>
            <wp:extent cx="6050280" cy="848995"/>
            <wp:effectExtent l="0" t="0" r="762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0280" cy="848995"/>
                    </a:xfrm>
                    <a:prstGeom prst="rect">
                      <a:avLst/>
                    </a:prstGeom>
                    <a:noFill/>
                    <a:ln>
                      <a:noFill/>
                    </a:ln>
                  </pic:spPr>
                </pic:pic>
              </a:graphicData>
            </a:graphic>
          </wp:anchor>
        </w:drawing>
      </w:r>
    </w:p>
    <w:p w:rsidR="0085301D" w:rsidRPr="009877F9" w:rsidRDefault="0085301D" w:rsidP="009877F9">
      <w:pPr>
        <w:pStyle w:val="ListParagraph"/>
        <w:spacing w:after="160" w:line="259" w:lineRule="auto"/>
        <w:ind w:left="0"/>
        <w:contextualSpacing/>
      </w:pPr>
    </w:p>
    <w:p w:rsidR="00181362" w:rsidRDefault="00181362" w:rsidP="00152161">
      <w:pPr>
        <w:pStyle w:val="ListParagraph"/>
        <w:spacing w:after="160" w:line="259" w:lineRule="auto"/>
        <w:ind w:left="0"/>
        <w:contextualSpacing/>
      </w:pPr>
    </w:p>
    <w:p w:rsidR="0077330C" w:rsidRDefault="0077330C" w:rsidP="00152161">
      <w:pPr>
        <w:pStyle w:val="ListParagraph"/>
        <w:spacing w:after="160" w:line="259" w:lineRule="auto"/>
        <w:ind w:left="0"/>
        <w:contextualSpacing/>
      </w:pPr>
    </w:p>
    <w:p w:rsidR="00326626" w:rsidRDefault="00326626" w:rsidP="00152161">
      <w:pPr>
        <w:pStyle w:val="ListParagraph"/>
        <w:spacing w:after="160" w:line="259" w:lineRule="auto"/>
        <w:ind w:left="0"/>
        <w:contextualSpacing/>
      </w:pPr>
    </w:p>
    <w:p w:rsidR="0085301D" w:rsidRDefault="0085301D" w:rsidP="00152161">
      <w:pPr>
        <w:pStyle w:val="ListParagraph"/>
        <w:spacing w:after="160" w:line="259" w:lineRule="auto"/>
        <w:ind w:left="0"/>
        <w:contextualSpacing/>
        <w:rPr>
          <w:sz w:val="20"/>
        </w:rPr>
      </w:pPr>
      <w:r w:rsidRPr="0085301D">
        <w:rPr>
          <w:sz w:val="20"/>
        </w:rPr>
        <w:t xml:space="preserve">(Revenue requirement impact will vary from the impact </w:t>
      </w:r>
      <w:r w:rsidR="008C4D14">
        <w:rPr>
          <w:sz w:val="20"/>
        </w:rPr>
        <w:t xml:space="preserve">shown in </w:t>
      </w:r>
      <w:r w:rsidRPr="0085301D">
        <w:rPr>
          <w:sz w:val="20"/>
        </w:rPr>
        <w:t xml:space="preserve">the Pro Forma adjustment noted above as the attrition models include the impact of </w:t>
      </w:r>
      <w:r w:rsidR="008C4D14">
        <w:rPr>
          <w:sz w:val="20"/>
        </w:rPr>
        <w:t xml:space="preserve">using </w:t>
      </w:r>
      <w:r w:rsidRPr="0085301D">
        <w:rPr>
          <w:sz w:val="20"/>
        </w:rPr>
        <w:t xml:space="preserve">forecasted </w:t>
      </w:r>
      <w:r w:rsidR="008C4D14">
        <w:rPr>
          <w:sz w:val="20"/>
        </w:rPr>
        <w:t xml:space="preserve">(2017) </w:t>
      </w:r>
      <w:r w:rsidRPr="0085301D">
        <w:rPr>
          <w:sz w:val="20"/>
        </w:rPr>
        <w:t>loads.)</w:t>
      </w:r>
    </w:p>
    <w:p w:rsidR="0085301D" w:rsidRDefault="0085301D" w:rsidP="00152161">
      <w:pPr>
        <w:pStyle w:val="ListParagraph"/>
        <w:spacing w:after="160" w:line="259" w:lineRule="auto"/>
        <w:ind w:left="0"/>
        <w:contextualSpacing/>
        <w:rPr>
          <w:sz w:val="20"/>
        </w:rPr>
      </w:pPr>
    </w:p>
    <w:p w:rsidR="0085301D" w:rsidRPr="0085301D" w:rsidRDefault="0085301D" w:rsidP="00152161">
      <w:pPr>
        <w:pStyle w:val="ListParagraph"/>
        <w:spacing w:after="160" w:line="259" w:lineRule="auto"/>
        <w:ind w:left="0"/>
        <w:contextualSpacing/>
        <w:rPr>
          <w:b/>
          <w:u w:val="single"/>
        </w:rPr>
      </w:pPr>
      <w:r w:rsidRPr="0085301D">
        <w:rPr>
          <w:b/>
          <w:u w:val="single"/>
        </w:rPr>
        <w:t>Attachment B:</w:t>
      </w:r>
    </w:p>
    <w:p w:rsidR="0085301D" w:rsidRDefault="0085301D" w:rsidP="00152161">
      <w:pPr>
        <w:pStyle w:val="ListParagraph"/>
        <w:spacing w:after="160" w:line="259" w:lineRule="auto"/>
        <w:ind w:left="0"/>
        <w:contextualSpacing/>
      </w:pPr>
      <w:r w:rsidRPr="0085301D">
        <w:rPr>
          <w:u w:val="single"/>
        </w:rPr>
        <w:t>Pages 1-16</w:t>
      </w:r>
      <w:r>
        <w:t xml:space="preserve"> – provides Revised Exhibit No. EMA-7 (2017 electric Attrition model) including the impact of the November power supply update for 2017.  Pages 14-16 provide the power supply update amounts included in the 2017 attrition model, both using test period and forecasted loads. </w:t>
      </w:r>
    </w:p>
    <w:p w:rsidR="0085301D" w:rsidRDefault="0085301D" w:rsidP="0085301D">
      <w:pPr>
        <w:pStyle w:val="ListParagraph"/>
        <w:spacing w:after="160" w:line="259" w:lineRule="auto"/>
        <w:ind w:left="0"/>
        <w:contextualSpacing/>
      </w:pPr>
      <w:r w:rsidRPr="0085301D">
        <w:rPr>
          <w:u w:val="single"/>
        </w:rPr>
        <w:lastRenderedPageBreak/>
        <w:t xml:space="preserve">Pages </w:t>
      </w:r>
      <w:r>
        <w:rPr>
          <w:u w:val="single"/>
        </w:rPr>
        <w:t>17</w:t>
      </w:r>
      <w:r w:rsidRPr="0085301D">
        <w:rPr>
          <w:u w:val="single"/>
        </w:rPr>
        <w:t>-</w:t>
      </w:r>
      <w:r>
        <w:rPr>
          <w:u w:val="single"/>
        </w:rPr>
        <w:t>32</w:t>
      </w:r>
      <w:r>
        <w:t xml:space="preserve"> – provide Revised Exhibit No. EMA-9 (2018 electric Attrition model) including the impact of the November power supply update for the period Jul 2017-Jun 2018.</w:t>
      </w:r>
      <w:r w:rsidRPr="0085301D">
        <w:t xml:space="preserve"> </w:t>
      </w:r>
      <w:r>
        <w:t>Pages 30-32 provide the power supply update amounts included in the 2018 attrition model, both using test period and forecasted loads.</w:t>
      </w:r>
    </w:p>
    <w:p w:rsidR="0085301D" w:rsidRDefault="0085301D" w:rsidP="0085301D">
      <w:pPr>
        <w:pStyle w:val="ListParagraph"/>
        <w:spacing w:after="160" w:line="259" w:lineRule="auto"/>
        <w:ind w:left="0"/>
        <w:contextualSpacing/>
      </w:pPr>
      <w:r w:rsidRPr="0085301D">
        <w:rPr>
          <w:u w:val="single"/>
        </w:rPr>
        <w:t>Pages 33-40</w:t>
      </w:r>
      <w:r>
        <w:t xml:space="preserve"> – provide</w:t>
      </w:r>
      <w:bookmarkStart w:id="0" w:name="_GoBack"/>
      <w:bookmarkEnd w:id="0"/>
      <w:r>
        <w:t xml:space="preserve"> </w:t>
      </w:r>
      <w:r w:rsidR="0067427A">
        <w:t xml:space="preserve">the detail power supply system adjustments (2017 PS </w:t>
      </w:r>
      <w:proofErr w:type="spellStart"/>
      <w:r w:rsidR="0067427A">
        <w:t>Adj</w:t>
      </w:r>
      <w:proofErr w:type="spellEnd"/>
      <w:r w:rsidR="0067427A">
        <w:t xml:space="preserve">, Historical Loads;  2017 PS </w:t>
      </w:r>
      <w:proofErr w:type="spellStart"/>
      <w:r w:rsidR="0067427A">
        <w:t>Adj</w:t>
      </w:r>
      <w:proofErr w:type="spellEnd"/>
      <w:r w:rsidR="0067427A">
        <w:t xml:space="preserve">, Forecasted Loads; Jul 2017-Jun 2018 PS </w:t>
      </w:r>
      <w:proofErr w:type="spellStart"/>
      <w:r w:rsidR="0067427A">
        <w:t>Adj</w:t>
      </w:r>
      <w:proofErr w:type="spellEnd"/>
      <w:r w:rsidR="0067427A">
        <w:t xml:space="preserve">, Historical Loads;  Jul 2017-Jun 2018 PS </w:t>
      </w:r>
      <w:proofErr w:type="spellStart"/>
      <w:r w:rsidR="0067427A">
        <w:t>Adj</w:t>
      </w:r>
      <w:proofErr w:type="spellEnd"/>
      <w:r w:rsidR="0067427A">
        <w:t>, Forecasted Loads).</w:t>
      </w:r>
    </w:p>
    <w:p w:rsidR="0067427A" w:rsidRDefault="0067427A" w:rsidP="0085301D">
      <w:pPr>
        <w:pStyle w:val="ListParagraph"/>
        <w:spacing w:after="160" w:line="259" w:lineRule="auto"/>
        <w:ind w:left="0"/>
        <w:contextualSpacing/>
      </w:pPr>
    </w:p>
    <w:p w:rsidR="0067427A" w:rsidRDefault="0067427A" w:rsidP="0085301D">
      <w:pPr>
        <w:pStyle w:val="ListParagraph"/>
        <w:spacing w:after="160" w:line="259" w:lineRule="auto"/>
        <w:ind w:left="0"/>
        <w:contextualSpacing/>
      </w:pPr>
      <w:r>
        <w:t>Attachment G (non-confidential) – provide electronic (native) workpapers supporting the information described above.</w:t>
      </w:r>
    </w:p>
    <w:p w:rsidR="0067427A" w:rsidRPr="0085301D" w:rsidRDefault="0067427A" w:rsidP="0085301D">
      <w:pPr>
        <w:pStyle w:val="ListParagraph"/>
        <w:spacing w:after="160" w:line="259" w:lineRule="auto"/>
        <w:ind w:left="0"/>
        <w:contextualSpacing/>
      </w:pPr>
    </w:p>
    <w:p w:rsidR="0067427A" w:rsidRDefault="0067427A" w:rsidP="0067427A">
      <w:pPr>
        <w:pStyle w:val="ListParagraph"/>
        <w:spacing w:after="160" w:line="259" w:lineRule="auto"/>
        <w:ind w:left="0"/>
        <w:contextualSpacing/>
      </w:pPr>
      <w:r>
        <w:t>Attachment H (Confidential) – provide confidential electronic (native) workpapers supporting the information described above.</w:t>
      </w:r>
    </w:p>
    <w:p w:rsidR="0085301D" w:rsidRPr="0085301D" w:rsidRDefault="0085301D" w:rsidP="00152161">
      <w:pPr>
        <w:pStyle w:val="ListParagraph"/>
        <w:spacing w:after="160" w:line="259" w:lineRule="auto"/>
        <w:ind w:left="0"/>
        <w:contextualSpacing/>
      </w:pPr>
    </w:p>
    <w:sectPr w:rsidR="0085301D" w:rsidRPr="0085301D" w:rsidSect="00941853">
      <w:headerReference w:type="default" r:id="rId12"/>
      <w:footerReference w:type="default" r:id="rId13"/>
      <w:footerReference w:type="first" r:id="rId14"/>
      <w:pgSz w:w="12240" w:h="15840" w:code="1"/>
      <w:pgMar w:top="72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F1D" w:rsidRDefault="00EB4F1D">
      <w:r>
        <w:separator/>
      </w:r>
    </w:p>
  </w:endnote>
  <w:endnote w:type="continuationSeparator" w:id="0">
    <w:p w:rsidR="00EB4F1D" w:rsidRDefault="00EB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27" w:rsidRDefault="00153627" w:rsidP="00056C6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E384C">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E384C">
      <w:rPr>
        <w:rStyle w:val="PageNumber"/>
        <w:noProof/>
      </w:rPr>
      <w:t>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27" w:rsidRDefault="00153627" w:rsidP="00E64D1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E384C">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F1D" w:rsidRDefault="00EB4F1D">
      <w:r>
        <w:separator/>
      </w:r>
    </w:p>
  </w:footnote>
  <w:footnote w:type="continuationSeparator" w:id="0">
    <w:p w:rsidR="00EB4F1D" w:rsidRDefault="00EB4F1D">
      <w:r>
        <w:continuationSeparator/>
      </w:r>
    </w:p>
  </w:footnote>
  <w:footnote w:id="1">
    <w:p w:rsidR="001A2AC8" w:rsidRDefault="001A2AC8" w:rsidP="001A2AC8">
      <w:pPr>
        <w:pStyle w:val="FootnoteText"/>
        <w:jc w:val="both"/>
      </w:pPr>
      <w:r>
        <w:rPr>
          <w:rStyle w:val="FootnoteReference"/>
        </w:rPr>
        <w:footnoteRef/>
      </w:r>
      <w:r>
        <w:t xml:space="preserve"> As in prior cases, the update to power supply costs not only updates the net power supply costs embedded in retail rates for the rate period, but also resets the Energy Recovery Mechanism (ERM) base for the rate period.  The ERM is design</w:t>
      </w:r>
      <w:r w:rsidR="00576DCF">
        <w:t>ed</w:t>
      </w:r>
      <w:r>
        <w:t xml:space="preserve"> to track the difference between </w:t>
      </w:r>
      <w:r w:rsidR="00442EF6">
        <w:t xml:space="preserve">certain actual </w:t>
      </w:r>
      <w:r>
        <w:t xml:space="preserve">power supply </w:t>
      </w:r>
      <w:r w:rsidR="00442EF6">
        <w:t>revenues and expenses, and the power supply revenues and expense</w:t>
      </w:r>
      <w:r w:rsidR="009844D3">
        <w:t>s</w:t>
      </w:r>
      <w:r w:rsidR="00442EF6">
        <w:t xml:space="preserve"> embedded in retail rates.  Therefore, the ERM base must match the power supply revenues and expenses ultimately approved in base retail rates.</w:t>
      </w:r>
    </w:p>
  </w:footnote>
  <w:footnote w:id="2">
    <w:p w:rsidR="00420D25" w:rsidRDefault="00420D25" w:rsidP="00D97B3E">
      <w:pPr>
        <w:pStyle w:val="FootnoteText"/>
        <w:jc w:val="both"/>
      </w:pPr>
      <w:r>
        <w:rPr>
          <w:rStyle w:val="FootnoteReference"/>
        </w:rPr>
        <w:footnoteRef/>
      </w:r>
      <w:r>
        <w:t xml:space="preserve"> In Avista’s power cost update </w:t>
      </w:r>
      <w:r w:rsidR="00D97B3E">
        <w:t xml:space="preserve">originally </w:t>
      </w:r>
      <w:r>
        <w:t>filed on November 1, 2016</w:t>
      </w:r>
      <w:r w:rsidR="00576DCF">
        <w:t>,</w:t>
      </w:r>
      <w:r>
        <w:t xml:space="preserve"> the Company included only one additional change</w:t>
      </w:r>
      <w:r w:rsidR="00DF3ECB">
        <w:t>, which was</w:t>
      </w:r>
      <w:r>
        <w:t xml:space="preserve"> in response to the testimony filed by ICNU (</w:t>
      </w:r>
      <w:r w:rsidR="00DF3ECB">
        <w:t xml:space="preserve">and </w:t>
      </w:r>
      <w:r>
        <w:t xml:space="preserve">which Avista explained in its rebuttal testimony).  </w:t>
      </w:r>
      <w:r w:rsidR="00692477">
        <w:t>In the originally filed November 1, 2016 power cost update</w:t>
      </w:r>
      <w:r w:rsidR="00576DCF">
        <w:t>,</w:t>
      </w:r>
      <w:r w:rsidR="00692477">
        <w:t xml:space="preserve"> Avista reduced Noxon generation during hours that have negative market prices.  Running Noxon during negative-priced </w:t>
      </w:r>
      <w:proofErr w:type="gramStart"/>
      <w:r w:rsidR="00692477">
        <w:t>hours</w:t>
      </w:r>
      <w:proofErr w:type="gramEnd"/>
      <w:r w:rsidR="00692477">
        <w:t xml:space="preserve"> results in Avista paying other parties to take our generati</w:t>
      </w:r>
      <w:r w:rsidR="00D97B3E">
        <w:t>on.  The adjustment to reduce</w:t>
      </w:r>
      <w:r w:rsidR="00692477">
        <w:t xml:space="preserve"> Noxon generation reduced revenue requirement by $</w:t>
      </w:r>
      <w:r w:rsidR="00D97B3E">
        <w:t xml:space="preserve">202,700 on a system basis.  ICNU was incorrect in its response to Avista’s </w:t>
      </w:r>
      <w:r w:rsidR="000F6018">
        <w:t>M</w:t>
      </w:r>
      <w:r w:rsidR="00D97B3E">
        <w:t>otion</w:t>
      </w:r>
      <w:r w:rsidR="000F6018">
        <w:t xml:space="preserve"> to Supplement Record,</w:t>
      </w:r>
      <w:r w:rsidR="00D97B3E">
        <w:t xml:space="preserve"> in representing that the reduction to Noxon generation increased revenue requirement</w:t>
      </w:r>
      <w:r w:rsidR="000F6018">
        <w:t>; in fact, it did the opposite</w:t>
      </w:r>
      <w:r w:rsidR="00AB77AB">
        <w:t xml:space="preserve"> serving to reduce revenue requirement</w:t>
      </w:r>
      <w:r w:rsidR="00576DCF">
        <w:t>.</w:t>
      </w:r>
      <w:r w:rsidR="00D97B3E">
        <w:t xml:space="preserve">  In this revised power cost update</w:t>
      </w:r>
      <w:r w:rsidR="00AB77AB">
        <w:t>, however,</w:t>
      </w:r>
      <w:r w:rsidR="00D97B3E">
        <w:t xml:space="preserve"> there is no adjustment to Noxon generation from our original filed case</w:t>
      </w:r>
      <w:r w:rsidR="00AB77AB">
        <w:t>, as directed by the Commission</w:t>
      </w:r>
      <w:r w:rsidR="00D97B3E">
        <w:t>.</w:t>
      </w:r>
    </w:p>
  </w:footnote>
  <w:footnote w:id="3">
    <w:p w:rsidR="00240B89" w:rsidRPr="00240B89" w:rsidRDefault="00240B89">
      <w:pPr>
        <w:pStyle w:val="FootnoteText"/>
        <w:rPr>
          <w:b/>
        </w:rPr>
      </w:pPr>
      <w:r>
        <w:rPr>
          <w:rStyle w:val="FootnoteReference"/>
        </w:rPr>
        <w:footnoteRef/>
      </w:r>
      <w:r>
        <w:t xml:space="preserve"> These adjustments for this power cost update </w:t>
      </w:r>
      <w:r w:rsidRPr="001A3D09">
        <w:t>can</w:t>
      </w:r>
      <w:r>
        <w:t xml:space="preserve"> be found in the AURORA files (provided with this response) </w:t>
      </w:r>
      <w:r w:rsidRPr="001A3D09">
        <w:t>by reviewing the “Change Sets” functionality in the AURORA model.</w:t>
      </w:r>
    </w:p>
  </w:footnote>
  <w:footnote w:id="4">
    <w:p w:rsidR="00F057EB" w:rsidRDefault="00F057EB">
      <w:pPr>
        <w:pStyle w:val="FootnoteText"/>
      </w:pPr>
      <w:r>
        <w:rPr>
          <w:rStyle w:val="FootnoteReference"/>
        </w:rPr>
        <w:footnoteRef/>
      </w:r>
      <w:r>
        <w:t xml:space="preserve"> PF Power Supply Adjustment 3.00 was updated by Avista on rebuttal to include the updated Production/Transmission (P/T) ratio of 65.63%, it was otherwise identical to that provided on direct. Use of the updated P/T ratio is </w:t>
      </w:r>
      <w:r w:rsidR="0077330C">
        <w:t xml:space="preserve">also </w:t>
      </w:r>
      <w:r>
        <w:t xml:space="preserve">consistent with that used by WUTC Staff. </w:t>
      </w:r>
    </w:p>
  </w:footnote>
  <w:footnote w:id="5">
    <w:p w:rsidR="00A13E83" w:rsidRDefault="00A13E83" w:rsidP="00C570E8">
      <w:pPr>
        <w:pStyle w:val="FootnoteText"/>
        <w:jc w:val="both"/>
      </w:pPr>
      <w:r>
        <w:rPr>
          <w:rStyle w:val="FootnoteReference"/>
        </w:rPr>
        <w:footnoteRef/>
      </w:r>
      <w:r>
        <w:t xml:space="preserve"> </w:t>
      </w:r>
      <w:r w:rsidRPr="00A13E83">
        <w:t>In its Post Hearing Brief at Page 1, footnote 3, Avista noted that its updated electric revenue need for the six-month period January to June 2018 of $10.5 million was reduced to $9.0 million.  Therefore, Avista’s revised request for rate relief for the first six months of 2018 was $9.0 million.  This has changed to $</w:t>
      </w:r>
      <w:r w:rsidR="00C570E8">
        <w:t>8.9</w:t>
      </w:r>
      <w:r w:rsidRPr="00A13E83">
        <w:t xml:space="preserve"> million, as a result of this revised update to power supply costs.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27" w:rsidRDefault="00153627">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8890DE1"/>
    <w:multiLevelType w:val="hybridMultilevel"/>
    <w:tmpl w:val="58A41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547B"/>
    <w:multiLevelType w:val="hybridMultilevel"/>
    <w:tmpl w:val="26B8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4"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0F696F09"/>
    <w:multiLevelType w:val="multilevel"/>
    <w:tmpl w:val="0F940E86"/>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8B779C"/>
    <w:multiLevelType w:val="hybridMultilevel"/>
    <w:tmpl w:val="80F0FF74"/>
    <w:lvl w:ilvl="0" w:tplc="8376E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1ADE7CF6"/>
    <w:multiLevelType w:val="hybridMultilevel"/>
    <w:tmpl w:val="9AD6A79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1"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2" w15:restartNumberingAfterBreak="0">
    <w:nsid w:val="1E1531B8"/>
    <w:multiLevelType w:val="hybridMultilevel"/>
    <w:tmpl w:val="2B025B9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C409FF"/>
    <w:multiLevelType w:val="hybridMultilevel"/>
    <w:tmpl w:val="681EA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E7F71"/>
    <w:multiLevelType w:val="hybridMultilevel"/>
    <w:tmpl w:val="88C6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E241A"/>
    <w:multiLevelType w:val="hybridMultilevel"/>
    <w:tmpl w:val="407C36D4"/>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7"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31D031B5"/>
    <w:multiLevelType w:val="hybridMultilevel"/>
    <w:tmpl w:val="62DE3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20"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7090D8D"/>
    <w:multiLevelType w:val="hybridMultilevel"/>
    <w:tmpl w:val="E792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3" w15:restartNumberingAfterBreak="0">
    <w:nsid w:val="39372CE4"/>
    <w:multiLevelType w:val="hybridMultilevel"/>
    <w:tmpl w:val="E0BE5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25"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7" w15:restartNumberingAfterBreak="0">
    <w:nsid w:val="4F3C76F1"/>
    <w:multiLevelType w:val="hybridMultilevel"/>
    <w:tmpl w:val="63B821B2"/>
    <w:lvl w:ilvl="0" w:tplc="85382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9"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31"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32" w15:restartNumberingAfterBreak="0">
    <w:nsid w:val="5CB66E54"/>
    <w:multiLevelType w:val="hybridMultilevel"/>
    <w:tmpl w:val="BD74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D6F79"/>
    <w:multiLevelType w:val="hybridMultilevel"/>
    <w:tmpl w:val="E8CE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726ED"/>
    <w:multiLevelType w:val="hybridMultilevel"/>
    <w:tmpl w:val="C0F039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37"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8"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9"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40"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1"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28"/>
  </w:num>
  <w:num w:numId="2">
    <w:abstractNumId w:val="30"/>
  </w:num>
  <w:num w:numId="3">
    <w:abstractNumId w:val="22"/>
  </w:num>
  <w:num w:numId="4">
    <w:abstractNumId w:val="0"/>
  </w:num>
  <w:num w:numId="5">
    <w:abstractNumId w:val="40"/>
  </w:num>
  <w:num w:numId="6">
    <w:abstractNumId w:val="37"/>
  </w:num>
  <w:num w:numId="7">
    <w:abstractNumId w:val="16"/>
  </w:num>
  <w:num w:numId="8">
    <w:abstractNumId w:val="39"/>
  </w:num>
  <w:num w:numId="9">
    <w:abstractNumId w:val="7"/>
  </w:num>
  <w:num w:numId="10">
    <w:abstractNumId w:val="29"/>
  </w:num>
  <w:num w:numId="11">
    <w:abstractNumId w:val="4"/>
  </w:num>
  <w:num w:numId="12">
    <w:abstractNumId w:val="17"/>
  </w:num>
  <w:num w:numId="13">
    <w:abstractNumId w:val="41"/>
  </w:num>
  <w:num w:numId="14">
    <w:abstractNumId w:val="8"/>
  </w:num>
  <w:num w:numId="15">
    <w:abstractNumId w:val="10"/>
  </w:num>
  <w:num w:numId="16">
    <w:abstractNumId w:val="11"/>
  </w:num>
  <w:num w:numId="17">
    <w:abstractNumId w:val="26"/>
  </w:num>
  <w:num w:numId="18">
    <w:abstractNumId w:val="36"/>
  </w:num>
  <w:num w:numId="19">
    <w:abstractNumId w:val="19"/>
  </w:num>
  <w:num w:numId="20">
    <w:abstractNumId w:val="24"/>
  </w:num>
  <w:num w:numId="21">
    <w:abstractNumId w:val="3"/>
  </w:num>
  <w:num w:numId="22">
    <w:abstractNumId w:val="31"/>
  </w:num>
  <w:num w:numId="23">
    <w:abstractNumId w:val="25"/>
  </w:num>
  <w:num w:numId="24">
    <w:abstractNumId w:val="20"/>
  </w:num>
  <w:num w:numId="25">
    <w:abstractNumId w:val="38"/>
  </w:num>
  <w:num w:numId="26">
    <w:abstractNumId w:val="34"/>
  </w:num>
  <w:num w:numId="27">
    <w:abstractNumId w:val="6"/>
  </w:num>
  <w:num w:numId="28">
    <w:abstractNumId w:val="18"/>
  </w:num>
  <w:num w:numId="29">
    <w:abstractNumId w:val="32"/>
  </w:num>
  <w:num w:numId="30">
    <w:abstractNumId w:val="33"/>
  </w:num>
  <w:num w:numId="31">
    <w:abstractNumId w:val="27"/>
  </w:num>
  <w:num w:numId="32">
    <w:abstractNumId w:val="2"/>
  </w:num>
  <w:num w:numId="33">
    <w:abstractNumId w:val="21"/>
  </w:num>
  <w:num w:numId="34">
    <w:abstractNumId w:val="23"/>
  </w:num>
  <w:num w:numId="35">
    <w:abstractNumId w:val="14"/>
  </w:num>
  <w:num w:numId="36">
    <w:abstractNumId w:val="13"/>
  </w:num>
  <w:num w:numId="37">
    <w:abstractNumId w:val="1"/>
  </w:num>
  <w:num w:numId="38">
    <w:abstractNumId w:val="5"/>
  </w:num>
  <w:num w:numId="39">
    <w:abstractNumId w:val="35"/>
  </w:num>
  <w:num w:numId="40">
    <w:abstractNumId w:val="9"/>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5F36"/>
    <w:rsid w:val="000177E6"/>
    <w:rsid w:val="00023B8E"/>
    <w:rsid w:val="0003297E"/>
    <w:rsid w:val="00034101"/>
    <w:rsid w:val="00040BEC"/>
    <w:rsid w:val="00046D30"/>
    <w:rsid w:val="0005038D"/>
    <w:rsid w:val="00052FC4"/>
    <w:rsid w:val="00056C64"/>
    <w:rsid w:val="00081D52"/>
    <w:rsid w:val="000840B6"/>
    <w:rsid w:val="000901C6"/>
    <w:rsid w:val="0009610B"/>
    <w:rsid w:val="00096559"/>
    <w:rsid w:val="000A0BB1"/>
    <w:rsid w:val="000A7F37"/>
    <w:rsid w:val="000E23F1"/>
    <w:rsid w:val="000E629D"/>
    <w:rsid w:val="000E6A94"/>
    <w:rsid w:val="000F243B"/>
    <w:rsid w:val="000F6018"/>
    <w:rsid w:val="000F7076"/>
    <w:rsid w:val="001004DE"/>
    <w:rsid w:val="00103A02"/>
    <w:rsid w:val="00111269"/>
    <w:rsid w:val="0011273E"/>
    <w:rsid w:val="00117C6F"/>
    <w:rsid w:val="0012408C"/>
    <w:rsid w:val="00136EC2"/>
    <w:rsid w:val="00140FBA"/>
    <w:rsid w:val="0015196D"/>
    <w:rsid w:val="00152161"/>
    <w:rsid w:val="00153627"/>
    <w:rsid w:val="001552EE"/>
    <w:rsid w:val="00177390"/>
    <w:rsid w:val="00181362"/>
    <w:rsid w:val="00186A4B"/>
    <w:rsid w:val="00187678"/>
    <w:rsid w:val="001901C1"/>
    <w:rsid w:val="001A1ADA"/>
    <w:rsid w:val="001A2AC8"/>
    <w:rsid w:val="001B54C6"/>
    <w:rsid w:val="001B683B"/>
    <w:rsid w:val="001C1253"/>
    <w:rsid w:val="001C21FE"/>
    <w:rsid w:val="001E06F3"/>
    <w:rsid w:val="001E20C1"/>
    <w:rsid w:val="001E384C"/>
    <w:rsid w:val="001E484E"/>
    <w:rsid w:val="001F2C4B"/>
    <w:rsid w:val="001F6472"/>
    <w:rsid w:val="001F7101"/>
    <w:rsid w:val="002146D9"/>
    <w:rsid w:val="00215C3D"/>
    <w:rsid w:val="00225BD7"/>
    <w:rsid w:val="002318FE"/>
    <w:rsid w:val="00236EDE"/>
    <w:rsid w:val="00240B89"/>
    <w:rsid w:val="0024147B"/>
    <w:rsid w:val="002657D7"/>
    <w:rsid w:val="002677D5"/>
    <w:rsid w:val="00274F86"/>
    <w:rsid w:val="00287E69"/>
    <w:rsid w:val="002B16E6"/>
    <w:rsid w:val="002E310C"/>
    <w:rsid w:val="002E674E"/>
    <w:rsid w:val="00300C49"/>
    <w:rsid w:val="00310290"/>
    <w:rsid w:val="00326626"/>
    <w:rsid w:val="003348C4"/>
    <w:rsid w:val="00344C9A"/>
    <w:rsid w:val="003549BB"/>
    <w:rsid w:val="0036112E"/>
    <w:rsid w:val="00375429"/>
    <w:rsid w:val="00375C8C"/>
    <w:rsid w:val="00383DD3"/>
    <w:rsid w:val="00390064"/>
    <w:rsid w:val="00390849"/>
    <w:rsid w:val="00390AC8"/>
    <w:rsid w:val="003967EF"/>
    <w:rsid w:val="003A6AD1"/>
    <w:rsid w:val="003B4E20"/>
    <w:rsid w:val="003C0AED"/>
    <w:rsid w:val="003C1D9A"/>
    <w:rsid w:val="003C4771"/>
    <w:rsid w:val="003C652A"/>
    <w:rsid w:val="003C7137"/>
    <w:rsid w:val="003E1E1B"/>
    <w:rsid w:val="003E487F"/>
    <w:rsid w:val="003E50F1"/>
    <w:rsid w:val="00402644"/>
    <w:rsid w:val="004049E5"/>
    <w:rsid w:val="00412948"/>
    <w:rsid w:val="00415278"/>
    <w:rsid w:val="00417AA4"/>
    <w:rsid w:val="00420D25"/>
    <w:rsid w:val="00422CC4"/>
    <w:rsid w:val="00425D8F"/>
    <w:rsid w:val="00442EF6"/>
    <w:rsid w:val="00446369"/>
    <w:rsid w:val="00453543"/>
    <w:rsid w:val="004A4969"/>
    <w:rsid w:val="004A7704"/>
    <w:rsid w:val="004B3E11"/>
    <w:rsid w:val="004B55C1"/>
    <w:rsid w:val="004E4EF0"/>
    <w:rsid w:val="004E636C"/>
    <w:rsid w:val="004F03CE"/>
    <w:rsid w:val="004F7DA8"/>
    <w:rsid w:val="00500F1F"/>
    <w:rsid w:val="005039C2"/>
    <w:rsid w:val="005048A8"/>
    <w:rsid w:val="005050C4"/>
    <w:rsid w:val="00514BBA"/>
    <w:rsid w:val="00514E94"/>
    <w:rsid w:val="00537398"/>
    <w:rsid w:val="00544049"/>
    <w:rsid w:val="00547E55"/>
    <w:rsid w:val="0055045F"/>
    <w:rsid w:val="0055679B"/>
    <w:rsid w:val="005655CF"/>
    <w:rsid w:val="00576DCF"/>
    <w:rsid w:val="00577B3C"/>
    <w:rsid w:val="00580215"/>
    <w:rsid w:val="00582F10"/>
    <w:rsid w:val="005906BD"/>
    <w:rsid w:val="00591481"/>
    <w:rsid w:val="005A022B"/>
    <w:rsid w:val="005A0917"/>
    <w:rsid w:val="005A2255"/>
    <w:rsid w:val="005A49F0"/>
    <w:rsid w:val="005B2775"/>
    <w:rsid w:val="005C1EDF"/>
    <w:rsid w:val="005D0485"/>
    <w:rsid w:val="005D15B2"/>
    <w:rsid w:val="005D72D7"/>
    <w:rsid w:val="005E6E5B"/>
    <w:rsid w:val="005F12BE"/>
    <w:rsid w:val="00601B8A"/>
    <w:rsid w:val="006045D3"/>
    <w:rsid w:val="00604FE1"/>
    <w:rsid w:val="00606951"/>
    <w:rsid w:val="0061749F"/>
    <w:rsid w:val="0063375A"/>
    <w:rsid w:val="00633F9B"/>
    <w:rsid w:val="00635781"/>
    <w:rsid w:val="00645030"/>
    <w:rsid w:val="00663AE9"/>
    <w:rsid w:val="00665B8C"/>
    <w:rsid w:val="0067427A"/>
    <w:rsid w:val="0068144C"/>
    <w:rsid w:val="0069040D"/>
    <w:rsid w:val="00692477"/>
    <w:rsid w:val="006B6F61"/>
    <w:rsid w:val="006D14E9"/>
    <w:rsid w:val="006D4960"/>
    <w:rsid w:val="006D5C89"/>
    <w:rsid w:val="006E44C7"/>
    <w:rsid w:val="006F0802"/>
    <w:rsid w:val="006F43F5"/>
    <w:rsid w:val="00705E07"/>
    <w:rsid w:val="00732A01"/>
    <w:rsid w:val="00741CF2"/>
    <w:rsid w:val="00753FE9"/>
    <w:rsid w:val="00754422"/>
    <w:rsid w:val="007615BD"/>
    <w:rsid w:val="00766902"/>
    <w:rsid w:val="0077330C"/>
    <w:rsid w:val="00774C1E"/>
    <w:rsid w:val="007A30D4"/>
    <w:rsid w:val="007B2008"/>
    <w:rsid w:val="007B5EE6"/>
    <w:rsid w:val="007B77C6"/>
    <w:rsid w:val="007C16B0"/>
    <w:rsid w:val="007C4423"/>
    <w:rsid w:val="007D55C5"/>
    <w:rsid w:val="007E3A66"/>
    <w:rsid w:val="007E7ACF"/>
    <w:rsid w:val="008022DE"/>
    <w:rsid w:val="008074FC"/>
    <w:rsid w:val="0084393F"/>
    <w:rsid w:val="0085301D"/>
    <w:rsid w:val="008630ED"/>
    <w:rsid w:val="00865CB7"/>
    <w:rsid w:val="008726D6"/>
    <w:rsid w:val="00873F12"/>
    <w:rsid w:val="008809FB"/>
    <w:rsid w:val="00887DEA"/>
    <w:rsid w:val="008A63B0"/>
    <w:rsid w:val="008B2640"/>
    <w:rsid w:val="008C4D14"/>
    <w:rsid w:val="008D1DFC"/>
    <w:rsid w:val="008D6646"/>
    <w:rsid w:val="008E3932"/>
    <w:rsid w:val="009052D2"/>
    <w:rsid w:val="0091130E"/>
    <w:rsid w:val="00920825"/>
    <w:rsid w:val="009223DF"/>
    <w:rsid w:val="009257B1"/>
    <w:rsid w:val="00933160"/>
    <w:rsid w:val="00935505"/>
    <w:rsid w:val="00941853"/>
    <w:rsid w:val="00957712"/>
    <w:rsid w:val="009714F3"/>
    <w:rsid w:val="009844D3"/>
    <w:rsid w:val="009877F9"/>
    <w:rsid w:val="00990B74"/>
    <w:rsid w:val="009A2415"/>
    <w:rsid w:val="009C3735"/>
    <w:rsid w:val="009D3C7C"/>
    <w:rsid w:val="00A025AD"/>
    <w:rsid w:val="00A06CD9"/>
    <w:rsid w:val="00A13CF4"/>
    <w:rsid w:val="00A13E83"/>
    <w:rsid w:val="00A20BA3"/>
    <w:rsid w:val="00A33F21"/>
    <w:rsid w:val="00A600BD"/>
    <w:rsid w:val="00A6212F"/>
    <w:rsid w:val="00A63012"/>
    <w:rsid w:val="00A82D5A"/>
    <w:rsid w:val="00A939CD"/>
    <w:rsid w:val="00A96A19"/>
    <w:rsid w:val="00AA1046"/>
    <w:rsid w:val="00AA791F"/>
    <w:rsid w:val="00AB5D5A"/>
    <w:rsid w:val="00AB77AB"/>
    <w:rsid w:val="00AE7DAE"/>
    <w:rsid w:val="00AF07F9"/>
    <w:rsid w:val="00AF11E2"/>
    <w:rsid w:val="00AF2929"/>
    <w:rsid w:val="00AF453F"/>
    <w:rsid w:val="00B02427"/>
    <w:rsid w:val="00B157FE"/>
    <w:rsid w:val="00B402E9"/>
    <w:rsid w:val="00B41482"/>
    <w:rsid w:val="00B41B26"/>
    <w:rsid w:val="00B434D8"/>
    <w:rsid w:val="00B440E2"/>
    <w:rsid w:val="00B54121"/>
    <w:rsid w:val="00B63CAB"/>
    <w:rsid w:val="00B6714B"/>
    <w:rsid w:val="00B72352"/>
    <w:rsid w:val="00B74E96"/>
    <w:rsid w:val="00B91E14"/>
    <w:rsid w:val="00BB070F"/>
    <w:rsid w:val="00BD347A"/>
    <w:rsid w:val="00BD5789"/>
    <w:rsid w:val="00C040A5"/>
    <w:rsid w:val="00C06E3F"/>
    <w:rsid w:val="00C35CAB"/>
    <w:rsid w:val="00C570E8"/>
    <w:rsid w:val="00C60ACE"/>
    <w:rsid w:val="00C61D53"/>
    <w:rsid w:val="00C73FA6"/>
    <w:rsid w:val="00C75017"/>
    <w:rsid w:val="00C83E18"/>
    <w:rsid w:val="00C95A14"/>
    <w:rsid w:val="00CA15F9"/>
    <w:rsid w:val="00CC6B87"/>
    <w:rsid w:val="00CD4D4E"/>
    <w:rsid w:val="00CE4CEC"/>
    <w:rsid w:val="00CE65D0"/>
    <w:rsid w:val="00D07360"/>
    <w:rsid w:val="00D23836"/>
    <w:rsid w:val="00D36EAB"/>
    <w:rsid w:val="00D376F6"/>
    <w:rsid w:val="00D40664"/>
    <w:rsid w:val="00D41724"/>
    <w:rsid w:val="00D67E81"/>
    <w:rsid w:val="00D75120"/>
    <w:rsid w:val="00D77A4E"/>
    <w:rsid w:val="00D824F1"/>
    <w:rsid w:val="00D97B3E"/>
    <w:rsid w:val="00DA234F"/>
    <w:rsid w:val="00DB4781"/>
    <w:rsid w:val="00DD3D12"/>
    <w:rsid w:val="00DD4DD7"/>
    <w:rsid w:val="00DD79C5"/>
    <w:rsid w:val="00DE5D38"/>
    <w:rsid w:val="00DF3ECB"/>
    <w:rsid w:val="00E26051"/>
    <w:rsid w:val="00E404F2"/>
    <w:rsid w:val="00E43DB3"/>
    <w:rsid w:val="00E466C7"/>
    <w:rsid w:val="00E512F0"/>
    <w:rsid w:val="00E541F5"/>
    <w:rsid w:val="00E549EC"/>
    <w:rsid w:val="00E61503"/>
    <w:rsid w:val="00E64D12"/>
    <w:rsid w:val="00E670FE"/>
    <w:rsid w:val="00E74D6E"/>
    <w:rsid w:val="00E84C7F"/>
    <w:rsid w:val="00E85413"/>
    <w:rsid w:val="00E940D9"/>
    <w:rsid w:val="00E94E42"/>
    <w:rsid w:val="00EA2239"/>
    <w:rsid w:val="00EB4F1D"/>
    <w:rsid w:val="00EC0065"/>
    <w:rsid w:val="00EC527F"/>
    <w:rsid w:val="00ED4173"/>
    <w:rsid w:val="00ED6C6D"/>
    <w:rsid w:val="00EE30BA"/>
    <w:rsid w:val="00F057EB"/>
    <w:rsid w:val="00F06D34"/>
    <w:rsid w:val="00F10734"/>
    <w:rsid w:val="00F21D97"/>
    <w:rsid w:val="00F268AE"/>
    <w:rsid w:val="00F34878"/>
    <w:rsid w:val="00F430DD"/>
    <w:rsid w:val="00F44B42"/>
    <w:rsid w:val="00F45461"/>
    <w:rsid w:val="00F71B29"/>
    <w:rsid w:val="00F731E6"/>
    <w:rsid w:val="00FA3CCC"/>
    <w:rsid w:val="00FA4AFD"/>
    <w:rsid w:val="00FC099B"/>
    <w:rsid w:val="00FC1828"/>
    <w:rsid w:val="00FD0578"/>
    <w:rsid w:val="00FD0FBD"/>
    <w:rsid w:val="00FD159D"/>
    <w:rsid w:val="00FD536A"/>
    <w:rsid w:val="00FD6FAC"/>
    <w:rsid w:val="00FF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A0D36-504F-426C-888F-CB3E4042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lin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tabs>
        <w:tab w:val="left" w:pos="1890"/>
        <w:tab w:val="left" w:pos="4320"/>
        <w:tab w:val="left" w:pos="6390"/>
      </w:tabs>
      <w:outlineLvl w:val="0"/>
    </w:pPr>
    <w:rPr>
      <w:sz w:val="24"/>
      <w:szCs w:val="24"/>
    </w:rPr>
  </w:style>
  <w:style w:type="paragraph" w:styleId="Heading2">
    <w:name w:val="heading 2"/>
    <w:basedOn w:val="Normal"/>
    <w:next w:val="Normal"/>
    <w:qFormat/>
    <w:pPr>
      <w:keepNext/>
      <w:ind w:right="540"/>
      <w:jc w:val="center"/>
      <w:outlineLvl w:val="1"/>
    </w:pPr>
    <w:rPr>
      <w:b/>
      <w:bCs/>
      <w:sz w:val="24"/>
      <w:szCs w:val="24"/>
    </w:rPr>
  </w:style>
  <w:style w:type="paragraph" w:styleId="Heading3">
    <w:name w:val="heading 3"/>
    <w:basedOn w:val="Normal"/>
    <w:next w:val="Normal"/>
    <w:qFormat/>
    <w:pPr>
      <w:keepNext/>
      <w:ind w:right="180"/>
      <w:jc w:val="center"/>
      <w:outlineLvl w:val="2"/>
    </w:pPr>
    <w:rPr>
      <w:b/>
      <w:bCs/>
      <w:sz w:val="24"/>
      <w:szCs w:val="24"/>
    </w:rPr>
  </w:style>
  <w:style w:type="paragraph" w:styleId="Heading4">
    <w:name w:val="heading 4"/>
    <w:basedOn w:val="Normal"/>
    <w:next w:val="Normal"/>
    <w:qFormat/>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PlainText">
    <w:name w:val="Plain Text"/>
    <w:basedOn w:val="Normal"/>
    <w:rPr>
      <w:rFonts w:ascii="Courier New" w:hAnsi="Courier New" w:cs="Courier New"/>
    </w:rPr>
  </w:style>
  <w:style w:type="paragraph" w:styleId="BodyText2">
    <w:name w:val="Body Text 2"/>
    <w:basedOn w:val="Normal"/>
    <w:pPr>
      <w:tabs>
        <w:tab w:val="left" w:pos="1890"/>
        <w:tab w:val="left" w:pos="4320"/>
        <w:tab w:val="left" w:pos="6480"/>
      </w:tabs>
      <w:jc w:val="both"/>
    </w:pPr>
  </w:style>
  <w:style w:type="paragraph" w:styleId="BodyTextIndent2">
    <w:name w:val="Body Text Indent 2"/>
    <w:basedOn w:val="Normal"/>
    <w:pPr>
      <w:tabs>
        <w:tab w:val="left" w:pos="720"/>
        <w:tab w:val="left" w:pos="1890"/>
        <w:tab w:val="left" w:pos="4320"/>
        <w:tab w:val="left" w:pos="6480"/>
      </w:tabs>
      <w:ind w:left="720"/>
    </w:pPr>
    <w:rPr>
      <w:sz w:val="24"/>
      <w:szCs w:val="24"/>
    </w:rPr>
  </w:style>
  <w:style w:type="paragraph" w:styleId="BodyText">
    <w:name w:val="Body Text"/>
    <w:basedOn w:val="Normal"/>
    <w:pPr>
      <w:tabs>
        <w:tab w:val="left" w:pos="1890"/>
        <w:tab w:val="left" w:pos="4320"/>
        <w:tab w:val="left" w:pos="6480"/>
      </w:tabs>
    </w:pPr>
    <w:rPr>
      <w:sz w:val="24"/>
      <w:szCs w:val="24"/>
    </w:rPr>
  </w:style>
  <w:style w:type="character" w:styleId="Hyperlink">
    <w:name w:val="Hyperlink"/>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5906BD"/>
  </w:style>
  <w:style w:type="character" w:styleId="FootnoteReference">
    <w:name w:val="footnote reference"/>
    <w:aliases w:val="o,fr,Style 3,Style 13,Style 12,Style 15,Style 17,Style 9,o1,fr1,o2,fr2,o3,fr3,Style 18,(NECG) Footnote Reference,Style 20,Style 7,Style 8,Style 19,Style 28,Style 11,Style 16,Styl,Style 39,Style 24,Style 30,Style 6,Sty,o2...,Style 21"/>
    <w:uiPriority w:val="99"/>
    <w:qFormat/>
    <w:rsid w:val="005906BD"/>
    <w:rPr>
      <w:rFonts w:cs="Times New Roman"/>
      <w:vertAlign w:val="superscript"/>
    </w:rPr>
  </w:style>
  <w:style w:type="paragraph" w:styleId="ListParagraph">
    <w:name w:val="List Paragraph"/>
    <w:basedOn w:val="Normal"/>
    <w:uiPriority w:val="34"/>
    <w:qFormat/>
    <w:rsid w:val="00390064"/>
    <w:pPr>
      <w:autoSpaceDE/>
      <w:autoSpaceDN/>
      <w:ind w:left="720"/>
    </w:pPr>
    <w:rPr>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link w:val="FootnoteText"/>
    <w:uiPriority w:val="99"/>
    <w:rsid w:val="0069040D"/>
  </w:style>
  <w:style w:type="paragraph" w:customStyle="1" w:styleId="Default">
    <w:name w:val="Default"/>
    <w:rsid w:val="00186A4B"/>
    <w:pPr>
      <w:autoSpaceDE w:val="0"/>
      <w:autoSpaceDN w:val="0"/>
      <w:adjustRightInd w:val="0"/>
    </w:pPr>
    <w:rPr>
      <w:color w:val="000000"/>
      <w:sz w:val="24"/>
      <w:szCs w:val="24"/>
    </w:rPr>
  </w:style>
  <w:style w:type="character" w:styleId="LineNumber">
    <w:name w:val="line number"/>
    <w:uiPriority w:val="99"/>
    <w:rsid w:val="00354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866286385">
      <w:bodyDiv w:val="1"/>
      <w:marLeft w:val="0"/>
      <w:marRight w:val="0"/>
      <w:marTop w:val="0"/>
      <w:marBottom w:val="0"/>
      <w:divBdr>
        <w:top w:val="none" w:sz="0" w:space="0" w:color="auto"/>
        <w:left w:val="none" w:sz="0" w:space="0" w:color="auto"/>
        <w:bottom w:val="none" w:sz="0" w:space="0" w:color="auto"/>
        <w:right w:val="none" w:sz="0" w:space="0" w:color="auto"/>
      </w:divBdr>
    </w:div>
    <w:div w:id="20067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2016-11-28T08:00:00+00:00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9A0CCA-315D-47D5-93FC-EAE5CB13C87D}">
  <ds:schemaRefs>
    <ds:schemaRef ds:uri="http://schemas.openxmlformats.org/officeDocument/2006/bibliography"/>
  </ds:schemaRefs>
</ds:datastoreItem>
</file>

<file path=customXml/itemProps2.xml><?xml version="1.0" encoding="utf-8"?>
<ds:datastoreItem xmlns:ds="http://schemas.openxmlformats.org/officeDocument/2006/customXml" ds:itemID="{0D5FF6CE-D79F-48B4-A0B5-CD1DDF59F06F}"/>
</file>

<file path=customXml/itemProps3.xml><?xml version="1.0" encoding="utf-8"?>
<ds:datastoreItem xmlns:ds="http://schemas.openxmlformats.org/officeDocument/2006/customXml" ds:itemID="{0CC714C2-81FC-4BE3-8029-861E6A920ED5}"/>
</file>

<file path=customXml/itemProps4.xml><?xml version="1.0" encoding="utf-8"?>
<ds:datastoreItem xmlns:ds="http://schemas.openxmlformats.org/officeDocument/2006/customXml" ds:itemID="{7EC003D1-C205-4C1E-A4F0-A118520B03B9}"/>
</file>

<file path=customXml/itemProps5.xml><?xml version="1.0" encoding="utf-8"?>
<ds:datastoreItem xmlns:ds="http://schemas.openxmlformats.org/officeDocument/2006/customXml" ds:itemID="{74547EDD-67EB-4B9A-AB45-49C5F66C5996}"/>
</file>

<file path=docProps/app.xml><?xml version="1.0" encoding="utf-8"?>
<Properties xmlns="http://schemas.openxmlformats.org/officeDocument/2006/extended-properties" xmlns:vt="http://schemas.openxmlformats.org/officeDocument/2006/docPropsVTypes">
  <Template>Normal.dotm</Template>
  <TotalTime>105</TotalTime>
  <Pages>5</Pages>
  <Words>1218</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Ehrbar, Pat</cp:lastModifiedBy>
  <cp:revision>10</cp:revision>
  <cp:lastPrinted>2016-11-28T22:55:00Z</cp:lastPrinted>
  <dcterms:created xsi:type="dcterms:W3CDTF">2016-11-28T18:52:00Z</dcterms:created>
  <dcterms:modified xsi:type="dcterms:W3CDTF">2016-11-28T22:55:00Z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