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74ED6" w14:textId="77777777" w:rsidR="00501FFC" w:rsidRDefault="00501FFC" w:rsidP="00F748D8">
      <w:pPr>
        <w:tabs>
          <w:tab w:val="center" w:pos="4680"/>
        </w:tabs>
        <w:ind w:right="-108" w:hanging="180"/>
        <w:jc w:val="both"/>
        <w:rPr>
          <w:sz w:val="24"/>
        </w:rPr>
      </w:pPr>
    </w:p>
    <w:p w14:paraId="76583F68" w14:textId="77777777" w:rsidR="00501FFC" w:rsidRDefault="00501FFC" w:rsidP="00F748D8">
      <w:pPr>
        <w:tabs>
          <w:tab w:val="center" w:pos="4680"/>
        </w:tabs>
        <w:ind w:right="-108" w:hanging="180"/>
        <w:jc w:val="both"/>
        <w:rPr>
          <w:sz w:val="24"/>
        </w:rPr>
      </w:pPr>
    </w:p>
    <w:p w14:paraId="3285668D" w14:textId="77777777" w:rsidR="00501FFC" w:rsidRDefault="00501FFC" w:rsidP="00F748D8">
      <w:pPr>
        <w:tabs>
          <w:tab w:val="center" w:pos="4680"/>
        </w:tabs>
        <w:ind w:right="-108" w:hanging="180"/>
        <w:jc w:val="both"/>
        <w:rPr>
          <w:sz w:val="24"/>
        </w:rPr>
      </w:pPr>
    </w:p>
    <w:p w14:paraId="42BC0D1C" w14:textId="77777777" w:rsidR="00501FFC" w:rsidRDefault="00501FFC" w:rsidP="00F748D8">
      <w:pPr>
        <w:tabs>
          <w:tab w:val="center" w:pos="4680"/>
        </w:tabs>
        <w:ind w:right="-108" w:hanging="180"/>
        <w:jc w:val="both"/>
        <w:rPr>
          <w:sz w:val="24"/>
        </w:rPr>
      </w:pPr>
    </w:p>
    <w:p w14:paraId="434FB580" w14:textId="77777777" w:rsidR="00501FFC" w:rsidRDefault="00501FFC" w:rsidP="00F748D8">
      <w:pPr>
        <w:tabs>
          <w:tab w:val="center" w:pos="4680"/>
        </w:tabs>
        <w:ind w:right="-108" w:hanging="180"/>
        <w:jc w:val="both"/>
        <w:rPr>
          <w:sz w:val="24"/>
        </w:rPr>
      </w:pPr>
    </w:p>
    <w:p w14:paraId="63F2D088" w14:textId="77777777" w:rsidR="00471ED5" w:rsidRPr="00471ED5" w:rsidRDefault="00471ED5" w:rsidP="00471ED5">
      <w:pPr>
        <w:pStyle w:val="Header"/>
        <w:spacing w:line="240" w:lineRule="exact"/>
        <w:rPr>
          <w:sz w:val="24"/>
        </w:rPr>
      </w:pPr>
      <w:r w:rsidRPr="00471ED5">
        <w:rPr>
          <w:sz w:val="24"/>
        </w:rPr>
        <w:t>BEFORE THE WASHINGTON UTILITIES AND TRANSPORTATION COMMISSION</w:t>
      </w:r>
    </w:p>
    <w:p w14:paraId="7536D3DC" w14:textId="77777777" w:rsidR="00471ED5" w:rsidRPr="00471ED5" w:rsidRDefault="00471ED5" w:rsidP="00471ED5">
      <w:pPr>
        <w:pStyle w:val="Header"/>
        <w:spacing w:line="240" w:lineRule="exact"/>
        <w:rPr>
          <w:sz w:val="24"/>
        </w:rPr>
      </w:pPr>
    </w:p>
    <w:p w14:paraId="536A92AF" w14:textId="77777777" w:rsidR="00471ED5" w:rsidRPr="00471ED5" w:rsidRDefault="00471ED5" w:rsidP="00471ED5">
      <w:pPr>
        <w:pStyle w:val="Header"/>
        <w:spacing w:line="240" w:lineRule="exact"/>
        <w:rPr>
          <w:sz w:val="24"/>
        </w:rPr>
      </w:pPr>
    </w:p>
    <w:tbl>
      <w:tblPr>
        <w:tblW w:w="0" w:type="dxa"/>
        <w:tblInd w:w="124" w:type="dxa"/>
        <w:tblLayout w:type="fixed"/>
        <w:tblCellMar>
          <w:left w:w="124" w:type="dxa"/>
          <w:right w:w="124" w:type="dxa"/>
        </w:tblCellMar>
        <w:tblLook w:val="04A0" w:firstRow="1" w:lastRow="0" w:firstColumn="1" w:lastColumn="0" w:noHBand="0" w:noVBand="1"/>
      </w:tblPr>
      <w:tblGrid>
        <w:gridCol w:w="4458"/>
        <w:gridCol w:w="4722"/>
      </w:tblGrid>
      <w:tr w:rsidR="00471ED5" w:rsidRPr="00471ED5" w14:paraId="21885151" w14:textId="77777777" w:rsidTr="00471ED5">
        <w:tc>
          <w:tcPr>
            <w:tcW w:w="4458" w:type="dxa"/>
            <w:tcBorders>
              <w:top w:val="single" w:sz="6" w:space="0" w:color="FFFFFF"/>
              <w:left w:val="single" w:sz="6" w:space="0" w:color="FFFFFF"/>
              <w:bottom w:val="single" w:sz="8" w:space="0" w:color="000000"/>
              <w:right w:val="single" w:sz="6" w:space="0" w:color="FFFFFF"/>
            </w:tcBorders>
          </w:tcPr>
          <w:p w14:paraId="3A8A35D7" w14:textId="77777777" w:rsidR="00471ED5" w:rsidRPr="00471ED5" w:rsidRDefault="00471ED5">
            <w:pPr>
              <w:pStyle w:val="Header"/>
              <w:tabs>
                <w:tab w:val="left" w:pos="681"/>
                <w:tab w:val="left" w:pos="1401"/>
              </w:tabs>
              <w:rPr>
                <w:sz w:val="24"/>
              </w:rPr>
            </w:pPr>
            <w:r w:rsidRPr="00471ED5">
              <w:rPr>
                <w:sz w:val="24"/>
              </w:rPr>
              <w:t>In the Matter of the Penalty Assessment against</w:t>
            </w:r>
          </w:p>
          <w:p w14:paraId="63405305" w14:textId="77777777" w:rsidR="00471ED5" w:rsidRPr="00471ED5" w:rsidRDefault="00471ED5">
            <w:pPr>
              <w:pStyle w:val="Header"/>
              <w:tabs>
                <w:tab w:val="left" w:pos="681"/>
                <w:tab w:val="left" w:pos="1401"/>
              </w:tabs>
              <w:rPr>
                <w:sz w:val="24"/>
              </w:rPr>
            </w:pPr>
          </w:p>
          <w:p w14:paraId="35BDBF75" w14:textId="77777777" w:rsidR="00471ED5" w:rsidRPr="00471ED5" w:rsidRDefault="00471ED5">
            <w:pPr>
              <w:pStyle w:val="Header"/>
              <w:tabs>
                <w:tab w:val="left" w:pos="681"/>
                <w:tab w:val="left" w:pos="1401"/>
              </w:tabs>
              <w:rPr>
                <w:sz w:val="24"/>
              </w:rPr>
            </w:pPr>
            <w:r w:rsidRPr="00471ED5">
              <w:rPr>
                <w:sz w:val="24"/>
              </w:rPr>
              <w:t>WASTE MANAGEMENT OF WASHINGTON, INC.</w:t>
            </w:r>
          </w:p>
          <w:p w14:paraId="4B66C0C6" w14:textId="77777777" w:rsidR="00471ED5" w:rsidRPr="00471ED5" w:rsidRDefault="00471ED5">
            <w:pPr>
              <w:pStyle w:val="Header"/>
              <w:tabs>
                <w:tab w:val="left" w:pos="681"/>
                <w:tab w:val="left" w:pos="1401"/>
              </w:tabs>
              <w:rPr>
                <w:sz w:val="24"/>
              </w:rPr>
            </w:pPr>
          </w:p>
          <w:p w14:paraId="3FFE3A88" w14:textId="77777777" w:rsidR="00471ED5" w:rsidRPr="00471ED5" w:rsidRDefault="00471ED5">
            <w:pPr>
              <w:pStyle w:val="Header"/>
              <w:tabs>
                <w:tab w:val="left" w:pos="681"/>
                <w:tab w:val="left" w:pos="1401"/>
              </w:tabs>
              <w:rPr>
                <w:sz w:val="24"/>
              </w:rPr>
            </w:pPr>
            <w:r w:rsidRPr="00471ED5">
              <w:rPr>
                <w:sz w:val="24"/>
              </w:rPr>
              <w:t>In the amount of $47,700</w:t>
            </w:r>
          </w:p>
          <w:p w14:paraId="17183BA4" w14:textId="77777777" w:rsidR="00471ED5" w:rsidRPr="00471ED5" w:rsidRDefault="00471ED5">
            <w:pPr>
              <w:pStyle w:val="Header"/>
              <w:tabs>
                <w:tab w:val="left" w:pos="681"/>
                <w:tab w:val="left" w:pos="1401"/>
              </w:tabs>
              <w:rPr>
                <w:sz w:val="24"/>
              </w:rPr>
            </w:pPr>
          </w:p>
        </w:tc>
        <w:tc>
          <w:tcPr>
            <w:tcW w:w="4722" w:type="dxa"/>
            <w:tcBorders>
              <w:top w:val="single" w:sz="6" w:space="0" w:color="FFFFFF"/>
              <w:left w:val="single" w:sz="8" w:space="0" w:color="000000"/>
              <w:bottom w:val="single" w:sz="6" w:space="0" w:color="FFFFFF"/>
              <w:right w:val="single" w:sz="6" w:space="0" w:color="FFFFFF"/>
            </w:tcBorders>
          </w:tcPr>
          <w:p w14:paraId="17B4B9F4" w14:textId="77777777" w:rsidR="00471ED5" w:rsidRPr="00471ED5" w:rsidRDefault="00471ED5">
            <w:pPr>
              <w:pStyle w:val="Header"/>
              <w:ind w:left="416"/>
              <w:rPr>
                <w:sz w:val="24"/>
              </w:rPr>
            </w:pPr>
            <w:r w:rsidRPr="00471ED5">
              <w:rPr>
                <w:sz w:val="24"/>
              </w:rPr>
              <w:t>DOCKET TG-190495</w:t>
            </w:r>
          </w:p>
          <w:p w14:paraId="0B4E8209" w14:textId="77777777" w:rsidR="00471ED5" w:rsidRPr="00471ED5" w:rsidRDefault="00471ED5">
            <w:pPr>
              <w:pStyle w:val="Header"/>
              <w:ind w:left="416"/>
              <w:rPr>
                <w:sz w:val="24"/>
              </w:rPr>
            </w:pPr>
          </w:p>
          <w:p w14:paraId="5DDF562E" w14:textId="3D4291FF" w:rsidR="00471ED5" w:rsidRPr="00471ED5" w:rsidRDefault="00471ED5">
            <w:pPr>
              <w:pStyle w:val="BodyTextIndent2"/>
              <w:ind w:left="416"/>
              <w:rPr>
                <w:rFonts w:ascii="Times New Roman" w:hAnsi="Times New Roman"/>
              </w:rPr>
            </w:pPr>
            <w:r w:rsidRPr="00471ED5">
              <w:rPr>
                <w:rFonts w:ascii="Times New Roman" w:hAnsi="Times New Roman"/>
              </w:rPr>
              <w:t>COMMISSION STAFF</w:t>
            </w:r>
            <w:r w:rsidR="002667ED">
              <w:rPr>
                <w:rFonts w:ascii="Times New Roman" w:hAnsi="Times New Roman"/>
              </w:rPr>
              <w:t>’S</w:t>
            </w:r>
            <w:r w:rsidRPr="00471ED5">
              <w:rPr>
                <w:rFonts w:ascii="Times New Roman" w:hAnsi="Times New Roman"/>
              </w:rPr>
              <w:t xml:space="preserve"> </w:t>
            </w:r>
            <w:r w:rsidR="002667ED">
              <w:rPr>
                <w:rFonts w:ascii="Times New Roman" w:hAnsi="Times New Roman"/>
              </w:rPr>
              <w:t>REPLY</w:t>
            </w:r>
            <w:r w:rsidRPr="00471ED5">
              <w:rPr>
                <w:rFonts w:ascii="Times New Roman" w:hAnsi="Times New Roman"/>
              </w:rPr>
              <w:t xml:space="preserve"> TO WASTE MANAGEMENT </w:t>
            </w:r>
            <w:r w:rsidR="002667ED">
              <w:rPr>
                <w:rFonts w:ascii="Times New Roman" w:hAnsi="Times New Roman"/>
              </w:rPr>
              <w:t>OF WASHINGTON, INC.’S RESPONSE TO PENALTY ASSESSMENT</w:t>
            </w:r>
            <w:r w:rsidRPr="00471ED5">
              <w:rPr>
                <w:rFonts w:ascii="Times New Roman" w:hAnsi="Times New Roman"/>
              </w:rPr>
              <w:t xml:space="preserve"> </w:t>
            </w:r>
          </w:p>
          <w:p w14:paraId="5BFA046B" w14:textId="77777777" w:rsidR="00471ED5" w:rsidRPr="00471ED5" w:rsidRDefault="00471ED5">
            <w:pPr>
              <w:pStyle w:val="Header"/>
              <w:ind w:left="416"/>
              <w:rPr>
                <w:sz w:val="24"/>
              </w:rPr>
            </w:pPr>
          </w:p>
        </w:tc>
      </w:tr>
    </w:tbl>
    <w:p w14:paraId="05A45F1B" w14:textId="77777777" w:rsidR="00471ED5" w:rsidRDefault="00471ED5" w:rsidP="00471ED5">
      <w:pPr>
        <w:pStyle w:val="Header"/>
      </w:pPr>
    </w:p>
    <w:p w14:paraId="0DE137A6" w14:textId="4713D42E" w:rsidR="00F748D8" w:rsidRPr="002667ED" w:rsidRDefault="00065387" w:rsidP="00DB0545">
      <w:pPr>
        <w:pStyle w:val="ListParagraph"/>
        <w:ind w:left="0"/>
        <w:jc w:val="center"/>
        <w:rPr>
          <w:b/>
          <w:sz w:val="24"/>
        </w:rPr>
      </w:pPr>
      <w:r>
        <w:rPr>
          <w:b/>
          <w:sz w:val="24"/>
        </w:rPr>
        <w:t>BACKGROUND</w:t>
      </w:r>
    </w:p>
    <w:p w14:paraId="266BC618" w14:textId="77777777" w:rsidR="002667ED" w:rsidRDefault="002667ED" w:rsidP="00F748D8">
      <w:pPr>
        <w:jc w:val="both"/>
        <w:rPr>
          <w:sz w:val="24"/>
        </w:rPr>
      </w:pPr>
    </w:p>
    <w:p w14:paraId="47910D7C" w14:textId="0A8CA148" w:rsidR="00276950" w:rsidRDefault="00AF7FB4" w:rsidP="00145E34">
      <w:pPr>
        <w:numPr>
          <w:ilvl w:val="0"/>
          <w:numId w:val="2"/>
        </w:numPr>
        <w:spacing w:line="480" w:lineRule="auto"/>
        <w:jc w:val="both"/>
        <w:rPr>
          <w:sz w:val="24"/>
        </w:rPr>
      </w:pPr>
      <w:r>
        <w:rPr>
          <w:sz w:val="24"/>
        </w:rPr>
        <w:tab/>
      </w:r>
      <w:r w:rsidR="00276950">
        <w:rPr>
          <w:sz w:val="24"/>
        </w:rPr>
        <w:t xml:space="preserve">In March 2019, Special Investigator Wayne Gilbert of the Washington Utilities and Transportation Commission (Commission) initiated a routine safety investigation of Waste Management of Washington, Inc. (WM or Company) for the purpose of determining the safety fitness of the Company as set forth in Title 49 Code of Federal Regulations (CFR) </w:t>
      </w:r>
      <w:r w:rsidR="00BB7394">
        <w:rPr>
          <w:sz w:val="24"/>
        </w:rPr>
        <w:t>and adopted under Washington law</w:t>
      </w:r>
      <w:r w:rsidR="00276950">
        <w:rPr>
          <w:sz w:val="24"/>
        </w:rPr>
        <w:t>.</w:t>
      </w:r>
    </w:p>
    <w:p w14:paraId="2433E839" w14:textId="1E0E98C0" w:rsidR="00145E34" w:rsidRPr="00145E34" w:rsidRDefault="00AF7FB4" w:rsidP="00145E34">
      <w:pPr>
        <w:numPr>
          <w:ilvl w:val="0"/>
          <w:numId w:val="2"/>
        </w:numPr>
        <w:spacing w:line="480" w:lineRule="auto"/>
        <w:jc w:val="both"/>
        <w:rPr>
          <w:sz w:val="24"/>
        </w:rPr>
      </w:pPr>
      <w:r>
        <w:rPr>
          <w:sz w:val="24"/>
        </w:rPr>
        <w:tab/>
      </w:r>
      <w:r w:rsidR="00553B7A" w:rsidRPr="00BE1518">
        <w:rPr>
          <w:sz w:val="24"/>
        </w:rPr>
        <w:t xml:space="preserve">On </w:t>
      </w:r>
      <w:r w:rsidR="00BE1518" w:rsidRPr="00BE1518">
        <w:rPr>
          <w:sz w:val="24"/>
        </w:rPr>
        <w:t>June 11, 2019</w:t>
      </w:r>
      <w:r w:rsidR="00553B7A" w:rsidRPr="00BE1518">
        <w:rPr>
          <w:sz w:val="24"/>
        </w:rPr>
        <w:t xml:space="preserve">, </w:t>
      </w:r>
      <w:r w:rsidR="00BA469A">
        <w:rPr>
          <w:sz w:val="24"/>
        </w:rPr>
        <w:t xml:space="preserve">during a closing interview, </w:t>
      </w:r>
      <w:r w:rsidR="00276950">
        <w:rPr>
          <w:sz w:val="24"/>
        </w:rPr>
        <w:t xml:space="preserve">Investigator Gilbert notified the Company of </w:t>
      </w:r>
      <w:r w:rsidR="00276950" w:rsidRPr="00145E34">
        <w:rPr>
          <w:sz w:val="24"/>
        </w:rPr>
        <w:t>violations discovered in the investigative report.</w:t>
      </w:r>
      <w:r w:rsidR="003F755A">
        <w:rPr>
          <w:rStyle w:val="FootnoteReference"/>
          <w:sz w:val="24"/>
        </w:rPr>
        <w:footnoteReference w:id="1"/>
      </w:r>
      <w:r w:rsidR="00BA469A" w:rsidRPr="00145E34">
        <w:rPr>
          <w:sz w:val="24"/>
        </w:rPr>
        <w:t xml:space="preserve">  </w:t>
      </w:r>
      <w:r w:rsidR="00145E34" w:rsidRPr="00145E34">
        <w:rPr>
          <w:sz w:val="24"/>
        </w:rPr>
        <w:t>The report documented the following violations:</w:t>
      </w:r>
    </w:p>
    <w:p w14:paraId="15B3ADF8" w14:textId="045ECD98" w:rsidR="00145E34" w:rsidRPr="00145E34" w:rsidRDefault="00B13303" w:rsidP="00AF7FB4">
      <w:pPr>
        <w:pStyle w:val="ListParagraph"/>
        <w:widowControl/>
        <w:numPr>
          <w:ilvl w:val="1"/>
          <w:numId w:val="2"/>
        </w:numPr>
        <w:tabs>
          <w:tab w:val="left" w:pos="720"/>
        </w:tabs>
        <w:autoSpaceDE/>
        <w:autoSpaceDN/>
        <w:adjustRightInd/>
        <w:spacing w:line="480" w:lineRule="auto"/>
        <w:ind w:left="720"/>
        <w:jc w:val="both"/>
        <w:rPr>
          <w:sz w:val="24"/>
        </w:rPr>
      </w:pPr>
      <w:r>
        <w:rPr>
          <w:b/>
          <w:sz w:val="24"/>
        </w:rPr>
        <w:t xml:space="preserve">199 </w:t>
      </w:r>
      <w:r w:rsidR="00EB0D09">
        <w:rPr>
          <w:b/>
          <w:sz w:val="24"/>
        </w:rPr>
        <w:t xml:space="preserve">acute </w:t>
      </w:r>
      <w:r>
        <w:rPr>
          <w:b/>
          <w:sz w:val="24"/>
        </w:rPr>
        <w:t>violations of 49 CFR</w:t>
      </w:r>
      <w:r w:rsidR="00145E34" w:rsidRPr="00145E34">
        <w:rPr>
          <w:b/>
          <w:sz w:val="24"/>
        </w:rPr>
        <w:t xml:space="preserve"> Part</w:t>
      </w:r>
      <w:r w:rsidR="00145E34" w:rsidRPr="00145E34">
        <w:rPr>
          <w:sz w:val="24"/>
        </w:rPr>
        <w:t xml:space="preserve"> </w:t>
      </w:r>
      <w:r w:rsidR="00145E34" w:rsidRPr="00145E34">
        <w:rPr>
          <w:b/>
          <w:sz w:val="24"/>
        </w:rPr>
        <w:t>383.37(a)</w:t>
      </w:r>
      <w:r w:rsidR="005D4486">
        <w:rPr>
          <w:sz w:val="24"/>
        </w:rPr>
        <w:t xml:space="preserve"> – </w:t>
      </w:r>
      <w:r w:rsidR="00145E34" w:rsidRPr="00145E34">
        <w:rPr>
          <w:sz w:val="24"/>
        </w:rPr>
        <w:t xml:space="preserve">Knowingly allowing, requiring, permitting, or authorizing an employee to operate a </w:t>
      </w:r>
      <w:r w:rsidR="005D4486">
        <w:rPr>
          <w:sz w:val="24"/>
        </w:rPr>
        <w:t>commercial motor vehicle</w:t>
      </w:r>
      <w:r w:rsidR="00145E34" w:rsidRPr="00145E34">
        <w:rPr>
          <w:sz w:val="24"/>
        </w:rPr>
        <w:t xml:space="preserve"> during any period in which the driver does not have a current </w:t>
      </w:r>
      <w:r w:rsidR="005D4486">
        <w:rPr>
          <w:sz w:val="24"/>
        </w:rPr>
        <w:t>commercial driver license</w:t>
      </w:r>
      <w:r w:rsidR="00145E34" w:rsidRPr="00145E34">
        <w:rPr>
          <w:sz w:val="24"/>
        </w:rPr>
        <w:t xml:space="preserve"> or does not have a </w:t>
      </w:r>
      <w:r w:rsidR="005D4486">
        <w:rPr>
          <w:sz w:val="24"/>
        </w:rPr>
        <w:t>commercial driver license</w:t>
      </w:r>
      <w:r w:rsidR="005D4486" w:rsidRPr="00145E34">
        <w:rPr>
          <w:sz w:val="24"/>
        </w:rPr>
        <w:t xml:space="preserve"> </w:t>
      </w:r>
      <w:r w:rsidR="00145E34" w:rsidRPr="00145E34">
        <w:rPr>
          <w:sz w:val="24"/>
        </w:rPr>
        <w:t>with the proper class or endorsements.</w:t>
      </w:r>
      <w:r w:rsidR="0030187A">
        <w:rPr>
          <w:sz w:val="24"/>
        </w:rPr>
        <w:t xml:space="preserve">  </w:t>
      </w:r>
      <w:r w:rsidR="006370BE">
        <w:rPr>
          <w:sz w:val="24"/>
        </w:rPr>
        <w:lastRenderedPageBreak/>
        <w:t xml:space="preserve">Specifically: (1) Reese </w:t>
      </w:r>
      <w:proofErr w:type="spellStart"/>
      <w:r w:rsidR="006370BE">
        <w:rPr>
          <w:sz w:val="24"/>
        </w:rPr>
        <w:t>Penhollow</w:t>
      </w:r>
      <w:proofErr w:type="spellEnd"/>
      <w:r w:rsidR="006370BE">
        <w:rPr>
          <w:sz w:val="24"/>
        </w:rPr>
        <w:t xml:space="preserve"> drove with a downgraded commercial driver license on 126 occasions between September 14, 2018, and March 25, 2019; and (2) Jason Troupe drove with a downgraded commercial driver license on 73 occasions between November 11, 2018 and March 25, 2019.</w:t>
      </w:r>
      <w:r w:rsidR="00320CE6">
        <w:rPr>
          <w:sz w:val="24"/>
        </w:rPr>
        <w:t xml:space="preserve"> </w:t>
      </w:r>
    </w:p>
    <w:p w14:paraId="27698A3F" w14:textId="4401ED40" w:rsidR="00145E34" w:rsidRPr="00145E34" w:rsidRDefault="00B13303" w:rsidP="00AF7FB4">
      <w:pPr>
        <w:pStyle w:val="ListParagraph"/>
        <w:widowControl/>
        <w:numPr>
          <w:ilvl w:val="1"/>
          <w:numId w:val="2"/>
        </w:numPr>
        <w:tabs>
          <w:tab w:val="clear" w:pos="1440"/>
          <w:tab w:val="num" w:pos="720"/>
        </w:tabs>
        <w:autoSpaceDE/>
        <w:autoSpaceDN/>
        <w:adjustRightInd/>
        <w:spacing w:line="480" w:lineRule="auto"/>
        <w:ind w:left="720"/>
        <w:jc w:val="both"/>
        <w:rPr>
          <w:sz w:val="24"/>
        </w:rPr>
      </w:pPr>
      <w:r>
        <w:rPr>
          <w:b/>
          <w:sz w:val="24"/>
        </w:rPr>
        <w:t xml:space="preserve">274 </w:t>
      </w:r>
      <w:r w:rsidR="00EB0D09">
        <w:rPr>
          <w:b/>
          <w:sz w:val="24"/>
        </w:rPr>
        <w:t xml:space="preserve">critical </w:t>
      </w:r>
      <w:r>
        <w:rPr>
          <w:b/>
          <w:sz w:val="24"/>
        </w:rPr>
        <w:t>violations of 49 CFR</w:t>
      </w:r>
      <w:r w:rsidR="00145E34" w:rsidRPr="00145E34">
        <w:rPr>
          <w:b/>
          <w:sz w:val="24"/>
        </w:rPr>
        <w:t xml:space="preserve"> Part 391.45(a)</w:t>
      </w:r>
      <w:r w:rsidR="005D4486">
        <w:rPr>
          <w:sz w:val="24"/>
        </w:rPr>
        <w:t xml:space="preserve"> – </w:t>
      </w:r>
      <w:r w:rsidR="00145E34" w:rsidRPr="00145E34">
        <w:rPr>
          <w:sz w:val="24"/>
        </w:rPr>
        <w:t>Using a driver not medically examined and certified.</w:t>
      </w:r>
      <w:r w:rsidR="0030187A">
        <w:rPr>
          <w:sz w:val="24"/>
        </w:rPr>
        <w:t xml:space="preserve"> </w:t>
      </w:r>
      <w:r w:rsidR="0030187A" w:rsidRPr="0030187A">
        <w:rPr>
          <w:sz w:val="24"/>
        </w:rPr>
        <w:t xml:space="preserve"> </w:t>
      </w:r>
      <w:r w:rsidR="006370BE">
        <w:rPr>
          <w:sz w:val="24"/>
        </w:rPr>
        <w:t xml:space="preserve">Specifically, the Company allowed six of its drivers to drive without having been medically examined and certified: (1) Scott Crandall drove a total of nine times without a medical certificate between March 4, 2019 and March 25, 2019; (2) Errin Ellington drove a total of eight times without a medical certificate between November 20, 2019 and November 29, 2019; (3) Arnulfo Garcia drove a total of 115 times without a medical certificate between October 1, 2018 and April 3, 2019; (4) Adam Petereit drove a total of 76 times without a medical certificate between November 26, 2018 and  April 3, 2019; (5) Donald Phillips, Jr. drove a total of 62 times without a medical certificate between January 3, 2019 and April 15, 2019; and (6) Aaron Hutchison drove a total of four times without a medical certificate between January 14, 2019 and January 17, 2019. </w:t>
      </w:r>
    </w:p>
    <w:p w14:paraId="11C98698" w14:textId="69995B7A" w:rsidR="00145E34" w:rsidRPr="00145E34" w:rsidRDefault="00145E34" w:rsidP="00AF7FB4">
      <w:pPr>
        <w:pStyle w:val="ListParagraph"/>
        <w:widowControl/>
        <w:numPr>
          <w:ilvl w:val="1"/>
          <w:numId w:val="2"/>
        </w:numPr>
        <w:tabs>
          <w:tab w:val="clear" w:pos="1440"/>
          <w:tab w:val="num" w:pos="720"/>
        </w:tabs>
        <w:autoSpaceDE/>
        <w:autoSpaceDN/>
        <w:adjustRightInd/>
        <w:spacing w:line="480" w:lineRule="auto"/>
        <w:ind w:left="720"/>
        <w:jc w:val="both"/>
        <w:rPr>
          <w:sz w:val="24"/>
        </w:rPr>
      </w:pPr>
      <w:r w:rsidRPr="00145E34">
        <w:rPr>
          <w:b/>
          <w:sz w:val="24"/>
        </w:rPr>
        <w:t>1 violation o</w:t>
      </w:r>
      <w:r w:rsidR="00B13303">
        <w:rPr>
          <w:b/>
          <w:sz w:val="24"/>
        </w:rPr>
        <w:t>f 49 CFR</w:t>
      </w:r>
      <w:r w:rsidRPr="00145E34">
        <w:rPr>
          <w:b/>
          <w:sz w:val="24"/>
        </w:rPr>
        <w:t xml:space="preserve"> Part 391.51(b</w:t>
      </w:r>
      <w:proofErr w:type="gramStart"/>
      <w:r w:rsidRPr="00145E34">
        <w:rPr>
          <w:b/>
          <w:sz w:val="24"/>
        </w:rPr>
        <w:t>)(</w:t>
      </w:r>
      <w:proofErr w:type="gramEnd"/>
      <w:r w:rsidRPr="00145E34">
        <w:rPr>
          <w:b/>
          <w:sz w:val="24"/>
        </w:rPr>
        <w:t>2)</w:t>
      </w:r>
      <w:r w:rsidR="005D4486">
        <w:rPr>
          <w:sz w:val="24"/>
        </w:rPr>
        <w:t xml:space="preserve"> – </w:t>
      </w:r>
      <w:r w:rsidRPr="00145E34">
        <w:rPr>
          <w:sz w:val="24"/>
        </w:rPr>
        <w:t>Failing to maintain general requirements for driver qualification file.</w:t>
      </w:r>
      <w:r w:rsidR="0030187A">
        <w:rPr>
          <w:sz w:val="24"/>
        </w:rPr>
        <w:t xml:space="preserve"> </w:t>
      </w:r>
      <w:bookmarkStart w:id="0" w:name="_GoBack"/>
      <w:bookmarkEnd w:id="0"/>
      <w:r w:rsidR="006370BE">
        <w:rPr>
          <w:sz w:val="24"/>
        </w:rPr>
        <w:t xml:space="preserve">Specifically, </w:t>
      </w:r>
      <w:r w:rsidR="001C5FE2">
        <w:rPr>
          <w:sz w:val="24"/>
        </w:rPr>
        <w:t xml:space="preserve">for one of its drivers, </w:t>
      </w:r>
      <w:r w:rsidR="006370BE">
        <w:rPr>
          <w:sz w:val="24"/>
        </w:rPr>
        <w:t xml:space="preserve">the Company failed to maintain inquiries into </w:t>
      </w:r>
      <w:r w:rsidR="001C5FE2">
        <w:rPr>
          <w:sz w:val="24"/>
        </w:rPr>
        <w:t>the driver’s driving record in the driver qualification file</w:t>
      </w:r>
      <w:r w:rsidR="0030187A">
        <w:rPr>
          <w:sz w:val="24"/>
        </w:rPr>
        <w:t>.</w:t>
      </w:r>
    </w:p>
    <w:p w14:paraId="7B3D2A57" w14:textId="79C68FB6" w:rsidR="00145E34" w:rsidRPr="00145E34" w:rsidRDefault="00145E34" w:rsidP="00AF7FB4">
      <w:pPr>
        <w:pStyle w:val="ListParagraph"/>
        <w:widowControl/>
        <w:numPr>
          <w:ilvl w:val="1"/>
          <w:numId w:val="2"/>
        </w:numPr>
        <w:tabs>
          <w:tab w:val="clear" w:pos="1440"/>
          <w:tab w:val="num" w:pos="720"/>
        </w:tabs>
        <w:autoSpaceDE/>
        <w:autoSpaceDN/>
        <w:adjustRightInd/>
        <w:spacing w:line="480" w:lineRule="auto"/>
        <w:ind w:left="720"/>
        <w:jc w:val="both"/>
        <w:rPr>
          <w:sz w:val="24"/>
        </w:rPr>
      </w:pPr>
      <w:r w:rsidRPr="00145E34">
        <w:rPr>
          <w:b/>
          <w:sz w:val="24"/>
        </w:rPr>
        <w:t>4 viol</w:t>
      </w:r>
      <w:r w:rsidR="00B13303">
        <w:rPr>
          <w:b/>
          <w:sz w:val="24"/>
        </w:rPr>
        <w:t>ations of 49 CFR</w:t>
      </w:r>
      <w:r w:rsidRPr="00145E34">
        <w:rPr>
          <w:b/>
          <w:sz w:val="24"/>
        </w:rPr>
        <w:t xml:space="preserve"> Part 396.3(a</w:t>
      </w:r>
      <w:proofErr w:type="gramStart"/>
      <w:r w:rsidRPr="00145E34">
        <w:rPr>
          <w:b/>
          <w:sz w:val="24"/>
        </w:rPr>
        <w:t>)(</w:t>
      </w:r>
      <w:proofErr w:type="gramEnd"/>
      <w:r w:rsidRPr="00145E34">
        <w:rPr>
          <w:b/>
          <w:sz w:val="24"/>
        </w:rPr>
        <w:t>1)</w:t>
      </w:r>
      <w:r w:rsidR="005D4486">
        <w:rPr>
          <w:sz w:val="24"/>
        </w:rPr>
        <w:t xml:space="preserve"> – </w:t>
      </w:r>
      <w:r w:rsidRPr="00145E34">
        <w:rPr>
          <w:sz w:val="24"/>
        </w:rPr>
        <w:t>Parts and accessories shall be in safe and proper operating condition at all times.</w:t>
      </w:r>
      <w:r w:rsidR="001C5FE2">
        <w:rPr>
          <w:sz w:val="24"/>
        </w:rPr>
        <w:t xml:space="preserve"> Specifically, four vehicles were placed out of service, one because the left tire on axle one was making contact with the drag link </w:t>
      </w:r>
      <w:r w:rsidR="001C5FE2">
        <w:rPr>
          <w:sz w:val="24"/>
        </w:rPr>
        <w:lastRenderedPageBreak/>
        <w:t>when making right turns, and three because 20 percent or more of each vehicle’s service brakes were defective.</w:t>
      </w:r>
    </w:p>
    <w:p w14:paraId="45ACC6C7" w14:textId="00B0C431" w:rsidR="00BE1518" w:rsidRDefault="00AF7FB4" w:rsidP="00145E34">
      <w:pPr>
        <w:numPr>
          <w:ilvl w:val="0"/>
          <w:numId w:val="2"/>
        </w:numPr>
        <w:spacing w:line="480" w:lineRule="auto"/>
        <w:jc w:val="both"/>
        <w:rPr>
          <w:sz w:val="24"/>
        </w:rPr>
      </w:pPr>
      <w:r>
        <w:rPr>
          <w:sz w:val="24"/>
        </w:rPr>
        <w:tab/>
      </w:r>
      <w:r w:rsidR="00BE1518" w:rsidRPr="00145E34">
        <w:rPr>
          <w:sz w:val="24"/>
        </w:rPr>
        <w:t>O</w:t>
      </w:r>
      <w:r w:rsidR="00320CE6">
        <w:rPr>
          <w:sz w:val="24"/>
        </w:rPr>
        <w:t>n July 10, 2019, the Commission issued a Notice of Penalties Incurred and Due for Violations of Laws and Rules (Notice)</w:t>
      </w:r>
      <w:r w:rsidR="00BE1518" w:rsidRPr="00145E34">
        <w:rPr>
          <w:sz w:val="24"/>
        </w:rPr>
        <w:t>.</w:t>
      </w:r>
      <w:r w:rsidR="00320CE6">
        <w:rPr>
          <w:sz w:val="24"/>
        </w:rPr>
        <w:t xml:space="preserve">  In the Notice, the Commission set forth the above-described violations and assessed a $47,000 penalty against the Company:</w:t>
      </w:r>
    </w:p>
    <w:p w14:paraId="76D9EA97" w14:textId="5084D314" w:rsidR="00320CE6" w:rsidRPr="00B0208B" w:rsidRDefault="00320CE6" w:rsidP="00320CE6">
      <w:pPr>
        <w:pStyle w:val="ListParagraph"/>
        <w:widowControl/>
        <w:numPr>
          <w:ilvl w:val="1"/>
          <w:numId w:val="2"/>
        </w:numPr>
        <w:autoSpaceDE/>
        <w:autoSpaceDN/>
        <w:adjustRightInd/>
        <w:spacing w:line="480" w:lineRule="auto"/>
        <w:ind w:left="720"/>
        <w:jc w:val="both"/>
        <w:rPr>
          <w:sz w:val="24"/>
        </w:rPr>
      </w:pPr>
      <w:r w:rsidRPr="00B0208B">
        <w:rPr>
          <w:sz w:val="24"/>
        </w:rPr>
        <w:t xml:space="preserve">$19,900 for </w:t>
      </w:r>
      <w:r w:rsidR="00B0208B">
        <w:rPr>
          <w:sz w:val="24"/>
        </w:rPr>
        <w:t xml:space="preserve">the </w:t>
      </w:r>
      <w:r w:rsidR="00B13303">
        <w:rPr>
          <w:sz w:val="24"/>
        </w:rPr>
        <w:t>199 violations of 49 CFR</w:t>
      </w:r>
      <w:r w:rsidRPr="00B0208B">
        <w:rPr>
          <w:sz w:val="24"/>
        </w:rPr>
        <w:t xml:space="preserve"> Part 383.37(a);</w:t>
      </w:r>
    </w:p>
    <w:p w14:paraId="2109AA67" w14:textId="2DA09E9A" w:rsidR="00320CE6" w:rsidRPr="00B0208B" w:rsidRDefault="00320CE6" w:rsidP="00320CE6">
      <w:pPr>
        <w:pStyle w:val="ListParagraph"/>
        <w:widowControl/>
        <w:numPr>
          <w:ilvl w:val="1"/>
          <w:numId w:val="2"/>
        </w:numPr>
        <w:autoSpaceDE/>
        <w:autoSpaceDN/>
        <w:adjustRightInd/>
        <w:spacing w:line="480" w:lineRule="auto"/>
        <w:ind w:left="720"/>
        <w:jc w:val="both"/>
        <w:rPr>
          <w:sz w:val="24"/>
        </w:rPr>
      </w:pPr>
      <w:r w:rsidRPr="00B0208B">
        <w:rPr>
          <w:sz w:val="24"/>
        </w:rPr>
        <w:t xml:space="preserve">$27,400 for </w:t>
      </w:r>
      <w:r w:rsidR="00B0208B">
        <w:rPr>
          <w:sz w:val="24"/>
        </w:rPr>
        <w:t xml:space="preserve">the </w:t>
      </w:r>
      <w:r w:rsidR="00B13303">
        <w:rPr>
          <w:sz w:val="24"/>
        </w:rPr>
        <w:t>274 violations of 49 CFR</w:t>
      </w:r>
      <w:r w:rsidR="0006732F">
        <w:rPr>
          <w:sz w:val="24"/>
        </w:rPr>
        <w:t xml:space="preserve"> Part 391.45(a); and,</w:t>
      </w:r>
    </w:p>
    <w:p w14:paraId="54F13DF3" w14:textId="1CAC1F48" w:rsidR="00656FFC" w:rsidRPr="00B0208B" w:rsidRDefault="00320CE6" w:rsidP="00656FFC">
      <w:pPr>
        <w:pStyle w:val="ListParagraph"/>
        <w:widowControl/>
        <w:numPr>
          <w:ilvl w:val="1"/>
          <w:numId w:val="2"/>
        </w:numPr>
        <w:autoSpaceDE/>
        <w:autoSpaceDN/>
        <w:adjustRightInd/>
        <w:spacing w:line="480" w:lineRule="auto"/>
        <w:ind w:left="720"/>
        <w:jc w:val="both"/>
        <w:rPr>
          <w:sz w:val="24"/>
        </w:rPr>
      </w:pPr>
      <w:r w:rsidRPr="00B0208B">
        <w:rPr>
          <w:sz w:val="24"/>
        </w:rPr>
        <w:t xml:space="preserve">$400 for </w:t>
      </w:r>
      <w:r w:rsidR="00B0208B">
        <w:rPr>
          <w:sz w:val="24"/>
        </w:rPr>
        <w:t xml:space="preserve">the </w:t>
      </w:r>
      <w:r w:rsidRPr="00B0208B">
        <w:rPr>
          <w:sz w:val="24"/>
        </w:rPr>
        <w:t>four violations of</w:t>
      </w:r>
      <w:r w:rsidR="00B13303">
        <w:rPr>
          <w:sz w:val="24"/>
        </w:rPr>
        <w:t xml:space="preserve"> 49 CFR</w:t>
      </w:r>
      <w:r w:rsidRPr="00B0208B">
        <w:rPr>
          <w:sz w:val="24"/>
        </w:rPr>
        <w:t xml:space="preserve"> Part 396.3(a</w:t>
      </w:r>
      <w:proofErr w:type="gramStart"/>
      <w:r w:rsidRPr="00B0208B">
        <w:rPr>
          <w:sz w:val="24"/>
        </w:rPr>
        <w:t>)(</w:t>
      </w:r>
      <w:proofErr w:type="gramEnd"/>
      <w:r w:rsidRPr="00B0208B">
        <w:rPr>
          <w:sz w:val="24"/>
        </w:rPr>
        <w:t>1)</w:t>
      </w:r>
      <w:r w:rsidR="008B7420" w:rsidRPr="00B0208B">
        <w:rPr>
          <w:sz w:val="24"/>
        </w:rPr>
        <w:t>.</w:t>
      </w:r>
      <w:r w:rsidR="008B7420" w:rsidRPr="00B0208B">
        <w:rPr>
          <w:rStyle w:val="FootnoteReference"/>
          <w:sz w:val="24"/>
        </w:rPr>
        <w:footnoteReference w:id="2"/>
      </w:r>
    </w:p>
    <w:p w14:paraId="3A9E1A3F" w14:textId="377AFA55" w:rsidR="002E2EBD" w:rsidRDefault="00AF7FB4" w:rsidP="00F748D8">
      <w:pPr>
        <w:numPr>
          <w:ilvl w:val="0"/>
          <w:numId w:val="2"/>
        </w:numPr>
        <w:spacing w:line="480" w:lineRule="auto"/>
        <w:jc w:val="both"/>
        <w:rPr>
          <w:sz w:val="24"/>
        </w:rPr>
      </w:pPr>
      <w:r>
        <w:rPr>
          <w:sz w:val="24"/>
        </w:rPr>
        <w:tab/>
      </w:r>
      <w:r w:rsidR="00553B7A" w:rsidRPr="00145E34">
        <w:rPr>
          <w:sz w:val="24"/>
        </w:rPr>
        <w:t xml:space="preserve">On </w:t>
      </w:r>
      <w:r w:rsidR="00656FFC">
        <w:rPr>
          <w:sz w:val="24"/>
        </w:rPr>
        <w:t>July 25, 2019</w:t>
      </w:r>
      <w:r w:rsidR="00553B7A" w:rsidRPr="00145E34">
        <w:rPr>
          <w:sz w:val="24"/>
        </w:rPr>
        <w:t xml:space="preserve">, </w:t>
      </w:r>
      <w:r w:rsidR="00656FFC">
        <w:rPr>
          <w:sz w:val="24"/>
        </w:rPr>
        <w:t>the Company filed its Response to Penalty Assessment (Response) in this Docket</w:t>
      </w:r>
      <w:r w:rsidR="00553B7A" w:rsidRPr="00B41000">
        <w:rPr>
          <w:sz w:val="24"/>
        </w:rPr>
        <w:t>.</w:t>
      </w:r>
      <w:r w:rsidR="00656FFC">
        <w:rPr>
          <w:sz w:val="24"/>
        </w:rPr>
        <w:t xml:space="preserve">  In the </w:t>
      </w:r>
      <w:r w:rsidR="00B0208B">
        <w:rPr>
          <w:sz w:val="24"/>
        </w:rPr>
        <w:t xml:space="preserve">Response, the Company did not contest the violations </w:t>
      </w:r>
      <w:r w:rsidR="00AA0C66">
        <w:rPr>
          <w:sz w:val="24"/>
        </w:rPr>
        <w:t xml:space="preserve">of </w:t>
      </w:r>
      <w:r w:rsidR="00B13303">
        <w:rPr>
          <w:sz w:val="24"/>
        </w:rPr>
        <w:t>49 CFR</w:t>
      </w:r>
      <w:r w:rsidR="00B0208B">
        <w:rPr>
          <w:sz w:val="24"/>
        </w:rPr>
        <w:t xml:space="preserve"> Parts 383.37(a), 391.51(b</w:t>
      </w:r>
      <w:proofErr w:type="gramStart"/>
      <w:r w:rsidR="00B0208B">
        <w:rPr>
          <w:sz w:val="24"/>
        </w:rPr>
        <w:t>)(</w:t>
      </w:r>
      <w:proofErr w:type="gramEnd"/>
      <w:r w:rsidR="00B0208B">
        <w:rPr>
          <w:sz w:val="24"/>
        </w:rPr>
        <w:t>2), or 396.3(a)(1)</w:t>
      </w:r>
      <w:r w:rsidR="00B67B9C">
        <w:rPr>
          <w:sz w:val="24"/>
        </w:rPr>
        <w:t xml:space="preserve"> as alleged by the Commission</w:t>
      </w:r>
      <w:r w:rsidR="00B0208B">
        <w:rPr>
          <w:sz w:val="24"/>
        </w:rPr>
        <w:t xml:space="preserve">.  Instead, </w:t>
      </w:r>
      <w:r w:rsidR="007D5E22">
        <w:rPr>
          <w:sz w:val="24"/>
        </w:rPr>
        <w:t xml:space="preserve">the Company admitted these violations and requested </w:t>
      </w:r>
      <w:r w:rsidR="005E03D9">
        <w:rPr>
          <w:sz w:val="24"/>
        </w:rPr>
        <w:t>that the Commission mitigate penalties</w:t>
      </w:r>
      <w:r w:rsidR="007D5E22">
        <w:rPr>
          <w:sz w:val="24"/>
        </w:rPr>
        <w:t xml:space="preserve">. </w:t>
      </w:r>
      <w:r w:rsidR="007D5E22" w:rsidRPr="007D5E22">
        <w:rPr>
          <w:i/>
          <w:sz w:val="24"/>
        </w:rPr>
        <w:t>See</w:t>
      </w:r>
      <w:r w:rsidR="007D5E22">
        <w:rPr>
          <w:i/>
          <w:sz w:val="24"/>
        </w:rPr>
        <w:t xml:space="preserve"> </w:t>
      </w:r>
      <w:r w:rsidR="007D5E22">
        <w:rPr>
          <w:sz w:val="24"/>
        </w:rPr>
        <w:t xml:space="preserve">§ II </w:t>
      </w:r>
      <w:r w:rsidR="007D5E22" w:rsidRPr="007D5E22">
        <w:rPr>
          <w:i/>
          <w:sz w:val="24"/>
        </w:rPr>
        <w:t>infra</w:t>
      </w:r>
      <w:r w:rsidR="00B0208B">
        <w:rPr>
          <w:sz w:val="24"/>
        </w:rPr>
        <w:t>.</w:t>
      </w:r>
      <w:r w:rsidR="00B67B9C">
        <w:rPr>
          <w:sz w:val="24"/>
        </w:rPr>
        <w:t xml:space="preserve">  However, the Company contested 253 of</w:t>
      </w:r>
      <w:r w:rsidR="00B13303">
        <w:rPr>
          <w:sz w:val="24"/>
        </w:rPr>
        <w:t xml:space="preserve"> the 274 violations of 49 CFR</w:t>
      </w:r>
      <w:r w:rsidR="00B67B9C">
        <w:rPr>
          <w:sz w:val="24"/>
        </w:rPr>
        <w:t xml:space="preserve"> Part 391.45(a)</w:t>
      </w:r>
      <w:r w:rsidR="00697F1E">
        <w:rPr>
          <w:sz w:val="24"/>
        </w:rPr>
        <w:t xml:space="preserve"> based on </w:t>
      </w:r>
      <w:r w:rsidR="00F411E7">
        <w:rPr>
          <w:sz w:val="24"/>
        </w:rPr>
        <w:t>the</w:t>
      </w:r>
      <w:r w:rsidR="002E2EBD">
        <w:rPr>
          <w:sz w:val="24"/>
        </w:rPr>
        <w:t xml:space="preserve"> following</w:t>
      </w:r>
      <w:r w:rsidR="00F411E7">
        <w:rPr>
          <w:sz w:val="24"/>
        </w:rPr>
        <w:t xml:space="preserve"> definition of “motor vehicle” in </w:t>
      </w:r>
      <w:r w:rsidR="00CB1BFB">
        <w:rPr>
          <w:sz w:val="24"/>
        </w:rPr>
        <w:t xml:space="preserve">Revised Code of Washington (RCW) 81.77.010(1) and </w:t>
      </w:r>
      <w:r w:rsidR="0006732F">
        <w:rPr>
          <w:sz w:val="24"/>
        </w:rPr>
        <w:t xml:space="preserve">a similar definition in </w:t>
      </w:r>
      <w:r w:rsidR="00B13303">
        <w:rPr>
          <w:sz w:val="24"/>
        </w:rPr>
        <w:t xml:space="preserve">Washington Administrative Code (WAC) </w:t>
      </w:r>
      <w:r w:rsidR="00CB1BFB">
        <w:rPr>
          <w:sz w:val="24"/>
        </w:rPr>
        <w:t>480-</w:t>
      </w:r>
      <w:r w:rsidR="0006732F">
        <w:rPr>
          <w:sz w:val="24"/>
        </w:rPr>
        <w:t>70-041:</w:t>
      </w:r>
      <w:r w:rsidR="005A6D70">
        <w:rPr>
          <w:sz w:val="24"/>
        </w:rPr>
        <w:t xml:space="preserve">  </w:t>
      </w:r>
    </w:p>
    <w:p w14:paraId="7831B104" w14:textId="1993F4C1" w:rsidR="002E2EBD" w:rsidRDefault="001B74D4" w:rsidP="00AF7FB4">
      <w:pPr>
        <w:ind w:left="720" w:right="648"/>
        <w:jc w:val="both"/>
        <w:rPr>
          <w:sz w:val="24"/>
        </w:rPr>
      </w:pPr>
      <w:r>
        <w:rPr>
          <w:sz w:val="24"/>
        </w:rPr>
        <w:t>‘Motor vehicl</w:t>
      </w:r>
      <w:r w:rsidR="00CB1BFB">
        <w:rPr>
          <w:sz w:val="24"/>
        </w:rPr>
        <w:t>e</w:t>
      </w:r>
      <w:r>
        <w:rPr>
          <w:sz w:val="24"/>
        </w:rPr>
        <w:t>’</w:t>
      </w:r>
      <w:r w:rsidRPr="001B74D4">
        <w:rPr>
          <w:sz w:val="24"/>
        </w:rPr>
        <w:t xml:space="preserve"> means any truck, trailer, semitrailer, tractor, or any self-propelled or motor driven vehicle used upon any public highway of this state </w:t>
      </w:r>
      <w:r w:rsidRPr="0006732F">
        <w:rPr>
          <w:b/>
          <w:i/>
          <w:sz w:val="24"/>
        </w:rPr>
        <w:t>for the purpose of transporting solid waste</w:t>
      </w:r>
      <w:r w:rsidRPr="001B74D4">
        <w:rPr>
          <w:sz w:val="24"/>
        </w:rPr>
        <w:t>, for the collection or disposa</w:t>
      </w:r>
      <w:r w:rsidR="00CB1BFB">
        <w:rPr>
          <w:sz w:val="24"/>
        </w:rPr>
        <w:t>l, or both, of solid waste</w:t>
      </w:r>
      <w:r w:rsidR="002E2EBD">
        <w:rPr>
          <w:sz w:val="24"/>
        </w:rPr>
        <w:t>.</w:t>
      </w:r>
      <w:r w:rsidR="0006732F">
        <w:rPr>
          <w:rStyle w:val="FootnoteReference"/>
          <w:sz w:val="24"/>
        </w:rPr>
        <w:footnoteReference w:id="3"/>
      </w:r>
    </w:p>
    <w:p w14:paraId="7EF9F71A" w14:textId="77777777" w:rsidR="00AF7FB4" w:rsidRDefault="00AF7FB4" w:rsidP="00AF7FB4">
      <w:pPr>
        <w:ind w:right="648"/>
        <w:jc w:val="both"/>
        <w:rPr>
          <w:sz w:val="24"/>
        </w:rPr>
      </w:pPr>
    </w:p>
    <w:p w14:paraId="1704852B" w14:textId="24D26C53" w:rsidR="00553B7A" w:rsidRPr="00B41000" w:rsidRDefault="00697F1E" w:rsidP="002E2EBD">
      <w:pPr>
        <w:spacing w:line="480" w:lineRule="auto"/>
        <w:jc w:val="both"/>
        <w:rPr>
          <w:sz w:val="24"/>
        </w:rPr>
      </w:pPr>
      <w:r>
        <w:rPr>
          <w:sz w:val="24"/>
        </w:rPr>
        <w:t>WM</w:t>
      </w:r>
      <w:r w:rsidR="005A6D70">
        <w:rPr>
          <w:sz w:val="24"/>
        </w:rPr>
        <w:t xml:space="preserve"> argues</w:t>
      </w:r>
      <w:r w:rsidR="00B67B9C">
        <w:rPr>
          <w:sz w:val="24"/>
        </w:rPr>
        <w:t xml:space="preserve"> </w:t>
      </w:r>
      <w:r>
        <w:rPr>
          <w:sz w:val="24"/>
        </w:rPr>
        <w:t xml:space="preserve">that </w:t>
      </w:r>
      <w:r w:rsidR="00B67B9C">
        <w:rPr>
          <w:sz w:val="24"/>
        </w:rPr>
        <w:t xml:space="preserve">the Commission’s driver medical certification requirements do not apply to </w:t>
      </w:r>
      <w:r w:rsidR="005A6D70">
        <w:rPr>
          <w:sz w:val="24"/>
        </w:rPr>
        <w:t xml:space="preserve">its </w:t>
      </w:r>
      <w:r w:rsidR="00B67B9C">
        <w:rPr>
          <w:sz w:val="24"/>
        </w:rPr>
        <w:t xml:space="preserve">drivers for </w:t>
      </w:r>
      <w:r w:rsidR="002E2EBD">
        <w:rPr>
          <w:sz w:val="24"/>
        </w:rPr>
        <w:t xml:space="preserve">the 253 contested </w:t>
      </w:r>
      <w:r w:rsidR="00B67B9C">
        <w:rPr>
          <w:sz w:val="24"/>
        </w:rPr>
        <w:t xml:space="preserve">trips because the </w:t>
      </w:r>
      <w:r w:rsidR="005A6D70">
        <w:rPr>
          <w:sz w:val="24"/>
        </w:rPr>
        <w:t>trucks driven</w:t>
      </w:r>
      <w:r w:rsidR="00B67B9C">
        <w:rPr>
          <w:sz w:val="24"/>
        </w:rPr>
        <w:t>, weighing between 10,001 and 26,000 pounds, carried loads of empty waste containers rather than solid waste.</w:t>
      </w:r>
      <w:r w:rsidR="005A6D70">
        <w:rPr>
          <w:sz w:val="24"/>
        </w:rPr>
        <w:t xml:space="preserve">  </w:t>
      </w:r>
      <w:r>
        <w:rPr>
          <w:sz w:val="24"/>
        </w:rPr>
        <w:t xml:space="preserve">For this </w:t>
      </w:r>
      <w:r>
        <w:rPr>
          <w:sz w:val="24"/>
        </w:rPr>
        <w:lastRenderedPageBreak/>
        <w:t>reason, a</w:t>
      </w:r>
      <w:r w:rsidR="005A6D70">
        <w:rPr>
          <w:sz w:val="24"/>
        </w:rPr>
        <w:t>ccording to WM, those 253 trips were not “for the purpose of transporting solid waste</w:t>
      </w:r>
      <w:r w:rsidR="001E15FF">
        <w:rPr>
          <w:sz w:val="24"/>
        </w:rPr>
        <w:t xml:space="preserve">,” and the trucks </w:t>
      </w:r>
      <w:r>
        <w:rPr>
          <w:sz w:val="24"/>
        </w:rPr>
        <w:t>therefore did not fit within the definition of</w:t>
      </w:r>
      <w:r w:rsidR="001E15FF">
        <w:rPr>
          <w:sz w:val="24"/>
        </w:rPr>
        <w:t xml:space="preserve"> “motor vehicles” </w:t>
      </w:r>
      <w:r>
        <w:rPr>
          <w:sz w:val="24"/>
        </w:rPr>
        <w:t xml:space="preserve">that are </w:t>
      </w:r>
      <w:r w:rsidR="001E15FF">
        <w:rPr>
          <w:sz w:val="24"/>
        </w:rPr>
        <w:t>subject to Chapter 81.77 of the Revised Code of Washington (RCW)</w:t>
      </w:r>
      <w:r w:rsidR="001B74D4">
        <w:rPr>
          <w:sz w:val="24"/>
        </w:rPr>
        <w:t xml:space="preserve"> and by extension the Commission’s driver safety requirements</w:t>
      </w:r>
      <w:r>
        <w:rPr>
          <w:sz w:val="24"/>
        </w:rPr>
        <w:t>.</w:t>
      </w:r>
      <w:r w:rsidR="00C600A9">
        <w:rPr>
          <w:sz w:val="24"/>
        </w:rPr>
        <w:t xml:space="preserve">  </w:t>
      </w:r>
    </w:p>
    <w:p w14:paraId="7F411315" w14:textId="42001A01" w:rsidR="002667ED" w:rsidRPr="003B4DFD" w:rsidRDefault="00AF7FB4" w:rsidP="00F748D8">
      <w:pPr>
        <w:numPr>
          <w:ilvl w:val="0"/>
          <w:numId w:val="2"/>
        </w:numPr>
        <w:spacing w:line="480" w:lineRule="auto"/>
        <w:jc w:val="both"/>
        <w:rPr>
          <w:sz w:val="24"/>
        </w:rPr>
      </w:pPr>
      <w:r>
        <w:rPr>
          <w:sz w:val="24"/>
        </w:rPr>
        <w:tab/>
      </w:r>
      <w:r w:rsidR="003B4DFD" w:rsidRPr="003B4DFD">
        <w:rPr>
          <w:sz w:val="24"/>
        </w:rPr>
        <w:t xml:space="preserve">For the reasons that follow, </w:t>
      </w:r>
      <w:r w:rsidR="00553B7A" w:rsidRPr="003B4DFD">
        <w:rPr>
          <w:sz w:val="24"/>
        </w:rPr>
        <w:t xml:space="preserve">Staff </w:t>
      </w:r>
      <w:r w:rsidR="0080116D" w:rsidRPr="003B4DFD">
        <w:rPr>
          <w:sz w:val="24"/>
        </w:rPr>
        <w:t>disagrees with</w:t>
      </w:r>
      <w:r w:rsidR="00AB39BA" w:rsidRPr="003B4DFD">
        <w:rPr>
          <w:sz w:val="24"/>
        </w:rPr>
        <w:t xml:space="preserve"> the </w:t>
      </w:r>
      <w:r w:rsidR="00172C19">
        <w:rPr>
          <w:sz w:val="24"/>
        </w:rPr>
        <w:t>Company’s assertion that the</w:t>
      </w:r>
      <w:r w:rsidR="003B4DFD" w:rsidRPr="003B4DFD">
        <w:rPr>
          <w:sz w:val="24"/>
        </w:rPr>
        <w:t xml:space="preserve"> </w:t>
      </w:r>
      <w:r w:rsidR="0080116D" w:rsidRPr="003B4DFD">
        <w:rPr>
          <w:sz w:val="24"/>
        </w:rPr>
        <w:t>Commission improperly ci</w:t>
      </w:r>
      <w:r w:rsidR="003B4DFD" w:rsidRPr="003B4DFD">
        <w:rPr>
          <w:sz w:val="24"/>
        </w:rPr>
        <w:t xml:space="preserve">ted 253 violations of Part 391.45(a).  </w:t>
      </w:r>
      <w:r w:rsidR="00CA2047" w:rsidRPr="003B4DFD">
        <w:rPr>
          <w:sz w:val="24"/>
        </w:rPr>
        <w:t>However, Staff</w:t>
      </w:r>
      <w:r w:rsidR="00553B7A" w:rsidRPr="003B4DFD">
        <w:rPr>
          <w:sz w:val="24"/>
        </w:rPr>
        <w:t xml:space="preserve"> believes the Company has demonstrated a sufficient basis to mitigate the penalties assessed</w:t>
      </w:r>
      <w:r w:rsidR="001E5E06" w:rsidRPr="003B4DFD">
        <w:rPr>
          <w:sz w:val="24"/>
        </w:rPr>
        <w:t>.</w:t>
      </w:r>
      <w:r w:rsidR="00B84CBD" w:rsidRPr="003B4DFD">
        <w:rPr>
          <w:sz w:val="24"/>
        </w:rPr>
        <w:t xml:space="preserve">  Lastly, Staff does not oppose the Company’s </w:t>
      </w:r>
      <w:r w:rsidR="00F83433" w:rsidRPr="003B4DFD">
        <w:rPr>
          <w:sz w:val="24"/>
        </w:rPr>
        <w:t>request that</w:t>
      </w:r>
      <w:r w:rsidR="00B84CBD" w:rsidRPr="003B4DFD">
        <w:rPr>
          <w:sz w:val="24"/>
        </w:rPr>
        <w:t xml:space="preserve"> the Commission decide this matter based solely on the written record in this Docket.</w:t>
      </w:r>
    </w:p>
    <w:p w14:paraId="7B27A673" w14:textId="448D358A" w:rsidR="001459DB" w:rsidRPr="001459DB" w:rsidRDefault="004440B3" w:rsidP="001459DB">
      <w:pPr>
        <w:spacing w:line="480" w:lineRule="auto"/>
        <w:jc w:val="center"/>
        <w:rPr>
          <w:b/>
          <w:sz w:val="24"/>
        </w:rPr>
      </w:pPr>
      <w:r>
        <w:rPr>
          <w:b/>
          <w:sz w:val="24"/>
        </w:rPr>
        <w:t>DISCUSSION</w:t>
      </w:r>
    </w:p>
    <w:p w14:paraId="4C32C459" w14:textId="0E70D331" w:rsidR="005E0776" w:rsidRDefault="005E0776" w:rsidP="00AF7FB4">
      <w:pPr>
        <w:pStyle w:val="ListParagraph"/>
        <w:ind w:hanging="720"/>
        <w:jc w:val="center"/>
        <w:rPr>
          <w:b/>
          <w:sz w:val="24"/>
        </w:rPr>
      </w:pPr>
      <w:r w:rsidRPr="005E0776">
        <w:rPr>
          <w:b/>
          <w:sz w:val="24"/>
        </w:rPr>
        <w:t>I.</w:t>
      </w:r>
      <w:r w:rsidRPr="005E0776">
        <w:rPr>
          <w:b/>
          <w:sz w:val="24"/>
        </w:rPr>
        <w:tab/>
      </w:r>
      <w:r w:rsidR="001F2846">
        <w:rPr>
          <w:b/>
          <w:sz w:val="24"/>
        </w:rPr>
        <w:t>THE COMMISSION’S DRIVER SAFETY REQUIR</w:t>
      </w:r>
      <w:r w:rsidR="00A344AB">
        <w:rPr>
          <w:b/>
          <w:sz w:val="24"/>
        </w:rPr>
        <w:t>E</w:t>
      </w:r>
      <w:r w:rsidR="001F2846">
        <w:rPr>
          <w:b/>
          <w:sz w:val="24"/>
        </w:rPr>
        <w:t xml:space="preserve">MENTS APPLY TO THE </w:t>
      </w:r>
      <w:r w:rsidR="0072231E">
        <w:rPr>
          <w:b/>
          <w:sz w:val="24"/>
        </w:rPr>
        <w:t xml:space="preserve">253 CONTESTED </w:t>
      </w:r>
      <w:r w:rsidR="003308A9">
        <w:rPr>
          <w:b/>
          <w:sz w:val="24"/>
        </w:rPr>
        <w:t>VIOLATIONS OF 49 CF</w:t>
      </w:r>
      <w:r w:rsidR="001F2846">
        <w:rPr>
          <w:b/>
          <w:sz w:val="24"/>
        </w:rPr>
        <w:t xml:space="preserve">R PART </w:t>
      </w:r>
      <w:r w:rsidR="001F2846" w:rsidRPr="001F2846">
        <w:rPr>
          <w:b/>
          <w:sz w:val="24"/>
        </w:rPr>
        <w:t>391.45(a)</w:t>
      </w:r>
    </w:p>
    <w:p w14:paraId="0FAB7731" w14:textId="77777777" w:rsidR="001F2846" w:rsidRPr="005E0776" w:rsidRDefault="001F2846" w:rsidP="001F2846">
      <w:pPr>
        <w:pStyle w:val="ListParagraph"/>
        <w:ind w:left="0"/>
        <w:jc w:val="center"/>
        <w:rPr>
          <w:sz w:val="24"/>
        </w:rPr>
      </w:pPr>
    </w:p>
    <w:p w14:paraId="424DABF3" w14:textId="393BAFA2" w:rsidR="006171AF" w:rsidRPr="00D075AA" w:rsidRDefault="0022538E" w:rsidP="00AF7FB4">
      <w:pPr>
        <w:pStyle w:val="ListParagraph"/>
        <w:numPr>
          <w:ilvl w:val="0"/>
          <w:numId w:val="4"/>
        </w:numPr>
        <w:ind w:hanging="720"/>
        <w:rPr>
          <w:sz w:val="24"/>
        </w:rPr>
      </w:pPr>
      <w:r>
        <w:rPr>
          <w:b/>
          <w:sz w:val="24"/>
        </w:rPr>
        <w:t>T</w:t>
      </w:r>
      <w:r w:rsidR="00D075AA">
        <w:rPr>
          <w:b/>
          <w:sz w:val="24"/>
        </w:rPr>
        <w:t>he hauling and provision of waste containers is f</w:t>
      </w:r>
      <w:r w:rsidR="00E81CA1">
        <w:rPr>
          <w:b/>
          <w:sz w:val="24"/>
        </w:rPr>
        <w:t xml:space="preserve">or the </w:t>
      </w:r>
      <w:r>
        <w:rPr>
          <w:b/>
          <w:sz w:val="24"/>
        </w:rPr>
        <w:t>“</w:t>
      </w:r>
      <w:r w:rsidR="00E81CA1">
        <w:rPr>
          <w:b/>
          <w:sz w:val="24"/>
        </w:rPr>
        <w:t xml:space="preserve">purpose of transporting solid </w:t>
      </w:r>
      <w:r w:rsidR="00F852C3">
        <w:rPr>
          <w:b/>
          <w:sz w:val="24"/>
        </w:rPr>
        <w:t>waste</w:t>
      </w:r>
      <w:r>
        <w:rPr>
          <w:b/>
          <w:sz w:val="24"/>
        </w:rPr>
        <w:t>”</w:t>
      </w:r>
    </w:p>
    <w:p w14:paraId="6C5A645A" w14:textId="77777777" w:rsidR="00D075AA" w:rsidRPr="005E0776" w:rsidRDefault="00D075AA" w:rsidP="00D075AA">
      <w:pPr>
        <w:pStyle w:val="ListParagraph"/>
        <w:ind w:left="1080"/>
        <w:rPr>
          <w:sz w:val="24"/>
        </w:rPr>
      </w:pPr>
    </w:p>
    <w:p w14:paraId="1B3786CA" w14:textId="2EF47721" w:rsidR="00B94F44" w:rsidRPr="00AF7FB4" w:rsidRDefault="00B94F44" w:rsidP="00AF7FB4">
      <w:pPr>
        <w:pStyle w:val="ListParagraph"/>
        <w:numPr>
          <w:ilvl w:val="0"/>
          <w:numId w:val="7"/>
        </w:numPr>
        <w:ind w:left="1440"/>
        <w:jc w:val="both"/>
        <w:rPr>
          <w:sz w:val="24"/>
        </w:rPr>
      </w:pPr>
      <w:r w:rsidRPr="00B94F44">
        <w:rPr>
          <w:sz w:val="24"/>
          <w:u w:val="single"/>
        </w:rPr>
        <w:t>The hauling and provision of waste containers is “for the purpose of transporting solid waste” under the Company’s solid waste collection tariffs</w:t>
      </w:r>
      <w:r w:rsidR="00AF7FB4">
        <w:rPr>
          <w:sz w:val="24"/>
          <w:u w:val="single"/>
        </w:rPr>
        <w:t xml:space="preserve"> </w:t>
      </w:r>
    </w:p>
    <w:p w14:paraId="251197AC" w14:textId="77777777" w:rsidR="00AF7FB4" w:rsidRPr="00AF7FB4" w:rsidRDefault="00AF7FB4" w:rsidP="00AF7FB4">
      <w:pPr>
        <w:jc w:val="both"/>
        <w:rPr>
          <w:sz w:val="24"/>
        </w:rPr>
      </w:pPr>
    </w:p>
    <w:p w14:paraId="484FBB1A" w14:textId="58FDF2B5" w:rsidR="00FB6EBF" w:rsidRDefault="00AF7FB4" w:rsidP="00FB6EBF">
      <w:pPr>
        <w:numPr>
          <w:ilvl w:val="0"/>
          <w:numId w:val="2"/>
        </w:numPr>
        <w:spacing w:line="480" w:lineRule="auto"/>
        <w:jc w:val="both"/>
        <w:rPr>
          <w:sz w:val="24"/>
        </w:rPr>
      </w:pPr>
      <w:r>
        <w:rPr>
          <w:sz w:val="24"/>
        </w:rPr>
        <w:tab/>
      </w:r>
      <w:r w:rsidR="006C1128" w:rsidRPr="006C51CB">
        <w:rPr>
          <w:sz w:val="24"/>
        </w:rPr>
        <w:t>WM</w:t>
      </w:r>
      <w:r w:rsidR="00832C38" w:rsidRPr="006C51CB">
        <w:rPr>
          <w:sz w:val="24"/>
        </w:rPr>
        <w:t xml:space="preserve"> argue</w:t>
      </w:r>
      <w:r w:rsidR="00AA0DE1" w:rsidRPr="006C51CB">
        <w:rPr>
          <w:sz w:val="24"/>
        </w:rPr>
        <w:t>s</w:t>
      </w:r>
      <w:r w:rsidR="00832C38" w:rsidRPr="006C51CB">
        <w:rPr>
          <w:sz w:val="24"/>
        </w:rPr>
        <w:t xml:space="preserve"> </w:t>
      </w:r>
      <w:r w:rsidR="006C1128" w:rsidRPr="006C51CB">
        <w:rPr>
          <w:sz w:val="24"/>
        </w:rPr>
        <w:t>that the contested trips were not for the purpose of transporting solid waste because “the commercial motor vehicles . . . carried only empty containers to or from customers</w:t>
      </w:r>
      <w:r w:rsidR="00832C38" w:rsidRPr="006C51CB">
        <w:rPr>
          <w:sz w:val="24"/>
        </w:rPr>
        <w:t>.</w:t>
      </w:r>
      <w:r w:rsidR="006C1128" w:rsidRPr="006C51CB">
        <w:rPr>
          <w:sz w:val="24"/>
        </w:rPr>
        <w:t xml:space="preserve">”  </w:t>
      </w:r>
      <w:r w:rsidR="00832C38" w:rsidRPr="006C51CB">
        <w:rPr>
          <w:sz w:val="24"/>
        </w:rPr>
        <w:t>But the</w:t>
      </w:r>
      <w:r w:rsidR="006C1128" w:rsidRPr="006C51CB">
        <w:rPr>
          <w:sz w:val="24"/>
        </w:rPr>
        <w:t xml:space="preserve"> </w:t>
      </w:r>
      <w:r w:rsidR="006C1128" w:rsidRPr="00BD12D8">
        <w:rPr>
          <w:sz w:val="24"/>
        </w:rPr>
        <w:t xml:space="preserve">Company’s </w:t>
      </w:r>
      <w:r w:rsidR="006C1128" w:rsidRPr="006C51CB">
        <w:rPr>
          <w:i/>
          <w:sz w:val="24"/>
        </w:rPr>
        <w:t>own</w:t>
      </w:r>
      <w:r w:rsidR="006C1128" w:rsidRPr="006C51CB">
        <w:rPr>
          <w:sz w:val="24"/>
        </w:rPr>
        <w:t xml:space="preserve"> solid waste collection tariffs make clear that</w:t>
      </w:r>
      <w:r w:rsidR="0079205B">
        <w:rPr>
          <w:sz w:val="24"/>
        </w:rPr>
        <w:t xml:space="preserve"> the</w:t>
      </w:r>
      <w:r w:rsidR="006C1128" w:rsidRPr="006C51CB">
        <w:rPr>
          <w:sz w:val="24"/>
        </w:rPr>
        <w:t xml:space="preserve"> </w:t>
      </w:r>
      <w:r w:rsidR="00832C38" w:rsidRPr="006C51CB">
        <w:rPr>
          <w:sz w:val="24"/>
        </w:rPr>
        <w:t>hauling</w:t>
      </w:r>
      <w:r w:rsidR="006C1128" w:rsidRPr="006C51CB">
        <w:rPr>
          <w:sz w:val="24"/>
        </w:rPr>
        <w:t xml:space="preserve"> </w:t>
      </w:r>
      <w:r w:rsidR="00E50551">
        <w:rPr>
          <w:sz w:val="24"/>
        </w:rPr>
        <w:t xml:space="preserve">and provision of </w:t>
      </w:r>
      <w:r w:rsidR="006C1128" w:rsidRPr="006C51CB">
        <w:rPr>
          <w:sz w:val="24"/>
        </w:rPr>
        <w:t xml:space="preserve">waste containers in commercial motor vehicles </w:t>
      </w:r>
      <w:r w:rsidR="000B17B5" w:rsidRPr="006C51CB">
        <w:rPr>
          <w:sz w:val="24"/>
        </w:rPr>
        <w:t xml:space="preserve">is </w:t>
      </w:r>
      <w:r w:rsidR="00AA0DE1" w:rsidRPr="006C51CB">
        <w:rPr>
          <w:sz w:val="24"/>
        </w:rPr>
        <w:t>not only</w:t>
      </w:r>
      <w:r w:rsidR="00832C38" w:rsidRPr="006C51CB">
        <w:rPr>
          <w:sz w:val="24"/>
        </w:rPr>
        <w:t xml:space="preserve"> </w:t>
      </w:r>
      <w:r w:rsidR="000B17B5" w:rsidRPr="0022538E">
        <w:rPr>
          <w:sz w:val="24"/>
        </w:rPr>
        <w:t xml:space="preserve">for the purpose </w:t>
      </w:r>
      <w:r w:rsidR="000B17B5" w:rsidRPr="006C51CB">
        <w:rPr>
          <w:sz w:val="24"/>
        </w:rPr>
        <w:t>of transporting solid waste,</w:t>
      </w:r>
      <w:r w:rsidR="001323C4" w:rsidRPr="006C51CB">
        <w:rPr>
          <w:sz w:val="24"/>
        </w:rPr>
        <w:t xml:space="preserve"> </w:t>
      </w:r>
      <w:r w:rsidR="00AA0DE1" w:rsidRPr="006C51CB">
        <w:rPr>
          <w:sz w:val="24"/>
        </w:rPr>
        <w:t>but represents an essential, expressly identified, and necessary component of the Company’s tariffs</w:t>
      </w:r>
      <w:r w:rsidR="001F60FB" w:rsidRPr="006C51CB">
        <w:rPr>
          <w:sz w:val="24"/>
        </w:rPr>
        <w:t>, and is</w:t>
      </w:r>
      <w:r w:rsidR="000B17B5" w:rsidRPr="006C51CB">
        <w:rPr>
          <w:sz w:val="24"/>
        </w:rPr>
        <w:t xml:space="preserve"> </w:t>
      </w:r>
      <w:r w:rsidR="00832C38" w:rsidRPr="006C51CB">
        <w:rPr>
          <w:sz w:val="24"/>
        </w:rPr>
        <w:t xml:space="preserve">therefore </w:t>
      </w:r>
      <w:r w:rsidR="000B17B5" w:rsidRPr="006C51CB">
        <w:rPr>
          <w:sz w:val="24"/>
        </w:rPr>
        <w:t>a regulated function subject to the Commission</w:t>
      </w:r>
      <w:r w:rsidR="001323C4" w:rsidRPr="006C51CB">
        <w:rPr>
          <w:sz w:val="24"/>
        </w:rPr>
        <w:t>’</w:t>
      </w:r>
      <w:r w:rsidR="000B17B5" w:rsidRPr="006C51CB">
        <w:rPr>
          <w:sz w:val="24"/>
        </w:rPr>
        <w:t>s driver safety requirements.</w:t>
      </w:r>
      <w:r w:rsidR="0022538E">
        <w:rPr>
          <w:rStyle w:val="FootnoteReference"/>
          <w:sz w:val="24"/>
        </w:rPr>
        <w:footnoteReference w:id="4"/>
      </w:r>
      <w:r w:rsidR="00FB6EBF">
        <w:rPr>
          <w:sz w:val="24"/>
        </w:rPr>
        <w:t xml:space="preserve">  For example:</w:t>
      </w:r>
    </w:p>
    <w:p w14:paraId="2DFD8969" w14:textId="69F76532" w:rsidR="00FB6EBF" w:rsidRDefault="00A64A83" w:rsidP="00AF7FB4">
      <w:pPr>
        <w:pStyle w:val="ListParagraph"/>
        <w:numPr>
          <w:ilvl w:val="0"/>
          <w:numId w:val="9"/>
        </w:numPr>
        <w:tabs>
          <w:tab w:val="left" w:pos="720"/>
        </w:tabs>
        <w:spacing w:line="480" w:lineRule="auto"/>
        <w:jc w:val="both"/>
        <w:rPr>
          <w:sz w:val="24"/>
        </w:rPr>
      </w:pPr>
      <w:r>
        <w:rPr>
          <w:sz w:val="24"/>
        </w:rPr>
        <w:lastRenderedPageBreak/>
        <w:t>The d</w:t>
      </w:r>
      <w:r w:rsidR="00FB6EBF">
        <w:rPr>
          <w:sz w:val="24"/>
        </w:rPr>
        <w:t>efinition of “permanent service” (Item 20</w:t>
      </w:r>
      <w:r w:rsidR="00AF5804">
        <w:rPr>
          <w:sz w:val="24"/>
        </w:rPr>
        <w:t xml:space="preserve"> – Definitions</w:t>
      </w:r>
      <w:r w:rsidR="00FB6EBF">
        <w:rPr>
          <w:sz w:val="24"/>
        </w:rPr>
        <w:t>):  “Container and drop-box service provided at the customer’s request for more than ninety days.”</w:t>
      </w:r>
      <w:r w:rsidR="00AF5804">
        <w:rPr>
          <w:rStyle w:val="FootnoteReference"/>
          <w:sz w:val="24"/>
        </w:rPr>
        <w:footnoteReference w:id="5"/>
      </w:r>
    </w:p>
    <w:p w14:paraId="7315A706" w14:textId="7620A109" w:rsidR="00FB6EBF" w:rsidRDefault="00A64A83" w:rsidP="00AF7FB4">
      <w:pPr>
        <w:pStyle w:val="ListParagraph"/>
        <w:numPr>
          <w:ilvl w:val="0"/>
          <w:numId w:val="9"/>
        </w:numPr>
        <w:tabs>
          <w:tab w:val="left" w:pos="720"/>
        </w:tabs>
        <w:spacing w:line="480" w:lineRule="auto"/>
        <w:jc w:val="both"/>
        <w:rPr>
          <w:sz w:val="24"/>
        </w:rPr>
      </w:pPr>
      <w:r>
        <w:rPr>
          <w:sz w:val="24"/>
        </w:rPr>
        <w:t>The d</w:t>
      </w:r>
      <w:r w:rsidR="00FB6EBF">
        <w:rPr>
          <w:sz w:val="24"/>
        </w:rPr>
        <w:t>efinition of “container” (</w:t>
      </w:r>
      <w:r w:rsidR="00AF5804">
        <w:rPr>
          <w:sz w:val="24"/>
        </w:rPr>
        <w:t>Item 20 – Definitions</w:t>
      </w:r>
      <w:r w:rsidR="00FB6EBF">
        <w:rPr>
          <w:sz w:val="24"/>
        </w:rPr>
        <w:t>):  “</w:t>
      </w:r>
      <w:r w:rsidR="00FB6EBF" w:rsidRPr="00FB6EBF">
        <w:rPr>
          <w:sz w:val="24"/>
        </w:rPr>
        <w:t>Container means a detachable receptacle (normally designed to hold at least a cubic yard</w:t>
      </w:r>
      <w:r w:rsidR="00FB6EBF">
        <w:rPr>
          <w:sz w:val="24"/>
        </w:rPr>
        <w:t xml:space="preserve"> </w:t>
      </w:r>
      <w:r w:rsidR="00FB6EBF" w:rsidRPr="00FB6EBF">
        <w:rPr>
          <w:sz w:val="24"/>
        </w:rPr>
        <w:t>of solid waste) from which materials are collected by mechanically lifting the receptacle</w:t>
      </w:r>
      <w:r w:rsidR="00FB6EBF">
        <w:rPr>
          <w:sz w:val="24"/>
        </w:rPr>
        <w:t xml:space="preserve"> </w:t>
      </w:r>
      <w:r w:rsidR="00FB6EBF" w:rsidRPr="00FB6EBF">
        <w:rPr>
          <w:sz w:val="24"/>
        </w:rPr>
        <w:t>and emptying the contents into the company's vehicle.</w:t>
      </w:r>
      <w:r w:rsidR="00AF5804">
        <w:rPr>
          <w:sz w:val="24"/>
        </w:rPr>
        <w:t>”</w:t>
      </w:r>
      <w:r w:rsidR="00AF5804">
        <w:rPr>
          <w:rStyle w:val="FootnoteReference"/>
          <w:sz w:val="24"/>
        </w:rPr>
        <w:footnoteReference w:id="6"/>
      </w:r>
    </w:p>
    <w:p w14:paraId="55D20D73" w14:textId="213A4A42" w:rsidR="00E344F9" w:rsidRDefault="00E344F9" w:rsidP="00AF7FB4">
      <w:pPr>
        <w:pStyle w:val="ListParagraph"/>
        <w:numPr>
          <w:ilvl w:val="0"/>
          <w:numId w:val="9"/>
        </w:numPr>
        <w:tabs>
          <w:tab w:val="left" w:pos="720"/>
        </w:tabs>
        <w:spacing w:line="480" w:lineRule="auto"/>
        <w:jc w:val="both"/>
        <w:rPr>
          <w:sz w:val="24"/>
        </w:rPr>
      </w:pPr>
      <w:r>
        <w:rPr>
          <w:sz w:val="24"/>
        </w:rPr>
        <w:t>The Company’s tariff includes charges to customers for retrieval, servicing, and returning waste containers to customers (Item 52</w:t>
      </w:r>
      <w:r w:rsidR="00780DCA">
        <w:rPr>
          <w:sz w:val="24"/>
        </w:rPr>
        <w:t xml:space="preserve"> – Re-delivery Charges;</w:t>
      </w:r>
      <w:r w:rsidR="004A34B2">
        <w:rPr>
          <w:sz w:val="24"/>
        </w:rPr>
        <w:t xml:space="preserve"> and Item 210</w:t>
      </w:r>
      <w:r w:rsidR="00780DCA">
        <w:rPr>
          <w:sz w:val="24"/>
        </w:rPr>
        <w:t xml:space="preserve"> – </w:t>
      </w:r>
      <w:r w:rsidR="004B52AB">
        <w:rPr>
          <w:sz w:val="24"/>
        </w:rPr>
        <w:t>Washing and Sanitizing Containers and/or Drop Boxes</w:t>
      </w:r>
      <w:r>
        <w:rPr>
          <w:sz w:val="24"/>
        </w:rPr>
        <w:t>):  “</w:t>
      </w:r>
      <w:r w:rsidRPr="00E344F9">
        <w:rPr>
          <w:sz w:val="24"/>
        </w:rPr>
        <w:t>A pickup and re-delivery fee of $ 32.15 will be assessed to customers who request that their container or Drop</w:t>
      </w:r>
      <w:r>
        <w:rPr>
          <w:sz w:val="24"/>
        </w:rPr>
        <w:t xml:space="preserve"> </w:t>
      </w:r>
      <w:r w:rsidRPr="00E344F9">
        <w:rPr>
          <w:sz w:val="24"/>
        </w:rPr>
        <w:t>Box be washed, steam cleaned and sanitized. Please see Item 210.</w:t>
      </w:r>
      <w:r>
        <w:rPr>
          <w:sz w:val="24"/>
        </w:rPr>
        <w:t>”</w:t>
      </w:r>
      <w:r w:rsidR="004A34B2">
        <w:rPr>
          <w:rStyle w:val="FootnoteReference"/>
          <w:sz w:val="24"/>
        </w:rPr>
        <w:footnoteReference w:id="7"/>
      </w:r>
    </w:p>
    <w:p w14:paraId="36182123" w14:textId="143F3E5F" w:rsidR="00A64A83" w:rsidRPr="00A64A83" w:rsidRDefault="004A34B2" w:rsidP="00AF7FB4">
      <w:pPr>
        <w:pStyle w:val="ListParagraph"/>
        <w:numPr>
          <w:ilvl w:val="0"/>
          <w:numId w:val="9"/>
        </w:numPr>
        <w:tabs>
          <w:tab w:val="left" w:pos="720"/>
        </w:tabs>
        <w:spacing w:line="480" w:lineRule="auto"/>
        <w:jc w:val="both"/>
        <w:rPr>
          <w:sz w:val="24"/>
        </w:rPr>
      </w:pPr>
      <w:r>
        <w:rPr>
          <w:sz w:val="24"/>
        </w:rPr>
        <w:t xml:space="preserve">The rates the Company may charge depend on the number and type of containers provided and/or used by a WM customer (Item 100 – Residential Service – </w:t>
      </w:r>
      <w:r w:rsidR="00A64A83">
        <w:rPr>
          <w:sz w:val="24"/>
        </w:rPr>
        <w:t>Monthly Rates).</w:t>
      </w:r>
      <w:r w:rsidR="00780DCA">
        <w:rPr>
          <w:rStyle w:val="FootnoteReference"/>
          <w:sz w:val="24"/>
        </w:rPr>
        <w:footnoteReference w:id="8"/>
      </w:r>
    </w:p>
    <w:p w14:paraId="59E466E0" w14:textId="308E74BD" w:rsidR="004A34B2" w:rsidRPr="00A64A83" w:rsidRDefault="004A34B2" w:rsidP="00AF7FB4">
      <w:pPr>
        <w:pStyle w:val="ListParagraph"/>
        <w:numPr>
          <w:ilvl w:val="0"/>
          <w:numId w:val="9"/>
        </w:numPr>
        <w:tabs>
          <w:tab w:val="left" w:pos="720"/>
        </w:tabs>
        <w:spacing w:line="480" w:lineRule="auto"/>
        <w:jc w:val="both"/>
        <w:rPr>
          <w:sz w:val="24"/>
        </w:rPr>
      </w:pPr>
      <w:r>
        <w:rPr>
          <w:sz w:val="24"/>
        </w:rPr>
        <w:t xml:space="preserve">The Company’s solid waste collection tariff mandates that they provide containers to customers (Item 200 – Containers and/or Drop Boxes – General Rules):  </w:t>
      </w:r>
      <w:r w:rsidR="00AF5804">
        <w:rPr>
          <w:sz w:val="24"/>
        </w:rPr>
        <w:t>“</w:t>
      </w:r>
      <w:r w:rsidRPr="004A34B2">
        <w:rPr>
          <w:sz w:val="24"/>
        </w:rPr>
        <w:t>Availability. A company must maintain a supply of all sizes of cont</w:t>
      </w:r>
      <w:r>
        <w:rPr>
          <w:sz w:val="24"/>
        </w:rPr>
        <w:t xml:space="preserve">ainers and drop boxes for which </w:t>
      </w:r>
      <w:r w:rsidRPr="004A34B2">
        <w:rPr>
          <w:sz w:val="24"/>
        </w:rPr>
        <w:t>rates are</w:t>
      </w:r>
      <w:r>
        <w:rPr>
          <w:sz w:val="24"/>
        </w:rPr>
        <w:t xml:space="preserve"> </w:t>
      </w:r>
      <w:r w:rsidRPr="004A34B2">
        <w:rPr>
          <w:sz w:val="24"/>
        </w:rPr>
        <w:t>listed in this tariff. If a customer requests a container or drop box of a size listed in the company's tariff, and the</w:t>
      </w:r>
      <w:r>
        <w:rPr>
          <w:sz w:val="24"/>
        </w:rPr>
        <w:t xml:space="preserve"> </w:t>
      </w:r>
      <w:r w:rsidRPr="004A34B2">
        <w:rPr>
          <w:sz w:val="24"/>
        </w:rPr>
        <w:t xml:space="preserve">company is unable to provide the requested size within 7 days of the </w:t>
      </w:r>
      <w:r w:rsidRPr="00A64A83">
        <w:rPr>
          <w:sz w:val="24"/>
        </w:rPr>
        <w:t xml:space="preserve">customer request, the customer must be notified in writing or by </w:t>
      </w:r>
      <w:r w:rsidRPr="00A64A83">
        <w:rPr>
          <w:sz w:val="24"/>
        </w:rPr>
        <w:lastRenderedPageBreak/>
        <w:t>telephone</w:t>
      </w:r>
      <w:r w:rsidR="00A64A83" w:rsidRPr="00A64A83">
        <w:rPr>
          <w:sz w:val="24"/>
        </w:rPr>
        <w:t>.</w:t>
      </w:r>
      <w:r w:rsidR="00AF5804">
        <w:rPr>
          <w:sz w:val="24"/>
        </w:rPr>
        <w:t>”</w:t>
      </w:r>
      <w:r w:rsidR="00AF5804">
        <w:rPr>
          <w:rStyle w:val="FootnoteReference"/>
          <w:sz w:val="24"/>
        </w:rPr>
        <w:footnoteReference w:id="9"/>
      </w:r>
    </w:p>
    <w:p w14:paraId="5FC62991" w14:textId="7D2EB152" w:rsidR="001619A2" w:rsidRPr="00A64A83" w:rsidRDefault="00AF7FB4" w:rsidP="00AF7FB4">
      <w:pPr>
        <w:widowControl/>
        <w:numPr>
          <w:ilvl w:val="0"/>
          <w:numId w:val="2"/>
        </w:numPr>
        <w:spacing w:line="480" w:lineRule="auto"/>
        <w:jc w:val="both"/>
        <w:rPr>
          <w:sz w:val="24"/>
        </w:rPr>
      </w:pPr>
      <w:r>
        <w:rPr>
          <w:sz w:val="24"/>
        </w:rPr>
        <w:tab/>
      </w:r>
      <w:r w:rsidR="00780DCA">
        <w:rPr>
          <w:sz w:val="24"/>
        </w:rPr>
        <w:t>These a</w:t>
      </w:r>
      <w:r w:rsidR="00A344AB">
        <w:rPr>
          <w:sz w:val="24"/>
        </w:rPr>
        <w:t>re only a</w:t>
      </w:r>
      <w:r w:rsidR="00780DCA">
        <w:rPr>
          <w:sz w:val="24"/>
        </w:rPr>
        <w:t xml:space="preserve"> few examples, and the</w:t>
      </w:r>
      <w:r w:rsidR="00397567" w:rsidRPr="00A64A83">
        <w:rPr>
          <w:sz w:val="24"/>
        </w:rPr>
        <w:t xml:space="preserve"> tariffs </w:t>
      </w:r>
      <w:r w:rsidR="00780DCA">
        <w:rPr>
          <w:sz w:val="24"/>
        </w:rPr>
        <w:t>contain further</w:t>
      </w:r>
      <w:r w:rsidR="00397567" w:rsidRPr="00A64A83">
        <w:rPr>
          <w:sz w:val="24"/>
        </w:rPr>
        <w:t xml:space="preserve"> references to containers </w:t>
      </w:r>
      <w:r w:rsidR="00A64A83" w:rsidRPr="00A64A83">
        <w:rPr>
          <w:sz w:val="24"/>
        </w:rPr>
        <w:t xml:space="preserve">that make clear that their provision to customers </w:t>
      </w:r>
      <w:r w:rsidR="00397567" w:rsidRPr="00A64A83">
        <w:rPr>
          <w:sz w:val="24"/>
        </w:rPr>
        <w:t xml:space="preserve">are for the purpose of, and actually necessary for, the primary function of </w:t>
      </w:r>
      <w:proofErr w:type="spellStart"/>
      <w:r w:rsidR="00397567" w:rsidRPr="00A64A83">
        <w:rPr>
          <w:sz w:val="24"/>
        </w:rPr>
        <w:t>WM’s</w:t>
      </w:r>
      <w:proofErr w:type="spellEnd"/>
      <w:r w:rsidR="00397567" w:rsidRPr="00A64A83">
        <w:rPr>
          <w:sz w:val="24"/>
        </w:rPr>
        <w:t xml:space="preserve"> business, the collection and transportation of solid waste</w:t>
      </w:r>
      <w:r w:rsidR="00A64A83" w:rsidRPr="00A64A83">
        <w:rPr>
          <w:sz w:val="24"/>
        </w:rPr>
        <w:t>.</w:t>
      </w:r>
    </w:p>
    <w:p w14:paraId="5D34607C" w14:textId="161AC5EC" w:rsidR="00B94F44" w:rsidRPr="00B94F44" w:rsidRDefault="00B94F44" w:rsidP="00200C8F">
      <w:pPr>
        <w:keepNext/>
        <w:spacing w:line="480" w:lineRule="auto"/>
        <w:ind w:left="1440" w:hanging="360"/>
        <w:jc w:val="both"/>
        <w:rPr>
          <w:sz w:val="24"/>
        </w:rPr>
      </w:pPr>
      <w:r w:rsidRPr="00B94F44">
        <w:rPr>
          <w:sz w:val="24"/>
        </w:rPr>
        <w:t>ii.</w:t>
      </w:r>
      <w:r w:rsidRPr="00B94F44">
        <w:rPr>
          <w:sz w:val="24"/>
        </w:rPr>
        <w:tab/>
      </w:r>
      <w:r w:rsidR="00A3560A" w:rsidRPr="00B94F44">
        <w:rPr>
          <w:sz w:val="24"/>
          <w:u w:val="single"/>
        </w:rPr>
        <w:t>Adopting the Company’s interpretation would yield absurd results</w:t>
      </w:r>
      <w:r w:rsidR="00A3560A" w:rsidRPr="00B94F44">
        <w:rPr>
          <w:sz w:val="24"/>
        </w:rPr>
        <w:t xml:space="preserve"> </w:t>
      </w:r>
      <w:r w:rsidR="00C527AB" w:rsidRPr="00B94F44">
        <w:rPr>
          <w:sz w:val="24"/>
        </w:rPr>
        <w:t xml:space="preserve"> </w:t>
      </w:r>
    </w:p>
    <w:p w14:paraId="53AA7A3F" w14:textId="2A31D716" w:rsidR="00CB30F1" w:rsidRDefault="00AF7FB4" w:rsidP="00200C8F">
      <w:pPr>
        <w:keepNext/>
        <w:numPr>
          <w:ilvl w:val="0"/>
          <w:numId w:val="2"/>
        </w:numPr>
        <w:spacing w:line="480" w:lineRule="auto"/>
        <w:jc w:val="both"/>
        <w:rPr>
          <w:sz w:val="24"/>
        </w:rPr>
      </w:pPr>
      <w:r>
        <w:rPr>
          <w:sz w:val="24"/>
        </w:rPr>
        <w:tab/>
      </w:r>
      <w:r w:rsidR="009E18CC" w:rsidRPr="00D075AA">
        <w:rPr>
          <w:sz w:val="24"/>
        </w:rPr>
        <w:t>Commission statutes and rules “must be read to avoid absurd results.”</w:t>
      </w:r>
      <w:r w:rsidR="00FD767D">
        <w:rPr>
          <w:rStyle w:val="FootnoteReference"/>
          <w:sz w:val="24"/>
        </w:rPr>
        <w:footnoteReference w:id="10"/>
      </w:r>
      <w:r w:rsidR="00050BD2" w:rsidRPr="00D075AA">
        <w:rPr>
          <w:sz w:val="24"/>
        </w:rPr>
        <w:t xml:space="preserve">  </w:t>
      </w:r>
      <w:r w:rsidR="00CB30F1">
        <w:rPr>
          <w:sz w:val="24"/>
        </w:rPr>
        <w:t>T</w:t>
      </w:r>
      <w:r w:rsidR="00050BD2" w:rsidRPr="00D075AA">
        <w:rPr>
          <w:sz w:val="24"/>
        </w:rPr>
        <w:t xml:space="preserve">he practical outcomes of </w:t>
      </w:r>
      <w:proofErr w:type="spellStart"/>
      <w:r w:rsidR="00050BD2" w:rsidRPr="00D075AA">
        <w:rPr>
          <w:sz w:val="24"/>
        </w:rPr>
        <w:t>WM’s</w:t>
      </w:r>
      <w:proofErr w:type="spellEnd"/>
      <w:r w:rsidR="00050BD2" w:rsidRPr="00D075AA">
        <w:rPr>
          <w:sz w:val="24"/>
        </w:rPr>
        <w:t xml:space="preserve"> </w:t>
      </w:r>
      <w:r w:rsidR="00252D5C">
        <w:rPr>
          <w:sz w:val="24"/>
        </w:rPr>
        <w:t>interpretation</w:t>
      </w:r>
      <w:r w:rsidR="00050BD2" w:rsidRPr="00D075AA">
        <w:rPr>
          <w:sz w:val="24"/>
        </w:rPr>
        <w:t xml:space="preserve"> would yield absurd results.  </w:t>
      </w:r>
      <w:r w:rsidR="00CB30F1">
        <w:rPr>
          <w:sz w:val="24"/>
        </w:rPr>
        <w:t>For example, u</w:t>
      </w:r>
      <w:r w:rsidR="00050BD2" w:rsidRPr="00D075AA">
        <w:rPr>
          <w:sz w:val="24"/>
        </w:rPr>
        <w:t xml:space="preserve">nder </w:t>
      </w:r>
      <w:proofErr w:type="spellStart"/>
      <w:r w:rsidR="00050BD2" w:rsidRPr="00D075AA">
        <w:rPr>
          <w:sz w:val="24"/>
        </w:rPr>
        <w:t>WM’s</w:t>
      </w:r>
      <w:proofErr w:type="spellEnd"/>
      <w:r w:rsidR="00050BD2" w:rsidRPr="00D075AA">
        <w:rPr>
          <w:sz w:val="24"/>
        </w:rPr>
        <w:t xml:space="preserve"> interpretation</w:t>
      </w:r>
      <w:r w:rsidR="00A3560A" w:rsidRPr="00D075AA">
        <w:rPr>
          <w:sz w:val="24"/>
        </w:rPr>
        <w:t xml:space="preserve"> (i.e., </w:t>
      </w:r>
      <w:r w:rsidR="00252D5C">
        <w:rPr>
          <w:sz w:val="24"/>
        </w:rPr>
        <w:t xml:space="preserve">that </w:t>
      </w:r>
      <w:r w:rsidR="00A3560A" w:rsidRPr="00D075AA">
        <w:rPr>
          <w:sz w:val="24"/>
        </w:rPr>
        <w:t>the contents of a truck at a given time dictate the applicable regulations)</w:t>
      </w:r>
      <w:r w:rsidR="00050BD2" w:rsidRPr="00D075AA">
        <w:rPr>
          <w:sz w:val="24"/>
        </w:rPr>
        <w:t xml:space="preserve">, a driver of an empty truck leaving a WM facility </w:t>
      </w:r>
      <w:r w:rsidR="00252D5C">
        <w:rPr>
          <w:sz w:val="24"/>
        </w:rPr>
        <w:t>to pick up</w:t>
      </w:r>
      <w:r w:rsidR="00050BD2" w:rsidRPr="00D075AA">
        <w:rPr>
          <w:sz w:val="24"/>
        </w:rPr>
        <w:t xml:space="preserve"> </w:t>
      </w:r>
      <w:r w:rsidR="00CB30F1">
        <w:rPr>
          <w:sz w:val="24"/>
        </w:rPr>
        <w:t>a</w:t>
      </w:r>
      <w:r w:rsidR="00050BD2" w:rsidRPr="00D075AA">
        <w:rPr>
          <w:sz w:val="24"/>
        </w:rPr>
        <w:t xml:space="preserve"> first load of solid waste would fall outside the Commission’s driver safety regulations</w:t>
      </w:r>
      <w:r w:rsidR="00A3560A" w:rsidRPr="00D075AA">
        <w:rPr>
          <w:sz w:val="24"/>
        </w:rPr>
        <w:t xml:space="preserve">, but would </w:t>
      </w:r>
      <w:r w:rsidR="00252D5C">
        <w:rPr>
          <w:sz w:val="24"/>
        </w:rPr>
        <w:t xml:space="preserve">become subject to those requirements the moment the driver’s truck carried waste.  This would again change after the driver disposed of </w:t>
      </w:r>
      <w:r w:rsidR="00D54184">
        <w:rPr>
          <w:sz w:val="24"/>
        </w:rPr>
        <w:t>the</w:t>
      </w:r>
      <w:r w:rsidR="00252D5C">
        <w:rPr>
          <w:sz w:val="24"/>
        </w:rPr>
        <w:t xml:space="preserve"> waste.  </w:t>
      </w:r>
      <w:r w:rsidR="00A5385A">
        <w:rPr>
          <w:sz w:val="24"/>
        </w:rPr>
        <w:t xml:space="preserve">In addition to creating an absurd hodgepodge of regulation, </w:t>
      </w:r>
      <w:proofErr w:type="spellStart"/>
      <w:r w:rsidR="00A5385A">
        <w:rPr>
          <w:sz w:val="24"/>
        </w:rPr>
        <w:t>WM’s</w:t>
      </w:r>
      <w:proofErr w:type="spellEnd"/>
      <w:r w:rsidR="00A5385A">
        <w:rPr>
          <w:sz w:val="24"/>
        </w:rPr>
        <w:t xml:space="preserve"> interpretation is also potentially dangerous; </w:t>
      </w:r>
      <w:r w:rsidR="0018440C">
        <w:rPr>
          <w:sz w:val="24"/>
        </w:rPr>
        <w:t>trucks weighing more than 10,001 pounds, when not handled by medically examined and certified driver</w:t>
      </w:r>
      <w:r w:rsidR="00887CE2">
        <w:rPr>
          <w:sz w:val="24"/>
        </w:rPr>
        <w:t>s</w:t>
      </w:r>
      <w:r w:rsidR="0018440C">
        <w:rPr>
          <w:sz w:val="24"/>
        </w:rPr>
        <w:t xml:space="preserve">, present a serious safety concern for Staff regardless of whether the truck is </w:t>
      </w:r>
      <w:r w:rsidR="00887CE2">
        <w:rPr>
          <w:sz w:val="24"/>
        </w:rPr>
        <w:t>filled with</w:t>
      </w:r>
      <w:r w:rsidR="0018440C">
        <w:rPr>
          <w:sz w:val="24"/>
        </w:rPr>
        <w:t xml:space="preserve"> waste receptacles, actual solid waste, or is empty.</w:t>
      </w:r>
      <w:r w:rsidR="0018440C">
        <w:rPr>
          <w:rStyle w:val="FootnoteReference"/>
          <w:sz w:val="24"/>
        </w:rPr>
        <w:footnoteReference w:id="11"/>
      </w:r>
    </w:p>
    <w:p w14:paraId="311D9466" w14:textId="5AA40B43" w:rsidR="001619A2" w:rsidRPr="006B19B7" w:rsidRDefault="00AF7FB4" w:rsidP="00CA052B">
      <w:pPr>
        <w:numPr>
          <w:ilvl w:val="0"/>
          <w:numId w:val="2"/>
        </w:numPr>
        <w:spacing w:line="480" w:lineRule="auto"/>
        <w:jc w:val="both"/>
        <w:rPr>
          <w:sz w:val="24"/>
        </w:rPr>
      </w:pPr>
      <w:r>
        <w:rPr>
          <w:sz w:val="24"/>
        </w:rPr>
        <w:tab/>
      </w:r>
      <w:r w:rsidR="00B94F44" w:rsidRPr="00610CC7">
        <w:rPr>
          <w:sz w:val="24"/>
        </w:rPr>
        <w:t xml:space="preserve">Additionally, </w:t>
      </w:r>
      <w:r w:rsidR="00610CC7" w:rsidRPr="00610CC7">
        <w:rPr>
          <w:sz w:val="24"/>
        </w:rPr>
        <w:t>Staff’s application of the 10,001 pound threshold is consistent with how the Commission regulates other industries, such as household goods carriers.</w:t>
      </w:r>
      <w:r w:rsidR="00610CC7" w:rsidRPr="00610CC7">
        <w:rPr>
          <w:rStyle w:val="FootnoteReference"/>
          <w:sz w:val="24"/>
        </w:rPr>
        <w:footnoteReference w:id="12"/>
      </w:r>
      <w:r w:rsidR="00610CC7" w:rsidRPr="00610CC7">
        <w:rPr>
          <w:sz w:val="24"/>
        </w:rPr>
        <w:t xml:space="preserve">  It</w:t>
      </w:r>
      <w:r w:rsidR="00610CC7">
        <w:rPr>
          <w:sz w:val="24"/>
        </w:rPr>
        <w:t xml:space="preserve"> would represent an absurd result to require common carriers of household goods to be medically certified to operate an empty truck, yet not require</w:t>
      </w:r>
      <w:r w:rsidR="000F42E8">
        <w:rPr>
          <w:sz w:val="24"/>
        </w:rPr>
        <w:t xml:space="preserve"> the same certification for</w:t>
      </w:r>
      <w:r w:rsidR="00610CC7">
        <w:rPr>
          <w:sz w:val="24"/>
        </w:rPr>
        <w:t xml:space="preserve"> </w:t>
      </w:r>
      <w:r w:rsidR="000F42E8">
        <w:rPr>
          <w:sz w:val="24"/>
        </w:rPr>
        <w:t xml:space="preserve">a </w:t>
      </w:r>
      <w:r w:rsidR="00B50FFA">
        <w:rPr>
          <w:sz w:val="24"/>
        </w:rPr>
        <w:t xml:space="preserve">solid waste </w:t>
      </w:r>
      <w:r w:rsidR="00B50FFA">
        <w:rPr>
          <w:sz w:val="24"/>
        </w:rPr>
        <w:lastRenderedPageBreak/>
        <w:t xml:space="preserve">collection </w:t>
      </w:r>
      <w:r w:rsidR="000F42E8">
        <w:rPr>
          <w:sz w:val="24"/>
        </w:rPr>
        <w:t xml:space="preserve">driver operating the </w:t>
      </w:r>
      <w:r w:rsidR="003205C2">
        <w:rPr>
          <w:sz w:val="24"/>
        </w:rPr>
        <w:t xml:space="preserve">exact </w:t>
      </w:r>
      <w:r w:rsidR="000F42E8">
        <w:rPr>
          <w:sz w:val="24"/>
        </w:rPr>
        <w:t xml:space="preserve">same truck. </w:t>
      </w:r>
    </w:p>
    <w:p w14:paraId="078F22DD" w14:textId="1C76D6CA" w:rsidR="00791CC3" w:rsidRPr="00791CC3" w:rsidRDefault="00976676" w:rsidP="00AF7FB4">
      <w:pPr>
        <w:pStyle w:val="ListParagraph"/>
        <w:keepNext/>
        <w:keepLines/>
        <w:numPr>
          <w:ilvl w:val="0"/>
          <w:numId w:val="4"/>
        </w:numPr>
        <w:ind w:hanging="720"/>
        <w:rPr>
          <w:sz w:val="24"/>
        </w:rPr>
      </w:pPr>
      <w:r>
        <w:rPr>
          <w:b/>
          <w:sz w:val="24"/>
        </w:rPr>
        <w:t xml:space="preserve">The Company contests </w:t>
      </w:r>
      <w:r w:rsidR="00E81CA1">
        <w:rPr>
          <w:b/>
          <w:sz w:val="24"/>
        </w:rPr>
        <w:t>253</w:t>
      </w:r>
      <w:r>
        <w:rPr>
          <w:b/>
          <w:sz w:val="24"/>
        </w:rPr>
        <w:t xml:space="preserve"> violations based on </w:t>
      </w:r>
      <w:r w:rsidR="00E81CA1">
        <w:rPr>
          <w:b/>
          <w:sz w:val="24"/>
        </w:rPr>
        <w:t xml:space="preserve">a general definition in </w:t>
      </w:r>
      <w:r w:rsidR="00E331CA">
        <w:rPr>
          <w:b/>
          <w:sz w:val="24"/>
        </w:rPr>
        <w:t>RCW 81.77.010</w:t>
      </w:r>
      <w:r w:rsidR="00E81CA1">
        <w:rPr>
          <w:b/>
          <w:sz w:val="24"/>
        </w:rPr>
        <w:t xml:space="preserve">, but fails to address the definition of “commercial motor vehicle” in WAC 480-70-196 </w:t>
      </w:r>
      <w:r w:rsidR="00791CC3">
        <w:rPr>
          <w:b/>
          <w:sz w:val="24"/>
        </w:rPr>
        <w:t>that directly applies</w:t>
      </w:r>
      <w:r w:rsidR="00E81CA1">
        <w:rPr>
          <w:b/>
          <w:sz w:val="24"/>
        </w:rPr>
        <w:t xml:space="preserve"> to Part 5 of Chapter 480-70 WAC</w:t>
      </w:r>
    </w:p>
    <w:p w14:paraId="78E4A032" w14:textId="1939307C" w:rsidR="001459DB" w:rsidRPr="001459DB" w:rsidRDefault="00E81CA1" w:rsidP="00791CC3">
      <w:pPr>
        <w:pStyle w:val="ListParagraph"/>
        <w:ind w:left="1080"/>
        <w:rPr>
          <w:sz w:val="24"/>
        </w:rPr>
      </w:pPr>
      <w:r>
        <w:rPr>
          <w:b/>
          <w:sz w:val="24"/>
        </w:rPr>
        <w:t xml:space="preserve"> </w:t>
      </w:r>
    </w:p>
    <w:p w14:paraId="25157830" w14:textId="30AC7219" w:rsidR="005B4741" w:rsidRDefault="00AF7FB4" w:rsidP="002667ED">
      <w:pPr>
        <w:numPr>
          <w:ilvl w:val="0"/>
          <w:numId w:val="2"/>
        </w:numPr>
        <w:spacing w:line="480" w:lineRule="auto"/>
        <w:jc w:val="both"/>
        <w:rPr>
          <w:sz w:val="24"/>
        </w:rPr>
      </w:pPr>
      <w:r>
        <w:rPr>
          <w:sz w:val="24"/>
        </w:rPr>
        <w:tab/>
      </w:r>
      <w:r w:rsidR="00355672">
        <w:rPr>
          <w:sz w:val="24"/>
        </w:rPr>
        <w:t xml:space="preserve">Even assuming, for the sake of argument, that the 253 contested trips were </w:t>
      </w:r>
      <w:r w:rsidR="00355672" w:rsidRPr="00355672">
        <w:rPr>
          <w:i/>
          <w:sz w:val="24"/>
        </w:rPr>
        <w:t>not</w:t>
      </w:r>
      <w:r w:rsidR="00355672">
        <w:rPr>
          <w:sz w:val="24"/>
        </w:rPr>
        <w:t xml:space="preserve"> for the purpose of transporting solid waste (they were), the 253 </w:t>
      </w:r>
      <w:r w:rsidR="001079B5">
        <w:rPr>
          <w:sz w:val="24"/>
        </w:rPr>
        <w:t xml:space="preserve">alleged </w:t>
      </w:r>
      <w:r w:rsidR="00355672">
        <w:rPr>
          <w:sz w:val="24"/>
        </w:rPr>
        <w:t xml:space="preserve">violations of Part 391.45(a) nonetheless stand.  </w:t>
      </w:r>
      <w:r w:rsidR="00D34CA4">
        <w:rPr>
          <w:sz w:val="24"/>
        </w:rPr>
        <w:t xml:space="preserve">The Notice alleges violations of </w:t>
      </w:r>
      <w:r w:rsidR="00B13303">
        <w:rPr>
          <w:sz w:val="24"/>
        </w:rPr>
        <w:t>WAC</w:t>
      </w:r>
      <w:r w:rsidR="00D34CA4">
        <w:rPr>
          <w:sz w:val="24"/>
        </w:rPr>
        <w:t xml:space="preserve"> 480-70-201, Vehicle and Driver Safety Requiremen</w:t>
      </w:r>
      <w:r w:rsidR="00B13303">
        <w:rPr>
          <w:sz w:val="24"/>
        </w:rPr>
        <w:t>ts, which adopts title 49 CFR</w:t>
      </w:r>
      <w:r w:rsidR="00D34CA4">
        <w:rPr>
          <w:sz w:val="24"/>
        </w:rPr>
        <w:t xml:space="preserve"> Parts 383, 391, and 396, among others.  WAC 480-70-201</w:t>
      </w:r>
      <w:r w:rsidR="00A4468C">
        <w:rPr>
          <w:sz w:val="24"/>
        </w:rPr>
        <w:t xml:space="preserve"> is inc</w:t>
      </w:r>
      <w:r w:rsidR="008E3F20">
        <w:rPr>
          <w:sz w:val="24"/>
        </w:rPr>
        <w:t>luded in Part 5</w:t>
      </w:r>
      <w:r w:rsidR="003E08D7" w:rsidRPr="008E3F20">
        <w:rPr>
          <w:sz w:val="24"/>
        </w:rPr>
        <w:t>—</w:t>
      </w:r>
      <w:r w:rsidR="00A4468C">
        <w:rPr>
          <w:sz w:val="24"/>
        </w:rPr>
        <w:t xml:space="preserve">Equipment and Drivers, of Chapter 480-70 WAC.  </w:t>
      </w:r>
      <w:r w:rsidR="008E3F20">
        <w:rPr>
          <w:sz w:val="24"/>
        </w:rPr>
        <w:t xml:space="preserve">Part </w:t>
      </w:r>
      <w:r w:rsidR="00FB59DC">
        <w:rPr>
          <w:sz w:val="24"/>
        </w:rPr>
        <w:t>5</w:t>
      </w:r>
      <w:r w:rsidR="008E3F20">
        <w:rPr>
          <w:sz w:val="24"/>
        </w:rPr>
        <w:t xml:space="preserve"> includes WAC 480-70-196</w:t>
      </w:r>
      <w:r w:rsidR="003E08D7" w:rsidRPr="008E3F20">
        <w:rPr>
          <w:sz w:val="24"/>
        </w:rPr>
        <w:t>—</w:t>
      </w:r>
      <w:r w:rsidR="008E3F20">
        <w:rPr>
          <w:sz w:val="24"/>
        </w:rPr>
        <w:t>Commercial Vehicle Defined, set</w:t>
      </w:r>
      <w:r w:rsidR="00FB59DC">
        <w:rPr>
          <w:sz w:val="24"/>
        </w:rPr>
        <w:t>ting</w:t>
      </w:r>
      <w:r w:rsidR="008E3F20">
        <w:rPr>
          <w:sz w:val="24"/>
        </w:rPr>
        <w:t xml:space="preserve"> forth a specific definition of “commercial motor vehicle” to be applied </w:t>
      </w:r>
      <w:r w:rsidR="00FB59DC">
        <w:rPr>
          <w:sz w:val="24"/>
        </w:rPr>
        <w:t>to all</w:t>
      </w:r>
      <w:r w:rsidR="008E3F20">
        <w:rPr>
          <w:sz w:val="24"/>
        </w:rPr>
        <w:t xml:space="preserve"> rules under Part 5:</w:t>
      </w:r>
    </w:p>
    <w:p w14:paraId="44BB6C64" w14:textId="60CB7588" w:rsidR="008E3F20" w:rsidRPr="008E3F20" w:rsidRDefault="008E3F20" w:rsidP="00AF7FB4">
      <w:pPr>
        <w:ind w:left="720" w:right="648"/>
        <w:jc w:val="both"/>
        <w:rPr>
          <w:sz w:val="24"/>
        </w:rPr>
      </w:pPr>
      <w:r w:rsidRPr="00052B59">
        <w:rPr>
          <w:b/>
          <w:i/>
          <w:sz w:val="24"/>
        </w:rPr>
        <w:t>For the purposes of the rules in Part 5</w:t>
      </w:r>
      <w:r w:rsidRPr="008E3F20">
        <w:rPr>
          <w:sz w:val="24"/>
        </w:rPr>
        <w:t xml:space="preserve">—Equipment and Drivers, </w:t>
      </w:r>
      <w:r>
        <w:rPr>
          <w:sz w:val="24"/>
        </w:rPr>
        <w:t>‘commercial motor vehicle’</w:t>
      </w:r>
      <w:r w:rsidRPr="008E3F20">
        <w:rPr>
          <w:sz w:val="24"/>
        </w:rPr>
        <w:t xml:space="preserve"> means any self-propelled or towed motor vehicle used</w:t>
      </w:r>
      <w:r>
        <w:rPr>
          <w:sz w:val="24"/>
        </w:rPr>
        <w:t xml:space="preserve"> on a highway when the vehicle:</w:t>
      </w:r>
    </w:p>
    <w:p w14:paraId="6222309A" w14:textId="241666FF" w:rsidR="008E3F20" w:rsidRDefault="008E3F20" w:rsidP="00AF7FB4">
      <w:pPr>
        <w:ind w:left="720" w:right="648"/>
        <w:jc w:val="both"/>
        <w:rPr>
          <w:sz w:val="24"/>
        </w:rPr>
      </w:pPr>
      <w:r w:rsidRPr="008E3F20">
        <w:rPr>
          <w:sz w:val="24"/>
        </w:rPr>
        <w:t xml:space="preserve">(1) </w:t>
      </w:r>
      <w:r w:rsidRPr="00052B59">
        <w:rPr>
          <w:b/>
          <w:i/>
          <w:sz w:val="24"/>
        </w:rPr>
        <w:t>Has a gross vehicle weight rating</w:t>
      </w:r>
      <w:r w:rsidRPr="008E3F20">
        <w:rPr>
          <w:sz w:val="24"/>
        </w:rPr>
        <w:t xml:space="preserve"> or gross combination weight rating, </w:t>
      </w:r>
      <w:r w:rsidRPr="00052B59">
        <w:rPr>
          <w:b/>
          <w:i/>
          <w:sz w:val="24"/>
        </w:rPr>
        <w:t>or gross vehicle weight</w:t>
      </w:r>
      <w:r w:rsidRPr="008E3F20">
        <w:rPr>
          <w:sz w:val="24"/>
        </w:rPr>
        <w:t xml:space="preserve"> or gross combination weight, </w:t>
      </w:r>
      <w:r w:rsidRPr="00052B59">
        <w:rPr>
          <w:b/>
          <w:i/>
          <w:sz w:val="24"/>
        </w:rPr>
        <w:t>of ten thousand and one pounds or more</w:t>
      </w:r>
      <w:r w:rsidRPr="008E3F20">
        <w:rPr>
          <w:sz w:val="24"/>
        </w:rPr>
        <w:t>, whichever is greater . . .</w:t>
      </w:r>
      <w:r w:rsidR="00052B59">
        <w:rPr>
          <w:rStyle w:val="FootnoteReference"/>
          <w:sz w:val="24"/>
        </w:rPr>
        <w:footnoteReference w:id="13"/>
      </w:r>
    </w:p>
    <w:p w14:paraId="6A6F99F4" w14:textId="77777777" w:rsidR="00AF7FB4" w:rsidRDefault="00AF7FB4" w:rsidP="00AF7FB4">
      <w:pPr>
        <w:ind w:right="648"/>
        <w:jc w:val="both"/>
        <w:rPr>
          <w:sz w:val="24"/>
        </w:rPr>
      </w:pPr>
    </w:p>
    <w:p w14:paraId="6818D97C" w14:textId="726FB8FF" w:rsidR="00746489" w:rsidRDefault="002977F8" w:rsidP="00113DAA">
      <w:pPr>
        <w:spacing w:line="480" w:lineRule="auto"/>
        <w:ind w:right="18"/>
        <w:jc w:val="both"/>
        <w:rPr>
          <w:sz w:val="24"/>
        </w:rPr>
      </w:pPr>
      <w:r>
        <w:rPr>
          <w:sz w:val="24"/>
        </w:rPr>
        <w:t xml:space="preserve">The legislature applied </w:t>
      </w:r>
      <w:r w:rsidR="0021314B">
        <w:rPr>
          <w:sz w:val="24"/>
        </w:rPr>
        <w:t>this</w:t>
      </w:r>
      <w:r w:rsidR="008E3F20">
        <w:rPr>
          <w:sz w:val="24"/>
        </w:rPr>
        <w:t xml:space="preserve"> more specific definition</w:t>
      </w:r>
      <w:r w:rsidR="00E00388">
        <w:rPr>
          <w:sz w:val="24"/>
        </w:rPr>
        <w:t xml:space="preserve"> </w:t>
      </w:r>
      <w:r w:rsidR="00C600A9">
        <w:rPr>
          <w:sz w:val="24"/>
        </w:rPr>
        <w:t xml:space="preserve">to violations of Part 5 (the violations at issue in this Docket), and </w:t>
      </w:r>
      <w:r w:rsidR="0021314B">
        <w:rPr>
          <w:sz w:val="24"/>
        </w:rPr>
        <w:t>by its plain text it</w:t>
      </w:r>
      <w:r w:rsidR="00AA7434">
        <w:rPr>
          <w:sz w:val="24"/>
        </w:rPr>
        <w:t xml:space="preserve"> </w:t>
      </w:r>
      <w:r w:rsidR="00526386">
        <w:rPr>
          <w:sz w:val="24"/>
        </w:rPr>
        <w:t>does not require a vehicle to</w:t>
      </w:r>
      <w:r w:rsidR="00C600A9">
        <w:rPr>
          <w:sz w:val="24"/>
        </w:rPr>
        <w:t xml:space="preserve"> be used “for the purpose of transporting solid waste” </w:t>
      </w:r>
      <w:r w:rsidR="0021314B">
        <w:rPr>
          <w:sz w:val="24"/>
        </w:rPr>
        <w:t xml:space="preserve">in order </w:t>
      </w:r>
      <w:r w:rsidR="00C600A9">
        <w:rPr>
          <w:sz w:val="24"/>
        </w:rPr>
        <w:t xml:space="preserve">to </w:t>
      </w:r>
      <w:r w:rsidR="0021314B">
        <w:rPr>
          <w:sz w:val="24"/>
        </w:rPr>
        <w:t>mandate</w:t>
      </w:r>
      <w:r w:rsidR="00AA7434">
        <w:rPr>
          <w:sz w:val="24"/>
        </w:rPr>
        <w:t xml:space="preserve"> compliance with </w:t>
      </w:r>
      <w:r w:rsidR="00C600A9">
        <w:rPr>
          <w:sz w:val="24"/>
        </w:rPr>
        <w:t>the Commission’s driver safety requirements.</w:t>
      </w:r>
      <w:r w:rsidR="00AA7434">
        <w:rPr>
          <w:sz w:val="24"/>
        </w:rPr>
        <w:t xml:space="preserve">  </w:t>
      </w:r>
      <w:r w:rsidR="00C02227">
        <w:rPr>
          <w:sz w:val="24"/>
        </w:rPr>
        <w:t>T</w:t>
      </w:r>
      <w:r w:rsidR="00E00388">
        <w:rPr>
          <w:sz w:val="24"/>
        </w:rPr>
        <w:t xml:space="preserve">he </w:t>
      </w:r>
      <w:r w:rsidR="00A63711">
        <w:rPr>
          <w:sz w:val="24"/>
        </w:rPr>
        <w:t xml:space="preserve">above </w:t>
      </w:r>
      <w:r w:rsidR="00E00388">
        <w:rPr>
          <w:sz w:val="24"/>
        </w:rPr>
        <w:t xml:space="preserve">definition in WAC </w:t>
      </w:r>
      <w:r w:rsidR="00E00388" w:rsidRPr="00E00388">
        <w:rPr>
          <w:sz w:val="24"/>
        </w:rPr>
        <w:t>480-70-196</w:t>
      </w:r>
      <w:r w:rsidR="00E00388">
        <w:rPr>
          <w:sz w:val="24"/>
        </w:rPr>
        <w:t xml:space="preserve"> directly parrots the Federal </w:t>
      </w:r>
      <w:r w:rsidR="00211848">
        <w:rPr>
          <w:sz w:val="24"/>
        </w:rPr>
        <w:t xml:space="preserve">Motor Carrier Safety Administration’s </w:t>
      </w:r>
      <w:r w:rsidR="00E00388">
        <w:rPr>
          <w:sz w:val="24"/>
        </w:rPr>
        <w:t>definition of commercial motor vehicle appli</w:t>
      </w:r>
      <w:r w:rsidR="00571387">
        <w:rPr>
          <w:sz w:val="24"/>
        </w:rPr>
        <w:t>cable</w:t>
      </w:r>
      <w:r w:rsidR="00E00388">
        <w:rPr>
          <w:sz w:val="24"/>
        </w:rPr>
        <w:t xml:space="preserve"> to Part 391.45(a)</w:t>
      </w:r>
      <w:r w:rsidR="00571387">
        <w:rPr>
          <w:sz w:val="24"/>
        </w:rPr>
        <w:t>.</w:t>
      </w:r>
      <w:r w:rsidR="00CC502E">
        <w:rPr>
          <w:rStyle w:val="FootnoteReference"/>
          <w:sz w:val="24"/>
        </w:rPr>
        <w:footnoteReference w:id="14"/>
      </w:r>
      <w:r w:rsidR="00E00388">
        <w:rPr>
          <w:sz w:val="24"/>
        </w:rPr>
        <w:t xml:space="preserve"> </w:t>
      </w:r>
      <w:r w:rsidR="00571387">
        <w:rPr>
          <w:sz w:val="24"/>
        </w:rPr>
        <w:t xml:space="preserve"> </w:t>
      </w:r>
      <w:r w:rsidR="00571387" w:rsidRPr="00A63711">
        <w:rPr>
          <w:sz w:val="24"/>
        </w:rPr>
        <w:t xml:space="preserve">This is </w:t>
      </w:r>
      <w:r w:rsidR="00E00388" w:rsidRPr="00A63711">
        <w:rPr>
          <w:sz w:val="24"/>
        </w:rPr>
        <w:t xml:space="preserve">another indication of the legislature’s intent to </w:t>
      </w:r>
      <w:r w:rsidR="00571387" w:rsidRPr="00A63711">
        <w:rPr>
          <w:sz w:val="24"/>
        </w:rPr>
        <w:t>use that</w:t>
      </w:r>
      <w:r w:rsidR="00537BC9">
        <w:rPr>
          <w:sz w:val="24"/>
        </w:rPr>
        <w:t xml:space="preserve"> specific</w:t>
      </w:r>
      <w:r w:rsidR="00571387" w:rsidRPr="00A63711">
        <w:rPr>
          <w:sz w:val="24"/>
        </w:rPr>
        <w:t xml:space="preserve"> definition for violations of </w:t>
      </w:r>
      <w:r w:rsidR="00A63711" w:rsidRPr="00A63711">
        <w:rPr>
          <w:sz w:val="24"/>
        </w:rPr>
        <w:t>W</w:t>
      </w:r>
      <w:r w:rsidR="00A63711">
        <w:rPr>
          <w:sz w:val="24"/>
        </w:rPr>
        <w:t>AC 480-70-201</w:t>
      </w:r>
      <w:r w:rsidR="00E00388">
        <w:rPr>
          <w:sz w:val="24"/>
        </w:rPr>
        <w:t xml:space="preserve">.  </w:t>
      </w:r>
      <w:r w:rsidR="0021314B">
        <w:rPr>
          <w:sz w:val="24"/>
        </w:rPr>
        <w:t>T</w:t>
      </w:r>
      <w:r w:rsidR="00AA7434">
        <w:rPr>
          <w:sz w:val="24"/>
        </w:rPr>
        <w:t xml:space="preserve">he Company’s Response </w:t>
      </w:r>
      <w:r w:rsidR="0012552F">
        <w:rPr>
          <w:sz w:val="24"/>
        </w:rPr>
        <w:t>states</w:t>
      </w:r>
      <w:r w:rsidR="00AA7434">
        <w:rPr>
          <w:sz w:val="24"/>
        </w:rPr>
        <w:t xml:space="preserve"> that </w:t>
      </w:r>
      <w:r w:rsidR="00AA7434">
        <w:rPr>
          <w:sz w:val="24"/>
        </w:rPr>
        <w:lastRenderedPageBreak/>
        <w:t xml:space="preserve">the trucks </w:t>
      </w:r>
      <w:r w:rsidR="00AA7434" w:rsidRPr="00F06EE7">
        <w:rPr>
          <w:sz w:val="24"/>
        </w:rPr>
        <w:t xml:space="preserve">driven for the 253 contested </w:t>
      </w:r>
      <w:r w:rsidR="0012552F" w:rsidRPr="00F06EE7">
        <w:rPr>
          <w:sz w:val="24"/>
        </w:rPr>
        <w:t>trips had an applicable vehicle weight of</w:t>
      </w:r>
      <w:r w:rsidR="00AA7434" w:rsidRPr="00F06EE7">
        <w:rPr>
          <w:sz w:val="24"/>
        </w:rPr>
        <w:t xml:space="preserve"> 10,001 pounds or greater</w:t>
      </w:r>
      <w:r w:rsidR="00537BC9" w:rsidRPr="00F06EE7">
        <w:rPr>
          <w:sz w:val="24"/>
        </w:rPr>
        <w:t>,</w:t>
      </w:r>
      <w:r w:rsidR="00AA7434" w:rsidRPr="00F06EE7">
        <w:rPr>
          <w:rStyle w:val="FootnoteReference"/>
          <w:sz w:val="24"/>
        </w:rPr>
        <w:footnoteReference w:id="15"/>
      </w:r>
      <w:r w:rsidR="00537BC9" w:rsidRPr="00F06EE7">
        <w:rPr>
          <w:sz w:val="24"/>
        </w:rPr>
        <w:t xml:space="preserve"> bringing them within the </w:t>
      </w:r>
      <w:r w:rsidR="0012552F" w:rsidRPr="00F06EE7">
        <w:rPr>
          <w:sz w:val="24"/>
        </w:rPr>
        <w:t>purview of the Commission’s driver safety requirements</w:t>
      </w:r>
      <w:r w:rsidR="00F06EE7" w:rsidRPr="00F06EE7">
        <w:rPr>
          <w:sz w:val="24"/>
        </w:rPr>
        <w:t xml:space="preserve"> for these trips</w:t>
      </w:r>
      <w:r w:rsidR="0012552F">
        <w:rPr>
          <w:sz w:val="24"/>
        </w:rPr>
        <w:t>.</w:t>
      </w:r>
      <w:r w:rsidR="00F06EE7">
        <w:rPr>
          <w:sz w:val="24"/>
        </w:rPr>
        <w:t xml:space="preserve">  </w:t>
      </w:r>
      <w:r w:rsidR="00C25B89">
        <w:rPr>
          <w:sz w:val="24"/>
        </w:rPr>
        <w:t>T</w:t>
      </w:r>
      <w:r w:rsidR="00F06EE7">
        <w:rPr>
          <w:sz w:val="24"/>
        </w:rPr>
        <w:t xml:space="preserve">he Company’s argument in contesting the violations of Part 391.45(a) is based on the purportedly applicable definition, </w:t>
      </w:r>
      <w:r w:rsidR="00C25B89">
        <w:rPr>
          <w:sz w:val="24"/>
        </w:rPr>
        <w:t xml:space="preserve">but </w:t>
      </w:r>
      <w:r w:rsidR="00F06EE7">
        <w:rPr>
          <w:sz w:val="24"/>
        </w:rPr>
        <w:t xml:space="preserve">the Response failed to address the </w:t>
      </w:r>
      <w:r w:rsidR="00C25B89">
        <w:rPr>
          <w:sz w:val="24"/>
        </w:rPr>
        <w:t>directly</w:t>
      </w:r>
      <w:r w:rsidR="00F06EE7">
        <w:rPr>
          <w:sz w:val="24"/>
        </w:rPr>
        <w:t xml:space="preserve"> applicable definition in WAC 480-70-196.</w:t>
      </w:r>
    </w:p>
    <w:p w14:paraId="4B499594" w14:textId="3547BEFE" w:rsidR="002667ED" w:rsidRPr="005E0776" w:rsidRDefault="00B94F44" w:rsidP="00AF7FB4">
      <w:pPr>
        <w:pStyle w:val="ListParagraph"/>
        <w:numPr>
          <w:ilvl w:val="0"/>
          <w:numId w:val="4"/>
        </w:numPr>
        <w:spacing w:line="480" w:lineRule="auto"/>
        <w:ind w:left="0" w:firstLine="0"/>
        <w:rPr>
          <w:sz w:val="24"/>
        </w:rPr>
      </w:pPr>
      <w:r>
        <w:rPr>
          <w:b/>
          <w:sz w:val="24"/>
        </w:rPr>
        <w:t xml:space="preserve">Commission </w:t>
      </w:r>
      <w:r w:rsidR="009F35CE">
        <w:rPr>
          <w:b/>
          <w:sz w:val="24"/>
        </w:rPr>
        <w:t>S</w:t>
      </w:r>
      <w:r w:rsidR="00E81CA1">
        <w:rPr>
          <w:b/>
          <w:sz w:val="24"/>
        </w:rPr>
        <w:t xml:space="preserve">taff’s </w:t>
      </w:r>
      <w:r>
        <w:rPr>
          <w:b/>
          <w:sz w:val="24"/>
        </w:rPr>
        <w:t>rule interpretation and</w:t>
      </w:r>
      <w:r w:rsidR="0004722D">
        <w:rPr>
          <w:b/>
          <w:sz w:val="24"/>
        </w:rPr>
        <w:t xml:space="preserve"> enforcement</w:t>
      </w:r>
      <w:r>
        <w:rPr>
          <w:b/>
          <w:sz w:val="24"/>
        </w:rPr>
        <w:t xml:space="preserve"> precedent </w:t>
      </w:r>
    </w:p>
    <w:p w14:paraId="3A4C865B" w14:textId="36B14E1F" w:rsidR="009746BD" w:rsidRDefault="00AF7FB4" w:rsidP="002667ED">
      <w:pPr>
        <w:numPr>
          <w:ilvl w:val="0"/>
          <w:numId w:val="2"/>
        </w:numPr>
        <w:spacing w:line="480" w:lineRule="auto"/>
        <w:jc w:val="both"/>
        <w:rPr>
          <w:sz w:val="24"/>
        </w:rPr>
      </w:pPr>
      <w:r>
        <w:rPr>
          <w:sz w:val="24"/>
        </w:rPr>
        <w:tab/>
      </w:r>
      <w:r w:rsidR="00E71FA0">
        <w:rPr>
          <w:sz w:val="24"/>
        </w:rPr>
        <w:t>Commission Staff</w:t>
      </w:r>
      <w:r w:rsidR="002F040A">
        <w:rPr>
          <w:sz w:val="24"/>
        </w:rPr>
        <w:t xml:space="preserve">, </w:t>
      </w:r>
      <w:r w:rsidR="00E71FA0">
        <w:rPr>
          <w:sz w:val="24"/>
        </w:rPr>
        <w:t>who</w:t>
      </w:r>
      <w:r w:rsidR="002F040A">
        <w:rPr>
          <w:sz w:val="24"/>
        </w:rPr>
        <w:t xml:space="preserve"> specialize</w:t>
      </w:r>
      <w:r w:rsidR="00E71FA0">
        <w:rPr>
          <w:sz w:val="24"/>
        </w:rPr>
        <w:t xml:space="preserve"> in motor carrier safety investigations</w:t>
      </w:r>
      <w:r w:rsidR="002F040A">
        <w:rPr>
          <w:sz w:val="24"/>
        </w:rPr>
        <w:t xml:space="preserve"> and are familiar with the Commission’s enforcement policies, routinely consider </w:t>
      </w:r>
      <w:r w:rsidR="00DE59C5">
        <w:rPr>
          <w:sz w:val="24"/>
        </w:rPr>
        <w:t xml:space="preserve">and construe </w:t>
      </w:r>
      <w:r w:rsidR="002F040A">
        <w:rPr>
          <w:sz w:val="24"/>
        </w:rPr>
        <w:t>container trucks driven by solid waste companies to be regulated by the Commission and subject to the medical certification requirements adopted under WAC 480-70-201.</w:t>
      </w:r>
      <w:r w:rsidR="002F040A">
        <w:rPr>
          <w:rStyle w:val="FootnoteReference"/>
          <w:sz w:val="24"/>
        </w:rPr>
        <w:footnoteReference w:id="16"/>
      </w:r>
      <w:r w:rsidR="00583364">
        <w:rPr>
          <w:sz w:val="24"/>
        </w:rPr>
        <w:t xml:space="preserve">  This is because</w:t>
      </w:r>
      <w:r w:rsidR="00A4054F">
        <w:rPr>
          <w:sz w:val="24"/>
        </w:rPr>
        <w:t>, as stated,</w:t>
      </w:r>
      <w:r w:rsidR="00583364">
        <w:rPr>
          <w:sz w:val="24"/>
        </w:rPr>
        <w:t xml:space="preserve"> the Commission and the Federal Motor Carrier Safety Administration share the same vehicle threshold for commercial motor vehicles of 10,001 pounds or greater gross vehicle weight rating when applying the medical certification requirement to drivers.</w:t>
      </w:r>
      <w:r w:rsidR="00583364">
        <w:rPr>
          <w:rStyle w:val="FootnoteReference"/>
          <w:sz w:val="24"/>
        </w:rPr>
        <w:footnoteReference w:id="17"/>
      </w:r>
      <w:r w:rsidR="009746BD">
        <w:rPr>
          <w:sz w:val="24"/>
        </w:rPr>
        <w:t xml:space="preserve">  </w:t>
      </w:r>
    </w:p>
    <w:p w14:paraId="1B8771C4" w14:textId="52630266" w:rsidR="005B4741" w:rsidRDefault="00AF7FB4" w:rsidP="002667ED">
      <w:pPr>
        <w:numPr>
          <w:ilvl w:val="0"/>
          <w:numId w:val="2"/>
        </w:numPr>
        <w:spacing w:line="480" w:lineRule="auto"/>
        <w:jc w:val="both"/>
        <w:rPr>
          <w:sz w:val="24"/>
        </w:rPr>
      </w:pPr>
      <w:r>
        <w:rPr>
          <w:sz w:val="24"/>
        </w:rPr>
        <w:tab/>
      </w:r>
      <w:r w:rsidR="009746BD">
        <w:rPr>
          <w:sz w:val="24"/>
        </w:rPr>
        <w:t xml:space="preserve">For </w:t>
      </w:r>
      <w:r w:rsidR="0004722D">
        <w:rPr>
          <w:sz w:val="24"/>
        </w:rPr>
        <w:t xml:space="preserve">each of </w:t>
      </w:r>
      <w:r w:rsidR="009746BD">
        <w:rPr>
          <w:sz w:val="24"/>
        </w:rPr>
        <w:t>the reasons</w:t>
      </w:r>
      <w:r w:rsidR="0004722D">
        <w:rPr>
          <w:sz w:val="24"/>
        </w:rPr>
        <w:t xml:space="preserve"> above</w:t>
      </w:r>
      <w:r w:rsidR="009746BD">
        <w:rPr>
          <w:sz w:val="24"/>
        </w:rPr>
        <w:t xml:space="preserve">, Staff believes the penalty assessment issued in this Docket is accurate and </w:t>
      </w:r>
      <w:r w:rsidR="0004722D">
        <w:rPr>
          <w:sz w:val="24"/>
        </w:rPr>
        <w:t>disagrees with the Company’s argument that the commercial motor vehicles identified during the investigation do not fall under the Commission’s regulation</w:t>
      </w:r>
      <w:r w:rsidR="009746BD">
        <w:rPr>
          <w:sz w:val="24"/>
        </w:rPr>
        <w:t>.</w:t>
      </w:r>
      <w:r w:rsidR="009746BD">
        <w:rPr>
          <w:rStyle w:val="FootnoteReference"/>
          <w:sz w:val="24"/>
        </w:rPr>
        <w:footnoteReference w:id="18"/>
      </w:r>
      <w:r w:rsidR="009746BD">
        <w:rPr>
          <w:sz w:val="24"/>
        </w:rPr>
        <w:t xml:space="preserve"> </w:t>
      </w:r>
    </w:p>
    <w:p w14:paraId="46B8F4C7" w14:textId="0185632F" w:rsidR="005E0776" w:rsidRDefault="005E0776" w:rsidP="00AF7FB4">
      <w:pPr>
        <w:pStyle w:val="ListParagraph"/>
        <w:spacing w:line="480" w:lineRule="auto"/>
        <w:ind w:hanging="720"/>
        <w:jc w:val="center"/>
        <w:rPr>
          <w:b/>
          <w:sz w:val="24"/>
        </w:rPr>
      </w:pPr>
      <w:r>
        <w:rPr>
          <w:b/>
          <w:sz w:val="24"/>
        </w:rPr>
        <w:t>I</w:t>
      </w:r>
      <w:r w:rsidR="00DB0545">
        <w:rPr>
          <w:b/>
          <w:sz w:val="24"/>
        </w:rPr>
        <w:t>I</w:t>
      </w:r>
      <w:r w:rsidRPr="005E0776">
        <w:rPr>
          <w:b/>
          <w:sz w:val="24"/>
        </w:rPr>
        <w:t>.</w:t>
      </w:r>
      <w:r w:rsidRPr="005E0776">
        <w:rPr>
          <w:b/>
          <w:sz w:val="24"/>
        </w:rPr>
        <w:tab/>
      </w:r>
      <w:r w:rsidR="00F52045">
        <w:rPr>
          <w:b/>
          <w:sz w:val="24"/>
        </w:rPr>
        <w:t>MITIGATION</w:t>
      </w:r>
    </w:p>
    <w:p w14:paraId="377B1E23" w14:textId="73A0CB43" w:rsidR="00875658" w:rsidRDefault="00AF7FB4" w:rsidP="00AF7FB4">
      <w:pPr>
        <w:widowControl/>
        <w:numPr>
          <w:ilvl w:val="0"/>
          <w:numId w:val="2"/>
        </w:numPr>
        <w:spacing w:line="480" w:lineRule="auto"/>
        <w:jc w:val="both"/>
        <w:rPr>
          <w:sz w:val="24"/>
        </w:rPr>
      </w:pPr>
      <w:r>
        <w:rPr>
          <w:sz w:val="24"/>
        </w:rPr>
        <w:tab/>
      </w:r>
      <w:r w:rsidR="00E54707">
        <w:rPr>
          <w:sz w:val="24"/>
        </w:rPr>
        <w:t xml:space="preserve">As set forth in greater detail in the attached Declaration of Jason Sharp, </w:t>
      </w:r>
      <w:r w:rsidR="00875658">
        <w:rPr>
          <w:sz w:val="24"/>
        </w:rPr>
        <w:t xml:space="preserve">Staff reviewed the Company’s request for mitigation and </w:t>
      </w:r>
      <w:r w:rsidR="008A5994">
        <w:rPr>
          <w:sz w:val="24"/>
        </w:rPr>
        <w:t xml:space="preserve">finds that the Company’s thorough response to the Notice, as illustrated in the Company’s safety management plan, shows the Company took </w:t>
      </w:r>
      <w:r w:rsidR="008A5994">
        <w:rPr>
          <w:sz w:val="24"/>
        </w:rPr>
        <w:lastRenderedPageBreak/>
        <w:t>immediate corrective action to address each violation.</w:t>
      </w:r>
      <w:r w:rsidR="008A5994">
        <w:rPr>
          <w:rStyle w:val="FootnoteReference"/>
          <w:sz w:val="24"/>
        </w:rPr>
        <w:footnoteReference w:id="19"/>
      </w:r>
      <w:r w:rsidR="0067297E">
        <w:rPr>
          <w:sz w:val="24"/>
        </w:rPr>
        <w:t xml:space="preserve">  A summary of Staff’s recommendation as to the Company’s mitigation request is as follows:</w:t>
      </w:r>
    </w:p>
    <w:p w14:paraId="75AC1248" w14:textId="1E142722" w:rsidR="00EB0D09" w:rsidRPr="00B0208B" w:rsidRDefault="00EB0D09" w:rsidP="00AF7FB4">
      <w:pPr>
        <w:pStyle w:val="ListParagraph"/>
        <w:widowControl/>
        <w:numPr>
          <w:ilvl w:val="1"/>
          <w:numId w:val="2"/>
        </w:numPr>
        <w:tabs>
          <w:tab w:val="clear" w:pos="1440"/>
          <w:tab w:val="num" w:pos="720"/>
        </w:tabs>
        <w:autoSpaceDE/>
        <w:autoSpaceDN/>
        <w:adjustRightInd/>
        <w:spacing w:line="480" w:lineRule="auto"/>
        <w:ind w:left="720"/>
        <w:jc w:val="both"/>
        <w:rPr>
          <w:sz w:val="24"/>
        </w:rPr>
      </w:pPr>
      <w:r>
        <w:rPr>
          <w:sz w:val="24"/>
        </w:rPr>
        <w:t xml:space="preserve">199 </w:t>
      </w:r>
      <w:r w:rsidR="0067297E">
        <w:rPr>
          <w:sz w:val="24"/>
        </w:rPr>
        <w:t xml:space="preserve">acute </w:t>
      </w:r>
      <w:r>
        <w:rPr>
          <w:sz w:val="24"/>
        </w:rPr>
        <w:t>violations of 49 CFR Part 383.37(a)</w:t>
      </w:r>
      <w:r w:rsidRPr="00EB0D09">
        <w:rPr>
          <w:sz w:val="24"/>
        </w:rPr>
        <w:t xml:space="preserve"> </w:t>
      </w:r>
      <w:r>
        <w:rPr>
          <w:sz w:val="24"/>
        </w:rPr>
        <w:t xml:space="preserve">for </w:t>
      </w:r>
      <w:r w:rsidRPr="00B0208B">
        <w:rPr>
          <w:sz w:val="24"/>
        </w:rPr>
        <w:t>$19,900</w:t>
      </w:r>
      <w:r>
        <w:rPr>
          <w:sz w:val="24"/>
        </w:rPr>
        <w:t>:</w:t>
      </w:r>
      <w:r w:rsidR="0067297E">
        <w:rPr>
          <w:sz w:val="24"/>
        </w:rPr>
        <w:t xml:space="preserve">  The Company admitted and corrected the violations, and took steps to prevent future occurrences.  Staff therefore recommends mitigation of this penalty to $9,950.</w:t>
      </w:r>
      <w:r w:rsidR="00385F25">
        <w:rPr>
          <w:rStyle w:val="FootnoteReference"/>
          <w:sz w:val="24"/>
        </w:rPr>
        <w:footnoteReference w:id="20"/>
      </w:r>
    </w:p>
    <w:p w14:paraId="6D77A452" w14:textId="432279D5" w:rsidR="00EB0D09" w:rsidRDefault="00EB0D09" w:rsidP="00AF7FB4">
      <w:pPr>
        <w:pStyle w:val="ListParagraph"/>
        <w:widowControl/>
        <w:numPr>
          <w:ilvl w:val="1"/>
          <w:numId w:val="2"/>
        </w:numPr>
        <w:tabs>
          <w:tab w:val="left" w:pos="720"/>
        </w:tabs>
        <w:autoSpaceDE/>
        <w:autoSpaceDN/>
        <w:adjustRightInd/>
        <w:spacing w:line="480" w:lineRule="auto"/>
        <w:ind w:left="720"/>
        <w:jc w:val="both"/>
        <w:rPr>
          <w:sz w:val="24"/>
        </w:rPr>
      </w:pPr>
      <w:r>
        <w:rPr>
          <w:sz w:val="24"/>
        </w:rPr>
        <w:t xml:space="preserve">274 </w:t>
      </w:r>
      <w:r w:rsidR="0067297E">
        <w:rPr>
          <w:sz w:val="24"/>
        </w:rPr>
        <w:t xml:space="preserve">critical </w:t>
      </w:r>
      <w:r>
        <w:rPr>
          <w:sz w:val="24"/>
        </w:rPr>
        <w:t>violations of 49 CFR Part 391.45(a)</w:t>
      </w:r>
      <w:r w:rsidRPr="00EB0D09">
        <w:rPr>
          <w:sz w:val="24"/>
        </w:rPr>
        <w:t xml:space="preserve"> </w:t>
      </w:r>
      <w:r w:rsidR="0067297E">
        <w:rPr>
          <w:sz w:val="24"/>
        </w:rPr>
        <w:t>for $27,400</w:t>
      </w:r>
      <w:r>
        <w:rPr>
          <w:sz w:val="24"/>
        </w:rPr>
        <w:t>:</w:t>
      </w:r>
      <w:r w:rsidR="0067297E">
        <w:rPr>
          <w:sz w:val="24"/>
        </w:rPr>
        <w:t xml:space="preserve">  While the Company contested 253 of the identified violations, the Company nonetheless directed the three container truck </w:t>
      </w:r>
      <w:r w:rsidR="0067297E" w:rsidRPr="00702CD1">
        <w:rPr>
          <w:sz w:val="24"/>
        </w:rPr>
        <w:t xml:space="preserve">drivers </w:t>
      </w:r>
      <w:r w:rsidR="00702CD1" w:rsidRPr="00702CD1">
        <w:rPr>
          <w:sz w:val="24"/>
        </w:rPr>
        <w:t>(Garcia, Petereit, and Phillips)</w:t>
      </w:r>
      <w:r w:rsidR="00702CD1">
        <w:rPr>
          <w:sz w:val="24"/>
        </w:rPr>
        <w:t xml:space="preserve"> </w:t>
      </w:r>
      <w:r w:rsidR="0067297E" w:rsidRPr="00702CD1">
        <w:rPr>
          <w:sz w:val="24"/>
        </w:rPr>
        <w:t>to be</w:t>
      </w:r>
      <w:r w:rsidR="0067297E">
        <w:rPr>
          <w:sz w:val="24"/>
        </w:rPr>
        <w:t xml:space="preserve"> medically examined and certified.  Staff also does not believe the Company knowingly violated this safety requirement</w:t>
      </w:r>
      <w:r w:rsidR="00200C8F">
        <w:rPr>
          <w:sz w:val="24"/>
        </w:rPr>
        <w:t xml:space="preserve"> but instead (incorrectly) interpreted</w:t>
      </w:r>
      <w:r w:rsidR="00385F25">
        <w:rPr>
          <w:sz w:val="24"/>
        </w:rPr>
        <w:t xml:space="preserve"> its container service to fall under common carrier authority whose safety regulations are enforced by the Washington State Patrol, from whom the Company sought guidance regarding safety requirement</w:t>
      </w:r>
      <w:r w:rsidR="00702CD1">
        <w:rPr>
          <w:sz w:val="24"/>
        </w:rPr>
        <w:t>s</w:t>
      </w:r>
      <w:r w:rsidR="00385F25">
        <w:rPr>
          <w:sz w:val="24"/>
        </w:rPr>
        <w:t xml:space="preserve"> for medical certification</w:t>
      </w:r>
      <w:r w:rsidR="0067297E">
        <w:rPr>
          <w:sz w:val="24"/>
        </w:rPr>
        <w:t xml:space="preserve">.  </w:t>
      </w:r>
      <w:r w:rsidR="00385F25">
        <w:rPr>
          <w:sz w:val="24"/>
        </w:rPr>
        <w:t>Staff therefore recommends mitigation of this penalty to $</w:t>
      </w:r>
      <w:r w:rsidR="008810DA">
        <w:rPr>
          <w:sz w:val="24"/>
        </w:rPr>
        <w:t>13,700</w:t>
      </w:r>
      <w:r w:rsidR="00385F25">
        <w:rPr>
          <w:sz w:val="24"/>
        </w:rPr>
        <w:t>.</w:t>
      </w:r>
      <w:r w:rsidR="00385F25">
        <w:rPr>
          <w:rStyle w:val="FootnoteReference"/>
          <w:sz w:val="24"/>
        </w:rPr>
        <w:footnoteReference w:id="21"/>
      </w:r>
    </w:p>
    <w:p w14:paraId="3F76BD45" w14:textId="7A1C3E80" w:rsidR="005C55DD" w:rsidRDefault="0067297E" w:rsidP="00AF7FB4">
      <w:pPr>
        <w:pStyle w:val="ListParagraph"/>
        <w:widowControl/>
        <w:numPr>
          <w:ilvl w:val="1"/>
          <w:numId w:val="2"/>
        </w:numPr>
        <w:tabs>
          <w:tab w:val="clear" w:pos="1440"/>
          <w:tab w:val="num" w:pos="720"/>
        </w:tabs>
        <w:autoSpaceDE/>
        <w:autoSpaceDN/>
        <w:adjustRightInd/>
        <w:spacing w:line="480" w:lineRule="auto"/>
        <w:ind w:left="720"/>
        <w:jc w:val="both"/>
        <w:rPr>
          <w:sz w:val="24"/>
        </w:rPr>
      </w:pPr>
      <w:r>
        <w:rPr>
          <w:sz w:val="24"/>
        </w:rPr>
        <w:t>F</w:t>
      </w:r>
      <w:r w:rsidR="00EB0D09" w:rsidRPr="00EB0D09">
        <w:rPr>
          <w:sz w:val="24"/>
        </w:rPr>
        <w:t>our violations of 49 CFR Part 396.3(a</w:t>
      </w:r>
      <w:proofErr w:type="gramStart"/>
      <w:r w:rsidR="00EB0D09" w:rsidRPr="00EB0D09">
        <w:rPr>
          <w:sz w:val="24"/>
        </w:rPr>
        <w:t>)(</w:t>
      </w:r>
      <w:proofErr w:type="gramEnd"/>
      <w:r w:rsidR="00EB0D09" w:rsidRPr="00EB0D09">
        <w:rPr>
          <w:sz w:val="24"/>
        </w:rPr>
        <w:t>1)</w:t>
      </w:r>
      <w:r w:rsidRPr="0067297E">
        <w:rPr>
          <w:sz w:val="24"/>
        </w:rPr>
        <w:t xml:space="preserve"> </w:t>
      </w:r>
      <w:r>
        <w:rPr>
          <w:sz w:val="24"/>
        </w:rPr>
        <w:t>for $400</w:t>
      </w:r>
      <w:r w:rsidR="00EB0D09">
        <w:rPr>
          <w:sz w:val="24"/>
        </w:rPr>
        <w:t>:</w:t>
      </w:r>
      <w:r w:rsidR="008810DA">
        <w:rPr>
          <w:sz w:val="24"/>
        </w:rPr>
        <w:t xml:space="preserve">  The Company admitted and corrected these violations.  WM represented that it communicated with maintenance personnel on this issue and also provided training to drivers on proper pre- and post-trip inspection procedures.  Staff therefore recommends mitigation of this penalty to $200.</w:t>
      </w:r>
      <w:r w:rsidR="008810DA">
        <w:rPr>
          <w:rStyle w:val="FootnoteReference"/>
          <w:sz w:val="24"/>
        </w:rPr>
        <w:footnoteReference w:id="22"/>
      </w:r>
    </w:p>
    <w:p w14:paraId="0A6D2DE5" w14:textId="77777777" w:rsidR="0070644F" w:rsidRDefault="003A20B8" w:rsidP="00AF7FB4">
      <w:pPr>
        <w:pStyle w:val="ListParagraph"/>
        <w:widowControl/>
        <w:numPr>
          <w:ilvl w:val="1"/>
          <w:numId w:val="2"/>
        </w:numPr>
        <w:tabs>
          <w:tab w:val="left" w:pos="720"/>
        </w:tabs>
        <w:autoSpaceDE/>
        <w:autoSpaceDN/>
        <w:adjustRightInd/>
        <w:spacing w:line="480" w:lineRule="auto"/>
        <w:ind w:left="720"/>
        <w:jc w:val="both"/>
        <w:rPr>
          <w:sz w:val="24"/>
        </w:rPr>
      </w:pPr>
      <w:r>
        <w:rPr>
          <w:sz w:val="24"/>
        </w:rPr>
        <w:t xml:space="preserve">In total, Staff recommends </w:t>
      </w:r>
      <w:r w:rsidR="00E8527A">
        <w:rPr>
          <w:sz w:val="24"/>
        </w:rPr>
        <w:t>mitigation</w:t>
      </w:r>
      <w:r>
        <w:rPr>
          <w:sz w:val="24"/>
        </w:rPr>
        <w:t xml:space="preserve"> of the assessed penalty </w:t>
      </w:r>
      <w:r w:rsidR="00E8527A">
        <w:rPr>
          <w:sz w:val="24"/>
        </w:rPr>
        <w:t>from $47,700 to $23,850</w:t>
      </w:r>
      <w:r w:rsidR="0070644F">
        <w:rPr>
          <w:sz w:val="24"/>
        </w:rPr>
        <w:t>.</w:t>
      </w:r>
    </w:p>
    <w:p w14:paraId="60B62659" w14:textId="6B1A8958" w:rsidR="003A20B8" w:rsidRPr="0067297E" w:rsidRDefault="00E8527A" w:rsidP="00AF7FB4">
      <w:pPr>
        <w:pStyle w:val="ListParagraph"/>
        <w:widowControl/>
        <w:numPr>
          <w:ilvl w:val="1"/>
          <w:numId w:val="2"/>
        </w:numPr>
        <w:tabs>
          <w:tab w:val="clear" w:pos="1440"/>
          <w:tab w:val="num" w:pos="720"/>
        </w:tabs>
        <w:autoSpaceDE/>
        <w:autoSpaceDN/>
        <w:adjustRightInd/>
        <w:spacing w:line="480" w:lineRule="auto"/>
        <w:ind w:left="720"/>
        <w:jc w:val="both"/>
        <w:rPr>
          <w:sz w:val="24"/>
        </w:rPr>
      </w:pPr>
      <w:r>
        <w:rPr>
          <w:sz w:val="24"/>
        </w:rPr>
        <w:lastRenderedPageBreak/>
        <w:t xml:space="preserve">Staff further recommends suspension of $13,850 of the penalty for a period of two years before being waived, on the following conditions: (1) that Staff will conduct a focused safety investigation of 49 CFR Parts 383 and 391 in two years or as soon thereafter as </w:t>
      </w:r>
      <w:r w:rsidR="00C5716A">
        <w:rPr>
          <w:sz w:val="24"/>
        </w:rPr>
        <w:t>practicable</w:t>
      </w:r>
      <w:r>
        <w:rPr>
          <w:sz w:val="24"/>
        </w:rPr>
        <w:t xml:space="preserve"> to review the Company’s compliance; (2) the Company </w:t>
      </w:r>
      <w:r w:rsidR="0070644F">
        <w:rPr>
          <w:sz w:val="24"/>
        </w:rPr>
        <w:t>does</w:t>
      </w:r>
      <w:r>
        <w:rPr>
          <w:sz w:val="24"/>
        </w:rPr>
        <w:t xml:space="preserve"> not incur any repeat acute or critical violations; and (3) the Company pays the $10,000 portion of the penalty that is not suspended.</w:t>
      </w:r>
      <w:r w:rsidR="000D49B8">
        <w:rPr>
          <w:rStyle w:val="FootnoteReference"/>
          <w:sz w:val="24"/>
        </w:rPr>
        <w:footnoteReference w:id="23"/>
      </w:r>
      <w:r>
        <w:rPr>
          <w:sz w:val="24"/>
        </w:rPr>
        <w:t xml:space="preserve"> </w:t>
      </w:r>
    </w:p>
    <w:p w14:paraId="33CE8A1B" w14:textId="61CEDD44" w:rsidR="009D1773" w:rsidRPr="009D1773" w:rsidRDefault="00DB0545" w:rsidP="00AF7FB4">
      <w:pPr>
        <w:spacing w:line="480" w:lineRule="auto"/>
        <w:ind w:left="720" w:hanging="720"/>
        <w:jc w:val="center"/>
        <w:rPr>
          <w:sz w:val="24"/>
        </w:rPr>
      </w:pPr>
      <w:r>
        <w:rPr>
          <w:b/>
          <w:sz w:val="24"/>
        </w:rPr>
        <w:t>III</w:t>
      </w:r>
      <w:r w:rsidR="009D1773" w:rsidRPr="009D1773">
        <w:rPr>
          <w:b/>
          <w:sz w:val="24"/>
        </w:rPr>
        <w:t>.</w:t>
      </w:r>
      <w:r w:rsidR="009D1773" w:rsidRPr="009D1773">
        <w:rPr>
          <w:b/>
          <w:sz w:val="24"/>
        </w:rPr>
        <w:tab/>
      </w:r>
      <w:r w:rsidR="009D1773">
        <w:rPr>
          <w:b/>
          <w:sz w:val="24"/>
        </w:rPr>
        <w:t xml:space="preserve">WM’S REQUEST </w:t>
      </w:r>
      <w:r w:rsidR="00CA6744">
        <w:rPr>
          <w:b/>
          <w:sz w:val="24"/>
        </w:rPr>
        <w:t>FOR A DECISION ON THE PAPERS</w:t>
      </w:r>
    </w:p>
    <w:p w14:paraId="1C20DD17" w14:textId="0D8E5C95" w:rsidR="009D1773" w:rsidRPr="00D00AE7" w:rsidRDefault="00AF7FB4" w:rsidP="00D00AE7">
      <w:pPr>
        <w:numPr>
          <w:ilvl w:val="0"/>
          <w:numId w:val="2"/>
        </w:numPr>
        <w:spacing w:line="480" w:lineRule="auto"/>
        <w:jc w:val="both"/>
        <w:rPr>
          <w:sz w:val="24"/>
        </w:rPr>
      </w:pPr>
      <w:r>
        <w:rPr>
          <w:sz w:val="24"/>
        </w:rPr>
        <w:tab/>
      </w:r>
      <w:r w:rsidR="00CA6744">
        <w:rPr>
          <w:sz w:val="24"/>
        </w:rPr>
        <w:t>The Company requested that the Commission decide this mat</w:t>
      </w:r>
      <w:r w:rsidR="00C5716A">
        <w:rPr>
          <w:sz w:val="24"/>
        </w:rPr>
        <w:t>t</w:t>
      </w:r>
      <w:r w:rsidR="00CA6744">
        <w:rPr>
          <w:sz w:val="24"/>
        </w:rPr>
        <w:t>er solely on the written information p</w:t>
      </w:r>
      <w:r w:rsidR="00DE37A2">
        <w:rPr>
          <w:sz w:val="24"/>
        </w:rPr>
        <w:t>rovided w</w:t>
      </w:r>
      <w:r w:rsidR="00CA6744">
        <w:rPr>
          <w:sz w:val="24"/>
        </w:rPr>
        <w:t>ith respect to both the contested and un-contested violations alleged in the Notice.  Staff does not oppose this request.</w:t>
      </w:r>
    </w:p>
    <w:p w14:paraId="45AC2AF7" w14:textId="2EDD523F" w:rsidR="00F52045" w:rsidRPr="005E0776" w:rsidRDefault="00F52045" w:rsidP="007A62DB">
      <w:pPr>
        <w:pStyle w:val="ListParagraph"/>
        <w:spacing w:line="480" w:lineRule="auto"/>
        <w:ind w:left="0"/>
        <w:jc w:val="center"/>
        <w:rPr>
          <w:sz w:val="24"/>
        </w:rPr>
      </w:pPr>
      <w:r>
        <w:rPr>
          <w:b/>
          <w:sz w:val="24"/>
        </w:rPr>
        <w:t>CONCLUSION</w:t>
      </w:r>
    </w:p>
    <w:p w14:paraId="3EFD2164" w14:textId="79E38081" w:rsidR="00D00AE7" w:rsidRDefault="00AF7FB4" w:rsidP="00D00AE7">
      <w:pPr>
        <w:numPr>
          <w:ilvl w:val="0"/>
          <w:numId w:val="2"/>
        </w:numPr>
        <w:spacing w:line="480" w:lineRule="auto"/>
        <w:jc w:val="both"/>
        <w:rPr>
          <w:sz w:val="24"/>
        </w:rPr>
      </w:pPr>
      <w:r>
        <w:rPr>
          <w:sz w:val="24"/>
        </w:rPr>
        <w:tab/>
      </w:r>
      <w:r w:rsidR="00DE37A2">
        <w:rPr>
          <w:sz w:val="24"/>
        </w:rPr>
        <w:t xml:space="preserve">For the reasons provided, Staff: (1) asks that the Commission uphold the 253 alleged violations of Part 391.45(a) that are contested by the company; (2) asks that the Commission grant the Company a mitigation </w:t>
      </w:r>
      <w:r w:rsidR="005876E3">
        <w:rPr>
          <w:sz w:val="24"/>
        </w:rPr>
        <w:t>of its penalties in line with Staff’s recommendation</w:t>
      </w:r>
      <w:r w:rsidR="00DE37A2">
        <w:rPr>
          <w:sz w:val="24"/>
        </w:rPr>
        <w:t xml:space="preserve"> in this pleading and the </w:t>
      </w:r>
      <w:r w:rsidR="005876E3">
        <w:rPr>
          <w:sz w:val="24"/>
        </w:rPr>
        <w:t>attached</w:t>
      </w:r>
      <w:r w:rsidR="00DE37A2">
        <w:rPr>
          <w:sz w:val="24"/>
        </w:rPr>
        <w:t xml:space="preserve"> </w:t>
      </w:r>
      <w:r w:rsidR="005876E3">
        <w:rPr>
          <w:sz w:val="24"/>
        </w:rPr>
        <w:t>declaration</w:t>
      </w:r>
      <w:r w:rsidR="00DE37A2">
        <w:rPr>
          <w:sz w:val="24"/>
        </w:rPr>
        <w:t xml:space="preserve">; and (3) does not oppose the Company’s request that the Commission decide this matter solely on the written record. </w:t>
      </w:r>
    </w:p>
    <w:p w14:paraId="5133123B" w14:textId="09E44602" w:rsidR="00F748D8" w:rsidRDefault="00F748D8" w:rsidP="00F748D8">
      <w:pPr>
        <w:ind w:left="720"/>
        <w:rPr>
          <w:sz w:val="24"/>
        </w:rPr>
      </w:pPr>
      <w:r w:rsidRPr="004A2910">
        <w:rPr>
          <w:sz w:val="24"/>
        </w:rPr>
        <w:t xml:space="preserve">DATED this </w:t>
      </w:r>
      <w:r w:rsidR="002667ED">
        <w:rPr>
          <w:sz w:val="24"/>
        </w:rPr>
        <w:t>8th</w:t>
      </w:r>
      <w:r w:rsidRPr="004A2910">
        <w:rPr>
          <w:sz w:val="24"/>
        </w:rPr>
        <w:t xml:space="preserve"> day of </w:t>
      </w:r>
      <w:r w:rsidR="002667ED">
        <w:rPr>
          <w:sz w:val="24"/>
        </w:rPr>
        <w:t>August</w:t>
      </w:r>
      <w:r w:rsidRPr="004A2910">
        <w:rPr>
          <w:sz w:val="24"/>
        </w:rPr>
        <w:t xml:space="preserve"> 20</w:t>
      </w:r>
      <w:r w:rsidR="004A26FF">
        <w:rPr>
          <w:sz w:val="24"/>
        </w:rPr>
        <w:t>1</w:t>
      </w:r>
      <w:r w:rsidR="00471ED5">
        <w:rPr>
          <w:sz w:val="24"/>
        </w:rPr>
        <w:t>9</w:t>
      </w:r>
      <w:r w:rsidRPr="004A2910">
        <w:rPr>
          <w:sz w:val="24"/>
        </w:rPr>
        <w:t>.</w:t>
      </w:r>
    </w:p>
    <w:p w14:paraId="2F4F54E6" w14:textId="77777777" w:rsidR="00F748D8" w:rsidRDefault="00F748D8" w:rsidP="00F748D8">
      <w:pPr>
        <w:ind w:left="720"/>
        <w:rPr>
          <w:sz w:val="24"/>
        </w:rPr>
      </w:pPr>
    </w:p>
    <w:p w14:paraId="1178D1E0" w14:textId="77777777" w:rsidR="00F748D8" w:rsidRPr="004A2910" w:rsidRDefault="00471ED5" w:rsidP="00F748D8">
      <w:pPr>
        <w:ind w:left="720"/>
        <w:rPr>
          <w:sz w:val="24"/>
        </w:rPr>
      </w:pPr>
      <w:r>
        <w:rPr>
          <w:sz w:val="24"/>
        </w:rPr>
        <w:tab/>
      </w:r>
      <w:r>
        <w:rPr>
          <w:sz w:val="24"/>
        </w:rPr>
        <w:tab/>
      </w:r>
      <w:r>
        <w:rPr>
          <w:sz w:val="24"/>
        </w:rPr>
        <w:tab/>
      </w:r>
      <w:r>
        <w:rPr>
          <w:sz w:val="24"/>
        </w:rPr>
        <w:tab/>
      </w:r>
      <w:r>
        <w:rPr>
          <w:sz w:val="24"/>
        </w:rPr>
        <w:tab/>
      </w:r>
      <w:r w:rsidR="00F748D8">
        <w:rPr>
          <w:sz w:val="24"/>
        </w:rPr>
        <w:t xml:space="preserve">Respectfully submitted, </w:t>
      </w:r>
    </w:p>
    <w:p w14:paraId="63183B71" w14:textId="77777777" w:rsidR="00F748D8" w:rsidRPr="004A2910" w:rsidRDefault="00F748D8" w:rsidP="00F748D8">
      <w:pPr>
        <w:pStyle w:val="BodyTextIndent2"/>
        <w:rPr>
          <w:rFonts w:ascii="Times New Roman" w:hAnsi="Times New Roman"/>
        </w:rPr>
      </w:pPr>
    </w:p>
    <w:p w14:paraId="33AD3951" w14:textId="77777777" w:rsidR="00F748D8" w:rsidRPr="004A2910" w:rsidRDefault="00F748D8" w:rsidP="00471ED5">
      <w:pPr>
        <w:ind w:left="4320"/>
        <w:jc w:val="both"/>
        <w:rPr>
          <w:sz w:val="24"/>
        </w:rPr>
      </w:pPr>
      <w:r w:rsidRPr="004A2910">
        <w:rPr>
          <w:sz w:val="24"/>
        </w:rPr>
        <w:t>ROB</w:t>
      </w:r>
      <w:r w:rsidR="00BF3CD1">
        <w:rPr>
          <w:sz w:val="24"/>
        </w:rPr>
        <w:t xml:space="preserve">ERT </w:t>
      </w:r>
      <w:r w:rsidR="009D3E3D">
        <w:rPr>
          <w:sz w:val="24"/>
        </w:rPr>
        <w:t>W. FERGUSON</w:t>
      </w:r>
      <w:r w:rsidRPr="004A2910">
        <w:rPr>
          <w:sz w:val="24"/>
        </w:rPr>
        <w:t xml:space="preserve"> </w:t>
      </w:r>
    </w:p>
    <w:p w14:paraId="177C950C" w14:textId="77777777" w:rsidR="00F748D8" w:rsidRDefault="00F748D8" w:rsidP="00471ED5">
      <w:pPr>
        <w:ind w:left="4320"/>
        <w:jc w:val="both"/>
        <w:rPr>
          <w:sz w:val="24"/>
        </w:rPr>
      </w:pPr>
      <w:r w:rsidRPr="004A2910">
        <w:rPr>
          <w:sz w:val="24"/>
        </w:rPr>
        <w:t>Attorney General</w:t>
      </w:r>
    </w:p>
    <w:p w14:paraId="216E9ED0" w14:textId="77777777" w:rsidR="00471ED5" w:rsidRPr="004A2910" w:rsidRDefault="00471ED5" w:rsidP="00471ED5">
      <w:pPr>
        <w:ind w:left="4320" w:firstLine="5040"/>
        <w:jc w:val="both"/>
        <w:rPr>
          <w:sz w:val="24"/>
        </w:rPr>
      </w:pPr>
    </w:p>
    <w:p w14:paraId="2BCF66E8" w14:textId="77777777" w:rsidR="00471ED5" w:rsidRPr="00471ED5" w:rsidRDefault="00471ED5" w:rsidP="00471ED5">
      <w:pPr>
        <w:widowControl/>
        <w:autoSpaceDE/>
        <w:autoSpaceDN/>
        <w:adjustRightInd/>
        <w:ind w:left="4320"/>
        <w:rPr>
          <w:rFonts w:eastAsia="Calibri"/>
          <w:sz w:val="24"/>
        </w:rPr>
      </w:pPr>
      <w:r w:rsidRPr="00471ED5">
        <w:rPr>
          <w:rFonts w:eastAsia="Calibri"/>
          <w:sz w:val="24"/>
        </w:rPr>
        <w:t xml:space="preserve">/s/ </w:t>
      </w:r>
      <w:r w:rsidRPr="00471ED5">
        <w:rPr>
          <w:rFonts w:eastAsia="Calibri"/>
          <w:i/>
          <w:sz w:val="24"/>
        </w:rPr>
        <w:t>Daniel J. Teimouri</w:t>
      </w:r>
      <w:r w:rsidRPr="00471ED5">
        <w:rPr>
          <w:rFonts w:eastAsia="Calibri"/>
          <w:sz w:val="24"/>
        </w:rPr>
        <w:t>, WSBA No. 47965</w:t>
      </w:r>
    </w:p>
    <w:p w14:paraId="4EABA7D9" w14:textId="77777777" w:rsidR="00471ED5" w:rsidRPr="00471ED5" w:rsidRDefault="00471ED5" w:rsidP="00471ED5">
      <w:pPr>
        <w:widowControl/>
        <w:autoSpaceDE/>
        <w:autoSpaceDN/>
        <w:adjustRightInd/>
        <w:ind w:left="4320"/>
        <w:rPr>
          <w:rFonts w:eastAsia="Calibri"/>
          <w:sz w:val="24"/>
        </w:rPr>
      </w:pPr>
      <w:r w:rsidRPr="00471ED5">
        <w:rPr>
          <w:rFonts w:eastAsia="Calibri"/>
          <w:sz w:val="24"/>
        </w:rPr>
        <w:t>Assistant Attorney General</w:t>
      </w:r>
    </w:p>
    <w:p w14:paraId="2A531A4F" w14:textId="77777777" w:rsidR="00471ED5" w:rsidRPr="00471ED5" w:rsidRDefault="00471ED5" w:rsidP="00471ED5">
      <w:pPr>
        <w:widowControl/>
        <w:autoSpaceDE/>
        <w:autoSpaceDN/>
        <w:adjustRightInd/>
        <w:ind w:left="4320"/>
        <w:rPr>
          <w:rFonts w:eastAsia="Calibri"/>
          <w:sz w:val="24"/>
        </w:rPr>
      </w:pPr>
      <w:r w:rsidRPr="00471ED5">
        <w:rPr>
          <w:rFonts w:eastAsia="Calibri"/>
          <w:sz w:val="24"/>
        </w:rPr>
        <w:t>Office of the Attorney General</w:t>
      </w:r>
    </w:p>
    <w:p w14:paraId="51250072" w14:textId="77777777" w:rsidR="00471ED5" w:rsidRPr="00471ED5" w:rsidRDefault="00471ED5" w:rsidP="00471ED5">
      <w:pPr>
        <w:widowControl/>
        <w:autoSpaceDE/>
        <w:autoSpaceDN/>
        <w:adjustRightInd/>
        <w:ind w:left="4320"/>
        <w:rPr>
          <w:rFonts w:eastAsia="Calibri"/>
          <w:sz w:val="24"/>
        </w:rPr>
      </w:pPr>
      <w:r w:rsidRPr="00471ED5">
        <w:rPr>
          <w:rFonts w:eastAsia="Calibri"/>
          <w:sz w:val="24"/>
        </w:rPr>
        <w:t>Utilities and Transportation Division</w:t>
      </w:r>
    </w:p>
    <w:p w14:paraId="138EF4A7" w14:textId="77777777" w:rsidR="00471ED5" w:rsidRPr="00471ED5" w:rsidRDefault="00471ED5" w:rsidP="00471ED5">
      <w:pPr>
        <w:widowControl/>
        <w:autoSpaceDE/>
        <w:autoSpaceDN/>
        <w:adjustRightInd/>
        <w:ind w:left="4320"/>
        <w:rPr>
          <w:rFonts w:eastAsia="Calibri"/>
          <w:sz w:val="24"/>
        </w:rPr>
      </w:pPr>
      <w:r w:rsidRPr="00471ED5">
        <w:rPr>
          <w:rFonts w:eastAsia="Calibri"/>
          <w:sz w:val="24"/>
        </w:rPr>
        <w:t>P.O. Box 40128, Olympia, WA 98504-0128</w:t>
      </w:r>
    </w:p>
    <w:p w14:paraId="6E4C58F9" w14:textId="77777777" w:rsidR="00471ED5" w:rsidRPr="00471ED5" w:rsidRDefault="00471ED5" w:rsidP="00471ED5">
      <w:pPr>
        <w:widowControl/>
        <w:autoSpaceDE/>
        <w:autoSpaceDN/>
        <w:adjustRightInd/>
        <w:ind w:left="4320"/>
        <w:rPr>
          <w:rFonts w:eastAsia="Calibri"/>
          <w:sz w:val="24"/>
        </w:rPr>
      </w:pPr>
      <w:r w:rsidRPr="00471ED5">
        <w:rPr>
          <w:rFonts w:eastAsia="Calibri"/>
          <w:sz w:val="24"/>
        </w:rPr>
        <w:t>(360) 664-1189</w:t>
      </w:r>
    </w:p>
    <w:p w14:paraId="01FE2C0A" w14:textId="77777777" w:rsidR="00471ED5" w:rsidRDefault="00704C93" w:rsidP="00471ED5">
      <w:pPr>
        <w:widowControl/>
        <w:autoSpaceDE/>
        <w:autoSpaceDN/>
        <w:adjustRightInd/>
        <w:ind w:left="4320"/>
        <w:rPr>
          <w:rFonts w:eastAsia="Calibri"/>
          <w:color w:val="990066"/>
          <w:sz w:val="24"/>
          <w:u w:val="single"/>
        </w:rPr>
      </w:pPr>
      <w:hyperlink r:id="rId11" w:history="1">
        <w:r w:rsidR="00471ED5" w:rsidRPr="00471ED5">
          <w:rPr>
            <w:rFonts w:eastAsia="Calibri"/>
            <w:color w:val="990066"/>
            <w:sz w:val="24"/>
            <w:u w:val="single"/>
          </w:rPr>
          <w:t>daniel.teimouri@utc.wa.gov</w:t>
        </w:r>
      </w:hyperlink>
    </w:p>
    <w:p w14:paraId="0EEC3E8C" w14:textId="77777777" w:rsidR="00F748D8" w:rsidRPr="004A2910" w:rsidRDefault="00F748D8" w:rsidP="00471ED5">
      <w:pPr>
        <w:ind w:left="4320"/>
        <w:jc w:val="both"/>
        <w:rPr>
          <w:sz w:val="24"/>
        </w:rPr>
      </w:pPr>
      <w:r w:rsidRPr="004A2910">
        <w:rPr>
          <w:sz w:val="24"/>
        </w:rPr>
        <w:t>Counsel for Washington Utilities and</w:t>
      </w:r>
    </w:p>
    <w:p w14:paraId="18283C35" w14:textId="77777777" w:rsidR="00F748D8" w:rsidRPr="004A2910" w:rsidRDefault="004F69A5" w:rsidP="00471ED5">
      <w:pPr>
        <w:ind w:left="4320"/>
        <w:jc w:val="both"/>
        <w:rPr>
          <w:sz w:val="24"/>
        </w:rPr>
      </w:pPr>
      <w:r>
        <w:rPr>
          <w:sz w:val="24"/>
        </w:rPr>
        <w:t>Transportation Commission</w:t>
      </w:r>
      <w:r w:rsidR="005E07C2">
        <w:rPr>
          <w:sz w:val="24"/>
        </w:rPr>
        <w:t xml:space="preserve"> Staff</w:t>
      </w:r>
    </w:p>
    <w:p w14:paraId="5A9A8256" w14:textId="77777777" w:rsidR="00F748D8" w:rsidRDefault="00F748D8"/>
    <w:sectPr w:rsidR="00F748D8" w:rsidSect="00F748D8">
      <w:footerReference w:type="default" r:id="rId12"/>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77A34" w14:textId="77777777" w:rsidR="00A5689B" w:rsidRDefault="00A5689B">
      <w:r>
        <w:separator/>
      </w:r>
    </w:p>
  </w:endnote>
  <w:endnote w:type="continuationSeparator" w:id="0">
    <w:p w14:paraId="38962C5A" w14:textId="77777777" w:rsidR="00A5689B" w:rsidRDefault="00A5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3CD4B" w14:textId="77777777" w:rsidR="00DA492F" w:rsidRDefault="00DA492F">
    <w:pPr>
      <w:pStyle w:val="Footer"/>
    </w:pPr>
  </w:p>
  <w:p w14:paraId="271DF5EF" w14:textId="77777777" w:rsidR="002667ED" w:rsidRDefault="002667ED">
    <w:pPr>
      <w:pStyle w:val="Footer"/>
    </w:pPr>
    <w:r>
      <w:t>STAFF REPLY TO WASTE MANAGEMENT’S</w:t>
    </w:r>
  </w:p>
  <w:p w14:paraId="44578080" w14:textId="208DD793" w:rsidR="00DA492F" w:rsidRPr="00737B08" w:rsidRDefault="002667ED">
    <w:pPr>
      <w:pStyle w:val="Footer"/>
    </w:pPr>
    <w:r>
      <w:t xml:space="preserve">RESPONSE TO PENALTY ASSESSMENT </w:t>
    </w:r>
    <w:r w:rsidR="00DA492F" w:rsidRPr="00737B08">
      <w:t xml:space="preserve">- </w:t>
    </w:r>
    <w:r w:rsidR="00DA492F" w:rsidRPr="00737B08">
      <w:rPr>
        <w:rStyle w:val="PageNumber"/>
      </w:rPr>
      <w:fldChar w:fldCharType="begin"/>
    </w:r>
    <w:r w:rsidR="00DA492F" w:rsidRPr="00737B08">
      <w:rPr>
        <w:rStyle w:val="PageNumber"/>
      </w:rPr>
      <w:instrText xml:space="preserve"> PAGE </w:instrText>
    </w:r>
    <w:r w:rsidR="00DA492F" w:rsidRPr="00737B08">
      <w:rPr>
        <w:rStyle w:val="PageNumber"/>
      </w:rPr>
      <w:fldChar w:fldCharType="separate"/>
    </w:r>
    <w:r w:rsidR="00704C93">
      <w:rPr>
        <w:rStyle w:val="PageNumber"/>
        <w:noProof/>
      </w:rPr>
      <w:t>3</w:t>
    </w:r>
    <w:r w:rsidR="00DA492F" w:rsidRPr="00737B0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1689D" w14:textId="77777777" w:rsidR="00A5689B" w:rsidRDefault="00A5689B">
      <w:r>
        <w:separator/>
      </w:r>
    </w:p>
  </w:footnote>
  <w:footnote w:type="continuationSeparator" w:id="0">
    <w:p w14:paraId="08C789A1" w14:textId="77777777" w:rsidR="00A5689B" w:rsidRDefault="00A5689B">
      <w:r>
        <w:continuationSeparator/>
      </w:r>
    </w:p>
  </w:footnote>
  <w:footnote w:id="1">
    <w:p w14:paraId="5594694C" w14:textId="31F38C17" w:rsidR="003F755A" w:rsidRDefault="003F755A">
      <w:pPr>
        <w:pStyle w:val="FootnoteText"/>
      </w:pPr>
      <w:r>
        <w:rPr>
          <w:rStyle w:val="FootnoteReference"/>
        </w:rPr>
        <w:footnoteRef/>
      </w:r>
      <w:r>
        <w:t xml:space="preserve"> </w:t>
      </w:r>
      <w:r w:rsidRPr="003F755A">
        <w:rPr>
          <w:i/>
        </w:rPr>
        <w:t>See</w:t>
      </w:r>
      <w:r w:rsidR="005E5E39">
        <w:t xml:space="preserve"> </w:t>
      </w:r>
      <w:r w:rsidR="005E5E39" w:rsidRPr="005E5E39">
        <w:t xml:space="preserve">Attachment </w:t>
      </w:r>
      <w:r w:rsidR="00E73BF7">
        <w:t>1 to the Declaration of Jason Sharp (Sharp Decl.)</w:t>
      </w:r>
      <w:r w:rsidR="005E5E39" w:rsidRPr="005E5E39">
        <w:t xml:space="preserve">, </w:t>
      </w:r>
      <w:r w:rsidRPr="005E5E39">
        <w:t>Investigation Report</w:t>
      </w:r>
      <w:r w:rsidR="0052297E">
        <w:t xml:space="preserve"> by Wayne Gilbert, dated June</w:t>
      </w:r>
      <w:r w:rsidR="00D47E31">
        <w:t xml:space="preserve"> 11, 2019</w:t>
      </w:r>
      <w:r w:rsidR="000D49B8">
        <w:t>.</w:t>
      </w:r>
      <w:r>
        <w:t xml:space="preserve"> </w:t>
      </w:r>
    </w:p>
  </w:footnote>
  <w:footnote w:id="2">
    <w:p w14:paraId="3BD7FA6A" w14:textId="26EF3AFB" w:rsidR="008B7420" w:rsidRDefault="008B7420">
      <w:pPr>
        <w:pStyle w:val="FootnoteText"/>
      </w:pPr>
      <w:r>
        <w:rPr>
          <w:rStyle w:val="FootnoteReference"/>
        </w:rPr>
        <w:footnoteRef/>
      </w:r>
      <w:r w:rsidR="001C5FE2">
        <w:t xml:space="preserve"> The Commission did not assess a </w:t>
      </w:r>
      <w:r w:rsidR="001C5FE2" w:rsidRPr="001C5FE2">
        <w:t>penalty for the violat</w:t>
      </w:r>
      <w:r w:rsidR="00B13303">
        <w:t>ion of 49 CFR</w:t>
      </w:r>
      <w:r w:rsidRPr="001C5FE2">
        <w:t xml:space="preserve"> Part 391.51(b</w:t>
      </w:r>
      <w:proofErr w:type="gramStart"/>
      <w:r w:rsidRPr="001C5FE2">
        <w:t>)(</w:t>
      </w:r>
      <w:proofErr w:type="gramEnd"/>
      <w:r w:rsidRPr="001C5FE2">
        <w:t>2).</w:t>
      </w:r>
    </w:p>
  </w:footnote>
  <w:footnote w:id="3">
    <w:p w14:paraId="5C2159D7" w14:textId="5E57FF25" w:rsidR="0006732F" w:rsidRDefault="0006732F">
      <w:pPr>
        <w:pStyle w:val="FootnoteText"/>
      </w:pPr>
      <w:r>
        <w:rPr>
          <w:rStyle w:val="FootnoteReference"/>
        </w:rPr>
        <w:footnoteRef/>
      </w:r>
      <w:r>
        <w:t xml:space="preserve"> RCW </w:t>
      </w:r>
      <w:r w:rsidRPr="0006732F">
        <w:t>81.77.010(1)</w:t>
      </w:r>
      <w:r>
        <w:t xml:space="preserve"> (emphasis added).</w:t>
      </w:r>
    </w:p>
  </w:footnote>
  <w:footnote w:id="4">
    <w:p w14:paraId="5D01DC9B" w14:textId="77777777" w:rsidR="0022538E" w:rsidRDefault="0022538E" w:rsidP="0022538E">
      <w:pPr>
        <w:pStyle w:val="FootnoteText"/>
      </w:pPr>
      <w:r>
        <w:rPr>
          <w:rStyle w:val="FootnoteReference"/>
        </w:rPr>
        <w:footnoteRef/>
      </w:r>
      <w:r>
        <w:t xml:space="preserve"> </w:t>
      </w:r>
      <w:r w:rsidRPr="00BA0EC1">
        <w:t>Furthermore, the phrase “for the purpose of” preceding “transporting solid waste”</w:t>
      </w:r>
      <w:r>
        <w:t xml:space="preserve"> in RCW</w:t>
      </w:r>
      <w:r w:rsidRPr="00BA0EC1">
        <w:t xml:space="preserve"> 81.77.010(1) serves to broaden the scope of covered activities to those necessarily involved in or done in furtherance of transporting solid waste.</w:t>
      </w:r>
    </w:p>
  </w:footnote>
  <w:footnote w:id="5">
    <w:p w14:paraId="52F21C42" w14:textId="5CBDA1F9" w:rsidR="00AF5804" w:rsidRDefault="00AF5804">
      <w:pPr>
        <w:pStyle w:val="FootnoteText"/>
      </w:pPr>
      <w:r>
        <w:rPr>
          <w:rStyle w:val="FootnoteReference"/>
        </w:rPr>
        <w:footnoteRef/>
      </w:r>
      <w:r>
        <w:t xml:space="preserve"> </w:t>
      </w:r>
      <w:r w:rsidRPr="00AF5804">
        <w:rPr>
          <w:i/>
        </w:rPr>
        <w:t>See</w:t>
      </w:r>
      <w:r>
        <w:t xml:space="preserve"> Attachment </w:t>
      </w:r>
      <w:r w:rsidR="00E925A7">
        <w:t>B</w:t>
      </w:r>
      <w:r>
        <w:t>, Tariff No. 23, Waste Management of Washington, Inc., Waste Management – South Sound and Waste Management of Seattle, Certificate No. G-237 at p.</w:t>
      </w:r>
      <w:r w:rsidR="00780DCA">
        <w:t xml:space="preserve"> 11.</w:t>
      </w:r>
    </w:p>
  </w:footnote>
  <w:footnote w:id="6">
    <w:p w14:paraId="5CCED2E0" w14:textId="413AD83F" w:rsidR="00AF5804" w:rsidRDefault="00AF5804">
      <w:pPr>
        <w:pStyle w:val="FootnoteText"/>
      </w:pPr>
      <w:r>
        <w:rPr>
          <w:rStyle w:val="FootnoteReference"/>
        </w:rPr>
        <w:footnoteRef/>
      </w:r>
      <w:r>
        <w:t xml:space="preserve"> </w:t>
      </w:r>
      <w:r w:rsidR="00780DCA" w:rsidRPr="00780DCA">
        <w:rPr>
          <w:i/>
        </w:rPr>
        <w:t>Id</w:t>
      </w:r>
      <w:r w:rsidR="00780DCA">
        <w:t>.</w:t>
      </w:r>
    </w:p>
  </w:footnote>
  <w:footnote w:id="7">
    <w:p w14:paraId="245C693C" w14:textId="7611643C" w:rsidR="004A34B2" w:rsidRDefault="004A34B2">
      <w:pPr>
        <w:pStyle w:val="FootnoteText"/>
      </w:pPr>
      <w:r>
        <w:rPr>
          <w:rStyle w:val="FootnoteReference"/>
        </w:rPr>
        <w:footnoteRef/>
      </w:r>
      <w:r>
        <w:t xml:space="preserve"> </w:t>
      </w:r>
      <w:r w:rsidR="00780DCA" w:rsidRPr="00780DCA">
        <w:rPr>
          <w:i/>
        </w:rPr>
        <w:t>Id</w:t>
      </w:r>
      <w:r w:rsidR="00780DCA">
        <w:t>. at pp. 17, 33.</w:t>
      </w:r>
    </w:p>
  </w:footnote>
  <w:footnote w:id="8">
    <w:p w14:paraId="59487DA1" w14:textId="3BEB446A" w:rsidR="00780DCA" w:rsidRDefault="00780DCA">
      <w:pPr>
        <w:pStyle w:val="FootnoteText"/>
      </w:pPr>
      <w:r>
        <w:rPr>
          <w:rStyle w:val="FootnoteReference"/>
        </w:rPr>
        <w:footnoteRef/>
      </w:r>
      <w:r>
        <w:t xml:space="preserve"> </w:t>
      </w:r>
      <w:r w:rsidRPr="00780DCA">
        <w:rPr>
          <w:i/>
        </w:rPr>
        <w:t>Id</w:t>
      </w:r>
      <w:r>
        <w:t>. at p. 22.</w:t>
      </w:r>
    </w:p>
  </w:footnote>
  <w:footnote w:id="9">
    <w:p w14:paraId="642139A5" w14:textId="3092D831" w:rsidR="00AF5804" w:rsidRDefault="00AF5804">
      <w:pPr>
        <w:pStyle w:val="FootnoteText"/>
      </w:pPr>
      <w:r>
        <w:rPr>
          <w:rStyle w:val="FootnoteReference"/>
        </w:rPr>
        <w:footnoteRef/>
      </w:r>
      <w:r>
        <w:t xml:space="preserve"> </w:t>
      </w:r>
      <w:r w:rsidR="00780DCA" w:rsidRPr="00780DCA">
        <w:rPr>
          <w:i/>
        </w:rPr>
        <w:t>Id</w:t>
      </w:r>
      <w:r w:rsidR="00780DCA">
        <w:t>. at p. 31.</w:t>
      </w:r>
    </w:p>
  </w:footnote>
  <w:footnote w:id="10">
    <w:p w14:paraId="52BC9765" w14:textId="05C779F5" w:rsidR="00FD767D" w:rsidRDefault="00FD767D">
      <w:pPr>
        <w:pStyle w:val="FootnoteText"/>
      </w:pPr>
      <w:r>
        <w:rPr>
          <w:rStyle w:val="FootnoteReference"/>
        </w:rPr>
        <w:footnoteRef/>
      </w:r>
      <w:r>
        <w:t xml:space="preserve"> </w:t>
      </w:r>
      <w:r w:rsidRPr="00FD767D">
        <w:rPr>
          <w:i/>
        </w:rPr>
        <w:t xml:space="preserve">Gen. Tel. Co. of the Nw. v. Wash. Util. &amp; Transp. </w:t>
      </w:r>
      <w:proofErr w:type="spellStart"/>
      <w:r w:rsidRPr="00FD767D">
        <w:rPr>
          <w:i/>
        </w:rPr>
        <w:t>Comm’n</w:t>
      </w:r>
      <w:proofErr w:type="spellEnd"/>
      <w:r w:rsidRPr="00FD767D">
        <w:t>, 104 W</w:t>
      </w:r>
      <w:r w:rsidR="00EC703D">
        <w:t>n</w:t>
      </w:r>
      <w:r w:rsidRPr="00FD767D">
        <w:t>.2d 460, 471, 706 P.2d 625 (1985) (interpreting RCW 80.04.180)</w:t>
      </w:r>
      <w:r w:rsidR="00DE59C5">
        <w:t>.</w:t>
      </w:r>
    </w:p>
  </w:footnote>
  <w:footnote w:id="11">
    <w:p w14:paraId="72B25866" w14:textId="01F5241B" w:rsidR="0018440C" w:rsidRDefault="0018440C">
      <w:pPr>
        <w:pStyle w:val="FootnoteText"/>
      </w:pPr>
      <w:r>
        <w:rPr>
          <w:rStyle w:val="FootnoteReference"/>
        </w:rPr>
        <w:footnoteRef/>
      </w:r>
      <w:r>
        <w:t xml:space="preserve"> </w:t>
      </w:r>
      <w:r w:rsidRPr="0018440C">
        <w:rPr>
          <w:i/>
        </w:rPr>
        <w:t>See</w:t>
      </w:r>
      <w:r>
        <w:t xml:space="preserve"> Attachment A, </w:t>
      </w:r>
      <w:r w:rsidR="00E73BF7">
        <w:t>Sharp Decl.</w:t>
      </w:r>
      <w:r>
        <w:t xml:space="preserve"> ¶ 8.</w:t>
      </w:r>
    </w:p>
  </w:footnote>
  <w:footnote w:id="12">
    <w:p w14:paraId="6C847279" w14:textId="229AA185" w:rsidR="00610CC7" w:rsidRDefault="00610CC7">
      <w:pPr>
        <w:pStyle w:val="FootnoteText"/>
      </w:pPr>
      <w:r>
        <w:rPr>
          <w:rStyle w:val="FootnoteReference"/>
        </w:rPr>
        <w:footnoteRef/>
      </w:r>
      <w:r>
        <w:t xml:space="preserve"> </w:t>
      </w:r>
      <w:r w:rsidRPr="00610CC7">
        <w:rPr>
          <w:i/>
        </w:rPr>
        <w:t>See</w:t>
      </w:r>
      <w:r>
        <w:rPr>
          <w:i/>
        </w:rPr>
        <w:t>, e.g.</w:t>
      </w:r>
      <w:r w:rsidRPr="00610CC7">
        <w:t>,</w:t>
      </w:r>
      <w:r w:rsidRPr="00610CC7">
        <w:rPr>
          <w:i/>
        </w:rPr>
        <w:t xml:space="preserve"> </w:t>
      </w:r>
      <w:r>
        <w:t>WAC 480-15-570(1</w:t>
      </w:r>
      <w:proofErr w:type="gramStart"/>
      <w:r>
        <w:t>)(</w:t>
      </w:r>
      <w:proofErr w:type="gramEnd"/>
      <w:r>
        <w:t>c)(</w:t>
      </w:r>
      <w:proofErr w:type="spellStart"/>
      <w:r>
        <w:t>i</w:t>
      </w:r>
      <w:proofErr w:type="spellEnd"/>
      <w:r>
        <w:t>)(E) (</w:t>
      </w:r>
      <w:r w:rsidR="007F333F">
        <w:t>defining “c</w:t>
      </w:r>
      <w:r>
        <w:t>ommercial motor vehicle</w:t>
      </w:r>
      <w:r w:rsidR="007F333F">
        <w:t>”</w:t>
      </w:r>
      <w:r>
        <w:t>)</w:t>
      </w:r>
      <w:r w:rsidR="007F333F">
        <w:t>;</w:t>
      </w:r>
      <w:r w:rsidR="007F333F" w:rsidRPr="007F333F">
        <w:rPr>
          <w:i/>
        </w:rPr>
        <w:t xml:space="preserve"> </w:t>
      </w:r>
      <w:r w:rsidR="007F333F">
        <w:t>WAC 480-15-570</w:t>
      </w:r>
      <w:r>
        <w:t xml:space="preserve">(1)(c)(iv) (Qualification of Drivers); </w:t>
      </w:r>
      <w:r w:rsidRPr="00610CC7">
        <w:rPr>
          <w:i/>
        </w:rPr>
        <w:t xml:space="preserve">see also </w:t>
      </w:r>
      <w:r>
        <w:t>Sharp Decl. ¶ 7.</w:t>
      </w:r>
    </w:p>
  </w:footnote>
  <w:footnote w:id="13">
    <w:p w14:paraId="0A79FF89" w14:textId="434635C1" w:rsidR="00052B59" w:rsidRDefault="00052B59">
      <w:pPr>
        <w:pStyle w:val="FootnoteText"/>
      </w:pPr>
      <w:r>
        <w:rPr>
          <w:rStyle w:val="FootnoteReference"/>
        </w:rPr>
        <w:footnoteRef/>
      </w:r>
      <w:r>
        <w:t xml:space="preserve"> </w:t>
      </w:r>
      <w:r w:rsidRPr="00052B59">
        <w:t>WAC 480-70-196</w:t>
      </w:r>
      <w:r>
        <w:t xml:space="preserve"> (emphasis added). </w:t>
      </w:r>
    </w:p>
  </w:footnote>
  <w:footnote w:id="14">
    <w:p w14:paraId="0B70F7E1" w14:textId="7245B1D0" w:rsidR="00CC502E" w:rsidRDefault="00CC502E" w:rsidP="004D6801">
      <w:pPr>
        <w:pStyle w:val="FootnoteText"/>
      </w:pPr>
      <w:r>
        <w:rPr>
          <w:rStyle w:val="FootnoteReference"/>
        </w:rPr>
        <w:footnoteRef/>
      </w:r>
      <w:r>
        <w:t xml:space="preserve"> </w:t>
      </w:r>
      <w:r w:rsidRPr="00C02227">
        <w:rPr>
          <w:i/>
        </w:rPr>
        <w:t>See</w:t>
      </w:r>
      <w:r w:rsidR="00B13303">
        <w:t xml:space="preserve"> 49 CFR</w:t>
      </w:r>
      <w:r>
        <w:t xml:space="preserve"> Part 390.5</w:t>
      </w:r>
      <w:r w:rsidR="004D6801">
        <w:t xml:space="preserve"> (“</w:t>
      </w:r>
      <w:r w:rsidR="004D6801" w:rsidRPr="00D149A1">
        <w:rPr>
          <w:i/>
        </w:rPr>
        <w:t>Commercial motor vehicle</w:t>
      </w:r>
      <w:r w:rsidR="004D6801">
        <w:t xml:space="preserve"> means any self-propelled or towed motor vehicle used on a highway in interstate commerce to transport passengers or property when the vehicle - (1) </w:t>
      </w:r>
      <w:r w:rsidR="004D6801" w:rsidRPr="004D6801">
        <w:rPr>
          <w:b/>
          <w:i/>
        </w:rPr>
        <w:t>Has a gross vehicle weight rating</w:t>
      </w:r>
      <w:r w:rsidR="004D6801">
        <w:t xml:space="preserve"> or gross combination weight rating, </w:t>
      </w:r>
      <w:r w:rsidR="004D6801" w:rsidRPr="004D6801">
        <w:rPr>
          <w:b/>
          <w:i/>
        </w:rPr>
        <w:t>or gross vehicle weight</w:t>
      </w:r>
      <w:r w:rsidR="004D6801">
        <w:t xml:space="preserve"> or gross combination weight, </w:t>
      </w:r>
      <w:r w:rsidR="004D6801" w:rsidRPr="004D6801">
        <w:rPr>
          <w:b/>
          <w:i/>
        </w:rPr>
        <w:t>of 4,536 kg (10,001 pounds) or more</w:t>
      </w:r>
      <w:r w:rsidR="004D6801">
        <w:t>, whichever is g</w:t>
      </w:r>
      <w:r w:rsidR="00211848">
        <w:t xml:space="preserve">reater . . .”) (emphasis added); </w:t>
      </w:r>
      <w:r w:rsidR="00211848" w:rsidRPr="00493D83">
        <w:rPr>
          <w:i/>
        </w:rPr>
        <w:t>see also</w:t>
      </w:r>
      <w:r w:rsidR="00211848">
        <w:t xml:space="preserve"> Sharp. Decl. ¶ 8.</w:t>
      </w:r>
    </w:p>
  </w:footnote>
  <w:footnote w:id="15">
    <w:p w14:paraId="0480C7C8" w14:textId="64BF768F" w:rsidR="00AA7434" w:rsidRDefault="00AA7434">
      <w:pPr>
        <w:pStyle w:val="FootnoteText"/>
      </w:pPr>
      <w:r>
        <w:rPr>
          <w:rStyle w:val="FootnoteReference"/>
        </w:rPr>
        <w:footnoteRef/>
      </w:r>
      <w:r>
        <w:t xml:space="preserve"> </w:t>
      </w:r>
      <w:r w:rsidR="006171AF" w:rsidRPr="006171AF">
        <w:rPr>
          <w:i/>
        </w:rPr>
        <w:t>See</w:t>
      </w:r>
      <w:r w:rsidR="006171AF">
        <w:t xml:space="preserve"> </w:t>
      </w:r>
      <w:r>
        <w:t>Response at p. 2 (</w:t>
      </w:r>
      <w:r w:rsidR="002C5B80">
        <w:t>“</w:t>
      </w:r>
      <w:r>
        <w:t xml:space="preserve">Three of the drivers cited in the Penalty Notice (Garcia, Petereit, and Phillips) were driving </w:t>
      </w:r>
      <w:r w:rsidR="006171AF">
        <w:t>container</w:t>
      </w:r>
      <w:r>
        <w:t xml:space="preserve"> delivery vehicles – i.e., commercial motor vehicles with a gross vehicle weight rating (</w:t>
      </w:r>
      <w:proofErr w:type="spellStart"/>
      <w:r>
        <w:t>GVWR</w:t>
      </w:r>
      <w:proofErr w:type="spellEnd"/>
      <w:r>
        <w:t>) between 10,001 and 26,000 pounds. [</w:t>
      </w:r>
      <w:proofErr w:type="gramStart"/>
      <w:r w:rsidRPr="00AA7434">
        <w:rPr>
          <w:i/>
        </w:rPr>
        <w:t>sic</w:t>
      </w:r>
      <w:proofErr w:type="gramEnd"/>
      <w:r>
        <w:t xml:space="preserve">] that carried </w:t>
      </w:r>
      <w:r w:rsidR="006171AF">
        <w:t>only empty container</w:t>
      </w:r>
      <w:r w:rsidR="00D7407B">
        <w:t>s</w:t>
      </w:r>
      <w:r w:rsidR="006171AF">
        <w:t xml:space="preserve"> to or from customers.”). </w:t>
      </w:r>
    </w:p>
  </w:footnote>
  <w:footnote w:id="16">
    <w:p w14:paraId="0BE7C3C5" w14:textId="0648B563" w:rsidR="002F040A" w:rsidRDefault="002F040A">
      <w:pPr>
        <w:pStyle w:val="FootnoteText"/>
      </w:pPr>
      <w:r>
        <w:rPr>
          <w:rStyle w:val="FootnoteReference"/>
        </w:rPr>
        <w:footnoteRef/>
      </w:r>
      <w:r>
        <w:t xml:space="preserve"> Sharp Decl. ¶</w:t>
      </w:r>
      <w:r w:rsidR="00583364">
        <w:t>¶</w:t>
      </w:r>
      <w:r>
        <w:t xml:space="preserve"> 7-8.</w:t>
      </w:r>
    </w:p>
  </w:footnote>
  <w:footnote w:id="17">
    <w:p w14:paraId="3FE1D7BE" w14:textId="1B2FA9BE" w:rsidR="00583364" w:rsidRDefault="00583364">
      <w:pPr>
        <w:pStyle w:val="FootnoteText"/>
      </w:pPr>
      <w:r>
        <w:rPr>
          <w:rStyle w:val="FootnoteReference"/>
        </w:rPr>
        <w:footnoteRef/>
      </w:r>
      <w:r>
        <w:t xml:space="preserve"> </w:t>
      </w:r>
      <w:r w:rsidRPr="00583364">
        <w:rPr>
          <w:i/>
        </w:rPr>
        <w:t>Id</w:t>
      </w:r>
      <w:r>
        <w:t>. ¶ 8.</w:t>
      </w:r>
    </w:p>
  </w:footnote>
  <w:footnote w:id="18">
    <w:p w14:paraId="1F5D9555" w14:textId="36432DA6" w:rsidR="009746BD" w:rsidRDefault="009746BD">
      <w:pPr>
        <w:pStyle w:val="FootnoteText"/>
      </w:pPr>
      <w:r>
        <w:rPr>
          <w:rStyle w:val="FootnoteReference"/>
        </w:rPr>
        <w:footnoteRef/>
      </w:r>
      <w:r>
        <w:t xml:space="preserve"> </w:t>
      </w:r>
      <w:r w:rsidRPr="009746BD">
        <w:rPr>
          <w:i/>
        </w:rPr>
        <w:t>Id</w:t>
      </w:r>
      <w:r>
        <w:t>. ¶¶ 7-9.</w:t>
      </w:r>
    </w:p>
  </w:footnote>
  <w:footnote w:id="19">
    <w:p w14:paraId="0C816CB2" w14:textId="50EE2FD5" w:rsidR="008A5994" w:rsidRDefault="008A5994">
      <w:pPr>
        <w:pStyle w:val="FootnoteText"/>
      </w:pPr>
      <w:r>
        <w:rPr>
          <w:rStyle w:val="FootnoteReference"/>
        </w:rPr>
        <w:footnoteRef/>
      </w:r>
      <w:r>
        <w:t xml:space="preserve"> </w:t>
      </w:r>
      <w:r w:rsidR="00E54707" w:rsidRPr="00E54707">
        <w:rPr>
          <w:i/>
        </w:rPr>
        <w:t>Id</w:t>
      </w:r>
      <w:r>
        <w:t>. ¶</w:t>
      </w:r>
      <w:r w:rsidR="00E54707">
        <w:t>¶</w:t>
      </w:r>
      <w:r>
        <w:t xml:space="preserve"> 10, 18.</w:t>
      </w:r>
    </w:p>
  </w:footnote>
  <w:footnote w:id="20">
    <w:p w14:paraId="062E0B23" w14:textId="14AD1DBB" w:rsidR="00385F25" w:rsidRDefault="00385F25">
      <w:pPr>
        <w:pStyle w:val="FootnoteText"/>
      </w:pPr>
      <w:r>
        <w:rPr>
          <w:rStyle w:val="FootnoteReference"/>
        </w:rPr>
        <w:footnoteRef/>
      </w:r>
      <w:r>
        <w:t xml:space="preserve"> </w:t>
      </w:r>
      <w:r w:rsidRPr="00385F25">
        <w:rPr>
          <w:i/>
        </w:rPr>
        <w:t>Id</w:t>
      </w:r>
      <w:r>
        <w:t>. ¶ 13.</w:t>
      </w:r>
    </w:p>
  </w:footnote>
  <w:footnote w:id="21">
    <w:p w14:paraId="3B7CA727" w14:textId="47C963F5" w:rsidR="00385F25" w:rsidRDefault="00385F25" w:rsidP="00385F25">
      <w:pPr>
        <w:pStyle w:val="FootnoteText"/>
      </w:pPr>
      <w:r>
        <w:rPr>
          <w:rStyle w:val="FootnoteReference"/>
        </w:rPr>
        <w:footnoteRef/>
      </w:r>
      <w:r>
        <w:t xml:space="preserve"> </w:t>
      </w:r>
      <w:r w:rsidRPr="00385F25">
        <w:rPr>
          <w:i/>
        </w:rPr>
        <w:t>Id</w:t>
      </w:r>
      <w:r>
        <w:t>. ¶ 15.</w:t>
      </w:r>
    </w:p>
  </w:footnote>
  <w:footnote w:id="22">
    <w:p w14:paraId="5E45A8F3" w14:textId="424F6C99" w:rsidR="008810DA" w:rsidRDefault="008810DA" w:rsidP="008810DA">
      <w:pPr>
        <w:pStyle w:val="FootnoteText"/>
      </w:pPr>
      <w:r>
        <w:rPr>
          <w:rStyle w:val="FootnoteReference"/>
        </w:rPr>
        <w:footnoteRef/>
      </w:r>
      <w:r>
        <w:t xml:space="preserve"> </w:t>
      </w:r>
      <w:r w:rsidRPr="00385F25">
        <w:rPr>
          <w:i/>
        </w:rPr>
        <w:t>Id</w:t>
      </w:r>
      <w:r>
        <w:t>. ¶ 1</w:t>
      </w:r>
      <w:r w:rsidR="003A20B8">
        <w:t>7</w:t>
      </w:r>
      <w:r>
        <w:t>.</w:t>
      </w:r>
    </w:p>
  </w:footnote>
  <w:footnote w:id="23">
    <w:p w14:paraId="7804B691" w14:textId="53F222B4" w:rsidR="000D49B8" w:rsidRDefault="000D49B8">
      <w:pPr>
        <w:pStyle w:val="FootnoteText"/>
      </w:pPr>
      <w:r>
        <w:rPr>
          <w:rStyle w:val="FootnoteReference"/>
        </w:rPr>
        <w:footnoteRef/>
      </w:r>
      <w:r>
        <w:t xml:space="preserve"> </w:t>
      </w:r>
      <w:r w:rsidRPr="000D49B8">
        <w:rPr>
          <w:i/>
        </w:rPr>
        <w:t>Id</w:t>
      </w:r>
      <w:r>
        <w:t>. ¶ 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44567"/>
    <w:multiLevelType w:val="hybridMultilevel"/>
    <w:tmpl w:val="62EA2FBA"/>
    <w:lvl w:ilvl="0" w:tplc="4AC6FD04">
      <w:start w:val="1"/>
      <w:numFmt w:val="decimal"/>
      <w:lvlText w:val="%1"/>
      <w:lvlJc w:val="left"/>
      <w:pPr>
        <w:tabs>
          <w:tab w:val="num" w:pos="720"/>
        </w:tabs>
        <w:ind w:left="0" w:hanging="720"/>
      </w:pPr>
      <w:rPr>
        <w:rFonts w:ascii="Times New Roman" w:hAnsi="Times New Roman" w:hint="default"/>
        <w:b w:val="0"/>
        <w:i/>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51A0ABE"/>
    <w:multiLevelType w:val="hybridMultilevel"/>
    <w:tmpl w:val="EA64906A"/>
    <w:lvl w:ilvl="0" w:tplc="11B0E1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F44E4"/>
    <w:multiLevelType w:val="hybridMultilevel"/>
    <w:tmpl w:val="17462FA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041D7"/>
    <w:multiLevelType w:val="hybridMultilevel"/>
    <w:tmpl w:val="3D429082"/>
    <w:lvl w:ilvl="0" w:tplc="04090001">
      <w:start w:val="1"/>
      <w:numFmt w:val="bullet"/>
      <w:lvlText w:val=""/>
      <w:lvlJc w:val="left"/>
      <w:pPr>
        <w:ind w:left="1565" w:hanging="360"/>
      </w:pPr>
      <w:rPr>
        <w:rFonts w:ascii="Symbol" w:hAnsi="Symbol" w:hint="default"/>
      </w:rPr>
    </w:lvl>
    <w:lvl w:ilvl="1" w:tplc="04090003" w:tentative="1">
      <w:start w:val="1"/>
      <w:numFmt w:val="bullet"/>
      <w:lvlText w:val="o"/>
      <w:lvlJc w:val="left"/>
      <w:pPr>
        <w:ind w:left="2285" w:hanging="360"/>
      </w:pPr>
      <w:rPr>
        <w:rFonts w:ascii="Courier New" w:hAnsi="Courier New" w:cs="Courier New" w:hint="default"/>
      </w:rPr>
    </w:lvl>
    <w:lvl w:ilvl="2" w:tplc="04090005" w:tentative="1">
      <w:start w:val="1"/>
      <w:numFmt w:val="bullet"/>
      <w:lvlText w:val=""/>
      <w:lvlJc w:val="left"/>
      <w:pPr>
        <w:ind w:left="3005" w:hanging="360"/>
      </w:pPr>
      <w:rPr>
        <w:rFonts w:ascii="Wingdings" w:hAnsi="Wingdings" w:hint="default"/>
      </w:rPr>
    </w:lvl>
    <w:lvl w:ilvl="3" w:tplc="04090001" w:tentative="1">
      <w:start w:val="1"/>
      <w:numFmt w:val="bullet"/>
      <w:lvlText w:val=""/>
      <w:lvlJc w:val="left"/>
      <w:pPr>
        <w:ind w:left="3725" w:hanging="360"/>
      </w:pPr>
      <w:rPr>
        <w:rFonts w:ascii="Symbol" w:hAnsi="Symbol" w:hint="default"/>
      </w:rPr>
    </w:lvl>
    <w:lvl w:ilvl="4" w:tplc="04090003" w:tentative="1">
      <w:start w:val="1"/>
      <w:numFmt w:val="bullet"/>
      <w:lvlText w:val="o"/>
      <w:lvlJc w:val="left"/>
      <w:pPr>
        <w:ind w:left="4445" w:hanging="360"/>
      </w:pPr>
      <w:rPr>
        <w:rFonts w:ascii="Courier New" w:hAnsi="Courier New" w:cs="Courier New" w:hint="default"/>
      </w:rPr>
    </w:lvl>
    <w:lvl w:ilvl="5" w:tplc="04090005" w:tentative="1">
      <w:start w:val="1"/>
      <w:numFmt w:val="bullet"/>
      <w:lvlText w:val=""/>
      <w:lvlJc w:val="left"/>
      <w:pPr>
        <w:ind w:left="5165" w:hanging="360"/>
      </w:pPr>
      <w:rPr>
        <w:rFonts w:ascii="Wingdings" w:hAnsi="Wingdings" w:hint="default"/>
      </w:rPr>
    </w:lvl>
    <w:lvl w:ilvl="6" w:tplc="04090001" w:tentative="1">
      <w:start w:val="1"/>
      <w:numFmt w:val="bullet"/>
      <w:lvlText w:val=""/>
      <w:lvlJc w:val="left"/>
      <w:pPr>
        <w:ind w:left="5885" w:hanging="360"/>
      </w:pPr>
      <w:rPr>
        <w:rFonts w:ascii="Symbol" w:hAnsi="Symbol" w:hint="default"/>
      </w:rPr>
    </w:lvl>
    <w:lvl w:ilvl="7" w:tplc="04090003" w:tentative="1">
      <w:start w:val="1"/>
      <w:numFmt w:val="bullet"/>
      <w:lvlText w:val="o"/>
      <w:lvlJc w:val="left"/>
      <w:pPr>
        <w:ind w:left="6605" w:hanging="360"/>
      </w:pPr>
      <w:rPr>
        <w:rFonts w:ascii="Courier New" w:hAnsi="Courier New" w:cs="Courier New" w:hint="default"/>
      </w:rPr>
    </w:lvl>
    <w:lvl w:ilvl="8" w:tplc="04090005" w:tentative="1">
      <w:start w:val="1"/>
      <w:numFmt w:val="bullet"/>
      <w:lvlText w:val=""/>
      <w:lvlJc w:val="left"/>
      <w:pPr>
        <w:ind w:left="7325" w:hanging="360"/>
      </w:pPr>
      <w:rPr>
        <w:rFonts w:ascii="Wingdings" w:hAnsi="Wingdings" w:hint="default"/>
      </w:rPr>
    </w:lvl>
  </w:abstractNum>
  <w:abstractNum w:abstractNumId="5" w15:restartNumberingAfterBreak="0">
    <w:nsid w:val="6D9A73A4"/>
    <w:multiLevelType w:val="hybridMultilevel"/>
    <w:tmpl w:val="EC9C9A6C"/>
    <w:lvl w:ilvl="0" w:tplc="1E7843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F6427A"/>
    <w:multiLevelType w:val="hybridMultilevel"/>
    <w:tmpl w:val="8BC4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C255E"/>
    <w:multiLevelType w:val="hybridMultilevel"/>
    <w:tmpl w:val="AD38EAEA"/>
    <w:lvl w:ilvl="0" w:tplc="3D3EF1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9C384D"/>
    <w:multiLevelType w:val="hybridMultilevel"/>
    <w:tmpl w:val="BF8CD58E"/>
    <w:lvl w:ilvl="0" w:tplc="66182CB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4"/>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25DB8"/>
    <w:rsid w:val="0004722D"/>
    <w:rsid w:val="00050BD2"/>
    <w:rsid w:val="00051E40"/>
    <w:rsid w:val="00052B59"/>
    <w:rsid w:val="00056C96"/>
    <w:rsid w:val="00057642"/>
    <w:rsid w:val="00065387"/>
    <w:rsid w:val="0006732F"/>
    <w:rsid w:val="00092F38"/>
    <w:rsid w:val="000B17B5"/>
    <w:rsid w:val="000C27C8"/>
    <w:rsid w:val="000D49B8"/>
    <w:rsid w:val="000F0549"/>
    <w:rsid w:val="000F42E8"/>
    <w:rsid w:val="001079B5"/>
    <w:rsid w:val="00113DAA"/>
    <w:rsid w:val="0012552F"/>
    <w:rsid w:val="001323C4"/>
    <w:rsid w:val="0013432F"/>
    <w:rsid w:val="0014353E"/>
    <w:rsid w:val="001459DB"/>
    <w:rsid w:val="00145E34"/>
    <w:rsid w:val="001619A2"/>
    <w:rsid w:val="00172C19"/>
    <w:rsid w:val="0018440C"/>
    <w:rsid w:val="001868E3"/>
    <w:rsid w:val="00186E1A"/>
    <w:rsid w:val="001A3E51"/>
    <w:rsid w:val="001B74D4"/>
    <w:rsid w:val="001C5FE2"/>
    <w:rsid w:val="001E15FF"/>
    <w:rsid w:val="001E5E06"/>
    <w:rsid w:val="001F2846"/>
    <w:rsid w:val="001F60FB"/>
    <w:rsid w:val="00200C8F"/>
    <w:rsid w:val="00201C50"/>
    <w:rsid w:val="00211848"/>
    <w:rsid w:val="0021314B"/>
    <w:rsid w:val="00217083"/>
    <w:rsid w:val="0022538E"/>
    <w:rsid w:val="00252D5C"/>
    <w:rsid w:val="00255923"/>
    <w:rsid w:val="002667ED"/>
    <w:rsid w:val="00271577"/>
    <w:rsid w:val="00276950"/>
    <w:rsid w:val="002977F8"/>
    <w:rsid w:val="002C5B80"/>
    <w:rsid w:val="002E2EBD"/>
    <w:rsid w:val="002E43A3"/>
    <w:rsid w:val="002F040A"/>
    <w:rsid w:val="00301085"/>
    <w:rsid w:val="0030187A"/>
    <w:rsid w:val="003205C2"/>
    <w:rsid w:val="00320CE6"/>
    <w:rsid w:val="003279F1"/>
    <w:rsid w:val="003308A9"/>
    <w:rsid w:val="003377AF"/>
    <w:rsid w:val="00355672"/>
    <w:rsid w:val="00385F25"/>
    <w:rsid w:val="00397567"/>
    <w:rsid w:val="003A20B8"/>
    <w:rsid w:val="003A7BD1"/>
    <w:rsid w:val="003B4DFD"/>
    <w:rsid w:val="003C5390"/>
    <w:rsid w:val="003E08D7"/>
    <w:rsid w:val="003E3B7E"/>
    <w:rsid w:val="003F1945"/>
    <w:rsid w:val="003F755A"/>
    <w:rsid w:val="00402E91"/>
    <w:rsid w:val="00420F5F"/>
    <w:rsid w:val="00422005"/>
    <w:rsid w:val="0043472D"/>
    <w:rsid w:val="004408DF"/>
    <w:rsid w:val="004440B3"/>
    <w:rsid w:val="00471ED5"/>
    <w:rsid w:val="00484F81"/>
    <w:rsid w:val="00493D83"/>
    <w:rsid w:val="004A26FF"/>
    <w:rsid w:val="004A34B2"/>
    <w:rsid w:val="004A4F64"/>
    <w:rsid w:val="004B52AB"/>
    <w:rsid w:val="004C3D65"/>
    <w:rsid w:val="004D6801"/>
    <w:rsid w:val="004F69A5"/>
    <w:rsid w:val="00501FFC"/>
    <w:rsid w:val="0052297E"/>
    <w:rsid w:val="00524E87"/>
    <w:rsid w:val="00526386"/>
    <w:rsid w:val="00537BC9"/>
    <w:rsid w:val="0054540B"/>
    <w:rsid w:val="00553B7A"/>
    <w:rsid w:val="00571387"/>
    <w:rsid w:val="00583364"/>
    <w:rsid w:val="005876E3"/>
    <w:rsid w:val="00595D41"/>
    <w:rsid w:val="005977B9"/>
    <w:rsid w:val="005A6D70"/>
    <w:rsid w:val="005B4741"/>
    <w:rsid w:val="005C55DD"/>
    <w:rsid w:val="005D42DB"/>
    <w:rsid w:val="005D4486"/>
    <w:rsid w:val="005D44B4"/>
    <w:rsid w:val="005E03D9"/>
    <w:rsid w:val="005E0776"/>
    <w:rsid w:val="005E07C2"/>
    <w:rsid w:val="005E5E39"/>
    <w:rsid w:val="00610CC7"/>
    <w:rsid w:val="006171AF"/>
    <w:rsid w:val="006327A2"/>
    <w:rsid w:val="006370BE"/>
    <w:rsid w:val="00641795"/>
    <w:rsid w:val="00641F98"/>
    <w:rsid w:val="0065561B"/>
    <w:rsid w:val="00656295"/>
    <w:rsid w:val="00656FFC"/>
    <w:rsid w:val="0067297E"/>
    <w:rsid w:val="00697F1E"/>
    <w:rsid w:val="006B19B7"/>
    <w:rsid w:val="006C1128"/>
    <w:rsid w:val="006C51CB"/>
    <w:rsid w:val="00702CD1"/>
    <w:rsid w:val="00704C93"/>
    <w:rsid w:val="0070644F"/>
    <w:rsid w:val="0072231E"/>
    <w:rsid w:val="00737B08"/>
    <w:rsid w:val="00746489"/>
    <w:rsid w:val="007464F1"/>
    <w:rsid w:val="00747E26"/>
    <w:rsid w:val="0076699B"/>
    <w:rsid w:val="00780DCA"/>
    <w:rsid w:val="00791CC3"/>
    <w:rsid w:val="0079205B"/>
    <w:rsid w:val="007922CE"/>
    <w:rsid w:val="007A62DB"/>
    <w:rsid w:val="007B102C"/>
    <w:rsid w:val="007C1BA6"/>
    <w:rsid w:val="007D5E22"/>
    <w:rsid w:val="007F333F"/>
    <w:rsid w:val="0080116D"/>
    <w:rsid w:val="00832C38"/>
    <w:rsid w:val="00835284"/>
    <w:rsid w:val="0084053E"/>
    <w:rsid w:val="008548EF"/>
    <w:rsid w:val="008709F2"/>
    <w:rsid w:val="00875658"/>
    <w:rsid w:val="008810DA"/>
    <w:rsid w:val="00887CE2"/>
    <w:rsid w:val="0089062F"/>
    <w:rsid w:val="008A3E46"/>
    <w:rsid w:val="008A5994"/>
    <w:rsid w:val="008B7420"/>
    <w:rsid w:val="008E3F20"/>
    <w:rsid w:val="008F20A8"/>
    <w:rsid w:val="009117B9"/>
    <w:rsid w:val="009746BD"/>
    <w:rsid w:val="00975F19"/>
    <w:rsid w:val="00976676"/>
    <w:rsid w:val="009C2DB0"/>
    <w:rsid w:val="009D1773"/>
    <w:rsid w:val="009D3E3D"/>
    <w:rsid w:val="009D6057"/>
    <w:rsid w:val="009E18CC"/>
    <w:rsid w:val="009F35CE"/>
    <w:rsid w:val="009F5957"/>
    <w:rsid w:val="00A30C52"/>
    <w:rsid w:val="00A31CED"/>
    <w:rsid w:val="00A344AB"/>
    <w:rsid w:val="00A3560A"/>
    <w:rsid w:val="00A40490"/>
    <w:rsid w:val="00A4054F"/>
    <w:rsid w:val="00A4468C"/>
    <w:rsid w:val="00A5385A"/>
    <w:rsid w:val="00A5689B"/>
    <w:rsid w:val="00A63711"/>
    <w:rsid w:val="00A64A83"/>
    <w:rsid w:val="00A71A7F"/>
    <w:rsid w:val="00A80028"/>
    <w:rsid w:val="00A84926"/>
    <w:rsid w:val="00A918DE"/>
    <w:rsid w:val="00AA0C66"/>
    <w:rsid w:val="00AA0DE1"/>
    <w:rsid w:val="00AA7434"/>
    <w:rsid w:val="00AB39BA"/>
    <w:rsid w:val="00AE4809"/>
    <w:rsid w:val="00AF5804"/>
    <w:rsid w:val="00AF7FB4"/>
    <w:rsid w:val="00B0208B"/>
    <w:rsid w:val="00B06A8F"/>
    <w:rsid w:val="00B13303"/>
    <w:rsid w:val="00B41000"/>
    <w:rsid w:val="00B50FFA"/>
    <w:rsid w:val="00B60055"/>
    <w:rsid w:val="00B67B9C"/>
    <w:rsid w:val="00B707D2"/>
    <w:rsid w:val="00B73973"/>
    <w:rsid w:val="00B84CBD"/>
    <w:rsid w:val="00B91948"/>
    <w:rsid w:val="00B94F44"/>
    <w:rsid w:val="00BA0EC1"/>
    <w:rsid w:val="00BA469A"/>
    <w:rsid w:val="00BB7394"/>
    <w:rsid w:val="00BD12D8"/>
    <w:rsid w:val="00BD18F1"/>
    <w:rsid w:val="00BE1518"/>
    <w:rsid w:val="00BE385D"/>
    <w:rsid w:val="00BF2F67"/>
    <w:rsid w:val="00BF3CD1"/>
    <w:rsid w:val="00BF655D"/>
    <w:rsid w:val="00C02227"/>
    <w:rsid w:val="00C07FD6"/>
    <w:rsid w:val="00C1132D"/>
    <w:rsid w:val="00C25B89"/>
    <w:rsid w:val="00C360A4"/>
    <w:rsid w:val="00C36473"/>
    <w:rsid w:val="00C527AB"/>
    <w:rsid w:val="00C5478B"/>
    <w:rsid w:val="00C5716A"/>
    <w:rsid w:val="00C600A9"/>
    <w:rsid w:val="00CA052B"/>
    <w:rsid w:val="00CA2047"/>
    <w:rsid w:val="00CA6744"/>
    <w:rsid w:val="00CB1BFB"/>
    <w:rsid w:val="00CB30F1"/>
    <w:rsid w:val="00CC502E"/>
    <w:rsid w:val="00D00AE7"/>
    <w:rsid w:val="00D075AA"/>
    <w:rsid w:val="00D149A1"/>
    <w:rsid w:val="00D22816"/>
    <w:rsid w:val="00D33F64"/>
    <w:rsid w:val="00D34CA4"/>
    <w:rsid w:val="00D47E31"/>
    <w:rsid w:val="00D52B0B"/>
    <w:rsid w:val="00D52C4E"/>
    <w:rsid w:val="00D54184"/>
    <w:rsid w:val="00D666D5"/>
    <w:rsid w:val="00D7407B"/>
    <w:rsid w:val="00DA492F"/>
    <w:rsid w:val="00DB0545"/>
    <w:rsid w:val="00DE37A2"/>
    <w:rsid w:val="00DE59C5"/>
    <w:rsid w:val="00DF2501"/>
    <w:rsid w:val="00DF6C0F"/>
    <w:rsid w:val="00E00388"/>
    <w:rsid w:val="00E30327"/>
    <w:rsid w:val="00E331CA"/>
    <w:rsid w:val="00E344F9"/>
    <w:rsid w:val="00E362B0"/>
    <w:rsid w:val="00E50551"/>
    <w:rsid w:val="00E54707"/>
    <w:rsid w:val="00E71FA0"/>
    <w:rsid w:val="00E73BF7"/>
    <w:rsid w:val="00E81CA1"/>
    <w:rsid w:val="00E8527A"/>
    <w:rsid w:val="00E925A7"/>
    <w:rsid w:val="00EB0D09"/>
    <w:rsid w:val="00EB111E"/>
    <w:rsid w:val="00EC703D"/>
    <w:rsid w:val="00EF1B98"/>
    <w:rsid w:val="00EF5B3E"/>
    <w:rsid w:val="00F06EE7"/>
    <w:rsid w:val="00F2425C"/>
    <w:rsid w:val="00F30869"/>
    <w:rsid w:val="00F411E7"/>
    <w:rsid w:val="00F52045"/>
    <w:rsid w:val="00F671BD"/>
    <w:rsid w:val="00F748D8"/>
    <w:rsid w:val="00F77C60"/>
    <w:rsid w:val="00F8092C"/>
    <w:rsid w:val="00F83433"/>
    <w:rsid w:val="00F852C3"/>
    <w:rsid w:val="00FB59DC"/>
    <w:rsid w:val="00FB6EBF"/>
    <w:rsid w:val="00FD767D"/>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96945C"/>
  <w15:docId w15:val="{7F49C1FC-FD3B-4C73-893D-F9350BE1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link w:val="HeaderChar"/>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character" w:customStyle="1" w:styleId="HeaderChar">
    <w:name w:val="Header Char"/>
    <w:link w:val="Header"/>
    <w:rsid w:val="00471ED5"/>
    <w:rPr>
      <w:szCs w:val="24"/>
    </w:rPr>
  </w:style>
  <w:style w:type="paragraph" w:styleId="ListParagraph">
    <w:name w:val="List Paragraph"/>
    <w:basedOn w:val="Normal"/>
    <w:uiPriority w:val="34"/>
    <w:qFormat/>
    <w:rsid w:val="00266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el.teimouri@utc.wa.gov" TargetMode="Externa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Visibility xmlns="dc463f71-b30c-4ab2-9473-d307f9d35888">Full Visibility</Visibility>
    <DocumentSetType xmlns="dc463f71-b30c-4ab2-9473-d307f9d35888">Response</DocumentSetType>
    <IsConfidential xmlns="dc463f71-b30c-4ab2-9473-d307f9d35888">false</IsConfidential>
    <CaseType xmlns="dc463f71-b30c-4ab2-9473-d307f9d35888">Assessment (penalty)</CaseType>
    <IndustryCode xmlns="dc463f71-b30c-4ab2-9473-d307f9d35888">227</IndustryCode>
    <CaseStatus xmlns="dc463f71-b30c-4ab2-9473-d307f9d35888">Formal</CaseStatus>
    <OpenedDate xmlns="dc463f71-b30c-4ab2-9473-d307f9d35888">2019-06-13T07:00:00+00:00</OpenedDate>
    <Date1 xmlns="dc463f71-b30c-4ab2-9473-d307f9d35888">2019-08-12T18:39:58+00:00</Date1>
    <IsDocumentOrder xmlns="dc463f71-b30c-4ab2-9473-d307f9d35888">false</IsDocumentOrder>
    <IsHighlyConfidential xmlns="dc463f71-b30c-4ab2-9473-d307f9d35888">false</IsHighlyConfidential>
    <CaseCompanyNames xmlns="dc463f71-b30c-4ab2-9473-d307f9d35888">Waste Management of Washington, Inc.</CaseCompanyNames>
    <Nickname xmlns="http://schemas.microsoft.com/sharepoint/v3" xsi:nil="true"/>
    <DocketNumber xmlns="dc463f71-b30c-4ab2-9473-d307f9d35888">190495</DocketNumber>
    <AgendaOrder xmlns="dc463f71-b30c-4ab2-9473-d307f9d35888">false</AgendaOrder>
    <SignificantOrder xmlns="dc463f71-b30c-4ab2-9473-d307f9d35888">false</SignificantOrd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BB5307125FAB747A442C066DC9A76B0" ma:contentTypeVersion="48" ma:contentTypeDescription="" ma:contentTypeScope="" ma:versionID="63f645a1312af56015b89f8b566257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3EAE6C6-77F2-4948-BA97-2BC0DD74AB4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191DCFB-D936-49D9-B154-DE0CE7473E1C}">
  <ds:schemaRefs>
    <ds:schemaRef ds:uri="http://schemas.microsoft.com/sharepoint/v3/contenttype/forms"/>
  </ds:schemaRefs>
</ds:datastoreItem>
</file>

<file path=customXml/itemProps3.xml><?xml version="1.0" encoding="utf-8"?>
<ds:datastoreItem xmlns:ds="http://schemas.openxmlformats.org/officeDocument/2006/customXml" ds:itemID="{8F19F604-A82F-40F9-BD61-1EF68FF64544}"/>
</file>

<file path=customXml/itemProps4.xml><?xml version="1.0" encoding="utf-8"?>
<ds:datastoreItem xmlns:ds="http://schemas.openxmlformats.org/officeDocument/2006/customXml" ds:itemID="{B9849FD2-E656-4CCF-81E2-C5F338F2DA62}">
  <ds:schemaRefs>
    <ds:schemaRef ds:uri="http://schemas.openxmlformats.org/officeDocument/2006/bibliography"/>
  </ds:schemaRefs>
</ds:datastoreItem>
</file>

<file path=customXml/itemProps5.xml><?xml version="1.0" encoding="utf-8"?>
<ds:datastoreItem xmlns:ds="http://schemas.openxmlformats.org/officeDocument/2006/customXml" ds:itemID="{0B56EA3C-62D6-4D2E-931F-576BDE3F5E24}"/>
</file>

<file path=docProps/app.xml><?xml version="1.0" encoding="utf-8"?>
<Properties xmlns="http://schemas.openxmlformats.org/officeDocument/2006/extended-properties" xmlns:vt="http://schemas.openxmlformats.org/officeDocument/2006/docPropsVTypes">
  <Template>Normal</Template>
  <TotalTime>122</TotalTime>
  <Pages>11</Pages>
  <Words>2480</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Krista (UTC)</dc:creator>
  <cp:keywords/>
  <dc:description/>
  <cp:lastModifiedBy>Gross, Krista (UTC)</cp:lastModifiedBy>
  <cp:revision>18</cp:revision>
  <dcterms:created xsi:type="dcterms:W3CDTF">2019-08-08T15:54:00Z</dcterms:created>
  <dcterms:modified xsi:type="dcterms:W3CDTF">2019-08-08T20:32:00Z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0x0101006E56B4D1795A2E4DB2F0B01679ED314A004BB5307125FAB747A442C066DC9A76B0</vt:lpwstr>
  </property>
  <property fmtid="{D5CDD505-2E9C-101B-9397-08002B2CF9AE}" pid="3" name="DocType">
    <vt:lpwstr>Reply</vt:lpwstr>
  </property>
  <property fmtid="{D5CDD505-2E9C-101B-9397-08002B2CF9AE}" pid="5" name="EfsecDocumentType">
    <vt:lpwstr>Documents</vt:lpwstr>
  </property>
  <property fmtid="{D5CDD505-2E9C-101B-9397-08002B2CF9AE}" pid="11" name="IsOfficialRecord">
    <vt:bool>false</vt:bool>
  </property>
  <property fmtid="{D5CDD505-2E9C-101B-9397-08002B2CF9AE}" pid="12" name="IsVisibleToEfsecCouncil">
    <vt:bool>false</vt:bool>
  </property>
  <property fmtid="{D5CDD505-2E9C-101B-9397-08002B2CF9AE}" pid="19" name="_docset_NoMedatataSyncRequired">
    <vt:lpwstr>False</vt:lpwstr>
  </property>
  <property fmtid="{D5CDD505-2E9C-101B-9397-08002B2CF9AE}" pid="20" name="IsEFSEC">
    <vt:bool>false</vt:bool>
  </property>
</Properties>
</file>