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7F642" w14:textId="49B1A378" w:rsidR="005030A1" w:rsidRDefault="005030A1" w:rsidP="00F826E0">
      <w:pPr>
        <w:rPr>
          <w:rFonts w:ascii="Calibri" w:hAnsi="Calibri" w:cs="Calibri"/>
        </w:rPr>
      </w:pPr>
      <w:r>
        <w:rPr>
          <w:rFonts w:ascii="Calibri" w:hAnsi="Calibri" w:cs="Calibri"/>
        </w:rPr>
        <w:t>December 10, 2018</w:t>
      </w:r>
    </w:p>
    <w:p w14:paraId="3ED8FF19" w14:textId="25BF2705" w:rsidR="00D154F7" w:rsidRDefault="00D154F7" w:rsidP="00F826E0">
      <w:pPr>
        <w:rPr>
          <w:rFonts w:ascii="Calibri" w:hAnsi="Calibri" w:cs="Calibri"/>
        </w:rPr>
      </w:pPr>
    </w:p>
    <w:p w14:paraId="2327812D" w14:textId="77777777" w:rsidR="00D154F7" w:rsidRDefault="00D154F7" w:rsidP="00D154F7">
      <w:pPr>
        <w:rPr>
          <w:rFonts w:ascii="Calibri" w:hAnsi="Calibri" w:cs="Calibri"/>
        </w:rPr>
      </w:pPr>
      <w:r>
        <w:rPr>
          <w:rFonts w:ascii="Calibri" w:hAnsi="Calibri" w:cs="Calibri"/>
        </w:rPr>
        <w:t>Mark L. Johnson</w:t>
      </w:r>
    </w:p>
    <w:p w14:paraId="0224A141" w14:textId="48E2A6E1" w:rsidR="00D154F7" w:rsidRDefault="00D154F7" w:rsidP="00F826E0">
      <w:pPr>
        <w:rPr>
          <w:rFonts w:ascii="Calibri" w:hAnsi="Calibri" w:cs="Calibri"/>
        </w:rPr>
      </w:pPr>
      <w:r w:rsidRPr="00D154F7">
        <w:rPr>
          <w:rFonts w:ascii="Calibri" w:hAnsi="Calibri" w:cs="Calibri"/>
        </w:rPr>
        <w:t>Executive Director and Secretary</w:t>
      </w:r>
      <w:r w:rsidRPr="00D154F7">
        <w:rPr>
          <w:rFonts w:ascii="Calibri" w:hAnsi="Calibri" w:cs="Calibri"/>
        </w:rPr>
        <w:br/>
        <w:t>Washington Utilities and Transportation Commission 1300 S. Evergreen Park Drive S.W.</w:t>
      </w:r>
      <w:r w:rsidRPr="00D154F7">
        <w:rPr>
          <w:rFonts w:ascii="Calibri" w:hAnsi="Calibri" w:cs="Calibri"/>
        </w:rPr>
        <w:br/>
        <w:t>P.O. Box 47250</w:t>
      </w:r>
      <w:r w:rsidRPr="00D154F7">
        <w:rPr>
          <w:rFonts w:ascii="Calibri" w:hAnsi="Calibri" w:cs="Calibri"/>
        </w:rPr>
        <w:br/>
        <w:t xml:space="preserve">Olympia, WA 98504-7250 </w:t>
      </w:r>
    </w:p>
    <w:p w14:paraId="52602EBE" w14:textId="77777777" w:rsidR="005030A1" w:rsidRPr="005030A1" w:rsidRDefault="005030A1" w:rsidP="00F826E0">
      <w:pPr>
        <w:rPr>
          <w:rFonts w:ascii="Calibri" w:hAnsi="Calibri" w:cs="Calibri"/>
        </w:rPr>
      </w:pPr>
    </w:p>
    <w:p w14:paraId="17455B8B" w14:textId="7132CBF9" w:rsidR="004056D6" w:rsidRPr="00BD767F" w:rsidRDefault="00BD767F" w:rsidP="00F826E0">
      <w:pPr>
        <w:rPr>
          <w:rFonts w:ascii="Calibri" w:hAnsi="Calibri" w:cs="Calibri"/>
          <w:i/>
        </w:rPr>
      </w:pPr>
      <w:r w:rsidRPr="00BD767F">
        <w:rPr>
          <w:rFonts w:ascii="Calibri" w:hAnsi="Calibri" w:cs="Calibri"/>
          <w:i/>
        </w:rPr>
        <w:t>RE: Docket UG-180920, Avista Utilities Petition for an Order Authorizing Approval of Changes to the Company's Natural Gas Line Extension Tariff and Associated Accounting and Ratemaking Treatment</w:t>
      </w:r>
    </w:p>
    <w:p w14:paraId="422F2D76" w14:textId="77777777" w:rsidR="00BD767F" w:rsidRDefault="00BD767F">
      <w:pPr>
        <w:rPr>
          <w:rFonts w:ascii="Calibri" w:hAnsi="Calibri" w:cs="Calibri"/>
        </w:rPr>
      </w:pPr>
    </w:p>
    <w:p w14:paraId="39C239C0" w14:textId="224589F1" w:rsidR="00C04598" w:rsidRPr="005643EB" w:rsidRDefault="00BD7949">
      <w:pPr>
        <w:rPr>
          <w:rFonts w:ascii="Calibri" w:hAnsi="Calibri" w:cs="Calibri"/>
        </w:rPr>
      </w:pPr>
      <w:r w:rsidRPr="005643EB">
        <w:rPr>
          <w:rFonts w:ascii="Calibri" w:hAnsi="Calibri" w:cs="Calibri"/>
        </w:rPr>
        <w:t xml:space="preserve">The NW Energy Coalition </w:t>
      </w:r>
      <w:r w:rsidR="008D5195">
        <w:rPr>
          <w:rFonts w:ascii="Calibri" w:hAnsi="Calibri" w:cs="Calibri"/>
        </w:rPr>
        <w:t xml:space="preserve">(NWEC or the Coalition) </w:t>
      </w:r>
      <w:r w:rsidRPr="005643EB">
        <w:rPr>
          <w:rFonts w:ascii="Calibri" w:hAnsi="Calibri" w:cs="Calibri"/>
        </w:rPr>
        <w:t xml:space="preserve">appreciates the opportunity to comment on this </w:t>
      </w:r>
      <w:r w:rsidR="00C04598" w:rsidRPr="005643EB">
        <w:rPr>
          <w:rFonts w:ascii="Calibri" w:hAnsi="Calibri" w:cs="Calibri"/>
        </w:rPr>
        <w:t>petition</w:t>
      </w:r>
      <w:r w:rsidRPr="005643EB">
        <w:rPr>
          <w:rFonts w:ascii="Calibri" w:hAnsi="Calibri" w:cs="Calibri"/>
        </w:rPr>
        <w:t xml:space="preserve"> from Avista Utilities, which seeks to </w:t>
      </w:r>
      <w:r w:rsidR="00662C34">
        <w:rPr>
          <w:rFonts w:ascii="Calibri" w:hAnsi="Calibri" w:cs="Calibri"/>
        </w:rPr>
        <w:t xml:space="preserve">extend its </w:t>
      </w:r>
      <w:r w:rsidRPr="005643EB">
        <w:rPr>
          <w:rFonts w:ascii="Calibri" w:hAnsi="Calibri" w:cs="Calibri"/>
        </w:rPr>
        <w:t>Line Extension Allowance Program (LEAP)</w:t>
      </w:r>
      <w:r w:rsidR="00662C34">
        <w:rPr>
          <w:rFonts w:ascii="Calibri" w:hAnsi="Calibri" w:cs="Calibri"/>
        </w:rPr>
        <w:t xml:space="preserve"> pilot for another three years</w:t>
      </w:r>
      <w:r w:rsidRPr="005643EB">
        <w:rPr>
          <w:rFonts w:ascii="Calibri" w:hAnsi="Calibri" w:cs="Calibri"/>
        </w:rPr>
        <w:t xml:space="preserve">. </w:t>
      </w:r>
      <w:r w:rsidR="00C04598" w:rsidRPr="005643EB">
        <w:rPr>
          <w:rFonts w:ascii="Calibri" w:hAnsi="Calibri" w:cs="Calibri"/>
        </w:rPr>
        <w:t>T</w:t>
      </w:r>
      <w:r w:rsidRPr="005643EB">
        <w:rPr>
          <w:rFonts w:ascii="Calibri" w:hAnsi="Calibri" w:cs="Calibri"/>
        </w:rPr>
        <w:t xml:space="preserve">he </w:t>
      </w:r>
      <w:r w:rsidR="00C04598" w:rsidRPr="005643EB">
        <w:rPr>
          <w:rFonts w:ascii="Calibri" w:hAnsi="Calibri" w:cs="Calibri"/>
        </w:rPr>
        <w:t>Coalition was</w:t>
      </w:r>
      <w:r w:rsidRPr="005643EB">
        <w:rPr>
          <w:rFonts w:ascii="Calibri" w:hAnsi="Calibri" w:cs="Calibri"/>
        </w:rPr>
        <w:t xml:space="preserve"> not involved in the docket that established the </w:t>
      </w:r>
      <w:r w:rsidR="00C04598" w:rsidRPr="005643EB">
        <w:rPr>
          <w:rFonts w:ascii="Calibri" w:hAnsi="Calibri" w:cs="Calibri"/>
        </w:rPr>
        <w:t xml:space="preserve">original </w:t>
      </w:r>
      <w:r w:rsidRPr="005643EB">
        <w:rPr>
          <w:rFonts w:ascii="Calibri" w:hAnsi="Calibri" w:cs="Calibri"/>
        </w:rPr>
        <w:t xml:space="preserve">pilot </w:t>
      </w:r>
      <w:r w:rsidR="00C04598" w:rsidRPr="005643EB">
        <w:rPr>
          <w:rFonts w:ascii="Calibri" w:hAnsi="Calibri" w:cs="Calibri"/>
        </w:rPr>
        <w:t xml:space="preserve">for Avista </w:t>
      </w:r>
      <w:r w:rsidRPr="005643EB">
        <w:rPr>
          <w:rFonts w:ascii="Calibri" w:hAnsi="Calibri" w:cs="Calibri"/>
        </w:rPr>
        <w:t>(UG-</w:t>
      </w:r>
      <w:r w:rsidR="00C04598" w:rsidRPr="005643EB">
        <w:rPr>
          <w:rFonts w:ascii="Calibri" w:hAnsi="Calibri" w:cs="Calibri"/>
        </w:rPr>
        <w:t>152394</w:t>
      </w:r>
      <w:r w:rsidRPr="005643EB">
        <w:rPr>
          <w:rFonts w:ascii="Calibri" w:hAnsi="Calibri" w:cs="Calibri"/>
        </w:rPr>
        <w:t xml:space="preserve">) or in the </w:t>
      </w:r>
      <w:r w:rsidR="00C04598" w:rsidRPr="005643EB">
        <w:rPr>
          <w:rFonts w:ascii="Calibri" w:hAnsi="Calibri" w:cs="Calibri"/>
        </w:rPr>
        <w:t xml:space="preserve">workshop docket that discussed any needs for further natural gas expansion and options to implement such expansion (UG-143616), but we have </w:t>
      </w:r>
      <w:r w:rsidR="0098441C">
        <w:rPr>
          <w:rFonts w:ascii="Calibri" w:hAnsi="Calibri" w:cs="Calibri"/>
        </w:rPr>
        <w:t xml:space="preserve">in the past </w:t>
      </w:r>
      <w:r w:rsidR="00C04598" w:rsidRPr="005643EB">
        <w:rPr>
          <w:rFonts w:ascii="Calibri" w:hAnsi="Calibri" w:cs="Calibri"/>
        </w:rPr>
        <w:t>commented generally on Avista’s fuel conversion programs, of which we consider the line extension allowance program to be</w:t>
      </w:r>
      <w:r w:rsidR="00D4597E" w:rsidRPr="005643EB">
        <w:rPr>
          <w:rFonts w:ascii="Calibri" w:hAnsi="Calibri" w:cs="Calibri"/>
        </w:rPr>
        <w:t xml:space="preserve"> (UE-171091)</w:t>
      </w:r>
      <w:r w:rsidR="00C04598" w:rsidRPr="005643EB">
        <w:rPr>
          <w:rFonts w:ascii="Calibri" w:hAnsi="Calibri" w:cs="Calibri"/>
        </w:rPr>
        <w:t xml:space="preserve">. </w:t>
      </w:r>
    </w:p>
    <w:p w14:paraId="68F792FA" w14:textId="77777777" w:rsidR="00C04598" w:rsidRPr="005643EB" w:rsidRDefault="00C04598">
      <w:pPr>
        <w:rPr>
          <w:rFonts w:ascii="Calibri" w:hAnsi="Calibri" w:cs="Calibri"/>
        </w:rPr>
      </w:pPr>
    </w:p>
    <w:p w14:paraId="76CADC18" w14:textId="6C415876" w:rsidR="00D4597E" w:rsidRPr="005643EB" w:rsidRDefault="00D4597E">
      <w:pPr>
        <w:rPr>
          <w:rFonts w:ascii="Calibri" w:hAnsi="Calibri" w:cs="Calibri"/>
        </w:rPr>
      </w:pPr>
      <w:r w:rsidRPr="005643EB">
        <w:rPr>
          <w:rFonts w:ascii="Calibri" w:hAnsi="Calibri" w:cs="Calibri"/>
        </w:rPr>
        <w:t>Our summary recommendation</w:t>
      </w:r>
      <w:r w:rsidR="00633E97">
        <w:rPr>
          <w:rFonts w:ascii="Calibri" w:hAnsi="Calibri" w:cs="Calibri"/>
        </w:rPr>
        <w:t>s</w:t>
      </w:r>
      <w:r w:rsidRPr="005643EB">
        <w:rPr>
          <w:rFonts w:ascii="Calibri" w:hAnsi="Calibri" w:cs="Calibri"/>
        </w:rPr>
        <w:t xml:space="preserve"> to the Commission </w:t>
      </w:r>
      <w:r w:rsidR="00BD767F">
        <w:rPr>
          <w:rFonts w:ascii="Calibri" w:hAnsi="Calibri" w:cs="Calibri"/>
        </w:rPr>
        <w:t>in this matter are</w:t>
      </w:r>
      <w:r w:rsidRPr="005643EB">
        <w:rPr>
          <w:rFonts w:ascii="Calibri" w:hAnsi="Calibri" w:cs="Calibri"/>
        </w:rPr>
        <w:t>:</w:t>
      </w:r>
    </w:p>
    <w:p w14:paraId="44535AF3" w14:textId="56F5D843" w:rsidR="00D4597E" w:rsidRPr="00BD767F" w:rsidRDefault="00D4597E" w:rsidP="00BD767F">
      <w:pPr>
        <w:pStyle w:val="ListParagraph"/>
        <w:numPr>
          <w:ilvl w:val="0"/>
          <w:numId w:val="3"/>
        </w:numPr>
        <w:rPr>
          <w:rFonts w:ascii="Calibri" w:hAnsi="Calibri" w:cs="Calibri"/>
        </w:rPr>
      </w:pPr>
      <w:r w:rsidRPr="005643EB">
        <w:rPr>
          <w:rFonts w:ascii="Calibri" w:hAnsi="Calibri" w:cs="Calibri"/>
        </w:rPr>
        <w:t xml:space="preserve">In this docket, the </w:t>
      </w:r>
      <w:r w:rsidR="00F826E0">
        <w:rPr>
          <w:rFonts w:ascii="Calibri" w:hAnsi="Calibri" w:cs="Calibri"/>
        </w:rPr>
        <w:t xml:space="preserve">pilot that allows the equipment rebate </w:t>
      </w:r>
      <w:r w:rsidR="00B13C97">
        <w:rPr>
          <w:rFonts w:ascii="Calibri" w:hAnsi="Calibri" w:cs="Calibri"/>
        </w:rPr>
        <w:t xml:space="preserve">from the excess allowance </w:t>
      </w:r>
      <w:r w:rsidR="00F826E0">
        <w:rPr>
          <w:rFonts w:ascii="Calibri" w:hAnsi="Calibri" w:cs="Calibri"/>
        </w:rPr>
        <w:t xml:space="preserve">should be </w:t>
      </w:r>
      <w:r w:rsidR="00B13C97">
        <w:rPr>
          <w:rFonts w:ascii="Calibri" w:hAnsi="Calibri" w:cs="Calibri"/>
        </w:rPr>
        <w:t>discontinued</w:t>
      </w:r>
      <w:r w:rsidR="00F826E0">
        <w:rPr>
          <w:rFonts w:ascii="Calibri" w:hAnsi="Calibri" w:cs="Calibri"/>
        </w:rPr>
        <w:t>.</w:t>
      </w:r>
    </w:p>
    <w:p w14:paraId="403B28DA" w14:textId="5572A96D" w:rsidR="00D4597E" w:rsidRPr="005643EB" w:rsidRDefault="00B13C97" w:rsidP="00D4597E">
      <w:pPr>
        <w:pStyle w:val="ListParagraph"/>
        <w:numPr>
          <w:ilvl w:val="0"/>
          <w:numId w:val="3"/>
        </w:numPr>
        <w:rPr>
          <w:rFonts w:ascii="Calibri" w:hAnsi="Calibri" w:cs="Calibri"/>
        </w:rPr>
      </w:pPr>
      <w:r>
        <w:rPr>
          <w:rFonts w:ascii="Calibri" w:hAnsi="Calibri" w:cs="Calibri"/>
        </w:rPr>
        <w:t xml:space="preserve">To the larger question of </w:t>
      </w:r>
      <w:r w:rsidR="00EC7FD8">
        <w:rPr>
          <w:rFonts w:ascii="Calibri" w:hAnsi="Calibri" w:cs="Calibri"/>
        </w:rPr>
        <w:t xml:space="preserve">facilitating </w:t>
      </w:r>
      <w:r>
        <w:rPr>
          <w:rFonts w:ascii="Calibri" w:hAnsi="Calibri" w:cs="Calibri"/>
        </w:rPr>
        <w:t>natural gas infrastructure expansion</w:t>
      </w:r>
      <w:r w:rsidR="00D4597E" w:rsidRPr="005643EB">
        <w:rPr>
          <w:rFonts w:ascii="Calibri" w:hAnsi="Calibri" w:cs="Calibri"/>
        </w:rPr>
        <w:t xml:space="preserve">, the Commission should revisit the </w:t>
      </w:r>
      <w:r w:rsidR="00B46C3E">
        <w:rPr>
          <w:rFonts w:ascii="Calibri" w:hAnsi="Calibri" w:cs="Calibri"/>
        </w:rPr>
        <w:t xml:space="preserve">premise that additional </w:t>
      </w:r>
      <w:r w:rsidR="00D4597E" w:rsidRPr="005643EB">
        <w:rPr>
          <w:rFonts w:ascii="Calibri" w:hAnsi="Calibri" w:cs="Calibri"/>
        </w:rPr>
        <w:t xml:space="preserve">economic incentives </w:t>
      </w:r>
      <w:r w:rsidR="00B46C3E">
        <w:rPr>
          <w:rFonts w:ascii="Calibri" w:hAnsi="Calibri" w:cs="Calibri"/>
        </w:rPr>
        <w:t>are needed to expand natural gas infrastructure in Washington.</w:t>
      </w:r>
      <w:r w:rsidR="001B49CE">
        <w:rPr>
          <w:rFonts w:ascii="Calibri" w:hAnsi="Calibri" w:cs="Calibri"/>
        </w:rPr>
        <w:t xml:space="preserve"> </w:t>
      </w:r>
    </w:p>
    <w:p w14:paraId="70476A5D" w14:textId="69944D27" w:rsidR="00227E44" w:rsidRPr="005643EB" w:rsidRDefault="00227E44" w:rsidP="00227E44">
      <w:pPr>
        <w:rPr>
          <w:rFonts w:ascii="Calibri" w:hAnsi="Calibri" w:cs="Calibri"/>
        </w:rPr>
      </w:pPr>
    </w:p>
    <w:p w14:paraId="7960C4C7" w14:textId="434A2543" w:rsidR="00227E44" w:rsidRPr="005643EB" w:rsidRDefault="00233B14" w:rsidP="00227E44">
      <w:pPr>
        <w:rPr>
          <w:rFonts w:ascii="Calibri" w:hAnsi="Calibri" w:cs="Calibri"/>
          <w:b/>
        </w:rPr>
      </w:pPr>
      <w:r>
        <w:rPr>
          <w:rFonts w:ascii="Calibri" w:hAnsi="Calibri" w:cs="Calibri"/>
          <w:b/>
        </w:rPr>
        <w:t xml:space="preserve">Pilot </w:t>
      </w:r>
      <w:r w:rsidR="00227E44" w:rsidRPr="005643EB">
        <w:rPr>
          <w:rFonts w:ascii="Calibri" w:hAnsi="Calibri" w:cs="Calibri"/>
          <w:b/>
        </w:rPr>
        <w:t>Background</w:t>
      </w:r>
      <w:r>
        <w:rPr>
          <w:rFonts w:ascii="Calibri" w:hAnsi="Calibri" w:cs="Calibri"/>
          <w:b/>
        </w:rPr>
        <w:t xml:space="preserve"> and Results</w:t>
      </w:r>
    </w:p>
    <w:p w14:paraId="3D19193B" w14:textId="21EB8D25" w:rsidR="00227E44" w:rsidRPr="005643EB" w:rsidRDefault="00227E44" w:rsidP="005643EB">
      <w:pPr>
        <w:rPr>
          <w:rFonts w:ascii="Calibri" w:hAnsi="Calibri" w:cs="Calibri"/>
        </w:rPr>
      </w:pPr>
      <w:r w:rsidRPr="005643EB">
        <w:rPr>
          <w:rFonts w:ascii="Calibri" w:hAnsi="Calibri" w:cs="Calibri"/>
        </w:rPr>
        <w:t xml:space="preserve">In 2014, the Washington legislature considered a bill, </w:t>
      </w:r>
      <w:hyperlink r:id="rId7" w:history="1">
        <w:r w:rsidRPr="005643EB">
          <w:rPr>
            <w:rStyle w:val="Hyperlink"/>
            <w:rFonts w:ascii="Calibri" w:hAnsi="Calibri" w:cs="Calibri"/>
          </w:rPr>
          <w:t>HB 2177</w:t>
        </w:r>
      </w:hyperlink>
      <w:r w:rsidRPr="005643EB">
        <w:rPr>
          <w:rFonts w:ascii="Calibri" w:hAnsi="Calibri" w:cs="Calibri"/>
        </w:rPr>
        <w:t xml:space="preserve">, that would have </w:t>
      </w:r>
      <w:r w:rsidR="0016623D">
        <w:rPr>
          <w:rFonts w:ascii="Calibri" w:hAnsi="Calibri" w:cs="Calibri"/>
        </w:rPr>
        <w:t>directed</w:t>
      </w:r>
      <w:r w:rsidR="0016623D" w:rsidRPr="005643EB">
        <w:rPr>
          <w:rFonts w:ascii="Calibri" w:hAnsi="Calibri" w:cs="Calibri"/>
        </w:rPr>
        <w:t xml:space="preserve"> </w:t>
      </w:r>
      <w:r w:rsidRPr="005643EB">
        <w:rPr>
          <w:rFonts w:ascii="Calibri" w:hAnsi="Calibri" w:cs="Calibri"/>
        </w:rPr>
        <w:t>the UTC to conduct a process that allows customers and utilities to bring forth proposals for the financing and building of natural gas infrastructure, with a particular focus on rural or underserved areas.</w:t>
      </w:r>
      <w:r w:rsidR="00721A75" w:rsidRPr="005643EB">
        <w:rPr>
          <w:rFonts w:ascii="Calibri" w:hAnsi="Calibri" w:cs="Calibri"/>
        </w:rPr>
        <w:t xml:space="preserve"> The bill did not pass the full legislature, but did pass the House. The sponsoring representative requested that the UTC open a docket to fulfill the spirit of this bill</w:t>
      </w:r>
      <w:r w:rsidR="005643EB" w:rsidRPr="005643EB">
        <w:rPr>
          <w:rFonts w:ascii="Calibri" w:hAnsi="Calibri" w:cs="Calibri"/>
        </w:rPr>
        <w:t xml:space="preserve">, and UTC opened </w:t>
      </w:r>
      <w:hyperlink r:id="rId8" w:history="1">
        <w:r w:rsidRPr="005643EB">
          <w:rPr>
            <w:rStyle w:val="Hyperlink"/>
            <w:rFonts w:ascii="Calibri" w:hAnsi="Calibri" w:cs="Calibri"/>
          </w:rPr>
          <w:t>UG-143616</w:t>
        </w:r>
      </w:hyperlink>
      <w:r w:rsidRPr="005643EB">
        <w:rPr>
          <w:rFonts w:ascii="Calibri" w:hAnsi="Calibri" w:cs="Calibri"/>
        </w:rPr>
        <w:t xml:space="preserve"> to “discuss the need for natural gas distribution infrastructure expansion, and investigate the options available to implement such expansion.”</w:t>
      </w:r>
    </w:p>
    <w:p w14:paraId="6F3F8D0D" w14:textId="74132CBF" w:rsidR="005643EB" w:rsidRPr="005643EB" w:rsidRDefault="005643EB" w:rsidP="005643EB">
      <w:pPr>
        <w:rPr>
          <w:rFonts w:ascii="Calibri" w:hAnsi="Calibri" w:cs="Calibri"/>
        </w:rPr>
      </w:pPr>
    </w:p>
    <w:p w14:paraId="2A208B67" w14:textId="4B192CEC" w:rsidR="005643EB" w:rsidRPr="005643EB" w:rsidRDefault="00227E44" w:rsidP="005643EB">
      <w:pPr>
        <w:rPr>
          <w:rFonts w:ascii="Calibri" w:hAnsi="Calibri" w:cs="Calibri"/>
        </w:rPr>
      </w:pPr>
      <w:r w:rsidRPr="005643EB">
        <w:rPr>
          <w:rFonts w:ascii="Calibri" w:hAnsi="Calibri" w:cs="Calibri"/>
        </w:rPr>
        <w:t xml:space="preserve">Following the discussion in the above docket, Avista proposed and </w:t>
      </w:r>
      <w:r w:rsidR="0016623D">
        <w:rPr>
          <w:rFonts w:ascii="Calibri" w:hAnsi="Calibri" w:cs="Calibri"/>
        </w:rPr>
        <w:t>the UTC</w:t>
      </w:r>
      <w:r w:rsidR="0016623D" w:rsidRPr="005643EB">
        <w:rPr>
          <w:rFonts w:ascii="Calibri" w:hAnsi="Calibri" w:cs="Calibri"/>
        </w:rPr>
        <w:t xml:space="preserve"> </w:t>
      </w:r>
      <w:r w:rsidRPr="005643EB">
        <w:rPr>
          <w:rFonts w:ascii="Calibri" w:hAnsi="Calibri" w:cs="Calibri"/>
        </w:rPr>
        <w:t xml:space="preserve">approved a pilot that changed </w:t>
      </w:r>
      <w:r w:rsidR="0016623D">
        <w:rPr>
          <w:rFonts w:ascii="Calibri" w:hAnsi="Calibri" w:cs="Calibri"/>
        </w:rPr>
        <w:t>Avista’s</w:t>
      </w:r>
      <w:r w:rsidR="0016623D" w:rsidRPr="005643EB">
        <w:rPr>
          <w:rFonts w:ascii="Calibri" w:hAnsi="Calibri" w:cs="Calibri"/>
        </w:rPr>
        <w:t xml:space="preserve"> </w:t>
      </w:r>
      <w:r w:rsidRPr="005643EB">
        <w:rPr>
          <w:rFonts w:ascii="Calibri" w:hAnsi="Calibri" w:cs="Calibri"/>
        </w:rPr>
        <w:t>accounting methodology for calculat</w:t>
      </w:r>
      <w:r w:rsidR="0016623D">
        <w:rPr>
          <w:rFonts w:ascii="Calibri" w:hAnsi="Calibri" w:cs="Calibri"/>
        </w:rPr>
        <w:t>ing</w:t>
      </w:r>
      <w:r w:rsidRPr="005643EB">
        <w:rPr>
          <w:rFonts w:ascii="Calibri" w:hAnsi="Calibri" w:cs="Calibri"/>
        </w:rPr>
        <w:t xml:space="preserve"> line extensions through </w:t>
      </w:r>
      <w:hyperlink r:id="rId9" w:history="1">
        <w:r w:rsidRPr="005643EB">
          <w:rPr>
            <w:rStyle w:val="Hyperlink"/>
            <w:rFonts w:ascii="Calibri" w:hAnsi="Calibri" w:cs="Calibri"/>
          </w:rPr>
          <w:t>UG-152394</w:t>
        </w:r>
      </w:hyperlink>
      <w:r w:rsidRPr="005643EB">
        <w:rPr>
          <w:rFonts w:ascii="Calibri" w:hAnsi="Calibri" w:cs="Calibri"/>
        </w:rPr>
        <w:t xml:space="preserve">. The previous allowance provided to a customer was three times the annual revenue that a customer was estimated to provide. The pilot used the Perpetual Net Present Value (PNPV) methodology, as </w:t>
      </w:r>
      <w:r w:rsidR="005643EB" w:rsidRPr="005643EB">
        <w:rPr>
          <w:rFonts w:ascii="Calibri" w:hAnsi="Calibri" w:cs="Calibri"/>
        </w:rPr>
        <w:t>mentioned in</w:t>
      </w:r>
      <w:r w:rsidRPr="005643EB">
        <w:rPr>
          <w:rFonts w:ascii="Calibri" w:hAnsi="Calibri" w:cs="Calibri"/>
        </w:rPr>
        <w:t xml:space="preserve"> </w:t>
      </w:r>
      <w:r w:rsidR="005643EB" w:rsidRPr="005643EB">
        <w:rPr>
          <w:rFonts w:ascii="Calibri" w:hAnsi="Calibri" w:cs="Calibri"/>
        </w:rPr>
        <w:t>a paper by the</w:t>
      </w:r>
      <w:r w:rsidRPr="005643EB">
        <w:rPr>
          <w:rFonts w:ascii="Calibri" w:hAnsi="Calibri" w:cs="Calibri"/>
        </w:rPr>
        <w:t xml:space="preserve"> </w:t>
      </w:r>
      <w:hyperlink r:id="rId10" w:history="1">
        <w:r w:rsidRPr="005643EB">
          <w:rPr>
            <w:rStyle w:val="Hyperlink"/>
            <w:rFonts w:ascii="Calibri" w:hAnsi="Calibri" w:cs="Calibri"/>
          </w:rPr>
          <w:t>National Regulatory Research Institute</w:t>
        </w:r>
      </w:hyperlink>
      <w:r w:rsidR="005643EB" w:rsidRPr="005643EB">
        <w:rPr>
          <w:rFonts w:ascii="Calibri" w:hAnsi="Calibri" w:cs="Calibri"/>
        </w:rPr>
        <w:t>:</w:t>
      </w:r>
    </w:p>
    <w:p w14:paraId="583642ED" w14:textId="5C0EAA5D" w:rsidR="005643EB" w:rsidRPr="005643EB" w:rsidRDefault="005643EB" w:rsidP="005643EB">
      <w:pPr>
        <w:ind w:left="720"/>
        <w:rPr>
          <w:rFonts w:ascii="Calibri" w:hAnsi="Calibri" w:cs="Calibri"/>
          <w:i/>
        </w:rPr>
      </w:pPr>
      <w:r w:rsidRPr="005643EB">
        <w:rPr>
          <w:rFonts w:ascii="Calibri" w:hAnsi="Calibri" w:cs="Calibri"/>
          <w:i/>
        </w:rPr>
        <w:t>“The maximum level of “economical” investment equals the annual distribution margin divided by the required rate of return. The assumption is that the recovery period approaches infinity.”</w:t>
      </w:r>
    </w:p>
    <w:p w14:paraId="7511ECA6" w14:textId="307655A9" w:rsidR="005643EB" w:rsidRDefault="005643EB" w:rsidP="005643EB">
      <w:pPr>
        <w:rPr>
          <w:rFonts w:ascii="Calibri" w:hAnsi="Calibri" w:cs="Calibri"/>
        </w:rPr>
      </w:pPr>
    </w:p>
    <w:p w14:paraId="46C10DA2" w14:textId="6C5D6D5F" w:rsidR="00B13C97" w:rsidRPr="005643EB" w:rsidRDefault="00B70D49" w:rsidP="005643EB">
      <w:pPr>
        <w:rPr>
          <w:rFonts w:ascii="Calibri" w:hAnsi="Calibri" w:cs="Calibri"/>
        </w:rPr>
      </w:pPr>
      <w:r>
        <w:rPr>
          <w:rFonts w:ascii="Calibri" w:hAnsi="Calibri" w:cs="Calibri"/>
        </w:rPr>
        <w:t>Below are summary results from the pilot; all information is from Avista’s petition unless otherwise noted.</w:t>
      </w:r>
    </w:p>
    <w:p w14:paraId="0B096AD6" w14:textId="2900156E" w:rsidR="00662C34" w:rsidRDefault="00227E44" w:rsidP="00B13C97">
      <w:pPr>
        <w:pStyle w:val="ListParagraph"/>
        <w:numPr>
          <w:ilvl w:val="0"/>
          <w:numId w:val="4"/>
        </w:numPr>
        <w:rPr>
          <w:rFonts w:ascii="Calibri" w:hAnsi="Calibri" w:cs="Calibri"/>
        </w:rPr>
      </w:pPr>
      <w:r w:rsidRPr="00B13C97">
        <w:rPr>
          <w:rFonts w:ascii="Calibri" w:hAnsi="Calibri" w:cs="Calibri"/>
        </w:rPr>
        <w:t xml:space="preserve">At the time of initial </w:t>
      </w:r>
      <w:r w:rsidR="00A7150E">
        <w:rPr>
          <w:rFonts w:ascii="Calibri" w:hAnsi="Calibri" w:cs="Calibri"/>
        </w:rPr>
        <w:t>approval</w:t>
      </w:r>
      <w:r w:rsidRPr="00B13C97">
        <w:rPr>
          <w:rFonts w:ascii="Calibri" w:hAnsi="Calibri" w:cs="Calibri"/>
        </w:rPr>
        <w:t xml:space="preserve"> of </w:t>
      </w:r>
      <w:r w:rsidR="005643EB" w:rsidRPr="00B13C97">
        <w:rPr>
          <w:rFonts w:ascii="Calibri" w:hAnsi="Calibri" w:cs="Calibri"/>
        </w:rPr>
        <w:t>Avista’s</w:t>
      </w:r>
      <w:r w:rsidRPr="00B13C97">
        <w:rPr>
          <w:rFonts w:ascii="Calibri" w:hAnsi="Calibri" w:cs="Calibri"/>
        </w:rPr>
        <w:t xml:space="preserve"> pilot, this new methodology resulted in a </w:t>
      </w:r>
      <w:proofErr w:type="gramStart"/>
      <w:r w:rsidRPr="00B13C97">
        <w:rPr>
          <w:rFonts w:ascii="Calibri" w:hAnsi="Calibri" w:cs="Calibri"/>
        </w:rPr>
        <w:t>$</w:t>
      </w:r>
      <w:r w:rsidR="00A7150E">
        <w:rPr>
          <w:rFonts w:ascii="Calibri" w:hAnsi="Calibri" w:cs="Calibri"/>
        </w:rPr>
        <w:t>4,492</w:t>
      </w:r>
      <w:r w:rsidRPr="00B13C97">
        <w:rPr>
          <w:rFonts w:ascii="Calibri" w:hAnsi="Calibri" w:cs="Calibri"/>
        </w:rPr>
        <w:t xml:space="preserve"> line</w:t>
      </w:r>
      <w:proofErr w:type="gramEnd"/>
      <w:r w:rsidRPr="00B13C97">
        <w:rPr>
          <w:rFonts w:ascii="Calibri" w:hAnsi="Calibri" w:cs="Calibri"/>
        </w:rPr>
        <w:t xml:space="preserve"> extension allowance for residential customers (Schedule 101). The current allowance, given updated rate of return and basic charge revenue, is $4,678, an increase of about </w:t>
      </w:r>
      <w:r w:rsidR="00CB64CA">
        <w:rPr>
          <w:rFonts w:ascii="Calibri" w:hAnsi="Calibri" w:cs="Calibri"/>
        </w:rPr>
        <w:t>4%.</w:t>
      </w:r>
      <w:bookmarkStart w:id="0" w:name="_GoBack"/>
      <w:bookmarkEnd w:id="0"/>
    </w:p>
    <w:p w14:paraId="6409063B" w14:textId="58CB51AE" w:rsidR="00921629" w:rsidRDefault="009544E8" w:rsidP="00662C34">
      <w:pPr>
        <w:pStyle w:val="ListParagraph"/>
        <w:numPr>
          <w:ilvl w:val="1"/>
          <w:numId w:val="4"/>
        </w:numPr>
        <w:rPr>
          <w:rFonts w:ascii="Calibri" w:hAnsi="Calibri" w:cs="Calibri"/>
        </w:rPr>
      </w:pPr>
      <w:r w:rsidRPr="00B13C97">
        <w:rPr>
          <w:rFonts w:ascii="Calibri" w:hAnsi="Calibri" w:cs="Calibri"/>
        </w:rPr>
        <w:t xml:space="preserve">The previous allowance </w:t>
      </w:r>
      <w:r w:rsidR="00921629">
        <w:rPr>
          <w:rFonts w:ascii="Calibri" w:hAnsi="Calibri" w:cs="Calibri"/>
        </w:rPr>
        <w:t xml:space="preserve">methodology </w:t>
      </w:r>
      <w:r w:rsidRPr="00B13C97">
        <w:rPr>
          <w:rFonts w:ascii="Calibri" w:hAnsi="Calibri" w:cs="Calibri"/>
        </w:rPr>
        <w:t xml:space="preserve">depended on the customer and </w:t>
      </w:r>
      <w:r w:rsidR="00921629">
        <w:rPr>
          <w:rFonts w:ascii="Calibri" w:hAnsi="Calibri" w:cs="Calibri"/>
        </w:rPr>
        <w:t>their</w:t>
      </w:r>
      <w:r w:rsidRPr="00B13C97">
        <w:rPr>
          <w:rFonts w:ascii="Calibri" w:hAnsi="Calibri" w:cs="Calibri"/>
        </w:rPr>
        <w:t xml:space="preserve"> expected revenue</w:t>
      </w:r>
      <w:r w:rsidR="00B70D49">
        <w:rPr>
          <w:rFonts w:ascii="Calibri" w:hAnsi="Calibri" w:cs="Calibri"/>
        </w:rPr>
        <w:t>; on average, the allowance was $1,920.</w:t>
      </w:r>
      <w:r w:rsidR="00B70D49">
        <w:rPr>
          <w:rStyle w:val="FootnoteReference"/>
          <w:rFonts w:ascii="Calibri" w:hAnsi="Calibri" w:cs="Calibri"/>
        </w:rPr>
        <w:footnoteReference w:id="1"/>
      </w:r>
    </w:p>
    <w:p w14:paraId="59D085F2" w14:textId="23C32F9E" w:rsidR="00921629" w:rsidRDefault="00233B14" w:rsidP="00B13C97">
      <w:pPr>
        <w:pStyle w:val="ListParagraph"/>
        <w:numPr>
          <w:ilvl w:val="0"/>
          <w:numId w:val="4"/>
        </w:numPr>
        <w:rPr>
          <w:rFonts w:ascii="Calibri" w:hAnsi="Calibri" w:cs="Calibri"/>
        </w:rPr>
      </w:pPr>
      <w:r w:rsidRPr="00B13C97">
        <w:rPr>
          <w:rFonts w:ascii="Calibri" w:hAnsi="Calibri" w:cs="Calibri"/>
        </w:rPr>
        <w:t xml:space="preserve">So far </w:t>
      </w:r>
      <w:r w:rsidR="00B70D49">
        <w:rPr>
          <w:rFonts w:ascii="Calibri" w:hAnsi="Calibri" w:cs="Calibri"/>
        </w:rPr>
        <w:t>under the pilot</w:t>
      </w:r>
      <w:r w:rsidRPr="00B13C97">
        <w:rPr>
          <w:rFonts w:ascii="Calibri" w:hAnsi="Calibri" w:cs="Calibri"/>
        </w:rPr>
        <w:t xml:space="preserve">, 4,215 conversions have occurred, and 3,297 participants have claimed the additional equipment rebate. </w:t>
      </w:r>
    </w:p>
    <w:p w14:paraId="7797BB06" w14:textId="151ADB4A" w:rsidR="00921629" w:rsidRDefault="00233B14" w:rsidP="00B13C97">
      <w:pPr>
        <w:pStyle w:val="ListParagraph"/>
        <w:numPr>
          <w:ilvl w:val="0"/>
          <w:numId w:val="4"/>
        </w:numPr>
        <w:rPr>
          <w:rFonts w:ascii="Calibri" w:hAnsi="Calibri" w:cs="Calibri"/>
        </w:rPr>
      </w:pPr>
      <w:r w:rsidRPr="00B13C97">
        <w:rPr>
          <w:rFonts w:ascii="Calibri" w:hAnsi="Calibri" w:cs="Calibri"/>
        </w:rPr>
        <w:t>The average</w:t>
      </w:r>
      <w:r w:rsidR="00662C34">
        <w:rPr>
          <w:rFonts w:ascii="Calibri" w:hAnsi="Calibri" w:cs="Calibri"/>
        </w:rPr>
        <w:t xml:space="preserve"> extension</w:t>
      </w:r>
      <w:r w:rsidRPr="00B13C97">
        <w:rPr>
          <w:rFonts w:ascii="Calibri" w:hAnsi="Calibri" w:cs="Calibri"/>
        </w:rPr>
        <w:t xml:space="preserve"> allowance used over the pilot period was $1,908 and the average equipment rebate was $2,772. </w:t>
      </w:r>
    </w:p>
    <w:p w14:paraId="26714E2D" w14:textId="209D0F4B" w:rsidR="00D9667F" w:rsidRPr="008A38F4" w:rsidRDefault="00233B14" w:rsidP="008A38F4">
      <w:pPr>
        <w:pStyle w:val="ListParagraph"/>
        <w:numPr>
          <w:ilvl w:val="0"/>
          <w:numId w:val="4"/>
        </w:numPr>
        <w:rPr>
          <w:rFonts w:ascii="Calibri" w:hAnsi="Calibri" w:cs="Calibri"/>
        </w:rPr>
      </w:pPr>
      <w:r w:rsidRPr="00B13C97">
        <w:rPr>
          <w:rFonts w:ascii="Calibri" w:hAnsi="Calibri" w:cs="Calibri"/>
        </w:rPr>
        <w:t xml:space="preserve">Of the 4,215 conversions, 625 (15%) are from non-Avista customers. </w:t>
      </w:r>
      <w:r w:rsidR="00261F49" w:rsidRPr="008A38F4">
        <w:rPr>
          <w:rFonts w:ascii="Calibri" w:hAnsi="Calibri" w:cs="Calibri"/>
        </w:rPr>
        <w:t xml:space="preserve">Avista </w:t>
      </w:r>
      <w:r w:rsidR="00662C34" w:rsidRPr="008A38F4">
        <w:rPr>
          <w:rFonts w:ascii="Calibri" w:hAnsi="Calibri" w:cs="Calibri"/>
        </w:rPr>
        <w:t xml:space="preserve">does not provide data </w:t>
      </w:r>
      <w:r w:rsidR="00261F49" w:rsidRPr="008A38F4">
        <w:rPr>
          <w:rFonts w:ascii="Calibri" w:hAnsi="Calibri" w:cs="Calibri"/>
        </w:rPr>
        <w:t xml:space="preserve">about </w:t>
      </w:r>
      <w:r w:rsidR="00662C34" w:rsidRPr="008A38F4">
        <w:rPr>
          <w:rFonts w:ascii="Calibri" w:hAnsi="Calibri" w:cs="Calibri"/>
        </w:rPr>
        <w:t xml:space="preserve">how any customers </w:t>
      </w:r>
      <w:r w:rsidR="00261F49" w:rsidRPr="008A38F4">
        <w:rPr>
          <w:rFonts w:ascii="Calibri" w:hAnsi="Calibri" w:cs="Calibri"/>
        </w:rPr>
        <w:t>were heating their house previously (e.g., electric resistance heat, oil, propane)</w:t>
      </w:r>
      <w:r w:rsidR="00662C34" w:rsidRPr="008A38F4">
        <w:rPr>
          <w:rFonts w:ascii="Calibri" w:hAnsi="Calibri" w:cs="Calibri"/>
        </w:rPr>
        <w:t>.</w:t>
      </w:r>
    </w:p>
    <w:p w14:paraId="73A2F01F" w14:textId="4A51BCBE" w:rsidR="00B70D49" w:rsidRDefault="00921629" w:rsidP="00B13C97">
      <w:pPr>
        <w:pStyle w:val="ListParagraph"/>
        <w:numPr>
          <w:ilvl w:val="0"/>
          <w:numId w:val="4"/>
        </w:numPr>
        <w:rPr>
          <w:rFonts w:ascii="Calibri" w:hAnsi="Calibri" w:cs="Calibri"/>
        </w:rPr>
      </w:pPr>
      <w:r>
        <w:rPr>
          <w:rFonts w:ascii="Calibri" w:hAnsi="Calibri" w:cs="Calibri"/>
        </w:rPr>
        <w:t xml:space="preserve">Avista also </w:t>
      </w:r>
      <w:r w:rsidR="00B70D49">
        <w:rPr>
          <w:rFonts w:ascii="Calibri" w:hAnsi="Calibri" w:cs="Calibri"/>
        </w:rPr>
        <w:t xml:space="preserve">currently </w:t>
      </w:r>
      <w:r>
        <w:rPr>
          <w:rFonts w:ascii="Calibri" w:hAnsi="Calibri" w:cs="Calibri"/>
        </w:rPr>
        <w:t xml:space="preserve">offers a separate fuel conversion rebate that a customer could link with this </w:t>
      </w:r>
      <w:r w:rsidR="000D1D0D">
        <w:rPr>
          <w:rFonts w:ascii="Calibri" w:hAnsi="Calibri" w:cs="Calibri"/>
        </w:rPr>
        <w:t>program.</w:t>
      </w:r>
      <w:r>
        <w:rPr>
          <w:rFonts w:ascii="Calibri" w:hAnsi="Calibri" w:cs="Calibri"/>
        </w:rPr>
        <w:t xml:space="preserve"> </w:t>
      </w:r>
    </w:p>
    <w:p w14:paraId="5BEC324E" w14:textId="77777777" w:rsidR="00B70D49" w:rsidRDefault="00921629" w:rsidP="00B70D49">
      <w:pPr>
        <w:pStyle w:val="ListParagraph"/>
        <w:numPr>
          <w:ilvl w:val="1"/>
          <w:numId w:val="4"/>
        </w:numPr>
        <w:rPr>
          <w:rFonts w:ascii="Calibri" w:hAnsi="Calibri" w:cs="Calibri"/>
        </w:rPr>
      </w:pPr>
      <w:r>
        <w:rPr>
          <w:rFonts w:ascii="Calibri" w:hAnsi="Calibri" w:cs="Calibri"/>
        </w:rPr>
        <w:t xml:space="preserve">While </w:t>
      </w:r>
      <w:r w:rsidR="00B70D49">
        <w:rPr>
          <w:rFonts w:ascii="Calibri" w:hAnsi="Calibri" w:cs="Calibri"/>
        </w:rPr>
        <w:t>the fuel conversion program</w:t>
      </w:r>
      <w:r>
        <w:rPr>
          <w:rFonts w:ascii="Calibri" w:hAnsi="Calibri" w:cs="Calibri"/>
        </w:rPr>
        <w:t xml:space="preserve"> is a separate program and will be ending at the end of 2019, a customer could </w:t>
      </w:r>
      <w:r w:rsidR="00B70D49">
        <w:rPr>
          <w:rFonts w:ascii="Calibri" w:hAnsi="Calibri" w:cs="Calibri"/>
        </w:rPr>
        <w:t xml:space="preserve">currently </w:t>
      </w:r>
      <w:r>
        <w:rPr>
          <w:rFonts w:ascii="Calibri" w:hAnsi="Calibri" w:cs="Calibri"/>
        </w:rPr>
        <w:t>take advantage of the LEAP pilot, the fuel conversion incentive, and the natural gas efficiency rebate for equipment</w:t>
      </w:r>
      <w:r w:rsidR="00B70D49">
        <w:rPr>
          <w:rFonts w:ascii="Calibri" w:hAnsi="Calibri" w:cs="Calibri"/>
        </w:rPr>
        <w:t xml:space="preserve">. </w:t>
      </w:r>
    </w:p>
    <w:p w14:paraId="6F82A216" w14:textId="7E3BEC7B" w:rsidR="00921629" w:rsidRDefault="00B70D49" w:rsidP="00B70D49">
      <w:pPr>
        <w:pStyle w:val="ListParagraph"/>
        <w:numPr>
          <w:ilvl w:val="1"/>
          <w:numId w:val="4"/>
        </w:numPr>
        <w:rPr>
          <w:rFonts w:ascii="Calibri" w:hAnsi="Calibri" w:cs="Calibri"/>
        </w:rPr>
      </w:pPr>
      <w:r>
        <w:rPr>
          <w:rFonts w:ascii="Calibri" w:hAnsi="Calibri" w:cs="Calibri"/>
        </w:rPr>
        <w:t>For example, using the average equipment rebate with the current fuel conversion incentive, if a customer converted to an efficient natural gas furnace and water heater, the customer could receive:</w:t>
      </w:r>
    </w:p>
    <w:p w14:paraId="1215A0DC" w14:textId="473A2D5D" w:rsidR="00B70D49" w:rsidRDefault="00B70D49" w:rsidP="00B70D49">
      <w:pPr>
        <w:pStyle w:val="ListParagraph"/>
        <w:numPr>
          <w:ilvl w:val="2"/>
          <w:numId w:val="4"/>
        </w:numPr>
        <w:rPr>
          <w:rFonts w:ascii="Calibri" w:hAnsi="Calibri" w:cs="Calibri"/>
        </w:rPr>
      </w:pPr>
      <w:r>
        <w:rPr>
          <w:rFonts w:ascii="Calibri" w:hAnsi="Calibri" w:cs="Calibri"/>
        </w:rPr>
        <w:t>$300 for the efficient furnace and $200 for the efficient water heater</w:t>
      </w:r>
      <w:r w:rsidR="005F0D31">
        <w:rPr>
          <w:rStyle w:val="FootnoteReference"/>
          <w:rFonts w:ascii="Calibri" w:hAnsi="Calibri" w:cs="Calibri"/>
        </w:rPr>
        <w:footnoteReference w:id="2"/>
      </w:r>
    </w:p>
    <w:p w14:paraId="557EC673" w14:textId="30DBD772" w:rsidR="00B70D49" w:rsidRDefault="00B70D49" w:rsidP="00B70D49">
      <w:pPr>
        <w:pStyle w:val="ListParagraph"/>
        <w:numPr>
          <w:ilvl w:val="2"/>
          <w:numId w:val="4"/>
        </w:numPr>
        <w:rPr>
          <w:rFonts w:ascii="Calibri" w:hAnsi="Calibri" w:cs="Calibri"/>
        </w:rPr>
      </w:pPr>
      <w:r>
        <w:rPr>
          <w:rFonts w:ascii="Calibri" w:hAnsi="Calibri" w:cs="Calibri"/>
        </w:rPr>
        <w:t>$2,250 for converting from electric resistance to natural gas</w:t>
      </w:r>
      <w:r w:rsidR="005F0D31">
        <w:rPr>
          <w:rStyle w:val="FootnoteReference"/>
          <w:rFonts w:ascii="Calibri" w:hAnsi="Calibri" w:cs="Calibri"/>
        </w:rPr>
        <w:footnoteReference w:id="3"/>
      </w:r>
    </w:p>
    <w:p w14:paraId="5ED01382" w14:textId="00532AF3" w:rsidR="00B70D49" w:rsidRDefault="00B70D49" w:rsidP="00B70D49">
      <w:pPr>
        <w:pStyle w:val="ListParagraph"/>
        <w:numPr>
          <w:ilvl w:val="2"/>
          <w:numId w:val="4"/>
        </w:numPr>
        <w:rPr>
          <w:rFonts w:ascii="Calibri" w:hAnsi="Calibri" w:cs="Calibri"/>
        </w:rPr>
      </w:pPr>
      <w:r>
        <w:rPr>
          <w:rFonts w:ascii="Calibri" w:hAnsi="Calibri" w:cs="Calibri"/>
        </w:rPr>
        <w:t>$2,772 for the equipment rebate allowance (average amount)</w:t>
      </w:r>
    </w:p>
    <w:p w14:paraId="11A36B4C" w14:textId="7FCD616C" w:rsidR="00B70D49" w:rsidRPr="00172EED" w:rsidRDefault="00B70D49" w:rsidP="00B70D49">
      <w:pPr>
        <w:pStyle w:val="ListParagraph"/>
        <w:numPr>
          <w:ilvl w:val="2"/>
          <w:numId w:val="4"/>
        </w:numPr>
        <w:rPr>
          <w:rFonts w:ascii="Calibri" w:hAnsi="Calibri" w:cs="Calibri"/>
          <w:b/>
        </w:rPr>
      </w:pPr>
      <w:r>
        <w:rPr>
          <w:rFonts w:ascii="Calibri" w:hAnsi="Calibri" w:cs="Calibri"/>
        </w:rPr>
        <w:t xml:space="preserve">For a total of </w:t>
      </w:r>
      <w:r w:rsidRPr="00C53018">
        <w:rPr>
          <w:rFonts w:ascii="Calibri" w:hAnsi="Calibri" w:cs="Calibri"/>
          <w:i/>
        </w:rPr>
        <w:t>$5,522 of incentives for converting from electricity to natural gas</w:t>
      </w:r>
    </w:p>
    <w:p w14:paraId="5CF32B49" w14:textId="77777777" w:rsidR="00D9667F" w:rsidRDefault="00D9667F" w:rsidP="00227E44">
      <w:pPr>
        <w:rPr>
          <w:rFonts w:ascii="Calibri" w:hAnsi="Calibri" w:cs="Calibri"/>
        </w:rPr>
      </w:pPr>
    </w:p>
    <w:p w14:paraId="03258890" w14:textId="63D0D11D" w:rsidR="00227E44" w:rsidRPr="009544E8" w:rsidRDefault="009544E8" w:rsidP="00227E44">
      <w:pPr>
        <w:rPr>
          <w:rFonts w:ascii="Calibri" w:hAnsi="Calibri" w:cs="Calibri"/>
        </w:rPr>
      </w:pPr>
      <w:r w:rsidRPr="009544E8">
        <w:rPr>
          <w:rFonts w:ascii="Calibri" w:hAnsi="Calibri" w:cs="Calibri"/>
        </w:rPr>
        <w:t xml:space="preserve">Since this pilot was approved by the Commission, </w:t>
      </w:r>
      <w:r w:rsidR="00227E44" w:rsidRPr="009544E8">
        <w:rPr>
          <w:rFonts w:ascii="Calibri" w:hAnsi="Calibri" w:cs="Calibri"/>
        </w:rPr>
        <w:t xml:space="preserve">Cascade </w:t>
      </w:r>
      <w:r w:rsidRPr="009544E8">
        <w:rPr>
          <w:rFonts w:ascii="Calibri" w:hAnsi="Calibri" w:cs="Calibri"/>
        </w:rPr>
        <w:t xml:space="preserve">Natural Gas </w:t>
      </w:r>
      <w:r w:rsidR="00227E44" w:rsidRPr="009544E8">
        <w:rPr>
          <w:rFonts w:ascii="Calibri" w:hAnsi="Calibri" w:cs="Calibri"/>
        </w:rPr>
        <w:t xml:space="preserve">and </w:t>
      </w:r>
      <w:r w:rsidRPr="009544E8">
        <w:rPr>
          <w:rFonts w:ascii="Calibri" w:hAnsi="Calibri" w:cs="Calibri"/>
        </w:rPr>
        <w:t>Puget Sound Energy</w:t>
      </w:r>
      <w:r w:rsidR="00227E44" w:rsidRPr="009544E8">
        <w:rPr>
          <w:rFonts w:ascii="Calibri" w:hAnsi="Calibri" w:cs="Calibri"/>
        </w:rPr>
        <w:t xml:space="preserve"> have also adopted th</w:t>
      </w:r>
      <w:r w:rsidR="00D104ED">
        <w:rPr>
          <w:rFonts w:ascii="Calibri" w:hAnsi="Calibri" w:cs="Calibri"/>
        </w:rPr>
        <w:t xml:space="preserve">e PNPV </w:t>
      </w:r>
      <w:r w:rsidR="00227E44" w:rsidRPr="009544E8">
        <w:rPr>
          <w:rFonts w:ascii="Calibri" w:hAnsi="Calibri" w:cs="Calibri"/>
        </w:rPr>
        <w:t>methodology</w:t>
      </w:r>
      <w:r w:rsidR="00D104ED">
        <w:rPr>
          <w:rFonts w:ascii="Calibri" w:hAnsi="Calibri" w:cs="Calibri"/>
        </w:rPr>
        <w:t xml:space="preserve"> for calculating line extension allowances</w:t>
      </w:r>
      <w:r w:rsidR="00227E44" w:rsidRPr="009544E8">
        <w:rPr>
          <w:rFonts w:ascii="Calibri" w:hAnsi="Calibri" w:cs="Calibri"/>
        </w:rPr>
        <w:t>, though not the rebate mechanism (</w:t>
      </w:r>
      <w:hyperlink r:id="rId11" w:history="1">
        <w:r w:rsidR="00227E44" w:rsidRPr="009544E8">
          <w:rPr>
            <w:rStyle w:val="Hyperlink"/>
            <w:rFonts w:ascii="Calibri" w:hAnsi="Calibri" w:cs="Calibri"/>
          </w:rPr>
          <w:t>UG-160967</w:t>
        </w:r>
      </w:hyperlink>
      <w:r w:rsidR="00227E44" w:rsidRPr="009544E8">
        <w:rPr>
          <w:rFonts w:ascii="Calibri" w:hAnsi="Calibri" w:cs="Calibri"/>
        </w:rPr>
        <w:t xml:space="preserve"> and </w:t>
      </w:r>
      <w:hyperlink r:id="rId12" w:history="1">
        <w:r w:rsidR="00227E44" w:rsidRPr="009544E8">
          <w:rPr>
            <w:rStyle w:val="Hyperlink"/>
            <w:rFonts w:ascii="Calibri" w:hAnsi="Calibri" w:cs="Calibri"/>
          </w:rPr>
          <w:t>UG-161268</w:t>
        </w:r>
      </w:hyperlink>
      <w:r w:rsidR="00227E44" w:rsidRPr="009544E8">
        <w:rPr>
          <w:rFonts w:ascii="Calibri" w:hAnsi="Calibri" w:cs="Calibri"/>
        </w:rPr>
        <w:t>).</w:t>
      </w:r>
    </w:p>
    <w:p w14:paraId="2F2CBC7A" w14:textId="62475DF9" w:rsidR="00BD767F" w:rsidRDefault="00BD767F" w:rsidP="00A67FCC">
      <w:pPr>
        <w:rPr>
          <w:rFonts w:ascii="Calibri" w:hAnsi="Calibri" w:cs="Calibri"/>
        </w:rPr>
      </w:pPr>
    </w:p>
    <w:p w14:paraId="66ED0880" w14:textId="1A5A732E" w:rsidR="00BD767F" w:rsidRPr="00BD767F" w:rsidRDefault="00233B14" w:rsidP="00A67FCC">
      <w:pPr>
        <w:rPr>
          <w:rFonts w:ascii="Calibri" w:hAnsi="Calibri" w:cs="Calibri"/>
          <w:b/>
        </w:rPr>
      </w:pPr>
      <w:r>
        <w:rPr>
          <w:rFonts w:ascii="Calibri" w:hAnsi="Calibri" w:cs="Calibri"/>
          <w:b/>
        </w:rPr>
        <w:t>NWEC Comments</w:t>
      </w:r>
    </w:p>
    <w:p w14:paraId="567D07EA" w14:textId="77777777" w:rsidR="00172EED" w:rsidRDefault="00233B14" w:rsidP="00233B14">
      <w:pPr>
        <w:rPr>
          <w:rFonts w:ascii="Calibri" w:hAnsi="Calibri" w:cs="Calibri"/>
        </w:rPr>
      </w:pPr>
      <w:r>
        <w:rPr>
          <w:rFonts w:ascii="Calibri" w:hAnsi="Calibri" w:cs="Calibri"/>
        </w:rPr>
        <w:t xml:space="preserve">Avista petitions to make the </w:t>
      </w:r>
      <w:r w:rsidR="00F826E0">
        <w:rPr>
          <w:rFonts w:ascii="Calibri" w:hAnsi="Calibri" w:cs="Calibri"/>
        </w:rPr>
        <w:t>PNPV</w:t>
      </w:r>
      <w:r>
        <w:rPr>
          <w:rFonts w:ascii="Calibri" w:hAnsi="Calibri" w:cs="Calibri"/>
        </w:rPr>
        <w:t xml:space="preserve"> </w:t>
      </w:r>
      <w:r w:rsidR="00F826E0">
        <w:rPr>
          <w:rFonts w:ascii="Calibri" w:hAnsi="Calibri" w:cs="Calibri"/>
        </w:rPr>
        <w:t>methodology permanent and to extend the equipment rebate</w:t>
      </w:r>
      <w:r w:rsidR="00337C4D">
        <w:rPr>
          <w:rFonts w:ascii="Calibri" w:hAnsi="Calibri" w:cs="Calibri"/>
        </w:rPr>
        <w:t xml:space="preserve"> pilot</w:t>
      </w:r>
      <w:r w:rsidR="00F826E0">
        <w:rPr>
          <w:rFonts w:ascii="Calibri" w:hAnsi="Calibri" w:cs="Calibri"/>
        </w:rPr>
        <w:t xml:space="preserve"> for another three years. Avista</w:t>
      </w:r>
      <w:r>
        <w:rPr>
          <w:rFonts w:ascii="Calibri" w:hAnsi="Calibri" w:cs="Calibri"/>
        </w:rPr>
        <w:t xml:space="preserve"> cit</w:t>
      </w:r>
      <w:r w:rsidR="00F826E0">
        <w:rPr>
          <w:rFonts w:ascii="Calibri" w:hAnsi="Calibri" w:cs="Calibri"/>
        </w:rPr>
        <w:t>es that</w:t>
      </w:r>
      <w:r>
        <w:rPr>
          <w:rFonts w:ascii="Calibri" w:hAnsi="Calibri" w:cs="Calibri"/>
        </w:rPr>
        <w:t xml:space="preserve"> the benefits of </w:t>
      </w:r>
      <w:r w:rsidR="00F826E0">
        <w:rPr>
          <w:rFonts w:ascii="Calibri" w:hAnsi="Calibri" w:cs="Calibri"/>
        </w:rPr>
        <w:t xml:space="preserve">this program are better </w:t>
      </w:r>
      <w:r w:rsidR="00F826E0">
        <w:rPr>
          <w:rFonts w:ascii="Calibri" w:hAnsi="Calibri" w:cs="Calibri"/>
        </w:rPr>
        <w:lastRenderedPageBreak/>
        <w:t xml:space="preserve">pricing for customers and decreased </w:t>
      </w:r>
      <w:r w:rsidR="00D57CEE">
        <w:rPr>
          <w:rFonts w:ascii="Calibri" w:hAnsi="Calibri" w:cs="Calibri"/>
        </w:rPr>
        <w:t xml:space="preserve">greenhouse gas </w:t>
      </w:r>
      <w:r w:rsidR="00F826E0">
        <w:rPr>
          <w:rFonts w:ascii="Calibri" w:hAnsi="Calibri" w:cs="Calibri"/>
        </w:rPr>
        <w:t xml:space="preserve">emissions, </w:t>
      </w:r>
      <w:r w:rsidR="0016623D">
        <w:rPr>
          <w:rFonts w:ascii="Calibri" w:hAnsi="Calibri" w:cs="Calibri"/>
        </w:rPr>
        <w:t xml:space="preserve">using a </w:t>
      </w:r>
      <w:r w:rsidR="001D7A5E">
        <w:rPr>
          <w:rFonts w:ascii="Calibri" w:hAnsi="Calibri" w:cs="Calibri"/>
        </w:rPr>
        <w:t>compar</w:t>
      </w:r>
      <w:r w:rsidR="0016623D">
        <w:rPr>
          <w:rFonts w:ascii="Calibri" w:hAnsi="Calibri" w:cs="Calibri"/>
        </w:rPr>
        <w:t>ison</w:t>
      </w:r>
      <w:r w:rsidR="001D7A5E">
        <w:rPr>
          <w:rFonts w:ascii="Calibri" w:hAnsi="Calibri" w:cs="Calibri"/>
        </w:rPr>
        <w:t xml:space="preserve"> to Avista’s </w:t>
      </w:r>
      <w:r w:rsidR="00D57CEE">
        <w:rPr>
          <w:rFonts w:ascii="Calibri" w:hAnsi="Calibri" w:cs="Calibri"/>
        </w:rPr>
        <w:t>2015</w:t>
      </w:r>
      <w:r w:rsidR="001D7A5E">
        <w:rPr>
          <w:rFonts w:ascii="Calibri" w:hAnsi="Calibri" w:cs="Calibri"/>
        </w:rPr>
        <w:t xml:space="preserve"> electricity generation mix</w:t>
      </w:r>
      <w:r w:rsidR="00D57CEE">
        <w:rPr>
          <w:rFonts w:ascii="Calibri" w:hAnsi="Calibri" w:cs="Calibri"/>
        </w:rPr>
        <w:t xml:space="preserve"> to direct use of natural gas</w:t>
      </w:r>
      <w:r w:rsidR="001D7A5E">
        <w:rPr>
          <w:rFonts w:ascii="Calibri" w:hAnsi="Calibri" w:cs="Calibri"/>
        </w:rPr>
        <w:t>.</w:t>
      </w:r>
      <w:r w:rsidR="00D3281F">
        <w:rPr>
          <w:rFonts w:ascii="Calibri" w:hAnsi="Calibri" w:cs="Calibri"/>
        </w:rPr>
        <w:t xml:space="preserve"> </w:t>
      </w:r>
    </w:p>
    <w:p w14:paraId="0AF9C83B" w14:textId="77777777" w:rsidR="00172EED" w:rsidRDefault="00172EED" w:rsidP="00233B14">
      <w:pPr>
        <w:rPr>
          <w:rFonts w:ascii="Calibri" w:hAnsi="Calibri" w:cs="Calibri"/>
        </w:rPr>
      </w:pPr>
    </w:p>
    <w:p w14:paraId="73D340A6" w14:textId="15A58C08" w:rsidR="00D3281F" w:rsidRDefault="00983FE9" w:rsidP="00233B14">
      <w:pPr>
        <w:rPr>
          <w:rFonts w:ascii="Calibri" w:hAnsi="Calibri" w:cs="Calibri"/>
        </w:rPr>
      </w:pPr>
      <w:r>
        <w:rPr>
          <w:rFonts w:ascii="Calibri" w:hAnsi="Calibri" w:cs="Calibri"/>
        </w:rPr>
        <w:t xml:space="preserve">Though the Coalition </w:t>
      </w:r>
      <w:r w:rsidR="00D3281F">
        <w:rPr>
          <w:rFonts w:ascii="Calibri" w:hAnsi="Calibri" w:cs="Calibri"/>
        </w:rPr>
        <w:t>appreciate</w:t>
      </w:r>
      <w:r>
        <w:rPr>
          <w:rFonts w:ascii="Calibri" w:hAnsi="Calibri" w:cs="Calibri"/>
        </w:rPr>
        <w:t>s</w:t>
      </w:r>
      <w:r w:rsidR="00D3281F">
        <w:rPr>
          <w:rFonts w:ascii="Calibri" w:hAnsi="Calibri" w:cs="Calibri"/>
        </w:rPr>
        <w:t xml:space="preserve"> the thorough report Avista has prepared advocating for extension of the pilot</w:t>
      </w:r>
      <w:r>
        <w:rPr>
          <w:rFonts w:ascii="Calibri" w:hAnsi="Calibri" w:cs="Calibri"/>
        </w:rPr>
        <w:t xml:space="preserve">, we </w:t>
      </w:r>
      <w:r w:rsidR="00D3281F">
        <w:rPr>
          <w:rFonts w:ascii="Calibri" w:hAnsi="Calibri" w:cs="Calibri"/>
        </w:rPr>
        <w:t>dispute that</w:t>
      </w:r>
      <w:r w:rsidR="000D18D8">
        <w:rPr>
          <w:rFonts w:ascii="Calibri" w:hAnsi="Calibri" w:cs="Calibri"/>
        </w:rPr>
        <w:t xml:space="preserve"> </w:t>
      </w:r>
      <w:r w:rsidR="00697CF9">
        <w:rPr>
          <w:rFonts w:ascii="Calibri" w:hAnsi="Calibri" w:cs="Calibri"/>
        </w:rPr>
        <w:t>providing a subsidy</w:t>
      </w:r>
      <w:r w:rsidR="008B1E5B">
        <w:rPr>
          <w:rFonts w:ascii="Calibri" w:hAnsi="Calibri" w:cs="Calibri"/>
        </w:rPr>
        <w:t>, which</w:t>
      </w:r>
      <w:r w:rsidR="007F67D6">
        <w:rPr>
          <w:rFonts w:ascii="Calibri" w:hAnsi="Calibri" w:cs="Calibri"/>
        </w:rPr>
        <w:t xml:space="preserve"> is not based on the cost</w:t>
      </w:r>
      <w:r w:rsidR="008B1E5B">
        <w:rPr>
          <w:rFonts w:ascii="Calibri" w:hAnsi="Calibri" w:cs="Calibri"/>
        </w:rPr>
        <w:t>-</w:t>
      </w:r>
      <w:r w:rsidR="007F67D6">
        <w:rPr>
          <w:rFonts w:ascii="Calibri" w:hAnsi="Calibri" w:cs="Calibri"/>
        </w:rPr>
        <w:t xml:space="preserve">effectiveness to the overall system, </w:t>
      </w:r>
      <w:r w:rsidR="00697CF9">
        <w:rPr>
          <w:rFonts w:ascii="Calibri" w:hAnsi="Calibri" w:cs="Calibri"/>
        </w:rPr>
        <w:t>to a customer for the purchase of personally-owned natural gas equipment</w:t>
      </w:r>
      <w:r w:rsidR="008B1E5B">
        <w:rPr>
          <w:rFonts w:ascii="Calibri" w:hAnsi="Calibri" w:cs="Calibri"/>
        </w:rPr>
        <w:t>,</w:t>
      </w:r>
      <w:r w:rsidR="009A141F">
        <w:rPr>
          <w:rFonts w:ascii="Calibri" w:hAnsi="Calibri" w:cs="Calibri"/>
        </w:rPr>
        <w:t xml:space="preserve"> is </w:t>
      </w:r>
      <w:r w:rsidR="007F67D6">
        <w:rPr>
          <w:rFonts w:ascii="Calibri" w:hAnsi="Calibri" w:cs="Calibri"/>
        </w:rPr>
        <w:t>a suitable</w:t>
      </w:r>
      <w:r w:rsidR="009A141F">
        <w:rPr>
          <w:rFonts w:ascii="Calibri" w:hAnsi="Calibri" w:cs="Calibri"/>
        </w:rPr>
        <w:t xml:space="preserve"> use of ratepayer dollars</w:t>
      </w:r>
      <w:r w:rsidR="00D57CEE">
        <w:rPr>
          <w:rFonts w:ascii="Calibri" w:hAnsi="Calibri" w:cs="Calibri"/>
        </w:rPr>
        <w:t>, or that it is fulfilling an environmental policy objective.</w:t>
      </w:r>
    </w:p>
    <w:p w14:paraId="59F976AF" w14:textId="1D945C29" w:rsidR="008B1E5B" w:rsidRDefault="008B1E5B" w:rsidP="00233B14">
      <w:pPr>
        <w:rPr>
          <w:rFonts w:ascii="Calibri" w:hAnsi="Calibri" w:cs="Calibri"/>
        </w:rPr>
      </w:pPr>
    </w:p>
    <w:p w14:paraId="17F1F72F" w14:textId="1A435391" w:rsidR="007F67D6" w:rsidRDefault="009A141F" w:rsidP="00233B14">
      <w:pPr>
        <w:rPr>
          <w:rFonts w:ascii="Calibri" w:hAnsi="Calibri" w:cs="Calibri"/>
        </w:rPr>
      </w:pPr>
      <w:r>
        <w:rPr>
          <w:rFonts w:ascii="Calibri" w:hAnsi="Calibri" w:cs="Calibri"/>
        </w:rPr>
        <w:t>Wh</w:t>
      </w:r>
      <w:r w:rsidR="00697CF9">
        <w:rPr>
          <w:rFonts w:ascii="Calibri" w:hAnsi="Calibri" w:cs="Calibri"/>
        </w:rPr>
        <w:t>ile we understand that the upfront costs of new natural gas equipment can be significant for a household, so can the upfront costs of electric equipment and home improvements</w:t>
      </w:r>
      <w:r w:rsidR="00172EED">
        <w:rPr>
          <w:rFonts w:ascii="Calibri" w:hAnsi="Calibri" w:cs="Calibri"/>
        </w:rPr>
        <w:t xml:space="preserve"> that would improve efficiency</w:t>
      </w:r>
      <w:r w:rsidR="00697CF9">
        <w:rPr>
          <w:rFonts w:ascii="Calibri" w:hAnsi="Calibri" w:cs="Calibri"/>
        </w:rPr>
        <w:t>, such as heat pumps, window replacements,</w:t>
      </w:r>
      <w:r w:rsidR="00172EED">
        <w:rPr>
          <w:rFonts w:ascii="Calibri" w:hAnsi="Calibri" w:cs="Calibri"/>
        </w:rPr>
        <w:t xml:space="preserve"> </w:t>
      </w:r>
      <w:r w:rsidR="00697CF9">
        <w:rPr>
          <w:rFonts w:ascii="Calibri" w:hAnsi="Calibri" w:cs="Calibri"/>
        </w:rPr>
        <w:t xml:space="preserve">and heat pump water heaters, and Avista does not contribute as significantly to these </w:t>
      </w:r>
      <w:r w:rsidR="00925651">
        <w:rPr>
          <w:rFonts w:ascii="Calibri" w:hAnsi="Calibri" w:cs="Calibri"/>
        </w:rPr>
        <w:t xml:space="preserve">upfront </w:t>
      </w:r>
      <w:r w:rsidR="00697CF9">
        <w:rPr>
          <w:rFonts w:ascii="Calibri" w:hAnsi="Calibri" w:cs="Calibri"/>
        </w:rPr>
        <w:t xml:space="preserve">costs as they do in the case of a customer switching to natural gas home or water heating. </w:t>
      </w:r>
    </w:p>
    <w:p w14:paraId="18EC06FE" w14:textId="77777777" w:rsidR="007F67D6" w:rsidRDefault="007F67D6" w:rsidP="00233B14">
      <w:pPr>
        <w:rPr>
          <w:rFonts w:ascii="Calibri" w:hAnsi="Calibri" w:cs="Calibri"/>
        </w:rPr>
      </w:pPr>
    </w:p>
    <w:p w14:paraId="5C3B769D" w14:textId="23039A2E" w:rsidR="001D7A5E" w:rsidRDefault="00697CF9" w:rsidP="00233B14">
      <w:pPr>
        <w:rPr>
          <w:rFonts w:ascii="Calibri" w:hAnsi="Calibri" w:cs="Calibri"/>
        </w:rPr>
      </w:pPr>
      <w:r>
        <w:rPr>
          <w:rFonts w:ascii="Calibri" w:hAnsi="Calibri" w:cs="Calibri"/>
        </w:rPr>
        <w:t xml:space="preserve">The Coalition has </w:t>
      </w:r>
      <w:r w:rsidR="00983FE9">
        <w:rPr>
          <w:rFonts w:ascii="Calibri" w:hAnsi="Calibri" w:cs="Calibri"/>
        </w:rPr>
        <w:t xml:space="preserve">in the past </w:t>
      </w:r>
      <w:r>
        <w:rPr>
          <w:rFonts w:ascii="Calibri" w:hAnsi="Calibri" w:cs="Calibri"/>
        </w:rPr>
        <w:t xml:space="preserve">advocated for Avista to implement a financing program, such as an on-bill repayment program, that can help </w:t>
      </w:r>
      <w:r w:rsidR="00925651">
        <w:rPr>
          <w:rFonts w:ascii="Calibri" w:hAnsi="Calibri" w:cs="Calibri"/>
        </w:rPr>
        <w:t xml:space="preserve">many </w:t>
      </w:r>
      <w:r>
        <w:rPr>
          <w:rFonts w:ascii="Calibri" w:hAnsi="Calibri" w:cs="Calibri"/>
        </w:rPr>
        <w:t xml:space="preserve">customers overcome these upfront costs. This kind of mechanism, combined with Avista’s existing incentives for </w:t>
      </w:r>
      <w:r w:rsidR="007F67D6">
        <w:rPr>
          <w:rFonts w:ascii="Calibri" w:hAnsi="Calibri" w:cs="Calibri"/>
        </w:rPr>
        <w:t>electric or natural gas conservation</w:t>
      </w:r>
      <w:r>
        <w:rPr>
          <w:rFonts w:ascii="Calibri" w:hAnsi="Calibri" w:cs="Calibri"/>
        </w:rPr>
        <w:t xml:space="preserve"> is a more reasonable path for helping customers overcome upfront investments</w:t>
      </w:r>
      <w:r w:rsidR="00BA1A18">
        <w:rPr>
          <w:rFonts w:ascii="Calibri" w:hAnsi="Calibri" w:cs="Calibri"/>
        </w:rPr>
        <w:t xml:space="preserve">, </w:t>
      </w:r>
      <w:r>
        <w:rPr>
          <w:rFonts w:ascii="Calibri" w:hAnsi="Calibri" w:cs="Calibri"/>
        </w:rPr>
        <w:t>while promoting efficient equipment.</w:t>
      </w:r>
      <w:r w:rsidR="00983FE9">
        <w:rPr>
          <w:rFonts w:ascii="Calibri" w:hAnsi="Calibri" w:cs="Calibri"/>
        </w:rPr>
        <w:t xml:space="preserve"> Implementing an on-bill repayment program was a commitment </w:t>
      </w:r>
      <w:r w:rsidR="0016623D">
        <w:rPr>
          <w:rFonts w:ascii="Calibri" w:hAnsi="Calibri" w:cs="Calibri"/>
        </w:rPr>
        <w:t xml:space="preserve">in the proposed settlement </w:t>
      </w:r>
      <w:r w:rsidR="00983FE9">
        <w:rPr>
          <w:rFonts w:ascii="Calibri" w:hAnsi="Calibri" w:cs="Calibri"/>
        </w:rPr>
        <w:t xml:space="preserve">of the Avista-Hydro One </w:t>
      </w:r>
      <w:r w:rsidR="00925651">
        <w:rPr>
          <w:rFonts w:ascii="Calibri" w:hAnsi="Calibri" w:cs="Calibri"/>
        </w:rPr>
        <w:t>transfer of property docket</w:t>
      </w:r>
      <w:r w:rsidR="00983FE9">
        <w:rPr>
          <w:rFonts w:ascii="Calibri" w:hAnsi="Calibri" w:cs="Calibri"/>
        </w:rPr>
        <w:t xml:space="preserve"> (U-170970)</w:t>
      </w:r>
      <w:r w:rsidR="0016623D">
        <w:rPr>
          <w:rFonts w:ascii="Calibri" w:hAnsi="Calibri" w:cs="Calibri"/>
        </w:rPr>
        <w:t>, which was recently denied by the Commission</w:t>
      </w:r>
      <w:r w:rsidR="00983FE9">
        <w:rPr>
          <w:rFonts w:ascii="Calibri" w:hAnsi="Calibri" w:cs="Calibri"/>
        </w:rPr>
        <w:t>; we hope that Avista will continue to pursue this effort for the benefit of its customers</w:t>
      </w:r>
      <w:r w:rsidR="00925651">
        <w:rPr>
          <w:rFonts w:ascii="Calibri" w:hAnsi="Calibri" w:cs="Calibri"/>
        </w:rPr>
        <w:t>.</w:t>
      </w:r>
      <w:r w:rsidR="0016623D">
        <w:rPr>
          <w:rFonts w:ascii="Calibri" w:hAnsi="Calibri" w:cs="Calibri"/>
        </w:rPr>
        <w:t xml:space="preserve"> </w:t>
      </w:r>
    </w:p>
    <w:p w14:paraId="25B03C8D" w14:textId="750FBCA5" w:rsidR="008B1E5B" w:rsidRDefault="008B1E5B" w:rsidP="00233B14">
      <w:pPr>
        <w:rPr>
          <w:rFonts w:ascii="Calibri" w:hAnsi="Calibri" w:cs="Calibri"/>
        </w:rPr>
      </w:pPr>
    </w:p>
    <w:p w14:paraId="6636AC7A" w14:textId="50E19888" w:rsidR="00D57CEE" w:rsidRDefault="00BA1A18" w:rsidP="00233B14">
      <w:pPr>
        <w:rPr>
          <w:rFonts w:ascii="Calibri" w:hAnsi="Calibri" w:cs="Calibri"/>
        </w:rPr>
      </w:pPr>
      <w:r>
        <w:rPr>
          <w:rFonts w:ascii="Calibri" w:hAnsi="Calibri" w:cs="Calibri"/>
        </w:rPr>
        <w:t xml:space="preserve">Further, </w:t>
      </w:r>
      <w:r w:rsidR="00D57CEE">
        <w:rPr>
          <w:rFonts w:ascii="Calibri" w:hAnsi="Calibri" w:cs="Calibri"/>
        </w:rPr>
        <w:t>Avista asserts</w:t>
      </w:r>
      <w:r w:rsidR="008B1E5B">
        <w:rPr>
          <w:rFonts w:ascii="Calibri" w:hAnsi="Calibri" w:cs="Calibri"/>
        </w:rPr>
        <w:t xml:space="preserve"> that converting from electric resistance heating </w:t>
      </w:r>
      <w:r w:rsidR="00D57CEE">
        <w:rPr>
          <w:rFonts w:ascii="Calibri" w:hAnsi="Calibri" w:cs="Calibri"/>
        </w:rPr>
        <w:t xml:space="preserve">and water heating </w:t>
      </w:r>
      <w:r w:rsidR="008B1E5B">
        <w:rPr>
          <w:rFonts w:ascii="Calibri" w:hAnsi="Calibri" w:cs="Calibri"/>
        </w:rPr>
        <w:t xml:space="preserve">to a natural gas furnace </w:t>
      </w:r>
      <w:r w:rsidR="00C53018">
        <w:rPr>
          <w:rFonts w:ascii="Calibri" w:hAnsi="Calibri" w:cs="Calibri"/>
        </w:rPr>
        <w:t xml:space="preserve">is </w:t>
      </w:r>
      <w:r w:rsidR="00D57CEE">
        <w:rPr>
          <w:rFonts w:ascii="Calibri" w:hAnsi="Calibri" w:cs="Calibri"/>
        </w:rPr>
        <w:t>better from a greenhouse gas emissions standpoint</w:t>
      </w:r>
      <w:r w:rsidR="00282D5B">
        <w:rPr>
          <w:rFonts w:ascii="Calibri" w:hAnsi="Calibri" w:cs="Calibri"/>
        </w:rPr>
        <w:t>, when comparing against Avista’s 2015 electricity fuel mix</w:t>
      </w:r>
      <w:r w:rsidR="00D57CEE">
        <w:rPr>
          <w:rFonts w:ascii="Calibri" w:hAnsi="Calibri" w:cs="Calibri"/>
        </w:rPr>
        <w:t xml:space="preserve">: </w:t>
      </w:r>
    </w:p>
    <w:p w14:paraId="29409936" w14:textId="1D6DFEB4" w:rsidR="00D57CEE" w:rsidRPr="00D57CEE" w:rsidRDefault="00D57CEE" w:rsidP="00D57CEE">
      <w:pPr>
        <w:ind w:left="720"/>
        <w:rPr>
          <w:rFonts w:ascii="Calibri" w:hAnsi="Calibri" w:cs="Calibri"/>
        </w:rPr>
      </w:pPr>
      <w:r>
        <w:rPr>
          <w:rFonts w:ascii="Calibri" w:hAnsi="Calibri" w:cs="Calibri"/>
        </w:rPr>
        <w:t>“</w:t>
      </w:r>
      <w:r w:rsidRPr="00D57CEE">
        <w:rPr>
          <w:rFonts w:ascii="Calibri" w:hAnsi="Calibri" w:cs="Calibri"/>
          <w:i/>
        </w:rPr>
        <w:t>In addition to the kWh savings from customers converting from electric space and/or water heating to natural gas space and/or water heating, there is an associated environmental benefit. For each home that converts from electric to natural gas there is an annual reduction of up to 37% of CO</w:t>
      </w:r>
      <w:r w:rsidRPr="00D57CEE">
        <w:rPr>
          <w:rFonts w:ascii="Calibri" w:hAnsi="Calibri" w:cs="Calibri"/>
          <w:i/>
          <w:vertAlign w:val="subscript"/>
        </w:rPr>
        <w:t>2</w:t>
      </w:r>
      <w:r w:rsidRPr="00D57CEE">
        <w:rPr>
          <w:rFonts w:ascii="Calibri" w:hAnsi="Calibri" w:cs="Calibri"/>
        </w:rPr>
        <w:t>.”</w:t>
      </w:r>
      <w:r>
        <w:rPr>
          <w:rStyle w:val="FootnoteReference"/>
          <w:rFonts w:ascii="Calibri" w:hAnsi="Calibri" w:cs="Calibri"/>
        </w:rPr>
        <w:footnoteReference w:id="4"/>
      </w:r>
    </w:p>
    <w:p w14:paraId="712724AC" w14:textId="77777777" w:rsidR="00D57CEE" w:rsidRDefault="00D57CEE" w:rsidP="00233B14">
      <w:pPr>
        <w:rPr>
          <w:rFonts w:ascii="Calibri" w:hAnsi="Calibri" w:cs="Calibri"/>
        </w:rPr>
      </w:pPr>
    </w:p>
    <w:p w14:paraId="584E44EC" w14:textId="77777777" w:rsidR="00D57CEE" w:rsidRDefault="00D57CEE" w:rsidP="00233B14">
      <w:pPr>
        <w:rPr>
          <w:rFonts w:ascii="Calibri" w:hAnsi="Calibri" w:cs="Calibri"/>
        </w:rPr>
      </w:pPr>
      <w:r>
        <w:rPr>
          <w:rFonts w:ascii="Calibri" w:hAnsi="Calibri" w:cs="Calibri"/>
        </w:rPr>
        <w:t>To that assertion, the Coalition notes the following:</w:t>
      </w:r>
    </w:p>
    <w:p w14:paraId="60A7FF4E" w14:textId="63327A4A" w:rsidR="00C71E28" w:rsidRDefault="00282D5B" w:rsidP="00282D5B">
      <w:pPr>
        <w:pStyle w:val="ListParagraph"/>
        <w:numPr>
          <w:ilvl w:val="0"/>
          <w:numId w:val="7"/>
        </w:numPr>
        <w:rPr>
          <w:rFonts w:ascii="Calibri" w:hAnsi="Calibri" w:cs="Calibri"/>
        </w:rPr>
      </w:pPr>
      <w:r>
        <w:rPr>
          <w:rFonts w:ascii="Calibri" w:hAnsi="Calibri" w:cs="Calibri"/>
        </w:rPr>
        <w:t xml:space="preserve">As renewables continue to drop in price, as coal retires from the system, and as </w:t>
      </w:r>
      <w:r w:rsidR="002016A9">
        <w:rPr>
          <w:rFonts w:ascii="Calibri" w:hAnsi="Calibri" w:cs="Calibri"/>
        </w:rPr>
        <w:t>more market options become available for hydroelectricity resources in the region—and as public sentiment and policy move</w:t>
      </w:r>
      <w:r w:rsidR="00BA1A18">
        <w:rPr>
          <w:rFonts w:ascii="Calibri" w:hAnsi="Calibri" w:cs="Calibri"/>
        </w:rPr>
        <w:t xml:space="preserve"> toward cleaner fuels</w:t>
      </w:r>
      <w:r w:rsidR="002016A9">
        <w:rPr>
          <w:rFonts w:ascii="Calibri" w:hAnsi="Calibri" w:cs="Calibri"/>
        </w:rPr>
        <w:t xml:space="preserve">—we expect that Avista’s electricity fuel mix will become cleaner. </w:t>
      </w:r>
    </w:p>
    <w:p w14:paraId="218D5B24" w14:textId="4CDC62F1" w:rsidR="00282D5B" w:rsidRDefault="002016A9" w:rsidP="00C71E28">
      <w:pPr>
        <w:pStyle w:val="ListParagraph"/>
        <w:numPr>
          <w:ilvl w:val="1"/>
          <w:numId w:val="7"/>
        </w:numPr>
        <w:rPr>
          <w:rFonts w:ascii="Calibri" w:hAnsi="Calibri" w:cs="Calibri"/>
        </w:rPr>
      </w:pPr>
      <w:r>
        <w:rPr>
          <w:rFonts w:ascii="Calibri" w:hAnsi="Calibri" w:cs="Calibri"/>
        </w:rPr>
        <w:t>Indeed, comparing Avista’s 2015 electricity fuel mix</w:t>
      </w:r>
      <w:r w:rsidR="00B37642">
        <w:rPr>
          <w:rFonts w:ascii="Calibri" w:hAnsi="Calibri" w:cs="Calibri"/>
        </w:rPr>
        <w:t xml:space="preserve"> (used for the analysis in </w:t>
      </w:r>
      <w:r w:rsidR="00D01F6C">
        <w:rPr>
          <w:rFonts w:ascii="Calibri" w:hAnsi="Calibri" w:cs="Calibri"/>
        </w:rPr>
        <w:t>Avista’s petition</w:t>
      </w:r>
      <w:r w:rsidR="00B37642">
        <w:rPr>
          <w:rFonts w:ascii="Calibri" w:hAnsi="Calibri" w:cs="Calibri"/>
        </w:rPr>
        <w:t>)</w:t>
      </w:r>
      <w:r>
        <w:rPr>
          <w:rFonts w:ascii="Calibri" w:hAnsi="Calibri" w:cs="Calibri"/>
        </w:rPr>
        <w:t xml:space="preserve"> to its 2017 fuel mix, we see significant changes—in 2015, coal and natural gas made up 19.29% and 38.44%</w:t>
      </w:r>
      <w:r w:rsidR="00B37642">
        <w:rPr>
          <w:rFonts w:ascii="Calibri" w:hAnsi="Calibri" w:cs="Calibri"/>
        </w:rPr>
        <w:t>,</w:t>
      </w:r>
      <w:r>
        <w:rPr>
          <w:rFonts w:ascii="Calibri" w:hAnsi="Calibri" w:cs="Calibri"/>
        </w:rPr>
        <w:t xml:space="preserve"> respectively</w:t>
      </w:r>
      <w:r w:rsidR="00B37642">
        <w:rPr>
          <w:rFonts w:ascii="Calibri" w:hAnsi="Calibri" w:cs="Calibri"/>
        </w:rPr>
        <w:t>,</w:t>
      </w:r>
      <w:r>
        <w:rPr>
          <w:rFonts w:ascii="Calibri" w:hAnsi="Calibri" w:cs="Calibri"/>
        </w:rPr>
        <w:t xml:space="preserve"> of Avista’s electric </w:t>
      </w:r>
      <w:r>
        <w:rPr>
          <w:rFonts w:ascii="Calibri" w:hAnsi="Calibri" w:cs="Calibri"/>
        </w:rPr>
        <w:lastRenderedPageBreak/>
        <w:t>fuel mix, while in 2017, these generations were 14.31% and 31.09%, respectively.</w:t>
      </w:r>
      <w:r>
        <w:rPr>
          <w:rStyle w:val="FootnoteReference"/>
          <w:rFonts w:ascii="Calibri" w:hAnsi="Calibri" w:cs="Calibri"/>
        </w:rPr>
        <w:footnoteReference w:id="5"/>
      </w:r>
      <w:r>
        <w:rPr>
          <w:rFonts w:ascii="Calibri" w:hAnsi="Calibri" w:cs="Calibri"/>
        </w:rPr>
        <w:t xml:space="preserve"> </w:t>
      </w:r>
    </w:p>
    <w:p w14:paraId="0E77CE9D" w14:textId="7037A3A1" w:rsidR="00282D5B" w:rsidRDefault="00D57CEE" w:rsidP="00282D5B">
      <w:pPr>
        <w:pStyle w:val="ListParagraph"/>
        <w:numPr>
          <w:ilvl w:val="0"/>
          <w:numId w:val="7"/>
        </w:numPr>
        <w:rPr>
          <w:rFonts w:ascii="Calibri" w:hAnsi="Calibri" w:cs="Calibri"/>
        </w:rPr>
      </w:pPr>
      <w:r w:rsidRPr="00282D5B">
        <w:rPr>
          <w:rFonts w:ascii="Calibri" w:hAnsi="Calibri" w:cs="Calibri"/>
        </w:rPr>
        <w:t xml:space="preserve">The Company did not compare </w:t>
      </w:r>
      <w:r w:rsidR="00ED3412" w:rsidRPr="00282D5B">
        <w:rPr>
          <w:rFonts w:ascii="Calibri" w:hAnsi="Calibri" w:cs="Calibri"/>
        </w:rPr>
        <w:t xml:space="preserve">the emissions effects of </w:t>
      </w:r>
      <w:r w:rsidRPr="00282D5B">
        <w:rPr>
          <w:rFonts w:ascii="Calibri" w:hAnsi="Calibri" w:cs="Calibri"/>
        </w:rPr>
        <w:t xml:space="preserve">converting from an electric resistance heating system to </w:t>
      </w:r>
      <w:r w:rsidR="00ED3412" w:rsidRPr="00282D5B">
        <w:rPr>
          <w:rFonts w:ascii="Calibri" w:hAnsi="Calibri" w:cs="Calibri"/>
        </w:rPr>
        <w:t>an air source or ductless electric heat pump</w:t>
      </w:r>
      <w:r w:rsidR="00282D5B" w:rsidRPr="00282D5B">
        <w:rPr>
          <w:rFonts w:ascii="Calibri" w:hAnsi="Calibri" w:cs="Calibri"/>
        </w:rPr>
        <w:t xml:space="preserve">, or from an electric resistance water heater to a heat pump water heater. </w:t>
      </w:r>
      <w:r w:rsidR="00282D5B">
        <w:rPr>
          <w:rFonts w:ascii="Calibri" w:hAnsi="Calibri" w:cs="Calibri"/>
        </w:rPr>
        <w:t>We would, of course, expect to see reductions in electricity use, and thus emissions, with these measures.</w:t>
      </w:r>
    </w:p>
    <w:p w14:paraId="7ECC2DCC" w14:textId="79A57F4E" w:rsidR="00282D5B" w:rsidRPr="00B37642" w:rsidRDefault="00282D5B" w:rsidP="00772DD2">
      <w:pPr>
        <w:pStyle w:val="ListParagraph"/>
        <w:numPr>
          <w:ilvl w:val="1"/>
          <w:numId w:val="7"/>
        </w:numPr>
        <w:rPr>
          <w:rFonts w:ascii="Calibri" w:hAnsi="Calibri" w:cs="Calibri"/>
        </w:rPr>
      </w:pPr>
      <w:r w:rsidRPr="00B37642">
        <w:rPr>
          <w:rFonts w:ascii="Calibri" w:hAnsi="Calibri" w:cs="Calibri"/>
        </w:rPr>
        <w:t>For example, for conversion from a forced air electric furnace to a ductless heat pump in heating zone 2 (covering many of Avista’s customers in Washington)</w:t>
      </w:r>
      <w:r w:rsidR="00C53018">
        <w:rPr>
          <w:rFonts w:ascii="Calibri" w:hAnsi="Calibri" w:cs="Calibri"/>
        </w:rPr>
        <w:t>,</w:t>
      </w:r>
      <w:r w:rsidRPr="00B37642">
        <w:rPr>
          <w:rFonts w:ascii="Calibri" w:hAnsi="Calibri" w:cs="Calibri"/>
        </w:rPr>
        <w:t xml:space="preserve"> the Regional Technical Forum (RTF) estimates the measure saving 2,570 kWh annually</w:t>
      </w:r>
      <w:r w:rsidR="00B37642">
        <w:rPr>
          <w:rFonts w:ascii="Calibri" w:hAnsi="Calibri" w:cs="Calibri"/>
        </w:rPr>
        <w:t>.</w:t>
      </w:r>
      <w:r w:rsidR="00BA1A18">
        <w:rPr>
          <w:rStyle w:val="FootnoteReference"/>
          <w:rFonts w:ascii="Calibri" w:hAnsi="Calibri" w:cs="Calibri"/>
        </w:rPr>
        <w:footnoteReference w:id="6"/>
      </w:r>
      <w:r w:rsidR="00B37642">
        <w:rPr>
          <w:rFonts w:ascii="Calibri" w:hAnsi="Calibri" w:cs="Calibri"/>
        </w:rPr>
        <w:t xml:space="preserve"> Using the company’s 2015 electricity fuel mix, the average customer is much closer in the greenhouse gas emissions comparison to a natural gas furnace—and using the 2017 fuel mix or a more forward-looking fuel mix, we can expect an even more favorable position for efficient electric options</w:t>
      </w:r>
      <w:r w:rsidR="00172EED">
        <w:rPr>
          <w:rFonts w:ascii="Calibri" w:hAnsi="Calibri" w:cs="Calibri"/>
        </w:rPr>
        <w:t xml:space="preserve"> compared the natural gas.</w:t>
      </w:r>
    </w:p>
    <w:p w14:paraId="69A03CBD" w14:textId="1829E081" w:rsidR="00282D5B" w:rsidRDefault="00B37642" w:rsidP="00282D5B">
      <w:pPr>
        <w:pStyle w:val="ListParagraph"/>
        <w:numPr>
          <w:ilvl w:val="1"/>
          <w:numId w:val="7"/>
        </w:numPr>
        <w:rPr>
          <w:rFonts w:ascii="Calibri" w:hAnsi="Calibri" w:cs="Calibri"/>
        </w:rPr>
      </w:pPr>
      <w:r>
        <w:rPr>
          <w:rFonts w:ascii="Calibri" w:hAnsi="Calibri" w:cs="Calibri"/>
        </w:rPr>
        <w:t>In various venues, Avista has asserted that heat pumps do not work well for their climate zone</w:t>
      </w:r>
      <w:r w:rsidR="00C71E28">
        <w:rPr>
          <w:rFonts w:ascii="Calibri" w:hAnsi="Calibri" w:cs="Calibri"/>
        </w:rPr>
        <w:t xml:space="preserve">, as the traditional heat pump turns to an electric resistance heating back-up around 30’F. </w:t>
      </w:r>
      <w:r>
        <w:rPr>
          <w:rFonts w:ascii="Calibri" w:hAnsi="Calibri" w:cs="Calibri"/>
        </w:rPr>
        <w:t xml:space="preserve">However, </w:t>
      </w:r>
      <w:r w:rsidR="00C71E28">
        <w:rPr>
          <w:rFonts w:ascii="Calibri" w:hAnsi="Calibri" w:cs="Calibri"/>
        </w:rPr>
        <w:t xml:space="preserve">there are cold-climate heat pumps available on the market, that can work </w:t>
      </w:r>
      <w:r w:rsidR="00172EED">
        <w:rPr>
          <w:rFonts w:ascii="Calibri" w:hAnsi="Calibri" w:cs="Calibri"/>
        </w:rPr>
        <w:t>well until</w:t>
      </w:r>
      <w:r w:rsidR="00C71E28">
        <w:rPr>
          <w:rFonts w:ascii="Calibri" w:hAnsi="Calibri" w:cs="Calibri"/>
        </w:rPr>
        <w:t xml:space="preserve"> 5’F, and the Northeast Energy Efficiency Partnership</w:t>
      </w:r>
      <w:r w:rsidR="00BA1A18">
        <w:rPr>
          <w:rFonts w:ascii="Calibri" w:hAnsi="Calibri" w:cs="Calibri"/>
        </w:rPr>
        <w:t>s</w:t>
      </w:r>
      <w:r w:rsidR="00C71E28">
        <w:rPr>
          <w:rFonts w:ascii="Calibri" w:hAnsi="Calibri" w:cs="Calibri"/>
        </w:rPr>
        <w:t xml:space="preserve"> (NEEP) has developed a specification to identify these heat pumps that work in colder climates.</w:t>
      </w:r>
      <w:r w:rsidR="00BA1A18">
        <w:rPr>
          <w:rStyle w:val="FootnoteReference"/>
          <w:rFonts w:ascii="Calibri" w:hAnsi="Calibri" w:cs="Calibri"/>
        </w:rPr>
        <w:footnoteReference w:id="7"/>
      </w:r>
      <w:r w:rsidR="00C71E28">
        <w:rPr>
          <w:rFonts w:ascii="Calibri" w:hAnsi="Calibri" w:cs="Calibri"/>
        </w:rPr>
        <w:t xml:space="preserve"> In addition, a recent Southwest Energy Efficiency Project (SWEEP) study found that, even in the varied climates and utility fuel mixes of cities in the intermountain west and southwest—the same climate zones as Avista—the use of a ductless heat pump was less emissions-intensive than the use of a combination gas furnace and central air conditioner.</w:t>
      </w:r>
      <w:r w:rsidR="00C71E28">
        <w:rPr>
          <w:rStyle w:val="FootnoteReference"/>
          <w:rFonts w:ascii="Calibri" w:hAnsi="Calibri" w:cs="Calibri"/>
        </w:rPr>
        <w:footnoteReference w:id="8"/>
      </w:r>
      <w:r w:rsidR="00C71E28">
        <w:rPr>
          <w:rFonts w:ascii="Calibri" w:hAnsi="Calibri" w:cs="Calibri"/>
        </w:rPr>
        <w:t xml:space="preserve"> </w:t>
      </w:r>
    </w:p>
    <w:p w14:paraId="4328EBF1" w14:textId="37B4E468" w:rsidR="00C71E28" w:rsidRPr="00282D5B" w:rsidRDefault="00C71E28" w:rsidP="00C71E28">
      <w:pPr>
        <w:pStyle w:val="ListParagraph"/>
        <w:numPr>
          <w:ilvl w:val="0"/>
          <w:numId w:val="7"/>
        </w:numPr>
        <w:rPr>
          <w:rFonts w:ascii="Calibri" w:hAnsi="Calibri" w:cs="Calibri"/>
        </w:rPr>
      </w:pPr>
      <w:r>
        <w:rPr>
          <w:rFonts w:ascii="Calibri" w:hAnsi="Calibri" w:cs="Calibri"/>
        </w:rPr>
        <w:t xml:space="preserve">Finally, Avista’s analysis does not account for the methane leakage rate in our natural gas system </w:t>
      </w:r>
      <w:r w:rsidRPr="006B7811">
        <w:rPr>
          <w:rFonts w:ascii="Calibri" w:hAnsi="Calibri" w:cs="Calibri"/>
        </w:rPr>
        <w:t>that researchers have found is much more significant than previously estimated</w:t>
      </w:r>
      <w:r>
        <w:rPr>
          <w:rFonts w:ascii="Calibri" w:hAnsi="Calibri" w:cs="Calibri"/>
        </w:rPr>
        <w:t>.</w:t>
      </w:r>
      <w:r>
        <w:rPr>
          <w:rStyle w:val="FootnoteReference"/>
          <w:rFonts w:ascii="Calibri" w:hAnsi="Calibri" w:cs="Calibri"/>
        </w:rPr>
        <w:footnoteReference w:id="9"/>
      </w:r>
      <w:r>
        <w:rPr>
          <w:rFonts w:ascii="Calibri" w:hAnsi="Calibri" w:cs="Calibri"/>
        </w:rPr>
        <w:t xml:space="preserve"> </w:t>
      </w:r>
      <w:r w:rsidR="00BA1A18">
        <w:rPr>
          <w:rFonts w:ascii="Calibri" w:hAnsi="Calibri" w:cs="Calibri"/>
        </w:rPr>
        <w:t>Though research into the west’s natural gas distribution network indicates it is less “leaky” than the east,</w:t>
      </w:r>
      <w:r w:rsidR="00BA1A18">
        <w:rPr>
          <w:rStyle w:val="FootnoteReference"/>
          <w:rFonts w:ascii="Calibri" w:hAnsi="Calibri" w:cs="Calibri"/>
        </w:rPr>
        <w:footnoteReference w:id="10"/>
      </w:r>
      <w:r w:rsidR="00BA1A18">
        <w:rPr>
          <w:rFonts w:ascii="Calibri" w:hAnsi="Calibri" w:cs="Calibri"/>
        </w:rPr>
        <w:t xml:space="preserve"> methane is still a potent natural gas, and </w:t>
      </w:r>
      <w:r w:rsidR="00172EED">
        <w:rPr>
          <w:rFonts w:ascii="Calibri" w:hAnsi="Calibri" w:cs="Calibri"/>
        </w:rPr>
        <w:t>when comparing conversion of electric uses to natural gas uses, these emissions must be considered.</w:t>
      </w:r>
    </w:p>
    <w:p w14:paraId="093738F6" w14:textId="2690D836" w:rsidR="00697CF9" w:rsidRDefault="00697CF9" w:rsidP="00233B14">
      <w:pPr>
        <w:rPr>
          <w:rFonts w:ascii="Calibri" w:hAnsi="Calibri" w:cs="Calibri"/>
        </w:rPr>
      </w:pPr>
    </w:p>
    <w:p w14:paraId="10EE48C0" w14:textId="42A9C63D" w:rsidR="006B7811" w:rsidRDefault="00983FE9" w:rsidP="006B7811">
      <w:pPr>
        <w:rPr>
          <w:rFonts w:ascii="Calibri" w:hAnsi="Calibri" w:cs="Calibri"/>
        </w:rPr>
      </w:pPr>
      <w:r>
        <w:rPr>
          <w:rFonts w:ascii="Calibri" w:hAnsi="Calibri" w:cs="Calibri"/>
        </w:rPr>
        <w:t xml:space="preserve">To the </w:t>
      </w:r>
      <w:r w:rsidR="006B7811">
        <w:rPr>
          <w:rFonts w:ascii="Calibri" w:hAnsi="Calibri" w:cs="Calibri"/>
        </w:rPr>
        <w:t xml:space="preserve">broader </w:t>
      </w:r>
      <w:r>
        <w:rPr>
          <w:rFonts w:ascii="Calibri" w:hAnsi="Calibri" w:cs="Calibri"/>
        </w:rPr>
        <w:t xml:space="preserve">question of whether </w:t>
      </w:r>
      <w:r w:rsidR="006B7811">
        <w:rPr>
          <w:rFonts w:ascii="Calibri" w:hAnsi="Calibri" w:cs="Calibri"/>
        </w:rPr>
        <w:t xml:space="preserve">natural gas </w:t>
      </w:r>
      <w:r>
        <w:rPr>
          <w:rFonts w:ascii="Calibri" w:hAnsi="Calibri" w:cs="Calibri"/>
        </w:rPr>
        <w:t xml:space="preserve">utilities and the UTC should </w:t>
      </w:r>
      <w:r w:rsidR="007F67D6">
        <w:rPr>
          <w:rFonts w:ascii="Calibri" w:hAnsi="Calibri" w:cs="Calibri"/>
        </w:rPr>
        <w:t xml:space="preserve">still </w:t>
      </w:r>
      <w:r>
        <w:rPr>
          <w:rFonts w:ascii="Calibri" w:hAnsi="Calibri" w:cs="Calibri"/>
        </w:rPr>
        <w:t xml:space="preserve">be aggressively removing barriers to </w:t>
      </w:r>
      <w:r w:rsidR="00B46C3E">
        <w:rPr>
          <w:rFonts w:ascii="Calibri" w:hAnsi="Calibri" w:cs="Calibri"/>
        </w:rPr>
        <w:t>the expansion</w:t>
      </w:r>
      <w:r>
        <w:rPr>
          <w:rFonts w:ascii="Calibri" w:hAnsi="Calibri" w:cs="Calibri"/>
        </w:rPr>
        <w:t xml:space="preserve"> of natural gas</w:t>
      </w:r>
      <w:r w:rsidR="00B46C3E">
        <w:rPr>
          <w:rFonts w:ascii="Calibri" w:hAnsi="Calibri" w:cs="Calibri"/>
        </w:rPr>
        <w:t xml:space="preserve"> infrastructure</w:t>
      </w:r>
      <w:r>
        <w:rPr>
          <w:rFonts w:ascii="Calibri" w:hAnsi="Calibri" w:cs="Calibri"/>
        </w:rPr>
        <w:t xml:space="preserve"> in Washington State</w:t>
      </w:r>
      <w:r w:rsidR="00172EED">
        <w:rPr>
          <w:rFonts w:ascii="Calibri" w:hAnsi="Calibri" w:cs="Calibri"/>
        </w:rPr>
        <w:t>: g</w:t>
      </w:r>
      <w:r w:rsidR="009D67A9">
        <w:rPr>
          <w:rFonts w:ascii="Calibri" w:hAnsi="Calibri" w:cs="Calibri"/>
        </w:rPr>
        <w:t xml:space="preserve">iven </w:t>
      </w:r>
      <w:r w:rsidR="009D67A9">
        <w:rPr>
          <w:rFonts w:ascii="Calibri" w:hAnsi="Calibri" w:cs="Calibri"/>
        </w:rPr>
        <w:lastRenderedPageBreak/>
        <w:t xml:space="preserve">methane’s potent role as a greenhouse gas, </w:t>
      </w:r>
      <w:r w:rsidR="00FA1185">
        <w:rPr>
          <w:rFonts w:ascii="Calibri" w:hAnsi="Calibri" w:cs="Calibri"/>
        </w:rPr>
        <w:t>Washington’s greenhouse gas emission goals</w:t>
      </w:r>
      <w:r w:rsidR="00FA1185">
        <w:rPr>
          <w:rStyle w:val="FootnoteReference"/>
          <w:rFonts w:ascii="Calibri" w:hAnsi="Calibri" w:cs="Calibri"/>
        </w:rPr>
        <w:footnoteReference w:id="11"/>
      </w:r>
      <w:r w:rsidR="00FA1185">
        <w:rPr>
          <w:rFonts w:ascii="Calibri" w:hAnsi="Calibri" w:cs="Calibri"/>
        </w:rPr>
        <w:t xml:space="preserve">, </w:t>
      </w:r>
      <w:r w:rsidR="00172EED">
        <w:rPr>
          <w:rFonts w:ascii="Calibri" w:hAnsi="Calibri" w:cs="Calibri"/>
        </w:rPr>
        <w:t xml:space="preserve">the changing fuel mix of the electric utilities regulated by the UTC, </w:t>
      </w:r>
      <w:r w:rsidR="00FA1185">
        <w:rPr>
          <w:rFonts w:ascii="Calibri" w:hAnsi="Calibri" w:cs="Calibri"/>
        </w:rPr>
        <w:t>and the significant impacts that climate change is expected to have on Washington and the Northwest</w:t>
      </w:r>
      <w:r w:rsidR="00FA1185">
        <w:rPr>
          <w:rStyle w:val="FootnoteReference"/>
          <w:rFonts w:ascii="Calibri" w:hAnsi="Calibri" w:cs="Calibri"/>
        </w:rPr>
        <w:footnoteReference w:id="12"/>
      </w:r>
      <w:r w:rsidR="00FA1185">
        <w:rPr>
          <w:rFonts w:ascii="Calibri" w:hAnsi="Calibri" w:cs="Calibri"/>
        </w:rPr>
        <w:t xml:space="preserve">, </w:t>
      </w:r>
      <w:r w:rsidR="0092180B">
        <w:rPr>
          <w:rFonts w:ascii="Calibri" w:hAnsi="Calibri" w:cs="Calibri"/>
        </w:rPr>
        <w:t xml:space="preserve">providing significant economic incentives to expand new natural gas distribution infrastructure is counter to state policy and a step in the wrong direction. </w:t>
      </w:r>
      <w:r w:rsidR="00633E97">
        <w:rPr>
          <w:rFonts w:ascii="Calibri" w:hAnsi="Calibri" w:cs="Calibri"/>
        </w:rPr>
        <w:t>Alt</w:t>
      </w:r>
      <w:r w:rsidR="0092180B">
        <w:rPr>
          <w:rFonts w:ascii="Calibri" w:hAnsi="Calibri" w:cs="Calibri"/>
        </w:rPr>
        <w:t>hough renewable natural gas</w:t>
      </w:r>
      <w:r w:rsidR="008C782E">
        <w:rPr>
          <w:rFonts w:ascii="Calibri" w:hAnsi="Calibri" w:cs="Calibri"/>
        </w:rPr>
        <w:t xml:space="preserve"> (RNG)</w:t>
      </w:r>
      <w:r w:rsidR="0092180B">
        <w:rPr>
          <w:rFonts w:ascii="Calibri" w:hAnsi="Calibri" w:cs="Calibri"/>
        </w:rPr>
        <w:t xml:space="preserve"> is a potential product that could be run with a much </w:t>
      </w:r>
      <w:r w:rsidR="00633E97">
        <w:rPr>
          <w:rFonts w:ascii="Calibri" w:hAnsi="Calibri" w:cs="Calibri"/>
        </w:rPr>
        <w:t xml:space="preserve">smaller </w:t>
      </w:r>
      <w:r w:rsidR="0092180B">
        <w:rPr>
          <w:rFonts w:ascii="Calibri" w:hAnsi="Calibri" w:cs="Calibri"/>
        </w:rPr>
        <w:t>carbon impact through the gas lines, it is still in its infancy, and we cannot build out an infrastructure that relies on this outcome.</w:t>
      </w:r>
      <w:r w:rsidR="007F67D6">
        <w:rPr>
          <w:rFonts w:ascii="Calibri" w:hAnsi="Calibri" w:cs="Calibri"/>
        </w:rPr>
        <w:t xml:space="preserve"> Additionally, sources of RNG are likely to be limited, and it is questionable that the supply would even be sufficient to serve our existing direct use of natural gas needs</w:t>
      </w:r>
      <w:r w:rsidR="00633E97">
        <w:rPr>
          <w:rFonts w:ascii="Calibri" w:hAnsi="Calibri" w:cs="Calibri"/>
        </w:rPr>
        <w:t>, let alone further build-out.</w:t>
      </w:r>
    </w:p>
    <w:p w14:paraId="04476658" w14:textId="422DF6D7" w:rsidR="006B7811" w:rsidRDefault="006B7811" w:rsidP="006B7811">
      <w:pPr>
        <w:rPr>
          <w:rFonts w:ascii="Calibri" w:hAnsi="Calibri" w:cs="Calibri"/>
        </w:rPr>
      </w:pPr>
    </w:p>
    <w:p w14:paraId="08C3C3C8" w14:textId="1938FF25" w:rsidR="002A3EC7" w:rsidRDefault="009D67A9" w:rsidP="00233B14">
      <w:pPr>
        <w:rPr>
          <w:rFonts w:ascii="Calibri" w:hAnsi="Calibri" w:cs="Calibri"/>
        </w:rPr>
      </w:pPr>
      <w:r>
        <w:rPr>
          <w:rFonts w:ascii="Calibri" w:hAnsi="Calibri" w:cs="Calibri"/>
        </w:rPr>
        <w:t xml:space="preserve">Finally, </w:t>
      </w:r>
      <w:r w:rsidR="007F67D6">
        <w:rPr>
          <w:rFonts w:ascii="Calibri" w:hAnsi="Calibri" w:cs="Calibri"/>
        </w:rPr>
        <w:t>natural gas prices are notoriously volatile</w:t>
      </w:r>
      <w:r w:rsidR="00C53018">
        <w:rPr>
          <w:rFonts w:ascii="Calibri" w:hAnsi="Calibri" w:cs="Calibri"/>
        </w:rPr>
        <w:t xml:space="preserve"> and t</w:t>
      </w:r>
      <w:r w:rsidR="007F67D6">
        <w:rPr>
          <w:rFonts w:ascii="Calibri" w:hAnsi="Calibri" w:cs="Calibri"/>
        </w:rPr>
        <w:t>he continuation of</w:t>
      </w:r>
      <w:r w:rsidR="006B7811">
        <w:rPr>
          <w:rFonts w:ascii="Calibri" w:hAnsi="Calibri" w:cs="Calibri"/>
        </w:rPr>
        <w:t xml:space="preserve"> recent price favorability of natural gas is uncertain</w:t>
      </w:r>
      <w:r>
        <w:rPr>
          <w:rFonts w:ascii="Calibri" w:hAnsi="Calibri" w:cs="Calibri"/>
        </w:rPr>
        <w:t>. Recent media reports indicate that th</w:t>
      </w:r>
      <w:r w:rsidR="0092180B">
        <w:rPr>
          <w:rFonts w:ascii="Calibri" w:hAnsi="Calibri" w:cs="Calibri"/>
        </w:rPr>
        <w:t>is</w:t>
      </w:r>
      <w:r>
        <w:rPr>
          <w:rFonts w:ascii="Calibri" w:hAnsi="Calibri" w:cs="Calibri"/>
        </w:rPr>
        <w:t xml:space="preserve"> winter</w:t>
      </w:r>
      <w:r w:rsidR="0092180B">
        <w:rPr>
          <w:rFonts w:ascii="Calibri" w:hAnsi="Calibri" w:cs="Calibri"/>
        </w:rPr>
        <w:t>’s</w:t>
      </w:r>
      <w:r>
        <w:rPr>
          <w:rFonts w:ascii="Calibri" w:hAnsi="Calibri" w:cs="Calibri"/>
        </w:rPr>
        <w:t xml:space="preserve"> prices for natural gas could increase significantly</w:t>
      </w:r>
      <w:r w:rsidR="0092180B">
        <w:rPr>
          <w:rFonts w:ascii="Calibri" w:hAnsi="Calibri" w:cs="Calibri"/>
        </w:rPr>
        <w:t xml:space="preserve">; </w:t>
      </w:r>
      <w:r>
        <w:rPr>
          <w:rFonts w:ascii="Calibri" w:hAnsi="Calibri" w:cs="Calibri"/>
        </w:rPr>
        <w:t>the potential for carbon pricing in the near- to mid-term could further add to costs.</w:t>
      </w:r>
      <w:r w:rsidR="00D01F6C">
        <w:rPr>
          <w:rFonts w:ascii="Calibri" w:hAnsi="Calibri" w:cs="Calibri"/>
        </w:rPr>
        <w:t xml:space="preserve"> Additionally,</w:t>
      </w:r>
      <w:r w:rsidR="0092180B">
        <w:rPr>
          <w:rFonts w:ascii="Calibri" w:hAnsi="Calibri" w:cs="Calibri"/>
        </w:rPr>
        <w:t xml:space="preserve"> </w:t>
      </w:r>
      <w:r w:rsidR="007F67D6">
        <w:rPr>
          <w:rFonts w:ascii="Calibri" w:hAnsi="Calibri" w:cs="Calibri"/>
        </w:rPr>
        <w:t>it is worth seriously reconsidering the timeframe over which natural gas infrastructure will remain used and useful. C</w:t>
      </w:r>
      <w:r w:rsidR="0092180B">
        <w:rPr>
          <w:rFonts w:ascii="Calibri" w:hAnsi="Calibri" w:cs="Calibri"/>
        </w:rPr>
        <w:t xml:space="preserve">ustomer preference </w:t>
      </w:r>
      <w:r w:rsidR="00662C34">
        <w:rPr>
          <w:rFonts w:ascii="Calibri" w:hAnsi="Calibri" w:cs="Calibri"/>
        </w:rPr>
        <w:t xml:space="preserve">and policy </w:t>
      </w:r>
      <w:r w:rsidR="007F67D6">
        <w:rPr>
          <w:rFonts w:ascii="Calibri" w:hAnsi="Calibri" w:cs="Calibri"/>
        </w:rPr>
        <w:t xml:space="preserve">are already </w:t>
      </w:r>
      <w:r w:rsidR="0092180B">
        <w:rPr>
          <w:rFonts w:ascii="Calibri" w:hAnsi="Calibri" w:cs="Calibri"/>
        </w:rPr>
        <w:t>shift</w:t>
      </w:r>
      <w:r w:rsidR="007F67D6">
        <w:rPr>
          <w:rFonts w:ascii="Calibri" w:hAnsi="Calibri" w:cs="Calibri"/>
        </w:rPr>
        <w:t>ing</w:t>
      </w:r>
      <w:r w:rsidR="0092180B">
        <w:rPr>
          <w:rFonts w:ascii="Calibri" w:hAnsi="Calibri" w:cs="Calibri"/>
        </w:rPr>
        <w:t xml:space="preserve"> significantly toward electrification of home heating sources,</w:t>
      </w:r>
      <w:r w:rsidR="00EF11E6">
        <w:rPr>
          <w:rFonts w:ascii="Calibri" w:hAnsi="Calibri" w:cs="Calibri"/>
        </w:rPr>
        <w:t xml:space="preserve"> and</w:t>
      </w:r>
      <w:r w:rsidR="0092180B">
        <w:rPr>
          <w:rFonts w:ascii="Calibri" w:hAnsi="Calibri" w:cs="Calibri"/>
        </w:rPr>
        <w:t xml:space="preserve"> the </w:t>
      </w:r>
      <w:r w:rsidR="00662C34">
        <w:rPr>
          <w:rFonts w:ascii="Calibri" w:hAnsi="Calibri" w:cs="Calibri"/>
        </w:rPr>
        <w:t xml:space="preserve">repayment of </w:t>
      </w:r>
      <w:r w:rsidR="0092180B">
        <w:rPr>
          <w:rFonts w:ascii="Calibri" w:hAnsi="Calibri" w:cs="Calibri"/>
        </w:rPr>
        <w:t xml:space="preserve">investment </w:t>
      </w:r>
      <w:r w:rsidR="00662C34">
        <w:rPr>
          <w:rFonts w:ascii="Calibri" w:hAnsi="Calibri" w:cs="Calibri"/>
        </w:rPr>
        <w:t>for new</w:t>
      </w:r>
      <w:r w:rsidR="0092180B">
        <w:rPr>
          <w:rFonts w:ascii="Calibri" w:hAnsi="Calibri" w:cs="Calibri"/>
        </w:rPr>
        <w:t xml:space="preserve"> natural gas infrastructure could land on </w:t>
      </w:r>
      <w:r w:rsidR="007F67D6">
        <w:rPr>
          <w:rFonts w:ascii="Calibri" w:hAnsi="Calibri" w:cs="Calibri"/>
        </w:rPr>
        <w:t>fewer and fewer customers</w:t>
      </w:r>
      <w:r w:rsidR="008A38F4">
        <w:rPr>
          <w:rFonts w:ascii="Calibri" w:hAnsi="Calibri" w:cs="Calibri"/>
        </w:rPr>
        <w:t>—</w:t>
      </w:r>
      <w:r w:rsidR="007F67D6">
        <w:rPr>
          <w:rFonts w:ascii="Calibri" w:hAnsi="Calibri" w:cs="Calibri"/>
        </w:rPr>
        <w:t xml:space="preserve"> especially </w:t>
      </w:r>
      <w:r w:rsidR="0092180B">
        <w:rPr>
          <w:rFonts w:ascii="Calibri" w:hAnsi="Calibri" w:cs="Calibri"/>
        </w:rPr>
        <w:t xml:space="preserve">those customers without the wherewithal to switch </w:t>
      </w:r>
      <w:r w:rsidR="00FA1185">
        <w:rPr>
          <w:rFonts w:ascii="Calibri" w:hAnsi="Calibri" w:cs="Calibri"/>
        </w:rPr>
        <w:t>back to electricity.</w:t>
      </w:r>
      <w:r w:rsidR="00662C34">
        <w:rPr>
          <w:rFonts w:ascii="Calibri" w:hAnsi="Calibri" w:cs="Calibri"/>
        </w:rPr>
        <w:t xml:space="preserve"> </w:t>
      </w:r>
    </w:p>
    <w:p w14:paraId="5C2EAEDD" w14:textId="77777777" w:rsidR="00B46C3E" w:rsidRDefault="00B46C3E" w:rsidP="00233B14">
      <w:pPr>
        <w:rPr>
          <w:rFonts w:ascii="Calibri" w:hAnsi="Calibri" w:cs="Calibri"/>
        </w:rPr>
      </w:pPr>
    </w:p>
    <w:p w14:paraId="7A31AD0A" w14:textId="00E19884" w:rsidR="008F3C5D" w:rsidRPr="005643EB" w:rsidRDefault="00CE253F">
      <w:pPr>
        <w:rPr>
          <w:rFonts w:ascii="Calibri" w:hAnsi="Calibri" w:cs="Calibri"/>
        </w:rPr>
      </w:pPr>
      <w:r>
        <w:rPr>
          <w:rFonts w:ascii="Calibri" w:hAnsi="Calibri" w:cs="Calibri"/>
        </w:rPr>
        <w:t xml:space="preserve">In light of our state’s greenhouse gas emission reduction goals, the impacts that climate change will have on our state and its economy, and the </w:t>
      </w:r>
      <w:r w:rsidR="00662C34">
        <w:rPr>
          <w:rFonts w:ascii="Calibri" w:hAnsi="Calibri" w:cs="Calibri"/>
        </w:rPr>
        <w:t xml:space="preserve">less attractive economics of natural gas </w:t>
      </w:r>
      <w:r w:rsidR="00EF11E6">
        <w:rPr>
          <w:rFonts w:ascii="Calibri" w:hAnsi="Calibri" w:cs="Calibri"/>
        </w:rPr>
        <w:t>moving forward</w:t>
      </w:r>
      <w:r w:rsidR="00662C34">
        <w:rPr>
          <w:rFonts w:ascii="Calibri" w:hAnsi="Calibri" w:cs="Calibri"/>
        </w:rPr>
        <w:t>,</w:t>
      </w:r>
      <w:r>
        <w:rPr>
          <w:rFonts w:ascii="Calibri" w:hAnsi="Calibri" w:cs="Calibri"/>
        </w:rPr>
        <w:t xml:space="preserve"> </w:t>
      </w:r>
      <w:r w:rsidR="00662C34">
        <w:rPr>
          <w:rFonts w:ascii="Calibri" w:hAnsi="Calibri" w:cs="Calibri"/>
        </w:rPr>
        <w:t>w</w:t>
      </w:r>
      <w:r w:rsidR="00925651">
        <w:rPr>
          <w:rFonts w:ascii="Calibri" w:hAnsi="Calibri" w:cs="Calibri"/>
        </w:rPr>
        <w:t xml:space="preserve">e think the Commission </w:t>
      </w:r>
      <w:r w:rsidR="00662C34">
        <w:rPr>
          <w:rFonts w:ascii="Calibri" w:hAnsi="Calibri" w:cs="Calibri"/>
        </w:rPr>
        <w:t>should</w:t>
      </w:r>
      <w:r w:rsidR="00925651">
        <w:rPr>
          <w:rFonts w:ascii="Calibri" w:hAnsi="Calibri" w:cs="Calibri"/>
        </w:rPr>
        <w:t xml:space="preserve"> revisit </w:t>
      </w:r>
      <w:r w:rsidR="00BC6579">
        <w:rPr>
          <w:rFonts w:ascii="Calibri" w:hAnsi="Calibri" w:cs="Calibri"/>
        </w:rPr>
        <w:t>th</w:t>
      </w:r>
      <w:r w:rsidR="00B46C3E">
        <w:rPr>
          <w:rFonts w:ascii="Calibri" w:hAnsi="Calibri" w:cs="Calibri"/>
        </w:rPr>
        <w:t>e</w:t>
      </w:r>
      <w:r w:rsidR="00925651">
        <w:rPr>
          <w:rFonts w:ascii="Calibri" w:hAnsi="Calibri" w:cs="Calibri"/>
        </w:rPr>
        <w:t xml:space="preserve"> premise</w:t>
      </w:r>
      <w:r w:rsidR="00B46C3E">
        <w:rPr>
          <w:rFonts w:ascii="Calibri" w:hAnsi="Calibri" w:cs="Calibri"/>
        </w:rPr>
        <w:t xml:space="preserve"> that </w:t>
      </w:r>
      <w:r w:rsidR="00662C34">
        <w:rPr>
          <w:rFonts w:ascii="Calibri" w:hAnsi="Calibri" w:cs="Calibri"/>
        </w:rPr>
        <w:t xml:space="preserve">removing the economic </w:t>
      </w:r>
      <w:r w:rsidR="00B46C3E">
        <w:rPr>
          <w:rFonts w:ascii="Calibri" w:hAnsi="Calibri" w:cs="Calibri"/>
        </w:rPr>
        <w:t>barriers to natural gas expansion is in the best interest of Washingtonians</w:t>
      </w:r>
      <w:r w:rsidR="00662C34">
        <w:rPr>
          <w:rFonts w:ascii="Calibri" w:hAnsi="Calibri" w:cs="Calibri"/>
        </w:rPr>
        <w:t>.</w:t>
      </w:r>
      <w:r w:rsidR="00B46C3E">
        <w:rPr>
          <w:rFonts w:ascii="Calibri" w:hAnsi="Calibri" w:cs="Calibri"/>
        </w:rPr>
        <w:t xml:space="preserve"> </w:t>
      </w:r>
      <w:r w:rsidR="00633E97">
        <w:rPr>
          <w:rFonts w:ascii="Calibri" w:hAnsi="Calibri" w:cs="Calibri"/>
        </w:rPr>
        <w:t xml:space="preserve">We recommend that the Commission review current utility methodology for calculating line extension allowances. </w:t>
      </w:r>
    </w:p>
    <w:sectPr w:rsidR="008F3C5D" w:rsidRPr="005643EB" w:rsidSect="00706EC1">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10EFC" w14:textId="77777777" w:rsidR="00533594" w:rsidRDefault="00533594" w:rsidP="001A65FF">
      <w:r>
        <w:separator/>
      </w:r>
    </w:p>
  </w:endnote>
  <w:endnote w:type="continuationSeparator" w:id="0">
    <w:p w14:paraId="03724AFB" w14:textId="77777777" w:rsidR="00533594" w:rsidRDefault="00533594" w:rsidP="001A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0218602"/>
      <w:docPartObj>
        <w:docPartGallery w:val="Page Numbers (Bottom of Page)"/>
        <w:docPartUnique/>
      </w:docPartObj>
    </w:sdtPr>
    <w:sdtEndPr>
      <w:rPr>
        <w:rStyle w:val="PageNumber"/>
      </w:rPr>
    </w:sdtEndPr>
    <w:sdtContent>
      <w:p w14:paraId="5BEC222C" w14:textId="383A7902" w:rsidR="00633E97" w:rsidRDefault="00633E97" w:rsidP="001662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81782D" w14:textId="77777777" w:rsidR="00633E97" w:rsidRDefault="00633E97" w:rsidP="00662C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alibri" w:hAnsi="Calibri" w:cs="Calibri"/>
      </w:rPr>
      <w:id w:val="-1825732109"/>
      <w:docPartObj>
        <w:docPartGallery w:val="Page Numbers (Bottom of Page)"/>
        <w:docPartUnique/>
      </w:docPartObj>
    </w:sdtPr>
    <w:sdtEndPr>
      <w:rPr>
        <w:rStyle w:val="PageNumber"/>
        <w:sz w:val="20"/>
        <w:szCs w:val="20"/>
      </w:rPr>
    </w:sdtEndPr>
    <w:sdtContent>
      <w:p w14:paraId="75773533" w14:textId="594BA141" w:rsidR="00633E97" w:rsidRPr="005030A1" w:rsidRDefault="00633E97" w:rsidP="0016623D">
        <w:pPr>
          <w:pStyle w:val="Footer"/>
          <w:framePr w:wrap="none" w:vAnchor="text" w:hAnchor="margin" w:xAlign="right" w:y="1"/>
          <w:rPr>
            <w:rStyle w:val="PageNumber"/>
            <w:rFonts w:ascii="Calibri" w:hAnsi="Calibri" w:cs="Calibri"/>
          </w:rPr>
        </w:pPr>
        <w:r w:rsidRPr="005030A1">
          <w:rPr>
            <w:rStyle w:val="PageNumber"/>
            <w:rFonts w:ascii="Calibri" w:hAnsi="Calibri" w:cs="Calibri"/>
          </w:rPr>
          <w:fldChar w:fldCharType="begin"/>
        </w:r>
        <w:r w:rsidRPr="005030A1">
          <w:rPr>
            <w:rStyle w:val="PageNumber"/>
            <w:rFonts w:ascii="Calibri" w:hAnsi="Calibri" w:cs="Calibri"/>
          </w:rPr>
          <w:instrText xml:space="preserve"> PAGE </w:instrText>
        </w:r>
        <w:r w:rsidRPr="005030A1">
          <w:rPr>
            <w:rStyle w:val="PageNumber"/>
            <w:rFonts w:ascii="Calibri" w:hAnsi="Calibri" w:cs="Calibri"/>
          </w:rPr>
          <w:fldChar w:fldCharType="separate"/>
        </w:r>
        <w:r w:rsidR="00FF7A07" w:rsidRPr="005030A1">
          <w:rPr>
            <w:rStyle w:val="PageNumber"/>
            <w:rFonts w:ascii="Calibri" w:hAnsi="Calibri" w:cs="Calibri"/>
            <w:noProof/>
          </w:rPr>
          <w:t>4</w:t>
        </w:r>
        <w:r w:rsidRPr="005030A1">
          <w:rPr>
            <w:rStyle w:val="PageNumber"/>
            <w:rFonts w:ascii="Calibri" w:hAnsi="Calibri" w:cs="Calibri"/>
          </w:rPr>
          <w:fldChar w:fldCharType="end"/>
        </w:r>
      </w:p>
    </w:sdtContent>
  </w:sdt>
  <w:p w14:paraId="1825994F" w14:textId="509C127C" w:rsidR="00633E97" w:rsidRPr="005030A1" w:rsidRDefault="005030A1" w:rsidP="00662C34">
    <w:pPr>
      <w:pStyle w:val="Footer"/>
      <w:ind w:right="360"/>
      <w:rPr>
        <w:rFonts w:ascii="Calibri" w:hAnsi="Calibri" w:cs="Calibri"/>
      </w:rPr>
    </w:pPr>
    <w:r>
      <w:rPr>
        <w:rFonts w:ascii="Calibri" w:hAnsi="Calibri" w:cs="Calibri"/>
      </w:rPr>
      <w:t>NWEC Comments, UG-180920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FDEAA" w14:textId="77777777" w:rsidR="00533594" w:rsidRDefault="00533594" w:rsidP="001A65FF">
      <w:r>
        <w:separator/>
      </w:r>
    </w:p>
  </w:footnote>
  <w:footnote w:type="continuationSeparator" w:id="0">
    <w:p w14:paraId="49F16A0E" w14:textId="77777777" w:rsidR="00533594" w:rsidRDefault="00533594" w:rsidP="001A65FF">
      <w:r>
        <w:continuationSeparator/>
      </w:r>
    </w:p>
  </w:footnote>
  <w:footnote w:id="1">
    <w:p w14:paraId="487C4B8C" w14:textId="5ECF6F51" w:rsidR="00633E97" w:rsidRDefault="00633E97">
      <w:pPr>
        <w:pStyle w:val="FootnoteText"/>
      </w:pPr>
      <w:r>
        <w:rPr>
          <w:rStyle w:val="FootnoteReference"/>
        </w:rPr>
        <w:footnoteRef/>
      </w:r>
      <w:r>
        <w:t xml:space="preserve"> UE-143616. “Avista Line Extension Policy.” September 23, 2015.</w:t>
      </w:r>
    </w:p>
  </w:footnote>
  <w:footnote w:id="2">
    <w:p w14:paraId="1DEB2CF7" w14:textId="6E13C892" w:rsidR="00633E97" w:rsidRDefault="00633E97">
      <w:pPr>
        <w:pStyle w:val="FootnoteText"/>
      </w:pPr>
      <w:r>
        <w:rPr>
          <w:rStyle w:val="FootnoteReference"/>
        </w:rPr>
        <w:footnoteRef/>
      </w:r>
      <w:r>
        <w:t xml:space="preserve"> Avista Utilities. Rebates: Washington. </w:t>
      </w:r>
      <w:hyperlink r:id="rId1" w:history="1">
        <w:r w:rsidRPr="00AB0934">
          <w:rPr>
            <w:rStyle w:val="Hyperlink"/>
          </w:rPr>
          <w:t>https://www.myavista.com/energy-savings/rebates-washington</w:t>
        </w:r>
      </w:hyperlink>
      <w:r>
        <w:t>. Retrieved December 5, 2018.</w:t>
      </w:r>
    </w:p>
  </w:footnote>
  <w:footnote w:id="3">
    <w:p w14:paraId="7CE508AD" w14:textId="7721FEA0" w:rsidR="00633E97" w:rsidRPr="005F0D31" w:rsidRDefault="00633E97">
      <w:pPr>
        <w:pStyle w:val="FootnoteText"/>
        <w:rPr>
          <w:i/>
        </w:rPr>
      </w:pPr>
      <w:r>
        <w:rPr>
          <w:rStyle w:val="FootnoteReference"/>
        </w:rPr>
        <w:footnoteRef/>
      </w:r>
      <w:r>
        <w:t xml:space="preserve"> </w:t>
      </w:r>
      <w:r>
        <w:rPr>
          <w:i/>
        </w:rPr>
        <w:t>Ibid.</w:t>
      </w:r>
    </w:p>
  </w:footnote>
  <w:footnote w:id="4">
    <w:p w14:paraId="1FD0FFD5" w14:textId="1878B454" w:rsidR="00D57CEE" w:rsidRDefault="00D57CEE">
      <w:pPr>
        <w:pStyle w:val="FootnoteText"/>
      </w:pPr>
      <w:r>
        <w:rPr>
          <w:rStyle w:val="FootnoteReference"/>
        </w:rPr>
        <w:footnoteRef/>
      </w:r>
      <w:r>
        <w:t xml:space="preserve"> UG-152394. Avista Natural Gas Line Extension Allowance Program Semi-Annual Report No. 5. September 28, 2018.</w:t>
      </w:r>
    </w:p>
  </w:footnote>
  <w:footnote w:id="5">
    <w:p w14:paraId="2CFC31CB" w14:textId="6E72C7EF" w:rsidR="002016A9" w:rsidRDefault="002016A9">
      <w:pPr>
        <w:pStyle w:val="FootnoteText"/>
      </w:pPr>
      <w:r>
        <w:rPr>
          <w:rStyle w:val="FootnoteReference"/>
        </w:rPr>
        <w:footnoteRef/>
      </w:r>
      <w:r>
        <w:t xml:space="preserve"> Washington State Department of Commerce. Fuel Mix Disclosure Reporting. </w:t>
      </w:r>
      <w:hyperlink r:id="rId2" w:history="1">
        <w:r w:rsidRPr="001C7CA1">
          <w:rPr>
            <w:rStyle w:val="Hyperlink"/>
          </w:rPr>
          <w:t>https://www.commerce.wa.gov/growing-the-economy/energy/fuel-mix-disclosure/</w:t>
        </w:r>
      </w:hyperlink>
      <w:r>
        <w:t xml:space="preserve"> </w:t>
      </w:r>
    </w:p>
  </w:footnote>
  <w:footnote w:id="6">
    <w:p w14:paraId="199A6F3A" w14:textId="007D0607" w:rsidR="00BA1A18" w:rsidRDefault="00BA1A18">
      <w:pPr>
        <w:pStyle w:val="FootnoteText"/>
      </w:pPr>
      <w:r>
        <w:rPr>
          <w:rStyle w:val="FootnoteReference"/>
        </w:rPr>
        <w:footnoteRef/>
      </w:r>
      <w:r>
        <w:t xml:space="preserve"> Regional Technical Forum. </w:t>
      </w:r>
      <w:r w:rsidRPr="00BA1A18">
        <w:rPr>
          <w:i/>
        </w:rPr>
        <w:t>Residential Ductless Heat Pump on Forced Air Furnace</w:t>
      </w:r>
      <w:r>
        <w:rPr>
          <w:i/>
        </w:rPr>
        <w:t>, Version 2.1</w:t>
      </w:r>
      <w:r>
        <w:t xml:space="preserve">. December 7, 2018. </w:t>
      </w:r>
      <w:hyperlink r:id="rId3" w:history="1">
        <w:r w:rsidRPr="001C7CA1">
          <w:rPr>
            <w:rStyle w:val="Hyperlink"/>
          </w:rPr>
          <w:t>https://rtf.nwcouncil.org/measure/ductless-heat-pump-forced-air-furnace-sf-and-mh</w:t>
        </w:r>
      </w:hyperlink>
      <w:r>
        <w:t xml:space="preserve"> </w:t>
      </w:r>
    </w:p>
  </w:footnote>
  <w:footnote w:id="7">
    <w:p w14:paraId="6C08A782" w14:textId="3A412D71" w:rsidR="00BA1A18" w:rsidRDefault="00BA1A18">
      <w:pPr>
        <w:pStyle w:val="FootnoteText"/>
      </w:pPr>
      <w:r>
        <w:rPr>
          <w:rStyle w:val="FootnoteReference"/>
        </w:rPr>
        <w:footnoteRef/>
      </w:r>
      <w:r>
        <w:t xml:space="preserve"> Northeast Energy Efficiency Partnerships (NEEP). “Cold Climate Air Source Heat Pump.” </w:t>
      </w:r>
      <w:hyperlink r:id="rId4" w:history="1">
        <w:r w:rsidRPr="001C7CA1">
          <w:rPr>
            <w:rStyle w:val="Hyperlink"/>
          </w:rPr>
          <w:t>https://neep.org/initiatives/high-efficiency-products/emerging-technologies/ashp/cold-climate-air-source-heat-pump</w:t>
        </w:r>
      </w:hyperlink>
      <w:r>
        <w:t xml:space="preserve"> Retrieved December 10, 2018.</w:t>
      </w:r>
    </w:p>
  </w:footnote>
  <w:footnote w:id="8">
    <w:p w14:paraId="77F8BAAE" w14:textId="0A19B78A" w:rsidR="00C71E28" w:rsidRPr="00C71E28" w:rsidRDefault="00C71E28">
      <w:pPr>
        <w:pStyle w:val="FootnoteText"/>
      </w:pPr>
      <w:r>
        <w:rPr>
          <w:rStyle w:val="FootnoteReference"/>
        </w:rPr>
        <w:footnoteRef/>
      </w:r>
      <w:r>
        <w:t xml:space="preserve"> SWEEP, </w:t>
      </w:r>
      <w:proofErr w:type="spellStart"/>
      <w:r>
        <w:t>Kolwey</w:t>
      </w:r>
      <w:proofErr w:type="spellEnd"/>
      <w:r>
        <w:t xml:space="preserve"> and Geller. </w:t>
      </w:r>
      <w:r>
        <w:rPr>
          <w:i/>
        </w:rPr>
        <w:t>Benefits of Heat Pumps for Homes in the Southwest.</w:t>
      </w:r>
      <w:r>
        <w:t xml:space="preserve"> June 2018. </w:t>
      </w:r>
      <w:hyperlink r:id="rId5" w:history="1">
        <w:r w:rsidRPr="001C7CA1">
          <w:rPr>
            <w:rStyle w:val="Hyperlink"/>
          </w:rPr>
          <w:t>http://www.swenergy.org/Data/Sites/1/media/documents/publications/documents/heat-pump-study-final-2018-06-18-small-file.pdf</w:t>
        </w:r>
      </w:hyperlink>
      <w:r>
        <w:t xml:space="preserve"> </w:t>
      </w:r>
    </w:p>
  </w:footnote>
  <w:footnote w:id="9">
    <w:p w14:paraId="59BA726D" w14:textId="77777777" w:rsidR="00C71E28" w:rsidRPr="00F81CD2" w:rsidRDefault="00C71E28" w:rsidP="00C71E28">
      <w:pPr>
        <w:pStyle w:val="contributor"/>
        <w:shd w:val="clear" w:color="auto" w:fill="FFFFFF"/>
        <w:spacing w:before="0" w:beforeAutospacing="0" w:after="0" w:afterAutospacing="0"/>
        <w:rPr>
          <w:rFonts w:ascii="Calibri" w:hAnsi="Calibri" w:cs="Calibri"/>
          <w:b/>
          <w:bCs/>
          <w:color w:val="666666"/>
          <w:sz w:val="20"/>
          <w:szCs w:val="20"/>
        </w:rPr>
      </w:pPr>
      <w:r w:rsidRPr="00F81CD2">
        <w:rPr>
          <w:rStyle w:val="FootnoteReference"/>
          <w:rFonts w:ascii="Calibri" w:hAnsi="Calibri" w:cs="Calibri"/>
          <w:sz w:val="20"/>
          <w:szCs w:val="20"/>
        </w:rPr>
        <w:footnoteRef/>
      </w:r>
      <w:r w:rsidRPr="00F81CD2">
        <w:rPr>
          <w:rFonts w:ascii="Calibri" w:hAnsi="Calibri" w:cs="Calibri"/>
          <w:sz w:val="20"/>
          <w:szCs w:val="20"/>
        </w:rPr>
        <w:t xml:space="preserve"> </w:t>
      </w:r>
      <w:r w:rsidRPr="00F81CD2">
        <w:rPr>
          <w:rFonts w:ascii="Calibri" w:eastAsiaTheme="minorHAnsi" w:hAnsi="Calibri" w:cs="Calibri"/>
          <w:sz w:val="20"/>
          <w:szCs w:val="20"/>
        </w:rPr>
        <w:t xml:space="preserve">Alvarez, Ramón, et al. “Assessment of methane emissions from the U.S. oil and gas supply chain.” </w:t>
      </w:r>
      <w:r w:rsidRPr="00D01F6C">
        <w:rPr>
          <w:rFonts w:ascii="Calibri" w:eastAsiaTheme="minorHAnsi" w:hAnsi="Calibri" w:cs="Calibri"/>
          <w:i/>
          <w:sz w:val="20"/>
          <w:szCs w:val="20"/>
        </w:rPr>
        <w:t>Science</w:t>
      </w:r>
      <w:r w:rsidRPr="00F81CD2">
        <w:rPr>
          <w:rFonts w:ascii="Calibri" w:eastAsiaTheme="minorHAnsi" w:hAnsi="Calibri" w:cs="Calibri"/>
          <w:sz w:val="20"/>
          <w:szCs w:val="20"/>
        </w:rPr>
        <w:t>. 21 June 2018.</w:t>
      </w:r>
      <w:r w:rsidRPr="00F81CD2">
        <w:rPr>
          <w:rFonts w:ascii="Calibri" w:hAnsi="Calibri" w:cs="Calibri"/>
          <w:sz w:val="20"/>
          <w:szCs w:val="20"/>
        </w:rPr>
        <w:t xml:space="preserve"> </w:t>
      </w:r>
      <w:hyperlink r:id="rId6" w:history="1">
        <w:r w:rsidRPr="00F81CD2">
          <w:rPr>
            <w:rStyle w:val="Hyperlink"/>
            <w:rFonts w:ascii="Calibri" w:hAnsi="Calibri" w:cs="Calibri"/>
            <w:sz w:val="20"/>
            <w:szCs w:val="20"/>
          </w:rPr>
          <w:t>http://science.sciencemag.org/content/early/2018/06/20/science.aar7204</w:t>
        </w:r>
      </w:hyperlink>
      <w:r w:rsidRPr="00F81CD2">
        <w:rPr>
          <w:rFonts w:ascii="Calibri" w:hAnsi="Calibri" w:cs="Calibri"/>
          <w:sz w:val="20"/>
          <w:szCs w:val="20"/>
        </w:rPr>
        <w:t xml:space="preserve"> </w:t>
      </w:r>
    </w:p>
  </w:footnote>
  <w:footnote w:id="10">
    <w:p w14:paraId="5A810734" w14:textId="30317EF3" w:rsidR="00BA1A18" w:rsidRPr="00BA1A18" w:rsidRDefault="00BA1A18">
      <w:pPr>
        <w:pStyle w:val="FootnoteText"/>
      </w:pPr>
      <w:r>
        <w:rPr>
          <w:rStyle w:val="FootnoteReference"/>
        </w:rPr>
        <w:footnoteRef/>
      </w:r>
      <w:r>
        <w:t xml:space="preserve"> Washington State University. </w:t>
      </w:r>
      <w:r>
        <w:rPr>
          <w:i/>
        </w:rPr>
        <w:t xml:space="preserve">Natural Gas Methane Study. </w:t>
      </w:r>
      <w:r w:rsidRPr="00BA1A18">
        <w:rPr>
          <w:i/>
        </w:rPr>
        <w:t>https://methane.wsu.edu/</w:t>
      </w:r>
    </w:p>
  </w:footnote>
  <w:footnote w:id="11">
    <w:p w14:paraId="09F3A720" w14:textId="77777777" w:rsidR="00633E97" w:rsidRDefault="00633E97" w:rsidP="00FA1185">
      <w:pPr>
        <w:pStyle w:val="FootnoteText"/>
      </w:pPr>
      <w:r>
        <w:rPr>
          <w:rStyle w:val="FootnoteReference"/>
        </w:rPr>
        <w:footnoteRef/>
      </w:r>
      <w:r>
        <w:t xml:space="preserve"> RCW 70.235.020.</w:t>
      </w:r>
    </w:p>
  </w:footnote>
  <w:footnote w:id="12">
    <w:p w14:paraId="2B771CB6" w14:textId="42A51D31" w:rsidR="00633E97" w:rsidRDefault="00633E97">
      <w:pPr>
        <w:pStyle w:val="FootnoteText"/>
      </w:pPr>
      <w:r>
        <w:rPr>
          <w:rStyle w:val="FootnoteReference"/>
        </w:rPr>
        <w:footnoteRef/>
      </w:r>
      <w:r>
        <w:t xml:space="preserve"> U.S. Global Change Research Program. </w:t>
      </w:r>
      <w:r w:rsidRPr="00FA1185">
        <w:rPr>
          <w:i/>
        </w:rPr>
        <w:t>Fourth National Climate Assessment.</w:t>
      </w:r>
      <w:r>
        <w:t xml:space="preserve"> “Chapter 24: Northwest.” </w:t>
      </w:r>
      <w:hyperlink r:id="rId7" w:history="1">
        <w:r w:rsidRPr="00AB0934">
          <w:rPr>
            <w:rStyle w:val="Hyperlink"/>
            <w:rFonts w:ascii="Calibri" w:hAnsi="Calibri" w:cs="Calibri"/>
          </w:rPr>
          <w:t>https://nca2018.globalchange.gov/chapter/24/</w:t>
        </w:r>
      </w:hyperlink>
      <w:r>
        <w:rPr>
          <w:rFonts w:ascii="Calibri" w:hAnsi="Calibri" w:cs="Calibri"/>
        </w:rPr>
        <w:t>.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491"/>
    <w:multiLevelType w:val="hybridMultilevel"/>
    <w:tmpl w:val="DCBCC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25C9F"/>
    <w:multiLevelType w:val="hybridMultilevel"/>
    <w:tmpl w:val="16D2F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D634D"/>
    <w:multiLevelType w:val="hybridMultilevel"/>
    <w:tmpl w:val="795A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612E3"/>
    <w:multiLevelType w:val="hybridMultilevel"/>
    <w:tmpl w:val="7B0C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455AA"/>
    <w:multiLevelType w:val="hybridMultilevel"/>
    <w:tmpl w:val="02802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C2114"/>
    <w:multiLevelType w:val="multilevel"/>
    <w:tmpl w:val="46A80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1C34D3"/>
    <w:multiLevelType w:val="hybridMultilevel"/>
    <w:tmpl w:val="A11E6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77B"/>
    <w:rsid w:val="00013A6C"/>
    <w:rsid w:val="000716AD"/>
    <w:rsid w:val="000B1B02"/>
    <w:rsid w:val="000D18D8"/>
    <w:rsid w:val="000D1D0D"/>
    <w:rsid w:val="00110A04"/>
    <w:rsid w:val="0016623D"/>
    <w:rsid w:val="00172EED"/>
    <w:rsid w:val="001920B2"/>
    <w:rsid w:val="00197CB9"/>
    <w:rsid w:val="001A65FF"/>
    <w:rsid w:val="001B49CE"/>
    <w:rsid w:val="001C19D9"/>
    <w:rsid w:val="001D7A5E"/>
    <w:rsid w:val="002016A9"/>
    <w:rsid w:val="00227E44"/>
    <w:rsid w:val="00233B14"/>
    <w:rsid w:val="0025343B"/>
    <w:rsid w:val="00261F49"/>
    <w:rsid w:val="00277890"/>
    <w:rsid w:val="00282D5B"/>
    <w:rsid w:val="002A3EC7"/>
    <w:rsid w:val="00326EB4"/>
    <w:rsid w:val="00337C4D"/>
    <w:rsid w:val="00392541"/>
    <w:rsid w:val="0040416C"/>
    <w:rsid w:val="004056D6"/>
    <w:rsid w:val="00414B49"/>
    <w:rsid w:val="00484D72"/>
    <w:rsid w:val="004A38CD"/>
    <w:rsid w:val="005030A1"/>
    <w:rsid w:val="00533594"/>
    <w:rsid w:val="00536800"/>
    <w:rsid w:val="00555065"/>
    <w:rsid w:val="005643EB"/>
    <w:rsid w:val="005E6393"/>
    <w:rsid w:val="005E6B63"/>
    <w:rsid w:val="005F0D31"/>
    <w:rsid w:val="00633E97"/>
    <w:rsid w:val="00662C34"/>
    <w:rsid w:val="00697CF9"/>
    <w:rsid w:val="006B7811"/>
    <w:rsid w:val="006F658C"/>
    <w:rsid w:val="00706EC1"/>
    <w:rsid w:val="007104CB"/>
    <w:rsid w:val="00721A75"/>
    <w:rsid w:val="007F67D6"/>
    <w:rsid w:val="00865BE1"/>
    <w:rsid w:val="008A38F4"/>
    <w:rsid w:val="008B1E5B"/>
    <w:rsid w:val="008C782E"/>
    <w:rsid w:val="008D5195"/>
    <w:rsid w:val="008F3C5D"/>
    <w:rsid w:val="00921629"/>
    <w:rsid w:val="0092180B"/>
    <w:rsid w:val="00925651"/>
    <w:rsid w:val="009544E8"/>
    <w:rsid w:val="00983FE9"/>
    <w:rsid w:val="0098441C"/>
    <w:rsid w:val="009A141F"/>
    <w:rsid w:val="009A5C98"/>
    <w:rsid w:val="009D67A9"/>
    <w:rsid w:val="00A419FD"/>
    <w:rsid w:val="00A67FCC"/>
    <w:rsid w:val="00A7150E"/>
    <w:rsid w:val="00A72050"/>
    <w:rsid w:val="00A91DBF"/>
    <w:rsid w:val="00B039DF"/>
    <w:rsid w:val="00B13C97"/>
    <w:rsid w:val="00B37642"/>
    <w:rsid w:val="00B43BFC"/>
    <w:rsid w:val="00B46C3E"/>
    <w:rsid w:val="00B574A1"/>
    <w:rsid w:val="00B70D49"/>
    <w:rsid w:val="00B85ACE"/>
    <w:rsid w:val="00BA1A18"/>
    <w:rsid w:val="00BC6579"/>
    <w:rsid w:val="00BD767F"/>
    <w:rsid w:val="00BD7949"/>
    <w:rsid w:val="00C04598"/>
    <w:rsid w:val="00C47CE0"/>
    <w:rsid w:val="00C53018"/>
    <w:rsid w:val="00C71E28"/>
    <w:rsid w:val="00C9299E"/>
    <w:rsid w:val="00CB64CA"/>
    <w:rsid w:val="00CE253F"/>
    <w:rsid w:val="00D01F6C"/>
    <w:rsid w:val="00D104ED"/>
    <w:rsid w:val="00D154F7"/>
    <w:rsid w:val="00D3281F"/>
    <w:rsid w:val="00D4597E"/>
    <w:rsid w:val="00D57CEE"/>
    <w:rsid w:val="00D9277B"/>
    <w:rsid w:val="00D9667F"/>
    <w:rsid w:val="00DB6D47"/>
    <w:rsid w:val="00EA4CA5"/>
    <w:rsid w:val="00EB617C"/>
    <w:rsid w:val="00EC7FD8"/>
    <w:rsid w:val="00ED3412"/>
    <w:rsid w:val="00ED3462"/>
    <w:rsid w:val="00EF11E6"/>
    <w:rsid w:val="00EF5557"/>
    <w:rsid w:val="00F81CD2"/>
    <w:rsid w:val="00F826E0"/>
    <w:rsid w:val="00FA1185"/>
    <w:rsid w:val="00FD6645"/>
    <w:rsid w:val="00FF7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D4DC06"/>
  <w14:defaultImageDpi w14:val="32767"/>
  <w15:docId w15:val="{1BDBA72F-69EA-F645-A2F7-5C0F6FC8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3E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77B"/>
    <w:pPr>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1A65F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A65FF"/>
    <w:rPr>
      <w:sz w:val="20"/>
      <w:szCs w:val="20"/>
    </w:rPr>
  </w:style>
  <w:style w:type="character" w:styleId="FootnoteReference">
    <w:name w:val="footnote reference"/>
    <w:basedOn w:val="DefaultParagraphFont"/>
    <w:uiPriority w:val="99"/>
    <w:semiHidden/>
    <w:unhideWhenUsed/>
    <w:rsid w:val="001A65FF"/>
    <w:rPr>
      <w:vertAlign w:val="superscript"/>
    </w:rPr>
  </w:style>
  <w:style w:type="character" w:styleId="Hyperlink">
    <w:name w:val="Hyperlink"/>
    <w:basedOn w:val="DefaultParagraphFont"/>
    <w:uiPriority w:val="99"/>
    <w:unhideWhenUsed/>
    <w:rsid w:val="001A65FF"/>
    <w:rPr>
      <w:color w:val="0563C1" w:themeColor="hyperlink"/>
      <w:u w:val="single"/>
    </w:rPr>
  </w:style>
  <w:style w:type="character" w:customStyle="1" w:styleId="UnresolvedMention1">
    <w:name w:val="Unresolved Mention1"/>
    <w:basedOn w:val="DefaultParagraphFont"/>
    <w:uiPriority w:val="99"/>
    <w:rsid w:val="001A65FF"/>
    <w:rPr>
      <w:color w:val="605E5C"/>
      <w:shd w:val="clear" w:color="auto" w:fill="E1DFDD"/>
    </w:rPr>
  </w:style>
  <w:style w:type="character" w:styleId="FollowedHyperlink">
    <w:name w:val="FollowedHyperlink"/>
    <w:basedOn w:val="DefaultParagraphFont"/>
    <w:uiPriority w:val="99"/>
    <w:semiHidden/>
    <w:unhideWhenUsed/>
    <w:rsid w:val="00C9299E"/>
    <w:rPr>
      <w:color w:val="954F72" w:themeColor="followedHyperlink"/>
      <w:u w:val="single"/>
    </w:rPr>
  </w:style>
  <w:style w:type="paragraph" w:styleId="NormalWeb">
    <w:name w:val="Normal (Web)"/>
    <w:basedOn w:val="Normal"/>
    <w:uiPriority w:val="99"/>
    <w:semiHidden/>
    <w:unhideWhenUsed/>
    <w:rsid w:val="00BD767F"/>
    <w:pPr>
      <w:spacing w:before="100" w:beforeAutospacing="1" w:after="100" w:afterAutospacing="1"/>
    </w:pPr>
  </w:style>
  <w:style w:type="paragraph" w:customStyle="1" w:styleId="contributor">
    <w:name w:val="contributor"/>
    <w:basedOn w:val="Normal"/>
    <w:rsid w:val="00F81CD2"/>
    <w:pPr>
      <w:spacing w:before="100" w:beforeAutospacing="1" w:after="100" w:afterAutospacing="1"/>
    </w:pPr>
  </w:style>
  <w:style w:type="character" w:customStyle="1" w:styleId="name">
    <w:name w:val="name"/>
    <w:basedOn w:val="DefaultParagraphFont"/>
    <w:rsid w:val="00F81CD2"/>
  </w:style>
  <w:style w:type="paragraph" w:styleId="Footer">
    <w:name w:val="footer"/>
    <w:basedOn w:val="Normal"/>
    <w:link w:val="FooterChar"/>
    <w:uiPriority w:val="99"/>
    <w:unhideWhenUsed/>
    <w:rsid w:val="00662C34"/>
    <w:pPr>
      <w:tabs>
        <w:tab w:val="center" w:pos="4680"/>
        <w:tab w:val="right" w:pos="9360"/>
      </w:tabs>
    </w:pPr>
  </w:style>
  <w:style w:type="character" w:customStyle="1" w:styleId="FooterChar">
    <w:name w:val="Footer Char"/>
    <w:basedOn w:val="DefaultParagraphFont"/>
    <w:link w:val="Footer"/>
    <w:uiPriority w:val="99"/>
    <w:rsid w:val="00662C34"/>
    <w:rPr>
      <w:rFonts w:ascii="Times New Roman" w:eastAsia="Times New Roman" w:hAnsi="Times New Roman" w:cs="Times New Roman"/>
    </w:rPr>
  </w:style>
  <w:style w:type="character" w:styleId="PageNumber">
    <w:name w:val="page number"/>
    <w:basedOn w:val="DefaultParagraphFont"/>
    <w:uiPriority w:val="99"/>
    <w:semiHidden/>
    <w:unhideWhenUsed/>
    <w:rsid w:val="00662C34"/>
  </w:style>
  <w:style w:type="paragraph" w:styleId="Header">
    <w:name w:val="header"/>
    <w:basedOn w:val="Normal"/>
    <w:link w:val="HeaderChar"/>
    <w:uiPriority w:val="99"/>
    <w:unhideWhenUsed/>
    <w:rsid w:val="00B039DF"/>
    <w:pPr>
      <w:tabs>
        <w:tab w:val="center" w:pos="4680"/>
        <w:tab w:val="right" w:pos="9360"/>
      </w:tabs>
    </w:pPr>
  </w:style>
  <w:style w:type="character" w:customStyle="1" w:styleId="HeaderChar">
    <w:name w:val="Header Char"/>
    <w:basedOn w:val="DefaultParagraphFont"/>
    <w:link w:val="Header"/>
    <w:uiPriority w:val="99"/>
    <w:rsid w:val="00B039D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662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23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16623D"/>
    <w:rPr>
      <w:sz w:val="18"/>
      <w:szCs w:val="18"/>
    </w:rPr>
  </w:style>
  <w:style w:type="paragraph" w:styleId="CommentText">
    <w:name w:val="annotation text"/>
    <w:basedOn w:val="Normal"/>
    <w:link w:val="CommentTextChar"/>
    <w:uiPriority w:val="99"/>
    <w:semiHidden/>
    <w:unhideWhenUsed/>
    <w:rsid w:val="0016623D"/>
  </w:style>
  <w:style w:type="character" w:customStyle="1" w:styleId="CommentTextChar">
    <w:name w:val="Comment Text Char"/>
    <w:basedOn w:val="DefaultParagraphFont"/>
    <w:link w:val="CommentText"/>
    <w:uiPriority w:val="99"/>
    <w:semiHidden/>
    <w:rsid w:val="0016623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16623D"/>
    <w:rPr>
      <w:b/>
      <w:bCs/>
      <w:sz w:val="20"/>
      <w:szCs w:val="20"/>
    </w:rPr>
  </w:style>
  <w:style w:type="character" w:customStyle="1" w:styleId="CommentSubjectChar">
    <w:name w:val="Comment Subject Char"/>
    <w:basedOn w:val="CommentTextChar"/>
    <w:link w:val="CommentSubject"/>
    <w:uiPriority w:val="99"/>
    <w:semiHidden/>
    <w:rsid w:val="0016623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2016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5233">
      <w:bodyDiv w:val="1"/>
      <w:marLeft w:val="0"/>
      <w:marRight w:val="0"/>
      <w:marTop w:val="0"/>
      <w:marBottom w:val="0"/>
      <w:divBdr>
        <w:top w:val="none" w:sz="0" w:space="0" w:color="auto"/>
        <w:left w:val="none" w:sz="0" w:space="0" w:color="auto"/>
        <w:bottom w:val="none" w:sz="0" w:space="0" w:color="auto"/>
        <w:right w:val="none" w:sz="0" w:space="0" w:color="auto"/>
      </w:divBdr>
    </w:div>
    <w:div w:id="412512725">
      <w:bodyDiv w:val="1"/>
      <w:marLeft w:val="0"/>
      <w:marRight w:val="0"/>
      <w:marTop w:val="0"/>
      <w:marBottom w:val="0"/>
      <w:divBdr>
        <w:top w:val="none" w:sz="0" w:space="0" w:color="auto"/>
        <w:left w:val="none" w:sz="0" w:space="0" w:color="auto"/>
        <w:bottom w:val="none" w:sz="0" w:space="0" w:color="auto"/>
        <w:right w:val="none" w:sz="0" w:space="0" w:color="auto"/>
      </w:divBdr>
    </w:div>
    <w:div w:id="754472996">
      <w:bodyDiv w:val="1"/>
      <w:marLeft w:val="0"/>
      <w:marRight w:val="0"/>
      <w:marTop w:val="0"/>
      <w:marBottom w:val="0"/>
      <w:divBdr>
        <w:top w:val="none" w:sz="0" w:space="0" w:color="auto"/>
        <w:left w:val="none" w:sz="0" w:space="0" w:color="auto"/>
        <w:bottom w:val="none" w:sz="0" w:space="0" w:color="auto"/>
        <w:right w:val="none" w:sz="0" w:space="0" w:color="auto"/>
      </w:divBdr>
    </w:div>
    <w:div w:id="1226255451">
      <w:bodyDiv w:val="1"/>
      <w:marLeft w:val="0"/>
      <w:marRight w:val="0"/>
      <w:marTop w:val="0"/>
      <w:marBottom w:val="0"/>
      <w:divBdr>
        <w:top w:val="none" w:sz="0" w:space="0" w:color="auto"/>
        <w:left w:val="none" w:sz="0" w:space="0" w:color="auto"/>
        <w:bottom w:val="none" w:sz="0" w:space="0" w:color="auto"/>
        <w:right w:val="none" w:sz="0" w:space="0" w:color="auto"/>
      </w:divBdr>
    </w:div>
    <w:div w:id="1625117438">
      <w:bodyDiv w:val="1"/>
      <w:marLeft w:val="0"/>
      <w:marRight w:val="0"/>
      <w:marTop w:val="0"/>
      <w:marBottom w:val="0"/>
      <w:divBdr>
        <w:top w:val="none" w:sz="0" w:space="0" w:color="auto"/>
        <w:left w:val="none" w:sz="0" w:space="0" w:color="auto"/>
        <w:bottom w:val="none" w:sz="0" w:space="0" w:color="auto"/>
        <w:right w:val="none" w:sz="0" w:space="0" w:color="auto"/>
      </w:divBdr>
    </w:div>
    <w:div w:id="1718503916">
      <w:bodyDiv w:val="1"/>
      <w:marLeft w:val="0"/>
      <w:marRight w:val="0"/>
      <w:marTop w:val="0"/>
      <w:marBottom w:val="0"/>
      <w:divBdr>
        <w:top w:val="none" w:sz="0" w:space="0" w:color="auto"/>
        <w:left w:val="none" w:sz="0" w:space="0" w:color="auto"/>
        <w:bottom w:val="none" w:sz="0" w:space="0" w:color="auto"/>
        <w:right w:val="none" w:sz="0" w:space="0" w:color="auto"/>
      </w:divBdr>
      <w:divsChild>
        <w:div w:id="322314992">
          <w:marLeft w:val="0"/>
          <w:marRight w:val="0"/>
          <w:marTop w:val="0"/>
          <w:marBottom w:val="0"/>
          <w:divBdr>
            <w:top w:val="none" w:sz="0" w:space="0" w:color="auto"/>
            <w:left w:val="none" w:sz="0" w:space="0" w:color="auto"/>
            <w:bottom w:val="none" w:sz="0" w:space="0" w:color="auto"/>
            <w:right w:val="none" w:sz="0" w:space="0" w:color="auto"/>
          </w:divBdr>
          <w:divsChild>
            <w:div w:id="2067027194">
              <w:marLeft w:val="0"/>
              <w:marRight w:val="0"/>
              <w:marTop w:val="0"/>
              <w:marBottom w:val="0"/>
              <w:divBdr>
                <w:top w:val="none" w:sz="0" w:space="0" w:color="auto"/>
                <w:left w:val="none" w:sz="0" w:space="0" w:color="auto"/>
                <w:bottom w:val="none" w:sz="0" w:space="0" w:color="auto"/>
                <w:right w:val="none" w:sz="0" w:space="0" w:color="auto"/>
              </w:divBdr>
              <w:divsChild>
                <w:div w:id="1727139941">
                  <w:marLeft w:val="0"/>
                  <w:marRight w:val="0"/>
                  <w:marTop w:val="0"/>
                  <w:marBottom w:val="0"/>
                  <w:divBdr>
                    <w:top w:val="none" w:sz="0" w:space="0" w:color="auto"/>
                    <w:left w:val="none" w:sz="0" w:space="0" w:color="auto"/>
                    <w:bottom w:val="none" w:sz="0" w:space="0" w:color="auto"/>
                    <w:right w:val="none" w:sz="0" w:space="0" w:color="auto"/>
                  </w:divBdr>
                  <w:divsChild>
                    <w:div w:id="3345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0493">
      <w:bodyDiv w:val="1"/>
      <w:marLeft w:val="0"/>
      <w:marRight w:val="0"/>
      <w:marTop w:val="0"/>
      <w:marBottom w:val="0"/>
      <w:divBdr>
        <w:top w:val="none" w:sz="0" w:space="0" w:color="auto"/>
        <w:left w:val="none" w:sz="0" w:space="0" w:color="auto"/>
        <w:bottom w:val="none" w:sz="0" w:space="0" w:color="auto"/>
        <w:right w:val="none" w:sz="0" w:space="0" w:color="auto"/>
      </w:divBdr>
    </w:div>
    <w:div w:id="2031224153">
      <w:bodyDiv w:val="1"/>
      <w:marLeft w:val="0"/>
      <w:marRight w:val="0"/>
      <w:marTop w:val="0"/>
      <w:marBottom w:val="0"/>
      <w:divBdr>
        <w:top w:val="none" w:sz="0" w:space="0" w:color="auto"/>
        <w:left w:val="none" w:sz="0" w:space="0" w:color="auto"/>
        <w:bottom w:val="none" w:sz="0" w:space="0" w:color="auto"/>
        <w:right w:val="none" w:sz="0" w:space="0" w:color="auto"/>
      </w:divBdr>
      <w:divsChild>
        <w:div w:id="628048423">
          <w:marLeft w:val="0"/>
          <w:marRight w:val="0"/>
          <w:marTop w:val="0"/>
          <w:marBottom w:val="0"/>
          <w:divBdr>
            <w:top w:val="none" w:sz="0" w:space="0" w:color="auto"/>
            <w:left w:val="none" w:sz="0" w:space="0" w:color="auto"/>
            <w:bottom w:val="none" w:sz="0" w:space="0" w:color="auto"/>
            <w:right w:val="none" w:sz="0" w:space="0" w:color="auto"/>
          </w:divBdr>
          <w:divsChild>
            <w:div w:id="2094278957">
              <w:marLeft w:val="0"/>
              <w:marRight w:val="0"/>
              <w:marTop w:val="0"/>
              <w:marBottom w:val="0"/>
              <w:divBdr>
                <w:top w:val="none" w:sz="0" w:space="0" w:color="auto"/>
                <w:left w:val="none" w:sz="0" w:space="0" w:color="auto"/>
                <w:bottom w:val="none" w:sz="0" w:space="0" w:color="auto"/>
                <w:right w:val="none" w:sz="0" w:space="0" w:color="auto"/>
              </w:divBdr>
              <w:divsChild>
                <w:div w:id="957370353">
                  <w:marLeft w:val="0"/>
                  <w:marRight w:val="0"/>
                  <w:marTop w:val="0"/>
                  <w:marBottom w:val="0"/>
                  <w:divBdr>
                    <w:top w:val="none" w:sz="0" w:space="0" w:color="auto"/>
                    <w:left w:val="none" w:sz="0" w:space="0" w:color="auto"/>
                    <w:bottom w:val="none" w:sz="0" w:space="0" w:color="auto"/>
                    <w:right w:val="none" w:sz="0" w:space="0" w:color="auto"/>
                  </w:divBdr>
                  <w:divsChild>
                    <w:div w:id="17911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c.wa.gov/_layouts/15/CasesPublicWebsite/CaseItemList.aspx?item=documents&amp;year=2014&amp;docketNumber=143616&amp;resultSource=&amp;page=1&amp;query=143616&amp;refiners=&amp;isModal=false&amp;omItem=false&amp;doItem=false"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apps2.leg.wa.gov/billsummary?BillNumber=2177&amp;Year=2013" TargetMode="External"/><Relationship Id="rId12" Type="http://schemas.openxmlformats.org/officeDocument/2006/relationships/hyperlink" Target="https://www.utc.wa.gov/_layouts/15/CasesPublicWebsite/CaseItemList.aspx?item=documents&amp;year=2016&amp;docketNumber=161268&amp;resultSource=&amp;page=1&amp;query=puget+line+extension&amp;refiners=&amp;isModal=false&amp;omItem=false&amp;doItem=false"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c.wa.gov/_layouts/15/CasesPublicWebsite/CaseItemList.aspx?item=documents&amp;year=2016&amp;docketNumber=160967&amp;resultSource=&amp;page=1&amp;query=cascade+line+extension&amp;refiners=&amp;isModal=false&amp;omItem=false&amp;doItem=fal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nrri.org/download/nrri-13-01-natural-gas-line-extension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utc.wa.gov/_layouts/15/CasesPublicWebsite/CaseItemList.aspx?item=documents&amp;year=2015&amp;docketNumber=152394&amp;resultSource=&amp;page=1&amp;query=152394&amp;refiners=&amp;isModal=false&amp;omItem=false&amp;doItem=fals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tf.nwcouncil.org/measure/ductless-heat-pump-forced-air-furnace-sf-and-mh" TargetMode="External"/><Relationship Id="rId7" Type="http://schemas.openxmlformats.org/officeDocument/2006/relationships/hyperlink" Target="https://nca2018.globalchange.gov/chapter/24/" TargetMode="External"/><Relationship Id="rId2" Type="http://schemas.openxmlformats.org/officeDocument/2006/relationships/hyperlink" Target="https://www.commerce.wa.gov/growing-the-economy/energy/fuel-mix-disclosure/" TargetMode="External"/><Relationship Id="rId1" Type="http://schemas.openxmlformats.org/officeDocument/2006/relationships/hyperlink" Target="https://www.myavista.com/energy-savings/rebates-washington" TargetMode="External"/><Relationship Id="rId6" Type="http://schemas.openxmlformats.org/officeDocument/2006/relationships/hyperlink" Target="http://science.sciencemag.org/content/early/2018/06/20/science.aar7204" TargetMode="External"/><Relationship Id="rId5" Type="http://schemas.openxmlformats.org/officeDocument/2006/relationships/hyperlink" Target="http://www.swenergy.org/Data/Sites/1/media/documents/publications/documents/heat-pump-study-final-2018-06-18-small-file.pdf" TargetMode="External"/><Relationship Id="rId4" Type="http://schemas.openxmlformats.org/officeDocument/2006/relationships/hyperlink" Target="https://neep.org/initiatives/high-efficiency-products/emerging-technologies/ashp/cold-climate-air-source-heat-pu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007411A504D5B4E9A2D65644B7B8431" ma:contentTypeVersion="76" ma:contentTypeDescription="" ma:contentTypeScope="" ma:versionID="09def1abb599730c4d1c14347b61d62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Visibility xmlns="dc463f71-b30c-4ab2-9473-d307f9d35888">Full Visibility</Visibility>
    <IsConfidential xmlns="dc463f71-b30c-4ab2-9473-d307f9d35888">false</IsConfidential>
    <AgendaOrder xmlns="dc463f71-b30c-4ab2-9473-d307f9d35888">false</AgendaOrder>
    <CaseType xmlns="dc463f71-b30c-4ab2-9473-d307f9d35888">Petition for Accounting Order</CaseType>
    <IndustryCode xmlns="dc463f71-b30c-4ab2-9473-d307f9d35888">150</IndustryCode>
    <CaseStatus xmlns="dc463f71-b30c-4ab2-9473-d307f9d35888">Closed</CaseStatus>
    <OpenedDate xmlns="dc463f71-b30c-4ab2-9473-d307f9d35888">2018-11-09T08:00:00+00:00</OpenedDate>
    <SignificantOrder xmlns="dc463f71-b30c-4ab2-9473-d307f9d35888">false</SignificantOrder>
    <Date1 xmlns="dc463f71-b30c-4ab2-9473-d307f9d35888">2018-12-11T08:00:00+00:00</Date1>
    <IsDocumentOrder xmlns="dc463f71-b30c-4ab2-9473-d307f9d35888">false</IsDocumentOrder>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180920</DocketNumber>
    <DelegatedOrder xmlns="dc463f71-b30c-4ab2-9473-d307f9d35888">false</DelegatedOrder>
  </documentManagement>
</p:properties>
</file>

<file path=customXml/itemProps1.xml><?xml version="1.0" encoding="utf-8"?>
<ds:datastoreItem xmlns:ds="http://schemas.openxmlformats.org/officeDocument/2006/customXml" ds:itemID="{3EB16B00-7552-48B2-BD77-14859DF9E5E9}"/>
</file>

<file path=customXml/itemProps2.xml><?xml version="1.0" encoding="utf-8"?>
<ds:datastoreItem xmlns:ds="http://schemas.openxmlformats.org/officeDocument/2006/customXml" ds:itemID="{BAA3BB02-CD5E-44EA-8EAE-A6468B8CAEF7}"/>
</file>

<file path=customXml/itemProps3.xml><?xml version="1.0" encoding="utf-8"?>
<ds:datastoreItem xmlns:ds="http://schemas.openxmlformats.org/officeDocument/2006/customXml" ds:itemID="{9DA21D2F-DC5C-411B-A650-AE732E83C9AD}"/>
</file>

<file path=customXml/itemProps4.xml><?xml version="1.0" encoding="utf-8"?>
<ds:datastoreItem xmlns:ds="http://schemas.openxmlformats.org/officeDocument/2006/customXml" ds:itemID="{8F5CA37A-E5AC-4CEB-8005-E642EE6BFED8}"/>
</file>

<file path=docProps/app.xml><?xml version="1.0" encoding="utf-8"?>
<Properties xmlns="http://schemas.openxmlformats.org/officeDocument/2006/extended-properties" xmlns:vt="http://schemas.openxmlformats.org/officeDocument/2006/docPropsVTypes">
  <Template>Normal.dotm</Template>
  <TotalTime>1</TotalTime>
  <Pages>5</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Wheeless</dc:creator>
  <cp:keywords/>
  <dc:description/>
  <cp:lastModifiedBy>Amy Wheeless</cp:lastModifiedBy>
  <cp:revision>3</cp:revision>
  <cp:lastPrinted>2018-12-11T16:03:00Z</cp:lastPrinted>
  <dcterms:created xsi:type="dcterms:W3CDTF">2018-12-11T16:03:00Z</dcterms:created>
  <dcterms:modified xsi:type="dcterms:W3CDTF">2018-12-11T17:25:00Z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0x0101006E56B4D1795A2E4DB2F0B01679ED314A00A007411A504D5B4E9A2D65644B7B8431</vt:lpwstr>
  </property>
  <property fmtid="{D5CDD505-2E9C-101B-9397-08002B2CF9AE}" pid="3" name="_docset_NoMedatataSyncRequired">
    <vt:lpwstr>False</vt:lpwstr>
  </property>
  <property fmtid="{D5CDD505-2E9C-101B-9397-08002B2CF9AE}" pid="4" name="IsEFSEC">
    <vt:bool>false</vt:bool>
  </property>
</Properties>
</file>