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0" w:right="577" w:firstLine="0"/>
        <w:jc w:val="center"/>
        <w:rPr>
          <w:rFonts w:ascii="Times New Roman" w:hAnsi="Times New Roman" w:cs="Times New Roman" w:eastAsia="Times New Roman"/>
          <w:sz w:val="48"/>
          <w:szCs w:val="48"/>
        </w:rPr>
      </w:pPr>
      <w:r>
        <w:rPr>
          <w:rFonts w:ascii="Times New Roman"/>
          <w:spacing w:val="-1"/>
          <w:sz w:val="48"/>
        </w:rPr>
        <w:t>Weldon</w:t>
      </w:r>
      <w:r>
        <w:rPr>
          <w:rFonts w:ascii="Times New Roman"/>
          <w:sz w:val="48"/>
        </w:rPr>
        <w:t> T. Burton CPA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90" w:lineRule="atLeast"/>
        <w:ind w:left="100" w:right="0" w:firstLine="0"/>
        <w:rPr>
          <w:rFonts w:ascii="Times New Roman" w:hAnsi="Times New Roman" w:cs="Times New Roman" w:eastAsia="Times New Roman"/>
          <w:sz w:val="9"/>
          <w:szCs w:val="9"/>
        </w:rPr>
      </w:pPr>
      <w:r>
        <w:rPr>
          <w:rFonts w:ascii="Times New Roman" w:hAnsi="Times New Roman" w:cs="Times New Roman" w:eastAsia="Times New Roman"/>
          <w:sz w:val="9"/>
          <w:szCs w:val="9"/>
        </w:rPr>
        <w:pict>
          <v:group style="width:467.9pt;height:4.7pt;mso-position-horizontal-relative:char;mso-position-vertical-relative:line" coordorigin="0,0" coordsize="9358,94">
            <v:group style="position:absolute;left:0;top:0;width:9358;height:94" coordorigin="0,0" coordsize="9358,94">
              <v:shape style="position:absolute;left:0;top:0;width:9358;height:94" coordorigin="0,0" coordsize="9358,94" path="m0,0l9358,0,9358,94,0,94,0,0xe" filled="true" fillcolor="#000000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9"/>
          <w:szCs w:val="9"/>
        </w:rPr>
      </w:r>
    </w:p>
    <w:p>
      <w:pPr>
        <w:spacing w:before="8"/>
        <w:ind w:left="0" w:right="64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2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1"/>
          <w:sz w:val="22"/>
        </w:rPr>
        <w:t>South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pacing w:val="1"/>
          <w:sz w:val="22"/>
        </w:rPr>
        <w:t>56</w:t>
      </w:r>
      <w:r>
        <w:rPr>
          <w:rFonts w:ascii="Times New Roman"/>
          <w:spacing w:val="1"/>
          <w:position w:val="8"/>
          <w:sz w:val="14"/>
        </w:rPr>
        <w:t>th</w:t>
      </w:r>
      <w:r>
        <w:rPr>
          <w:rFonts w:ascii="Times New Roman"/>
          <w:spacing w:val="12"/>
          <w:position w:val="8"/>
          <w:sz w:val="14"/>
        </w:rPr>
        <w:t> </w:t>
      </w:r>
      <w:r>
        <w:rPr>
          <w:rFonts w:ascii="Times New Roman"/>
          <w:sz w:val="22"/>
        </w:rPr>
        <w:t>Place,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2"/>
          <w:sz w:val="22"/>
        </w:rPr>
        <w:t>Suite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2"/>
          <w:sz w:val="22"/>
        </w:rPr>
        <w:t>201-E</w:t>
      </w:r>
      <w:r>
        <w:rPr>
          <w:rFonts w:ascii="Times New Roman"/>
          <w:spacing w:val="-3"/>
          <w:sz w:val="22"/>
        </w:rPr>
        <w:t> </w:t>
      </w:r>
      <w:r>
        <w:rPr>
          <w:rFonts w:ascii="WP TypographicSymbols"/>
          <w:sz w:val="22"/>
        </w:rPr>
        <w:t>!</w:t>
      </w:r>
      <w:r>
        <w:rPr>
          <w:rFonts w:ascii="WP TypographicSymbols"/>
          <w:spacing w:val="-58"/>
          <w:sz w:val="22"/>
        </w:rPr>
        <w:t> </w:t>
      </w:r>
      <w:r>
        <w:rPr>
          <w:rFonts w:ascii="Times New Roman"/>
          <w:spacing w:val="1"/>
          <w:sz w:val="22"/>
        </w:rPr>
        <w:t>Ridgefield,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1"/>
          <w:sz w:val="22"/>
        </w:rPr>
        <w:t>WA.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2"/>
          <w:sz w:val="22"/>
        </w:rPr>
        <w:t>98642</w:t>
      </w:r>
      <w:r>
        <w:rPr>
          <w:rFonts w:ascii="Times New Roman"/>
          <w:sz w:val="22"/>
        </w:rPr>
      </w:r>
    </w:p>
    <w:p>
      <w:pPr>
        <w:spacing w:before="13"/>
        <w:ind w:left="100" w:right="0" w:firstLine="85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Office</w:t>
      </w:r>
      <w:r>
        <w:rPr>
          <w:rFonts w:ascii="Times New Roman"/>
          <w:spacing w:val="-11"/>
          <w:sz w:val="22"/>
        </w:rPr>
        <w:t> </w:t>
      </w:r>
      <w:r>
        <w:rPr>
          <w:rFonts w:ascii="Times New Roman"/>
          <w:spacing w:val="2"/>
          <w:sz w:val="22"/>
        </w:rPr>
        <w:t>360-727-3643</w:t>
      </w:r>
      <w:r>
        <w:rPr>
          <w:rFonts w:ascii="Times New Roman"/>
          <w:spacing w:val="-9"/>
          <w:sz w:val="22"/>
        </w:rPr>
        <w:t> </w:t>
      </w:r>
      <w:r>
        <w:rPr>
          <w:rFonts w:ascii="WP TypographicSymbols"/>
          <w:sz w:val="22"/>
        </w:rPr>
        <w:t>!</w:t>
      </w:r>
      <w:r>
        <w:rPr>
          <w:rFonts w:ascii="WP TypographicSymbols"/>
          <w:spacing w:val="-63"/>
          <w:sz w:val="22"/>
        </w:rPr>
        <w:t> </w:t>
      </w:r>
      <w:r>
        <w:rPr>
          <w:rFonts w:ascii="Times New Roman"/>
          <w:spacing w:val="1"/>
          <w:sz w:val="22"/>
        </w:rPr>
        <w:t>Fax:</w:t>
      </w:r>
      <w:r>
        <w:rPr>
          <w:rFonts w:ascii="Times New Roman"/>
          <w:spacing w:val="-9"/>
          <w:sz w:val="22"/>
        </w:rPr>
        <w:t> </w:t>
      </w:r>
      <w:r>
        <w:rPr>
          <w:rFonts w:ascii="Times New Roman"/>
          <w:spacing w:val="2"/>
          <w:sz w:val="22"/>
        </w:rPr>
        <w:t>360-727-7637</w:t>
      </w:r>
      <w:r>
        <w:rPr>
          <w:rFonts w:ascii="Times New Roman"/>
          <w:spacing w:val="-7"/>
          <w:sz w:val="22"/>
        </w:rPr>
        <w:t> </w:t>
      </w:r>
      <w:r>
        <w:rPr>
          <w:rFonts w:ascii="WP TypographicSymbols"/>
          <w:sz w:val="22"/>
        </w:rPr>
        <w:t>!</w:t>
      </w:r>
      <w:r>
        <w:rPr>
          <w:rFonts w:ascii="WP TypographicSymbols"/>
          <w:spacing w:val="-64"/>
          <w:sz w:val="22"/>
        </w:rPr>
        <w:t> </w:t>
      </w:r>
      <w:r>
        <w:rPr>
          <w:rFonts w:ascii="Times New Roman"/>
          <w:spacing w:val="1"/>
          <w:sz w:val="22"/>
        </w:rPr>
        <w:t>Email</w:t>
      </w:r>
      <w:r>
        <w:rPr>
          <w:rFonts w:ascii="Times New Roman"/>
          <w:spacing w:val="-9"/>
          <w:sz w:val="22"/>
        </w:rPr>
        <w:t> </w:t>
      </w:r>
      <w:hyperlink r:id="rId5">
        <w:r>
          <w:rPr>
            <w:rFonts w:ascii="Times New Roman"/>
            <w:spacing w:val="1"/>
            <w:sz w:val="22"/>
          </w:rPr>
          <w:t>weldon@weldontburtoncpa.com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81"/>
        <w:ind w:right="0"/>
        <w:jc w:val="left"/>
      </w:pPr>
      <w:r>
        <w:rPr/>
        <w:t>September 15, 2017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40" w:lineRule="auto"/>
        <w:ind w:right="0"/>
        <w:jc w:val="left"/>
      </w:pPr>
      <w:r>
        <w:rPr/>
        <w:t>Mr. Steven King</w:t>
      </w:r>
    </w:p>
    <w:p>
      <w:pPr>
        <w:pStyle w:val="BodyText"/>
        <w:spacing w:line="240" w:lineRule="auto" w:before="24"/>
        <w:ind w:right="0"/>
        <w:jc w:val="left"/>
      </w:pPr>
      <w:r>
        <w:rPr/>
        <w:t>Executive Director/Secretary</w:t>
      </w:r>
    </w:p>
    <w:p>
      <w:pPr>
        <w:pStyle w:val="BodyText"/>
        <w:spacing w:line="260" w:lineRule="auto" w:before="24"/>
        <w:ind w:right="132"/>
        <w:jc w:val="left"/>
      </w:pPr>
      <w:r>
        <w:rPr>
          <w:spacing w:val="-1"/>
        </w:rPr>
        <w:t>Washington</w:t>
      </w:r>
      <w:r>
        <w:rPr/>
        <w:t> State Utilities and Transportation Commission 1300 S. </w:t>
      </w:r>
      <w:r>
        <w:rPr>
          <w:spacing w:val="-1"/>
        </w:rPr>
        <w:t>Evergreen</w:t>
      </w:r>
      <w:r>
        <w:rPr/>
        <w:t> Park Drive SW</w:t>
      </w:r>
      <w:r>
        <w:rPr>
          <w:spacing w:val="29"/>
        </w:rPr>
        <w:t> </w:t>
      </w:r>
      <w:r>
        <w:rPr>
          <w:spacing w:val="-1"/>
        </w:rPr>
        <w:t>Olympia,</w:t>
      </w:r>
      <w:r>
        <w:rPr/>
        <w:t> WA 98504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tabs>
          <w:tab w:pos="1453" w:val="left" w:leader="none"/>
        </w:tabs>
        <w:spacing w:line="240" w:lineRule="auto"/>
        <w:ind w:left="820" w:right="0"/>
        <w:jc w:val="left"/>
      </w:pPr>
      <w:r>
        <w:rPr/>
        <w:t>Re:</w:t>
        <w:tab/>
      </w:r>
      <w:r>
        <w:rPr>
          <w:spacing w:val="-1"/>
        </w:rPr>
        <w:t>Basin</w:t>
      </w:r>
      <w:r>
        <w:rPr/>
        <w:t> Disposal, </w:t>
      </w:r>
      <w:r>
        <w:rPr>
          <w:spacing w:val="-2"/>
        </w:rPr>
        <w:t>Inc.-</w:t>
      </w:r>
      <w:r>
        <w:rPr/>
        <w:t> G-118 and Ed’s Disposal, </w:t>
      </w:r>
      <w:r>
        <w:rPr>
          <w:spacing w:val="-3"/>
        </w:rPr>
        <w:t>Inc.</w:t>
      </w:r>
      <w:r>
        <w:rPr/>
        <w:t> G-110 General Rate </w:t>
      </w:r>
      <w:r>
        <w:rPr>
          <w:spacing w:val="-2"/>
        </w:rPr>
        <w:t>Filing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60" w:lineRule="auto"/>
        <w:ind w:right="132"/>
        <w:jc w:val="left"/>
      </w:pPr>
      <w:r>
        <w:rPr/>
        <w:t>On behalf of </w:t>
      </w:r>
      <w:r>
        <w:rPr>
          <w:spacing w:val="-2"/>
        </w:rPr>
        <w:t>Basin</w:t>
      </w:r>
      <w:r>
        <w:rPr/>
        <w:t> Disposal, </w:t>
      </w:r>
      <w:r>
        <w:rPr>
          <w:spacing w:val="-2"/>
        </w:rPr>
        <w:t>Inc.-</w:t>
      </w:r>
      <w:r>
        <w:rPr/>
        <w:t> G-118 General Rate </w:t>
      </w:r>
      <w:r>
        <w:rPr>
          <w:spacing w:val="-2"/>
        </w:rPr>
        <w:t>Filing</w:t>
      </w:r>
      <w:r>
        <w:rPr>
          <w:spacing w:val="-1"/>
        </w:rPr>
        <w:t> </w:t>
      </w:r>
      <w:r>
        <w:rPr/>
        <w:t>and </w:t>
      </w:r>
      <w:r>
        <w:rPr>
          <w:spacing w:val="-1"/>
        </w:rPr>
        <w:t>Ed's</w:t>
      </w:r>
      <w:r>
        <w:rPr/>
        <w:t> Disposal, </w:t>
      </w:r>
      <w:r>
        <w:rPr>
          <w:spacing w:val="-2"/>
        </w:rPr>
        <w:t>Inc.</w:t>
      </w:r>
      <w:r>
        <w:rPr/>
        <w:t> - G-110. I</w:t>
      </w:r>
      <w:r>
        <w:rPr>
          <w:spacing w:val="-9"/>
        </w:rPr>
        <w:t> </w:t>
      </w:r>
      <w:r>
        <w:rPr/>
        <w:t>am</w:t>
      </w:r>
      <w:r>
        <w:rPr>
          <w:spacing w:val="25"/>
        </w:rPr>
        <w:t> </w:t>
      </w:r>
      <w:r>
        <w:rPr/>
        <w:t>filing</w:t>
      </w:r>
      <w:r>
        <w:rPr>
          <w:spacing w:val="-3"/>
        </w:rPr>
        <w:t> </w:t>
      </w:r>
      <w:r>
        <w:rPr>
          <w:spacing w:val="-1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Tariff #94 to be effective November 1, 2017 and </w:t>
      </w:r>
      <w:r>
        <w:rPr>
          <w:spacing w:val="-4"/>
        </w:rPr>
        <w:t>Ed's</w:t>
      </w:r>
      <w:r>
        <w:rPr/>
        <w:t> Disposal, </w:t>
      </w:r>
      <w:r>
        <w:rPr>
          <w:spacing w:val="-2"/>
        </w:rPr>
        <w:t>Inc.</w:t>
      </w:r>
      <w:r>
        <w:rPr/>
        <w:t> Tariff</w:t>
      </w:r>
    </w:p>
    <w:p>
      <w:pPr>
        <w:pStyle w:val="BodyText"/>
        <w:spacing w:line="240" w:lineRule="auto" w:before="1"/>
        <w:ind w:right="0"/>
        <w:jc w:val="left"/>
      </w:pPr>
      <w:r>
        <w:rPr/>
        <w:t>#5 to be effective November 1, 2017.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60" w:lineRule="auto"/>
        <w:ind w:right="132"/>
        <w:jc w:val="left"/>
      </w:pPr>
      <w:r>
        <w:rPr/>
        <w:t>The companies are filing</w:t>
      </w:r>
      <w:r>
        <w:rPr>
          <w:spacing w:val="-8"/>
        </w:rPr>
        <w:t> </w:t>
      </w:r>
      <w:r>
        <w:rPr/>
        <w:t>a combined/consolidated financial pro forma for this case. The companies</w:t>
      </w:r>
      <w:r>
        <w:rPr/>
        <w:t> operate in </w:t>
      </w:r>
      <w:r>
        <w:rPr>
          <w:spacing w:val="-1"/>
        </w:rPr>
        <w:t>Franklin</w:t>
      </w:r>
      <w:r>
        <w:rPr/>
        <w:t> and </w:t>
      </w:r>
      <w:r>
        <w:rPr>
          <w:spacing w:val="-1"/>
        </w:rPr>
        <w:t>Benton</w:t>
      </w:r>
      <w:r>
        <w:rPr/>
        <w:t> Counties with </w:t>
      </w:r>
      <w:r>
        <w:rPr>
          <w:spacing w:val="-1"/>
        </w:rPr>
        <w:t>contiguous</w:t>
      </w:r>
      <w:r>
        <w:rPr/>
        <w:t> service areas.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t>The companies are not </w:t>
      </w:r>
      <w:r>
        <w:rPr>
          <w:spacing w:val="-2"/>
        </w:rPr>
        <w:t>merging </w:t>
      </w:r>
      <w:r>
        <w:rPr/>
        <w:t>or consolidating</w:t>
      </w:r>
      <w:r>
        <w:rPr>
          <w:spacing w:val="-3"/>
        </w:rPr>
        <w:t> </w:t>
      </w:r>
      <w:r>
        <w:rPr/>
        <w:t>their respective G certificates.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60" w:lineRule="auto"/>
        <w:ind w:right="132"/>
        <w:jc w:val="left"/>
      </w:pPr>
      <w:r>
        <w:rPr>
          <w:spacing w:val="-1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last </w:t>
      </w:r>
      <w:r>
        <w:rPr>
          <w:spacing w:val="-1"/>
        </w:rPr>
        <w:t>general</w:t>
      </w:r>
      <w:r>
        <w:rPr/>
        <w:t> rate filing</w:t>
      </w:r>
      <w:r>
        <w:rPr>
          <w:spacing w:val="-7"/>
        </w:rPr>
        <w:t> </w:t>
      </w:r>
      <w:r>
        <w:rPr/>
        <w:t>was effective </w:t>
      </w:r>
      <w:r>
        <w:rPr>
          <w:spacing w:val="-1"/>
        </w:rPr>
        <w:t>June</w:t>
      </w:r>
      <w:r>
        <w:rPr/>
        <w:t> 1, 2017, </w:t>
      </w:r>
      <w:r>
        <w:rPr>
          <w:spacing w:val="-1"/>
        </w:rPr>
        <w:t>Ed's</w:t>
      </w:r>
      <w:r>
        <w:rPr/>
        <w:t> Disposal, </w:t>
      </w:r>
      <w:r>
        <w:rPr>
          <w:spacing w:val="-2"/>
        </w:rPr>
        <w:t>Inc.</w:t>
      </w:r>
      <w:r>
        <w:rPr/>
        <w:t> last </w:t>
      </w:r>
      <w:r>
        <w:rPr>
          <w:spacing w:val="-1"/>
        </w:rPr>
        <w:t>general</w:t>
      </w:r>
      <w:r>
        <w:rPr>
          <w:spacing w:val="21"/>
        </w:rPr>
        <w:t> </w:t>
      </w:r>
      <w:r>
        <w:rPr/>
        <w:t>rate filing</w:t>
      </w:r>
      <w:r>
        <w:rPr>
          <w:spacing w:val="-4"/>
        </w:rPr>
        <w:t> </w:t>
      </w:r>
      <w:r>
        <w:rPr/>
        <w:t>was effective </w:t>
      </w:r>
      <w:r>
        <w:rPr>
          <w:spacing w:val="-2"/>
        </w:rPr>
        <w:t>August</w:t>
      </w:r>
      <w:r>
        <w:rPr/>
        <w:t> 1, 2005.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0" w:lineRule="auto"/>
        <w:ind w:right="27"/>
        <w:jc w:val="left"/>
      </w:pPr>
      <w:r>
        <w:rPr/>
        <w:t>This rate filing</w:t>
      </w:r>
      <w:r>
        <w:rPr>
          <w:spacing w:val="-4"/>
        </w:rPr>
        <w:t> </w:t>
      </w:r>
      <w:r>
        <w:rPr>
          <w:spacing w:val="-1"/>
        </w:rPr>
        <w:t>generates</w:t>
      </w:r>
      <w:r>
        <w:rPr/>
        <w:t> $476.000 or 7.5% increase in overall revenue if approved by</w:t>
      </w:r>
      <w:r>
        <w:rPr>
          <w:spacing w:val="-24"/>
        </w:rPr>
        <w:t> </w:t>
      </w:r>
      <w:r>
        <w:rPr/>
        <w:t>the Commission.</w:t>
      </w:r>
      <w:r>
        <w:rPr>
          <w:spacing w:val="26"/>
        </w:rPr>
        <w:t> </w:t>
      </w:r>
      <w:r>
        <w:rPr/>
        <w:t>The revenue increase will be bifurcated between </w:t>
      </w:r>
      <w:r>
        <w:rPr>
          <w:spacing w:val="-4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and </w:t>
      </w:r>
      <w:r>
        <w:rPr>
          <w:spacing w:val="-2"/>
        </w:rPr>
        <w:t>Ed's</w:t>
      </w:r>
      <w:r>
        <w:rPr/>
        <w:t> Disposal, </w:t>
      </w:r>
      <w:r>
        <w:rPr>
          <w:spacing w:val="-2"/>
        </w:rPr>
        <w:t>Inc.</w:t>
      </w:r>
      <w:r>
        <w:rPr/>
        <w:t> in a  ratio</w:t>
      </w:r>
      <w:r>
        <w:rPr>
          <w:spacing w:val="29"/>
        </w:rPr>
        <w:t> </w:t>
      </w:r>
      <w:r>
        <w:rPr/>
        <w:t>of $35,000 for </w:t>
      </w:r>
      <w:r>
        <w:rPr>
          <w:spacing w:val="-1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and $441,000 for </w:t>
      </w:r>
      <w:r>
        <w:rPr>
          <w:spacing w:val="-2"/>
        </w:rPr>
        <w:t>Ed's</w:t>
      </w:r>
      <w:r>
        <w:rPr/>
        <w:t> Disposal, </w:t>
      </w:r>
      <w:r>
        <w:rPr>
          <w:spacing w:val="-2"/>
        </w:rPr>
        <w:t>Inc.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60" w:lineRule="auto"/>
        <w:ind w:right="187"/>
        <w:jc w:val="left"/>
      </w:pPr>
      <w:r>
        <w:rPr/>
        <w:t>I</w:t>
      </w:r>
      <w:r>
        <w:rPr>
          <w:spacing w:val="-6"/>
        </w:rPr>
        <w:t> </w:t>
      </w:r>
      <w:r>
        <w:rPr/>
        <w:t>am enclosing</w:t>
      </w:r>
      <w:r>
        <w:rPr>
          <w:spacing w:val="-4"/>
        </w:rPr>
        <w:t> </w:t>
      </w:r>
      <w:r>
        <w:rPr/>
        <w:t>revised Tariff #94 for </w:t>
      </w:r>
      <w:r>
        <w:rPr>
          <w:spacing w:val="-2"/>
        </w:rPr>
        <w:t>Basin</w:t>
      </w:r>
      <w:r>
        <w:rPr/>
        <w:t> Disposal, </w:t>
      </w:r>
      <w:r>
        <w:rPr>
          <w:spacing w:val="-2"/>
        </w:rPr>
        <w:t>Inc.</w:t>
      </w:r>
      <w:r>
        <w:rPr/>
        <w:t> and revised Tariff #5 for </w:t>
      </w:r>
      <w:r>
        <w:rPr>
          <w:spacing w:val="-3"/>
        </w:rPr>
        <w:t>Ed's</w:t>
      </w:r>
      <w:r>
        <w:rPr/>
        <w:t> Disposal, </w:t>
      </w:r>
      <w:r>
        <w:rPr>
          <w:spacing w:val="-2"/>
        </w:rPr>
        <w:t>Inc.,</w:t>
      </w:r>
      <w:r>
        <w:rPr>
          <w:spacing w:val="29"/>
        </w:rPr>
        <w:t> </w:t>
      </w:r>
      <w:r>
        <w:rPr/>
        <w:t>an Excel workbook with the company</w:t>
      </w:r>
      <w:r>
        <w:rPr>
          <w:spacing w:val="-1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ledger,</w:t>
      </w:r>
      <w:r>
        <w:rPr/>
        <w:t> pro forma, and other accounting</w:t>
      </w:r>
      <w:r>
        <w:rPr>
          <w:spacing w:val="-1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papers.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/>
        <w:t>The proposed customer notice is also included in this transmittal.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40" w:right="7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 w:before="59"/>
        <w:ind w:right="0"/>
        <w:jc w:val="left"/>
      </w:pPr>
      <w:r>
        <w:rPr>
          <w:spacing w:val="-1"/>
        </w:rPr>
        <w:t>Page</w:t>
      </w:r>
      <w:r>
        <w:rPr/>
        <w:t> 2</w:t>
      </w:r>
    </w:p>
    <w:p>
      <w:pPr>
        <w:pStyle w:val="BodyText"/>
        <w:spacing w:line="240" w:lineRule="auto" w:before="24"/>
        <w:ind w:right="0"/>
        <w:jc w:val="left"/>
      </w:pPr>
      <w:r>
        <w:rPr/>
        <w:t>September 15, 2017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0" w:lineRule="auto"/>
        <w:ind w:right="0"/>
        <w:jc w:val="left"/>
      </w:pPr>
      <w:r>
        <w:rPr/>
        <w:t>A copy</w:t>
      </w:r>
      <w:r>
        <w:rPr>
          <w:spacing w:val="-9"/>
        </w:rPr>
        <w:t> </w:t>
      </w:r>
      <w:r>
        <w:rPr/>
        <w:t>of this letter is being</w:t>
      </w:r>
      <w:r>
        <w:rPr>
          <w:spacing w:val="-3"/>
        </w:rPr>
        <w:t> </w:t>
      </w:r>
      <w:r>
        <w:rPr/>
        <w:t>sent to Robert E. Koch, Chairman of the </w:t>
      </w:r>
      <w:r>
        <w:rPr>
          <w:spacing w:val="-1"/>
        </w:rPr>
        <w:t>Franklin</w:t>
      </w:r>
      <w:r>
        <w:rPr/>
        <w:t> County</w:t>
      </w:r>
      <w:r>
        <w:rPr>
          <w:spacing w:val="-7"/>
        </w:rPr>
        <w:t> </w:t>
      </w:r>
      <w:r>
        <w:rPr>
          <w:spacing w:val="-1"/>
        </w:rPr>
        <w:t>Board</w:t>
      </w:r>
      <w:r>
        <w:rPr/>
        <w:t> of</w:t>
      </w:r>
      <w:r>
        <w:rPr>
          <w:spacing w:val="25"/>
        </w:rPr>
        <w:t> </w:t>
      </w:r>
      <w:r>
        <w:rPr/>
        <w:t>Commissioners and James </w:t>
      </w:r>
      <w:r>
        <w:rPr>
          <w:spacing w:val="-1"/>
        </w:rPr>
        <w:t>Beaver,</w:t>
      </w:r>
      <w:r>
        <w:rPr/>
        <w:t> Chairman of the </w:t>
      </w:r>
      <w:r>
        <w:rPr>
          <w:spacing w:val="-2"/>
        </w:rPr>
        <w:t>Benton</w:t>
      </w:r>
      <w:r>
        <w:rPr/>
        <w:t> County</w:t>
      </w:r>
      <w:r>
        <w:rPr>
          <w:spacing w:val="-7"/>
        </w:rPr>
        <w:t> </w:t>
      </w:r>
      <w:r>
        <w:rPr>
          <w:spacing w:val="-1"/>
        </w:rPr>
        <w:t>Board</w:t>
      </w:r>
      <w:r>
        <w:rPr/>
        <w:t> of Commissioners.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521" w:lineRule="auto"/>
        <w:ind w:right="4472"/>
        <w:jc w:val="left"/>
      </w:pPr>
      <w:r>
        <w:rPr>
          <w:spacing w:val="-3"/>
        </w:rPr>
        <w:t>If</w:t>
      </w:r>
      <w:r>
        <w:rPr/>
        <w:t> there are any</w:t>
      </w:r>
      <w:r>
        <w:rPr>
          <w:spacing w:val="-14"/>
        </w:rPr>
        <w:t> </w:t>
      </w:r>
      <w:r>
        <w:rPr/>
        <w:t>questions please contact me.</w:t>
      </w:r>
      <w:r>
        <w:rPr>
          <w:spacing w:val="20"/>
        </w:rPr>
        <w:t> </w:t>
      </w:r>
      <w:r>
        <w:rPr/>
        <w:t>Thank </w:t>
      </w:r>
      <w:r>
        <w:rPr>
          <w:spacing w:val="-3"/>
        </w:rPr>
        <w:t>you.</w:t>
      </w:r>
    </w:p>
    <w:p>
      <w:pPr>
        <w:pStyle w:val="BodyText"/>
        <w:spacing w:line="240" w:lineRule="auto" w:before="12"/>
        <w:ind w:right="0"/>
        <w:jc w:val="left"/>
      </w:pPr>
      <w:r>
        <w:rPr/>
        <w:t>Yours </w:t>
      </w:r>
      <w:r>
        <w:rPr>
          <w:spacing w:val="-2"/>
        </w:rPr>
        <w:t>truly,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Weldon</w:t>
      </w:r>
      <w:r>
        <w:rPr/>
        <w:t> T. </w:t>
      </w:r>
      <w:r>
        <w:rPr>
          <w:spacing w:val="-1"/>
        </w:rPr>
        <w:t>Burton</w:t>
      </w:r>
    </w:p>
    <w:sectPr>
      <w:pgSz w:w="12240" w:h="15840"/>
      <w:pgMar w:top="1500" w:bottom="280" w:left="134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P TypographicSymbols">
    <w:altName w:val="WP TypographicSymbols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weldon@weldontburtoncpa.com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C0D9AF8382424091382086C3DD5F0D" ma:contentTypeVersion="104" ma:contentTypeDescription="" ma:contentTypeScope="" ma:versionID="f52abff3a337ca476b13b224a22aa0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2017-09-15T07:00:00+00:00</OpenedDate>
    <Date1 xmlns="dc463f71-b30c-4ab2-9473-d307f9d35888">2017-09-15T07:00:00+00:00</Date1>
    <IsDocumentOrder xmlns="dc463f71-b30c-4ab2-9473-d307f9d35888" xsi:nil="true"/>
    <IsHighlyConfidential xmlns="dc463f71-b30c-4ab2-9473-d307f9d35888">false</IsHighlyConfidential>
    <CaseCompanyNames xmlns="dc463f71-b30c-4ab2-9473-d307f9d35888">ED'S DISPOSAL, INC.</CaseCompanyNames>
    <Nickname xmlns="http://schemas.microsoft.com/sharepoint/v3" xsi:nil="true"/>
    <DocketNumber xmlns="dc463f71-b30c-4ab2-9473-d307f9d35888">170982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3B49402-D216-42D2-BBCC-94A5AE0FE8C9}"/>
</file>

<file path=customXml/itemProps2.xml><?xml version="1.0" encoding="utf-8"?>
<ds:datastoreItem xmlns:ds="http://schemas.openxmlformats.org/officeDocument/2006/customXml" ds:itemID="{93F33EF6-A4C3-4629-B2C1-6DC9CD96271D}"/>
</file>

<file path=customXml/itemProps3.xml><?xml version="1.0" encoding="utf-8"?>
<ds:datastoreItem xmlns:ds="http://schemas.openxmlformats.org/officeDocument/2006/customXml" ds:itemID="{0E2CB344-D2D7-4B05-B408-542700B51606}"/>
</file>

<file path=customXml/itemProps4.xml><?xml version="1.0" encoding="utf-8"?>
<ds:datastoreItem xmlns:ds="http://schemas.openxmlformats.org/officeDocument/2006/customXml" ds:itemID="{8C55EC61-C404-4DA0-9C8F-46024CF0161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Letterhead - With company name and address centered at top </dc:title>
  <dc:creator>TAMERA</dc:creator>
  <dcterms:created xsi:type="dcterms:W3CDTF">2017-09-15T15:49:15Z</dcterms:created>
  <dcterms:modified xsi:type="dcterms:W3CDTF">2017-09-15T15:49:15Z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LastSaved">
    <vt:filetime>2017-09-15T00:00:00Z</vt:filetime>
  </property>
  <property fmtid="{D5CDD505-2E9C-101B-9397-08002B2CF9AE}" pid="4" name="ContentTypeId">
    <vt:lpwstr>0x0101006E56B4D1795A2E4DB2F0B01679ED314A00D3C0D9AF8382424091382086C3DD5F0D</vt:lpwstr>
  </property>
  <property fmtid="{D5CDD505-2E9C-101B-9397-08002B2CF9AE}" pid="5" name="_docset_NoMedatataSyncRequired">
    <vt:lpwstr>False</vt:lpwstr>
  </property>
  <property fmtid="{D5CDD505-2E9C-101B-9397-08002B2CF9AE}" pid="6" name="IsEFSEC">
    <vt:bool>false</vt:bool>
  </property>
</Properties>
</file>