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Default="00CB0163" w:rsidP="00CB0163">
            <w:pPr>
              <w:spacing w:line="264" w:lineRule="auto"/>
            </w:pPr>
          </w:p>
          <w:p w14:paraId="53B6FAE8" w14:textId="77777777" w:rsidR="004618C8" w:rsidRPr="00CB1237" w:rsidRDefault="004618C8" w:rsidP="00CB0163">
            <w:pPr>
              <w:spacing w:line="264" w:lineRule="auto"/>
            </w:pPr>
          </w:p>
          <w:p w14:paraId="5E49A644" w14:textId="039C05A7" w:rsidR="00CB0163" w:rsidRDefault="00985E41" w:rsidP="00CB0163">
            <w:pPr>
              <w:spacing w:line="264" w:lineRule="auto"/>
            </w:pPr>
            <w:r>
              <w:t>NATE’S PLUMBING, INC.</w:t>
            </w:r>
          </w:p>
          <w:p w14:paraId="3F8E5DF3" w14:textId="77777777" w:rsidR="004618C8" w:rsidRPr="00CB1237" w:rsidRDefault="004618C8" w:rsidP="00CB0163">
            <w:pPr>
              <w:spacing w:line="264" w:lineRule="auto"/>
            </w:pPr>
          </w:p>
          <w:p w14:paraId="437FB58C" w14:textId="77777777" w:rsidR="00CB0163" w:rsidRPr="00CB1237" w:rsidRDefault="00CB0163" w:rsidP="00CB0163">
            <w:pPr>
              <w:spacing w:line="264" w:lineRule="auto"/>
            </w:pPr>
          </w:p>
          <w:p w14:paraId="7D0B0760" w14:textId="4F5AB5B8" w:rsidR="00B1027E" w:rsidRPr="00CB1237" w:rsidRDefault="00B571B3" w:rsidP="0001397F">
            <w:pPr>
              <w:spacing w:line="288" w:lineRule="auto"/>
            </w:pPr>
            <w:r w:rsidRPr="00CB1237">
              <w:t>in the amount of $</w:t>
            </w:r>
            <w:r w:rsidR="00985E41">
              <w:t>1</w:t>
            </w:r>
            <w:r w:rsidRPr="00CB1237">
              <w:t>,000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1934E0BD" w:rsidR="00B1027E" w:rsidRPr="00CB1237" w:rsidRDefault="00B1027E" w:rsidP="00B1027E">
      <w:pPr>
        <w:spacing w:line="288" w:lineRule="auto"/>
      </w:pPr>
      <w:r w:rsidRPr="00CB1237">
        <w:t xml:space="preserve">DOCKET </w:t>
      </w:r>
      <w:r w:rsidR="00985E41">
        <w:rPr>
          <w:bCs/>
        </w:rPr>
        <w:t>DG</w:t>
      </w:r>
      <w:r w:rsidR="00B571B3" w:rsidRPr="00CB1237">
        <w:rPr>
          <w:bCs/>
        </w:rPr>
        <w:t>-160</w:t>
      </w:r>
      <w:r w:rsidR="00985E41">
        <w:rPr>
          <w:bCs/>
        </w:rPr>
        <w:t>907</w:t>
      </w:r>
    </w:p>
    <w:p w14:paraId="2F6774FE" w14:textId="77777777" w:rsidR="00B1027E" w:rsidRPr="00CB1237" w:rsidRDefault="00B1027E" w:rsidP="00B1027E">
      <w:pPr>
        <w:spacing w:line="288" w:lineRule="auto"/>
      </w:pPr>
    </w:p>
    <w:p w14:paraId="2EFFF1F1" w14:textId="7A028B0F" w:rsidR="00B1027E" w:rsidRPr="00CB1237" w:rsidRDefault="00B1027E" w:rsidP="00B1027E">
      <w:pPr>
        <w:spacing w:line="288" w:lineRule="auto"/>
      </w:pPr>
      <w:r w:rsidRPr="00CB1237">
        <w:t>ORDER 0</w:t>
      </w:r>
      <w:r w:rsidR="00D65819">
        <w:t>2</w:t>
      </w:r>
    </w:p>
    <w:p w14:paraId="2BF170D6" w14:textId="77777777" w:rsidR="00B1027E" w:rsidRPr="00CB1237" w:rsidRDefault="00B1027E" w:rsidP="00B1027E">
      <w:pPr>
        <w:spacing w:line="288" w:lineRule="auto"/>
      </w:pPr>
    </w:p>
    <w:p w14:paraId="688283C0" w14:textId="11F46E2C" w:rsidR="00B1027E" w:rsidRDefault="00B1027E" w:rsidP="00B1027E">
      <w:pPr>
        <w:spacing w:line="288" w:lineRule="auto"/>
      </w:pPr>
      <w:r w:rsidRPr="00CB1237">
        <w:t xml:space="preserve">ORDER </w:t>
      </w:r>
      <w:r w:rsidR="00DA0EB5">
        <w:t>AFFIRMING ORDER 01</w:t>
      </w:r>
    </w:p>
    <w:p w14:paraId="47D2C2FF" w14:textId="77777777" w:rsidR="00D65819" w:rsidRDefault="00D65819" w:rsidP="00B1027E">
      <w:pPr>
        <w:spacing w:line="288" w:lineRule="auto"/>
      </w:pPr>
    </w:p>
    <w:p w14:paraId="7B8F9929" w14:textId="77777777" w:rsidR="00D65819" w:rsidRPr="00CB1237" w:rsidRDefault="00D65819" w:rsidP="00B1027E">
      <w:pPr>
        <w:spacing w:line="288" w:lineRule="auto"/>
      </w:pPr>
    </w:p>
    <w:p w14:paraId="5AED4349" w14:textId="48010596" w:rsidR="001D6547" w:rsidRPr="00CB1237" w:rsidRDefault="001D6547" w:rsidP="00347054">
      <w:pPr>
        <w:spacing w:line="288" w:lineRule="auto"/>
        <w:jc w:val="center"/>
        <w:rPr>
          <w:b/>
        </w:rPr>
      </w:pPr>
    </w:p>
    <w:p w14:paraId="43B11DC4" w14:textId="77777777" w:rsidR="00D65819" w:rsidRDefault="00D65819" w:rsidP="00CB0163">
      <w:pPr>
        <w:pStyle w:val="NoSpacing"/>
        <w:spacing w:line="264" w:lineRule="auto"/>
        <w:jc w:val="center"/>
        <w:rPr>
          <w:rFonts w:ascii="Times New Roman" w:hAnsi="Times New Roman"/>
          <w:b/>
          <w:sz w:val="24"/>
          <w:szCs w:val="24"/>
        </w:rPr>
      </w:pPr>
    </w:p>
    <w:p w14:paraId="72BD9870" w14:textId="77777777" w:rsidR="00CB0163" w:rsidRPr="00CB1237" w:rsidRDefault="00CB0163" w:rsidP="00CB0163">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6E8DF978" w14:textId="77777777" w:rsidR="00CB0163" w:rsidRPr="00CB1237" w:rsidRDefault="00CB0163" w:rsidP="00CB0163">
      <w:pPr>
        <w:pStyle w:val="NoSpacing"/>
        <w:spacing w:line="264" w:lineRule="auto"/>
        <w:rPr>
          <w:rFonts w:ascii="Times New Roman" w:hAnsi="Times New Roman"/>
          <w:sz w:val="24"/>
          <w:szCs w:val="24"/>
        </w:rPr>
      </w:pPr>
    </w:p>
    <w:p w14:paraId="72DCA0C9" w14:textId="0A5939FE" w:rsidR="00CB0163" w:rsidRPr="00CB1237" w:rsidRDefault="00CB0163" w:rsidP="00227177">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 xml:space="preserve">On </w:t>
      </w:r>
      <w:r w:rsidR="00985E41">
        <w:rPr>
          <w:rFonts w:ascii="Times New Roman" w:hAnsi="Times New Roman"/>
          <w:sz w:val="24"/>
          <w:szCs w:val="24"/>
        </w:rPr>
        <w:t>August 12</w:t>
      </w:r>
      <w:r w:rsidRPr="00CB1237">
        <w:rPr>
          <w:rFonts w:ascii="Times New Roman" w:hAnsi="Times New Roman"/>
          <w:sz w:val="24"/>
          <w:szCs w:val="24"/>
        </w:rPr>
        <w:t xml:space="preserve">, 2016, </w:t>
      </w:r>
      <w:r w:rsidR="00B571B3" w:rsidRPr="00CB1237">
        <w:rPr>
          <w:rFonts w:ascii="Times New Roman" w:hAnsi="Times New Roman"/>
          <w:sz w:val="24"/>
          <w:szCs w:val="24"/>
        </w:rPr>
        <w:t>the Washington Utilities and Transportation Commission (Commissi</w:t>
      </w:r>
      <w:r w:rsidR="00985E41">
        <w:rPr>
          <w:rFonts w:ascii="Times New Roman" w:hAnsi="Times New Roman"/>
          <w:sz w:val="24"/>
          <w:szCs w:val="24"/>
        </w:rPr>
        <w:t>on) issued Penalty Assessment DG</w:t>
      </w:r>
      <w:r w:rsidR="00B571B3" w:rsidRPr="00CB1237">
        <w:rPr>
          <w:rFonts w:ascii="Times New Roman" w:hAnsi="Times New Roman"/>
          <w:sz w:val="24"/>
          <w:szCs w:val="24"/>
        </w:rPr>
        <w:t>-160</w:t>
      </w:r>
      <w:r w:rsidR="00985E41">
        <w:rPr>
          <w:rFonts w:ascii="Times New Roman" w:hAnsi="Times New Roman"/>
          <w:sz w:val="24"/>
          <w:szCs w:val="24"/>
        </w:rPr>
        <w:t>907</w:t>
      </w:r>
      <w:r w:rsidR="00B571B3" w:rsidRPr="00CB1237">
        <w:rPr>
          <w:rFonts w:ascii="Times New Roman" w:hAnsi="Times New Roman"/>
          <w:sz w:val="24"/>
          <w:szCs w:val="24"/>
        </w:rPr>
        <w:t xml:space="preserve"> against </w:t>
      </w:r>
      <w:r w:rsidR="00985E41">
        <w:rPr>
          <w:rFonts w:ascii="Times New Roman" w:hAnsi="Times New Roman"/>
          <w:sz w:val="24"/>
          <w:szCs w:val="24"/>
        </w:rPr>
        <w:t xml:space="preserve">Nate’s Plumbing, Inc. </w:t>
      </w:r>
      <w:r w:rsidR="00B571B3" w:rsidRPr="00CB1237">
        <w:rPr>
          <w:rFonts w:ascii="Times New Roman" w:hAnsi="Times New Roman"/>
          <w:sz w:val="24"/>
          <w:szCs w:val="24"/>
        </w:rPr>
        <w:t>(</w:t>
      </w:r>
      <w:r w:rsidR="00985E41">
        <w:rPr>
          <w:rFonts w:ascii="Times New Roman" w:hAnsi="Times New Roman"/>
          <w:sz w:val="24"/>
          <w:szCs w:val="24"/>
        </w:rPr>
        <w:t>Nate’s Plumbing</w:t>
      </w:r>
      <w:r w:rsidR="00985E41" w:rsidRPr="00CB1237">
        <w:rPr>
          <w:rFonts w:ascii="Times New Roman" w:hAnsi="Times New Roman"/>
          <w:sz w:val="24"/>
          <w:szCs w:val="24"/>
        </w:rPr>
        <w:t xml:space="preserve"> </w:t>
      </w:r>
      <w:r w:rsidR="00B571B3" w:rsidRPr="00CB1237">
        <w:rPr>
          <w:rFonts w:ascii="Times New Roman" w:hAnsi="Times New Roman"/>
          <w:sz w:val="24"/>
          <w:szCs w:val="24"/>
        </w:rPr>
        <w:t>or Company) in the amount of $</w:t>
      </w:r>
      <w:r w:rsidR="00985E41">
        <w:rPr>
          <w:rFonts w:ascii="Times New Roman" w:hAnsi="Times New Roman"/>
          <w:sz w:val="24"/>
          <w:szCs w:val="24"/>
        </w:rPr>
        <w:t>1</w:t>
      </w:r>
      <w:r w:rsidR="00B571B3" w:rsidRPr="00CB1237">
        <w:rPr>
          <w:rFonts w:ascii="Times New Roman" w:hAnsi="Times New Roman"/>
          <w:sz w:val="24"/>
          <w:szCs w:val="24"/>
        </w:rPr>
        <w:t xml:space="preserve">,000, alleging </w:t>
      </w:r>
      <w:r w:rsidR="00985E41">
        <w:rPr>
          <w:rFonts w:ascii="Times New Roman" w:hAnsi="Times New Roman"/>
          <w:sz w:val="24"/>
          <w:szCs w:val="24"/>
        </w:rPr>
        <w:t>one</w:t>
      </w:r>
      <w:r w:rsidR="00B571B3" w:rsidRPr="00CB1237">
        <w:rPr>
          <w:rFonts w:ascii="Times New Roman" w:hAnsi="Times New Roman"/>
          <w:sz w:val="24"/>
          <w:szCs w:val="24"/>
        </w:rPr>
        <w:t xml:space="preserve"> violation of RCW 19.122.030(1)(a) for failing to request a </w:t>
      </w:r>
      <w:r w:rsidR="00D61266">
        <w:rPr>
          <w:rFonts w:ascii="Times New Roman" w:hAnsi="Times New Roman"/>
          <w:sz w:val="24"/>
          <w:szCs w:val="24"/>
        </w:rPr>
        <w:t>utility locate</w:t>
      </w:r>
      <w:r w:rsidR="00B571B3" w:rsidRPr="00CB1237">
        <w:rPr>
          <w:rFonts w:ascii="Times New Roman" w:hAnsi="Times New Roman"/>
          <w:sz w:val="24"/>
          <w:szCs w:val="24"/>
        </w:rPr>
        <w:t xml:space="preserve"> prior to performing </w:t>
      </w:r>
      <w:r w:rsidR="00985E41">
        <w:rPr>
          <w:rFonts w:ascii="Times New Roman" w:hAnsi="Times New Roman"/>
          <w:sz w:val="24"/>
          <w:szCs w:val="24"/>
        </w:rPr>
        <w:t xml:space="preserve">an </w:t>
      </w:r>
      <w:r w:rsidR="00B571B3" w:rsidRPr="00CB1237">
        <w:rPr>
          <w:rFonts w:ascii="Times New Roman" w:hAnsi="Times New Roman"/>
          <w:sz w:val="24"/>
          <w:szCs w:val="24"/>
        </w:rPr>
        <w:t>excavation</w:t>
      </w:r>
      <w:r w:rsidR="00985E41">
        <w:rPr>
          <w:rFonts w:ascii="Times New Roman" w:hAnsi="Times New Roman"/>
          <w:sz w:val="24"/>
          <w:szCs w:val="24"/>
        </w:rPr>
        <w:t xml:space="preserve"> </w:t>
      </w:r>
      <w:r w:rsidR="00432DFB">
        <w:rPr>
          <w:rFonts w:ascii="Times New Roman" w:hAnsi="Times New Roman"/>
          <w:sz w:val="24"/>
          <w:szCs w:val="24"/>
        </w:rPr>
        <w:t xml:space="preserve">on </w:t>
      </w:r>
      <w:r w:rsidR="00985E41">
        <w:rPr>
          <w:rFonts w:ascii="Times New Roman" w:hAnsi="Times New Roman"/>
          <w:sz w:val="24"/>
          <w:szCs w:val="24"/>
        </w:rPr>
        <w:t>October 8, 2015</w:t>
      </w:r>
      <w:r w:rsidR="00B571B3" w:rsidRPr="00CB1237">
        <w:rPr>
          <w:rFonts w:ascii="Times New Roman" w:hAnsi="Times New Roman"/>
          <w:sz w:val="24"/>
          <w:szCs w:val="24"/>
        </w:rPr>
        <w:t>.</w:t>
      </w:r>
    </w:p>
    <w:p w14:paraId="092906C2" w14:textId="2812E275" w:rsidR="00D65819" w:rsidRPr="00D65819" w:rsidRDefault="00CB0163" w:rsidP="00D65819">
      <w:pPr>
        <w:pStyle w:val="NoSpacing"/>
        <w:numPr>
          <w:ilvl w:val="0"/>
          <w:numId w:val="8"/>
        </w:numPr>
        <w:spacing w:after="240" w:line="264" w:lineRule="auto"/>
        <w:ind w:left="0" w:hanging="720"/>
        <w:rPr>
          <w:rFonts w:ascii="Times New Roman" w:hAnsi="Times New Roman"/>
          <w:sz w:val="24"/>
          <w:szCs w:val="24"/>
        </w:rPr>
      </w:pPr>
      <w:r w:rsidRPr="00D65819">
        <w:rPr>
          <w:rFonts w:ascii="Times New Roman" w:hAnsi="Times New Roman"/>
          <w:sz w:val="24"/>
          <w:szCs w:val="24"/>
        </w:rPr>
        <w:t xml:space="preserve">On </w:t>
      </w:r>
      <w:r w:rsidR="00985E41" w:rsidRPr="00D65819">
        <w:rPr>
          <w:rFonts w:ascii="Times New Roman" w:hAnsi="Times New Roman"/>
          <w:sz w:val="24"/>
          <w:szCs w:val="24"/>
        </w:rPr>
        <w:t>August 31</w:t>
      </w:r>
      <w:r w:rsidR="00645D41" w:rsidRPr="00D65819">
        <w:rPr>
          <w:rFonts w:ascii="Times New Roman" w:hAnsi="Times New Roman"/>
          <w:sz w:val="24"/>
          <w:szCs w:val="24"/>
        </w:rPr>
        <w:t>, 2016</w:t>
      </w:r>
      <w:r w:rsidRPr="00D65819">
        <w:rPr>
          <w:rFonts w:ascii="Times New Roman" w:hAnsi="Times New Roman"/>
          <w:sz w:val="24"/>
          <w:szCs w:val="24"/>
        </w:rPr>
        <w:t xml:space="preserve">, </w:t>
      </w:r>
      <w:r w:rsidR="00985E41" w:rsidRPr="00D65819">
        <w:rPr>
          <w:rFonts w:ascii="Times New Roman" w:hAnsi="Times New Roman"/>
          <w:sz w:val="24"/>
          <w:szCs w:val="24"/>
        </w:rPr>
        <w:t xml:space="preserve">Nate’s Plumbing </w:t>
      </w:r>
      <w:r w:rsidR="00B571B3" w:rsidRPr="00D65819">
        <w:rPr>
          <w:rFonts w:ascii="Times New Roman" w:hAnsi="Times New Roman"/>
          <w:sz w:val="24"/>
          <w:szCs w:val="24"/>
        </w:rPr>
        <w:t xml:space="preserve">filed </w:t>
      </w:r>
      <w:r w:rsidR="009C5A75" w:rsidRPr="00D65819">
        <w:rPr>
          <w:rFonts w:ascii="Times New Roman" w:hAnsi="Times New Roman"/>
          <w:sz w:val="24"/>
          <w:szCs w:val="24"/>
        </w:rPr>
        <w:t xml:space="preserve">an application for mitigation, </w:t>
      </w:r>
      <w:r w:rsidR="00985E41" w:rsidRPr="00D65819">
        <w:rPr>
          <w:rFonts w:ascii="Times New Roman" w:hAnsi="Times New Roman"/>
          <w:sz w:val="24"/>
          <w:szCs w:val="24"/>
        </w:rPr>
        <w:t>contesting the violation</w:t>
      </w:r>
      <w:r w:rsidR="009C5A75" w:rsidRPr="00D65819">
        <w:rPr>
          <w:rFonts w:ascii="Times New Roman" w:hAnsi="Times New Roman"/>
          <w:sz w:val="24"/>
          <w:szCs w:val="24"/>
        </w:rPr>
        <w:t xml:space="preserve"> and requesting </w:t>
      </w:r>
      <w:r w:rsidR="00985E41" w:rsidRPr="00D65819">
        <w:rPr>
          <w:rFonts w:ascii="Times New Roman" w:hAnsi="Times New Roman"/>
          <w:sz w:val="24"/>
          <w:szCs w:val="24"/>
        </w:rPr>
        <w:t>a hearing</w:t>
      </w:r>
      <w:r w:rsidR="00B571B3" w:rsidRPr="00D65819">
        <w:rPr>
          <w:rFonts w:ascii="Times New Roman" w:hAnsi="Times New Roman"/>
          <w:sz w:val="24"/>
          <w:szCs w:val="24"/>
        </w:rPr>
        <w:t xml:space="preserve">. </w:t>
      </w:r>
      <w:r w:rsidR="009C5A75" w:rsidRPr="00D65819">
        <w:rPr>
          <w:rFonts w:ascii="Times New Roman" w:hAnsi="Times New Roman"/>
          <w:bCs/>
          <w:sz w:val="24"/>
          <w:szCs w:val="24"/>
        </w:rPr>
        <w:t xml:space="preserve">On </w:t>
      </w:r>
      <w:r w:rsidR="00985E41" w:rsidRPr="00D65819">
        <w:rPr>
          <w:rFonts w:ascii="Times New Roman" w:hAnsi="Times New Roman"/>
          <w:bCs/>
          <w:sz w:val="24"/>
          <w:szCs w:val="24"/>
        </w:rPr>
        <w:t>September 27</w:t>
      </w:r>
      <w:r w:rsidR="009C5A75" w:rsidRPr="00D65819">
        <w:rPr>
          <w:rFonts w:ascii="Times New Roman" w:hAnsi="Times New Roman"/>
          <w:bCs/>
          <w:sz w:val="24"/>
          <w:szCs w:val="24"/>
        </w:rPr>
        <w:t xml:space="preserve">, 2016, </w:t>
      </w:r>
      <w:r w:rsidR="009C5A75" w:rsidRPr="00D65819">
        <w:rPr>
          <w:rFonts w:ascii="Times New Roman" w:hAnsi="Times New Roman"/>
          <w:sz w:val="24"/>
          <w:szCs w:val="24"/>
        </w:rPr>
        <w:t>Commission staff (Staff) filed a response recommending the Commission</w:t>
      </w:r>
      <w:r w:rsidR="00985E41" w:rsidRPr="00D65819">
        <w:rPr>
          <w:rFonts w:ascii="Times New Roman" w:hAnsi="Times New Roman"/>
          <w:sz w:val="24"/>
          <w:szCs w:val="24"/>
        </w:rPr>
        <w:t xml:space="preserve"> deny the Company’s </w:t>
      </w:r>
      <w:r w:rsidR="004D0F34" w:rsidRPr="00D65819">
        <w:rPr>
          <w:rFonts w:ascii="Times New Roman" w:hAnsi="Times New Roman"/>
          <w:sz w:val="24"/>
          <w:szCs w:val="24"/>
        </w:rPr>
        <w:t>request for hearing</w:t>
      </w:r>
      <w:r w:rsidR="009C5A75" w:rsidRPr="00D65819">
        <w:rPr>
          <w:rFonts w:ascii="Times New Roman" w:hAnsi="Times New Roman"/>
          <w:sz w:val="24"/>
          <w:szCs w:val="24"/>
        </w:rPr>
        <w:t>.</w:t>
      </w:r>
      <w:r w:rsidR="00D65819">
        <w:rPr>
          <w:rFonts w:ascii="Times New Roman" w:hAnsi="Times New Roman"/>
          <w:sz w:val="24"/>
          <w:szCs w:val="24"/>
        </w:rPr>
        <w:t xml:space="preserve"> On September 30, 2016, the Commission entered Order 01, Order Denying Request for Hearing; Denying Contest of Violation; Denying Mitigation (Order 01)</w:t>
      </w:r>
      <w:r w:rsidR="00436187" w:rsidRPr="00D65819">
        <w:rPr>
          <w:rFonts w:ascii="Times New Roman" w:hAnsi="Times New Roman"/>
          <w:bCs/>
          <w:sz w:val="24"/>
          <w:szCs w:val="24"/>
        </w:rPr>
        <w:t xml:space="preserve">. </w:t>
      </w:r>
    </w:p>
    <w:p w14:paraId="53C8E7EB" w14:textId="0A8B934E" w:rsidR="00227177" w:rsidRDefault="00D65819" w:rsidP="00227177">
      <w:pPr>
        <w:pStyle w:val="NoSpacing"/>
        <w:numPr>
          <w:ilvl w:val="0"/>
          <w:numId w:val="8"/>
        </w:numPr>
        <w:spacing w:after="240" w:line="264" w:lineRule="auto"/>
        <w:ind w:left="0" w:hanging="720"/>
        <w:rPr>
          <w:rFonts w:ascii="Times New Roman" w:hAnsi="Times New Roman"/>
          <w:bCs/>
          <w:sz w:val="24"/>
          <w:szCs w:val="24"/>
        </w:rPr>
      </w:pPr>
      <w:r>
        <w:rPr>
          <w:rFonts w:ascii="Times New Roman" w:hAnsi="Times New Roman"/>
          <w:bCs/>
          <w:sz w:val="24"/>
          <w:szCs w:val="24"/>
        </w:rPr>
        <w:t>On October 4, 2016, Nate’s Plumbing filed a request for review of Order 01. The Company contends that the Commission Secretary on delegated authority “failed to review that a Ticket [</w:t>
      </w:r>
      <w:r w:rsidRPr="00D65819">
        <w:rPr>
          <w:rFonts w:ascii="Times New Roman" w:hAnsi="Times New Roman"/>
          <w:bCs/>
          <w:i/>
          <w:sz w:val="24"/>
          <w:szCs w:val="24"/>
        </w:rPr>
        <w:t>sic</w:t>
      </w:r>
      <w:r>
        <w:rPr>
          <w:rFonts w:ascii="Times New Roman" w:hAnsi="Times New Roman"/>
          <w:bCs/>
          <w:sz w:val="24"/>
          <w:szCs w:val="24"/>
        </w:rPr>
        <w:t xml:space="preserve">] had been issued to the contractor and only due to a </w:t>
      </w:r>
      <w:proofErr w:type="spellStart"/>
      <w:r>
        <w:rPr>
          <w:rFonts w:ascii="Times New Roman" w:hAnsi="Times New Roman"/>
          <w:bCs/>
          <w:sz w:val="24"/>
          <w:szCs w:val="24"/>
        </w:rPr>
        <w:t>scrivenor</w:t>
      </w:r>
      <w:proofErr w:type="spellEnd"/>
      <w:r>
        <w:rPr>
          <w:rFonts w:ascii="Times New Roman" w:hAnsi="Times New Roman"/>
          <w:bCs/>
          <w:sz w:val="24"/>
          <w:szCs w:val="24"/>
        </w:rPr>
        <w:t xml:space="preserve"> [</w:t>
      </w:r>
      <w:r w:rsidRPr="00D65819">
        <w:rPr>
          <w:rFonts w:ascii="Times New Roman" w:hAnsi="Times New Roman"/>
          <w:bCs/>
          <w:i/>
          <w:sz w:val="24"/>
          <w:szCs w:val="24"/>
        </w:rPr>
        <w:t>sic</w:t>
      </w:r>
      <w:r>
        <w:rPr>
          <w:rFonts w:ascii="Times New Roman" w:hAnsi="Times New Roman"/>
          <w:bCs/>
          <w:sz w:val="24"/>
          <w:szCs w:val="24"/>
        </w:rPr>
        <w:t>] error, the ticket (which was valid) was not transferred to Nate’s Plumbing. It is fairly routine for a contractor to get the ticket number, then transfer the number to the subcontractor.”</w:t>
      </w:r>
    </w:p>
    <w:p w14:paraId="279ED321" w14:textId="77777777" w:rsidR="00227177" w:rsidRDefault="00227177">
      <w:pPr>
        <w:rPr>
          <w:rFonts w:eastAsia="Calibri"/>
          <w:bCs/>
        </w:rPr>
      </w:pPr>
      <w:r>
        <w:rPr>
          <w:bCs/>
        </w:rPr>
        <w:br w:type="page"/>
      </w:r>
    </w:p>
    <w:p w14:paraId="5D760F17" w14:textId="7E0B2052" w:rsidR="00CB0163" w:rsidRPr="00CB1237" w:rsidRDefault="00CB0163" w:rsidP="00227177">
      <w:pPr>
        <w:pStyle w:val="Heading1"/>
      </w:pPr>
      <w:r w:rsidRPr="00227177">
        <w:lastRenderedPageBreak/>
        <w:t>DISCUSSION</w:t>
      </w:r>
      <w:r w:rsidRPr="00CB1237">
        <w:t xml:space="preserve"> AND DECISION</w:t>
      </w:r>
      <w:r w:rsidR="00DA0EB5">
        <w:rPr>
          <w:rStyle w:val="FootnoteReference"/>
        </w:rPr>
        <w:footnoteReference w:id="1"/>
      </w:r>
    </w:p>
    <w:p w14:paraId="38017907" w14:textId="7BC25915" w:rsidR="00CB029C" w:rsidRDefault="00CB029C" w:rsidP="00CB029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We </w:t>
      </w:r>
      <w:r w:rsidR="00DA0EB5">
        <w:rPr>
          <w:rFonts w:ascii="Times New Roman" w:hAnsi="Times New Roman"/>
          <w:sz w:val="24"/>
          <w:szCs w:val="24"/>
        </w:rPr>
        <w:t>affirm</w:t>
      </w:r>
      <w:r>
        <w:rPr>
          <w:rFonts w:ascii="Times New Roman" w:hAnsi="Times New Roman"/>
          <w:sz w:val="24"/>
          <w:szCs w:val="24"/>
        </w:rPr>
        <w:t xml:space="preserve"> Order 01. </w:t>
      </w:r>
      <w:r w:rsidR="00DA0EB5">
        <w:rPr>
          <w:rFonts w:ascii="Times New Roman" w:hAnsi="Times New Roman"/>
          <w:sz w:val="24"/>
          <w:szCs w:val="24"/>
        </w:rPr>
        <w:t xml:space="preserve">Contrary to the Company’s contention, </w:t>
      </w:r>
      <w:r>
        <w:rPr>
          <w:rFonts w:ascii="Times New Roman" w:hAnsi="Times New Roman"/>
          <w:sz w:val="24"/>
          <w:szCs w:val="24"/>
        </w:rPr>
        <w:t xml:space="preserve">Order 01 considered the Company’s </w:t>
      </w:r>
      <w:r w:rsidR="009909FF">
        <w:rPr>
          <w:rFonts w:ascii="Times New Roman" w:hAnsi="Times New Roman"/>
          <w:sz w:val="24"/>
          <w:szCs w:val="24"/>
        </w:rPr>
        <w:t>claim</w:t>
      </w:r>
      <w:r w:rsidR="00DA0EB5">
        <w:rPr>
          <w:rFonts w:ascii="Times New Roman" w:hAnsi="Times New Roman"/>
          <w:sz w:val="24"/>
          <w:szCs w:val="24"/>
        </w:rPr>
        <w:t xml:space="preserve"> that it relied on the contractor’s </w:t>
      </w:r>
      <w:r w:rsidR="00AD778D">
        <w:rPr>
          <w:rFonts w:ascii="Times New Roman" w:hAnsi="Times New Roman"/>
          <w:sz w:val="24"/>
          <w:szCs w:val="24"/>
        </w:rPr>
        <w:t>facility locate notification</w:t>
      </w:r>
      <w:r w:rsidR="009909FF">
        <w:rPr>
          <w:rFonts w:ascii="Times New Roman" w:hAnsi="Times New Roman"/>
          <w:sz w:val="24"/>
          <w:szCs w:val="24"/>
        </w:rPr>
        <w:t xml:space="preserve"> </w:t>
      </w:r>
      <w:r>
        <w:rPr>
          <w:rFonts w:ascii="Times New Roman" w:hAnsi="Times New Roman"/>
          <w:sz w:val="24"/>
          <w:szCs w:val="24"/>
        </w:rPr>
        <w:t xml:space="preserve">and rejected </w:t>
      </w:r>
      <w:r w:rsidR="009909FF">
        <w:rPr>
          <w:rFonts w:ascii="Times New Roman" w:hAnsi="Times New Roman"/>
          <w:sz w:val="24"/>
          <w:szCs w:val="24"/>
        </w:rPr>
        <w:t>that defense</w:t>
      </w:r>
      <w:r>
        <w:rPr>
          <w:rFonts w:ascii="Times New Roman" w:hAnsi="Times New Roman"/>
          <w:sz w:val="24"/>
          <w:szCs w:val="24"/>
        </w:rPr>
        <w:t xml:space="preserve">. So do </w:t>
      </w:r>
      <w:proofErr w:type="gramStart"/>
      <w:r>
        <w:rPr>
          <w:rFonts w:ascii="Times New Roman" w:hAnsi="Times New Roman"/>
          <w:sz w:val="24"/>
          <w:szCs w:val="24"/>
        </w:rPr>
        <w:t>we</w:t>
      </w:r>
      <w:proofErr w:type="gramEnd"/>
      <w:r>
        <w:rPr>
          <w:rFonts w:ascii="Times New Roman" w:hAnsi="Times New Roman"/>
          <w:sz w:val="24"/>
          <w:szCs w:val="24"/>
        </w:rPr>
        <w:t>.</w:t>
      </w:r>
    </w:p>
    <w:p w14:paraId="788C8052" w14:textId="5ABF98A5" w:rsidR="004D0F34" w:rsidRDefault="00CB029C" w:rsidP="00A16640">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The statute, RCW 19.122.030, does not authorize a contractor to obtain a </w:t>
      </w:r>
      <w:r w:rsidR="00A16640">
        <w:rPr>
          <w:rFonts w:ascii="Times New Roman" w:hAnsi="Times New Roman"/>
          <w:sz w:val="24"/>
          <w:szCs w:val="24"/>
        </w:rPr>
        <w:t xml:space="preserve">facility locate </w:t>
      </w:r>
      <w:r>
        <w:rPr>
          <w:rFonts w:ascii="Times New Roman" w:hAnsi="Times New Roman"/>
          <w:sz w:val="24"/>
          <w:szCs w:val="24"/>
        </w:rPr>
        <w:t xml:space="preserve">ticket and transfer it to the person who excavates. Rather, the </w:t>
      </w:r>
      <w:r w:rsidRPr="00CB029C">
        <w:rPr>
          <w:rFonts w:ascii="Times New Roman" w:hAnsi="Times New Roman"/>
          <w:i/>
          <w:sz w:val="24"/>
          <w:szCs w:val="24"/>
        </w:rPr>
        <w:t>excavator</w:t>
      </w:r>
      <w:r w:rsidR="004D0F34" w:rsidRPr="00CB1237">
        <w:rPr>
          <w:rFonts w:ascii="Times New Roman" w:hAnsi="Times New Roman"/>
          <w:sz w:val="24"/>
          <w:szCs w:val="24"/>
        </w:rPr>
        <w:t xml:space="preserve"> </w:t>
      </w:r>
      <w:r>
        <w:rPr>
          <w:rFonts w:ascii="Times New Roman" w:hAnsi="Times New Roman"/>
          <w:sz w:val="24"/>
          <w:szCs w:val="24"/>
        </w:rPr>
        <w:t xml:space="preserve">must </w:t>
      </w:r>
      <w:r w:rsidR="004D0F34">
        <w:rPr>
          <w:rFonts w:ascii="Times New Roman" w:hAnsi="Times New Roman"/>
          <w:sz w:val="24"/>
          <w:szCs w:val="24"/>
        </w:rPr>
        <w:t>“</w:t>
      </w:r>
      <w:r w:rsidR="004D0F34" w:rsidRPr="00CB1237">
        <w:rPr>
          <w:rFonts w:ascii="Times New Roman" w:hAnsi="Times New Roman"/>
          <w:sz w:val="24"/>
          <w:szCs w:val="24"/>
        </w:rPr>
        <w:t>mark the boundary of the excavation area with white paint applied on the ground of the worksite, then provide notice of the scheduled commencement of excavation to all facility operators through a one-number locator service.”</w:t>
      </w:r>
      <w:r w:rsidR="004D0F34">
        <w:rPr>
          <w:rStyle w:val="FootnoteReference"/>
          <w:rFonts w:ascii="Times New Roman" w:hAnsi="Times New Roman"/>
          <w:sz w:val="25"/>
          <w:szCs w:val="25"/>
        </w:rPr>
        <w:footnoteReference w:id="2"/>
      </w:r>
      <w:r>
        <w:rPr>
          <w:rFonts w:ascii="Times New Roman" w:hAnsi="Times New Roman"/>
          <w:sz w:val="24"/>
          <w:szCs w:val="24"/>
        </w:rPr>
        <w:t xml:space="preserve"> An “excavator” is “any person who engages </w:t>
      </w:r>
      <w:r w:rsidRPr="00CB029C">
        <w:rPr>
          <w:rFonts w:ascii="Times New Roman" w:hAnsi="Times New Roman"/>
          <w:i/>
          <w:sz w:val="24"/>
          <w:szCs w:val="24"/>
        </w:rPr>
        <w:t>directly</w:t>
      </w:r>
      <w:r>
        <w:rPr>
          <w:rFonts w:ascii="Times New Roman" w:hAnsi="Times New Roman"/>
          <w:sz w:val="24"/>
          <w:szCs w:val="24"/>
        </w:rPr>
        <w:t xml:space="preserve"> in excavation.”</w:t>
      </w:r>
      <w:r>
        <w:rPr>
          <w:rStyle w:val="FootnoteReference"/>
          <w:rFonts w:ascii="Times New Roman" w:hAnsi="Times New Roman"/>
          <w:sz w:val="25"/>
          <w:szCs w:val="25"/>
        </w:rPr>
        <w:footnoteReference w:id="3"/>
      </w:r>
    </w:p>
    <w:p w14:paraId="24B550D9" w14:textId="5D4F424B" w:rsidR="00237D0D" w:rsidRPr="00237D0D" w:rsidRDefault="00237D0D" w:rsidP="00227177">
      <w:pPr>
        <w:pStyle w:val="NoSpacing"/>
        <w:numPr>
          <w:ilvl w:val="0"/>
          <w:numId w:val="8"/>
        </w:numPr>
        <w:spacing w:after="240" w:line="264" w:lineRule="auto"/>
        <w:ind w:left="0" w:hanging="720"/>
        <w:rPr>
          <w:rFonts w:ascii="Times New Roman" w:hAnsi="Times New Roman"/>
          <w:sz w:val="24"/>
          <w:szCs w:val="24"/>
        </w:rPr>
      </w:pPr>
      <w:r w:rsidRPr="00237D0D">
        <w:rPr>
          <w:rFonts w:ascii="Times New Roman" w:hAnsi="Times New Roman"/>
          <w:sz w:val="24"/>
          <w:szCs w:val="24"/>
        </w:rPr>
        <w:t xml:space="preserve">The </w:t>
      </w:r>
      <w:r w:rsidR="00A16640">
        <w:rPr>
          <w:rFonts w:ascii="Times New Roman" w:hAnsi="Times New Roman"/>
          <w:sz w:val="24"/>
          <w:szCs w:val="24"/>
        </w:rPr>
        <w:t xml:space="preserve">Company </w:t>
      </w:r>
      <w:r w:rsidR="00BE62EF">
        <w:rPr>
          <w:rFonts w:ascii="Times New Roman" w:hAnsi="Times New Roman"/>
          <w:sz w:val="24"/>
          <w:szCs w:val="24"/>
        </w:rPr>
        <w:t>admitted in its August 25, 2016, request for hearing</w:t>
      </w:r>
      <w:r w:rsidR="00A16640">
        <w:rPr>
          <w:rFonts w:ascii="Times New Roman" w:hAnsi="Times New Roman"/>
          <w:sz w:val="24"/>
          <w:szCs w:val="24"/>
        </w:rPr>
        <w:t xml:space="preserve"> that it engaged directly in the excavation that resulted in damage to underground facilities. Notwithstanding </w:t>
      </w:r>
      <w:r w:rsidR="007311E9">
        <w:rPr>
          <w:rFonts w:ascii="Times New Roman" w:hAnsi="Times New Roman"/>
          <w:sz w:val="24"/>
          <w:szCs w:val="24"/>
        </w:rPr>
        <w:t xml:space="preserve">the Company’s representation of </w:t>
      </w:r>
      <w:r w:rsidR="00A16640">
        <w:rPr>
          <w:rFonts w:ascii="Times New Roman" w:hAnsi="Times New Roman"/>
          <w:sz w:val="24"/>
          <w:szCs w:val="24"/>
        </w:rPr>
        <w:t xml:space="preserve">what </w:t>
      </w:r>
      <w:r w:rsidR="009909FF">
        <w:rPr>
          <w:rFonts w:ascii="Times New Roman" w:hAnsi="Times New Roman"/>
          <w:sz w:val="24"/>
          <w:szCs w:val="24"/>
        </w:rPr>
        <w:t>it believes is</w:t>
      </w:r>
      <w:r w:rsidR="00A16640">
        <w:rPr>
          <w:rFonts w:ascii="Times New Roman" w:hAnsi="Times New Roman"/>
          <w:sz w:val="24"/>
          <w:szCs w:val="24"/>
        </w:rPr>
        <w:t xml:space="preserve"> common practice, that statute requires Nate’s Plumbing – not the contractor – to mark the area to be excavated and </w:t>
      </w:r>
      <w:r w:rsidR="009909FF">
        <w:rPr>
          <w:rFonts w:ascii="Times New Roman" w:hAnsi="Times New Roman"/>
          <w:sz w:val="24"/>
          <w:szCs w:val="24"/>
        </w:rPr>
        <w:t xml:space="preserve">to </w:t>
      </w:r>
      <w:r w:rsidR="00A16640">
        <w:rPr>
          <w:rFonts w:ascii="Times New Roman" w:hAnsi="Times New Roman"/>
          <w:sz w:val="24"/>
          <w:szCs w:val="24"/>
        </w:rPr>
        <w:t xml:space="preserve">notify facility operators of the planned excavation through a one-number locator service prior to excavating. The Company </w:t>
      </w:r>
      <w:r w:rsidR="00BE62EF">
        <w:rPr>
          <w:rFonts w:ascii="Times New Roman" w:hAnsi="Times New Roman"/>
          <w:sz w:val="24"/>
          <w:szCs w:val="24"/>
        </w:rPr>
        <w:t>concedes</w:t>
      </w:r>
      <w:r w:rsidR="00A16640">
        <w:rPr>
          <w:rFonts w:ascii="Times New Roman" w:hAnsi="Times New Roman"/>
          <w:sz w:val="24"/>
          <w:szCs w:val="24"/>
        </w:rPr>
        <w:t xml:space="preserve"> that it did not do so. </w:t>
      </w:r>
      <w:r w:rsidRPr="00237D0D">
        <w:rPr>
          <w:rFonts w:ascii="Times New Roman" w:hAnsi="Times New Roman"/>
          <w:sz w:val="24"/>
          <w:szCs w:val="24"/>
        </w:rPr>
        <w:t>The undisputed facts</w:t>
      </w:r>
      <w:r w:rsidR="00A16640">
        <w:rPr>
          <w:rFonts w:ascii="Times New Roman" w:hAnsi="Times New Roman"/>
          <w:sz w:val="24"/>
          <w:szCs w:val="24"/>
        </w:rPr>
        <w:t>, therefore,</w:t>
      </w:r>
      <w:r w:rsidRPr="00237D0D">
        <w:rPr>
          <w:rFonts w:ascii="Times New Roman" w:hAnsi="Times New Roman"/>
          <w:sz w:val="24"/>
          <w:szCs w:val="24"/>
        </w:rPr>
        <w:t xml:space="preserve"> demonstrate that </w:t>
      </w:r>
      <w:r w:rsidR="00A16640">
        <w:rPr>
          <w:rFonts w:ascii="Times New Roman" w:hAnsi="Times New Roman"/>
          <w:sz w:val="24"/>
          <w:szCs w:val="24"/>
        </w:rPr>
        <w:t>Nate’s Plumbing violated RCW 19.122.030.</w:t>
      </w:r>
      <w:r w:rsidRPr="00237D0D">
        <w:rPr>
          <w:rFonts w:ascii="Times New Roman" w:hAnsi="Times New Roman"/>
          <w:sz w:val="24"/>
          <w:szCs w:val="24"/>
        </w:rPr>
        <w:t xml:space="preserve">  </w:t>
      </w:r>
    </w:p>
    <w:p w14:paraId="4555A891" w14:textId="0240782C" w:rsidR="00227177" w:rsidRDefault="007311E9" w:rsidP="00227177">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Nor do we find the circumstances warrant mitigation of the penalty amount</w:t>
      </w:r>
      <w:r w:rsidR="000D3139" w:rsidRPr="00D61266">
        <w:rPr>
          <w:rFonts w:ascii="Times New Roman" w:hAnsi="Times New Roman"/>
          <w:sz w:val="24"/>
          <w:szCs w:val="24"/>
        </w:rPr>
        <w:t xml:space="preserve">. </w:t>
      </w:r>
      <w:r>
        <w:rPr>
          <w:rFonts w:ascii="Times New Roman" w:hAnsi="Times New Roman"/>
          <w:sz w:val="24"/>
          <w:szCs w:val="24"/>
        </w:rPr>
        <w:t xml:space="preserve">Staff previously provided technical assistance to Nate’s </w:t>
      </w:r>
      <w:proofErr w:type="gramStart"/>
      <w:r>
        <w:rPr>
          <w:rFonts w:ascii="Times New Roman" w:hAnsi="Times New Roman"/>
          <w:sz w:val="24"/>
          <w:szCs w:val="24"/>
        </w:rPr>
        <w:t>Plumbing</w:t>
      </w:r>
      <w:proofErr w:type="gramEnd"/>
      <w:r>
        <w:rPr>
          <w:rFonts w:ascii="Times New Roman" w:hAnsi="Times New Roman"/>
          <w:sz w:val="24"/>
          <w:szCs w:val="24"/>
        </w:rPr>
        <w:t xml:space="preserve"> on </w:t>
      </w:r>
      <w:r w:rsidR="009909FF">
        <w:rPr>
          <w:rFonts w:ascii="Times New Roman" w:hAnsi="Times New Roman"/>
          <w:sz w:val="24"/>
          <w:szCs w:val="24"/>
        </w:rPr>
        <w:t>the requirements of</w:t>
      </w:r>
      <w:r>
        <w:rPr>
          <w:rFonts w:ascii="Times New Roman" w:hAnsi="Times New Roman"/>
          <w:sz w:val="24"/>
          <w:szCs w:val="24"/>
        </w:rPr>
        <w:t xml:space="preserve"> the statute at issue here, and the Company thus was fully aware of its legal obligation.</w:t>
      </w:r>
      <w:r w:rsidR="009A469B">
        <w:rPr>
          <w:rStyle w:val="FootnoteReference"/>
          <w:rFonts w:ascii="Times New Roman" w:hAnsi="Times New Roman"/>
          <w:sz w:val="24"/>
          <w:szCs w:val="24"/>
        </w:rPr>
        <w:footnoteReference w:id="4"/>
      </w:r>
      <w:r>
        <w:rPr>
          <w:rFonts w:ascii="Times New Roman" w:hAnsi="Times New Roman"/>
          <w:sz w:val="24"/>
          <w:szCs w:val="24"/>
        </w:rPr>
        <w:t xml:space="preserve"> </w:t>
      </w:r>
      <w:r w:rsidR="00361692">
        <w:rPr>
          <w:rFonts w:ascii="Times New Roman" w:hAnsi="Times New Roman"/>
          <w:sz w:val="24"/>
          <w:szCs w:val="24"/>
        </w:rPr>
        <w:t xml:space="preserve">We find that </w:t>
      </w:r>
      <w:r w:rsidR="009A469B">
        <w:rPr>
          <w:rFonts w:ascii="Times New Roman" w:hAnsi="Times New Roman"/>
          <w:sz w:val="24"/>
          <w:szCs w:val="24"/>
        </w:rPr>
        <w:t>$1,000</w:t>
      </w:r>
      <w:r w:rsidR="00361692">
        <w:rPr>
          <w:rFonts w:ascii="Times New Roman" w:hAnsi="Times New Roman"/>
          <w:sz w:val="24"/>
          <w:szCs w:val="24"/>
        </w:rPr>
        <w:t xml:space="preserve"> provides the appropriate p</w:t>
      </w:r>
      <w:r w:rsidR="009A469B">
        <w:rPr>
          <w:rFonts w:ascii="Times New Roman" w:hAnsi="Times New Roman"/>
          <w:sz w:val="24"/>
          <w:szCs w:val="24"/>
        </w:rPr>
        <w:t>enalty</w:t>
      </w:r>
      <w:r w:rsidR="00361692">
        <w:rPr>
          <w:rFonts w:ascii="Times New Roman" w:hAnsi="Times New Roman"/>
          <w:sz w:val="24"/>
          <w:szCs w:val="24"/>
        </w:rPr>
        <w:t xml:space="preserve"> for the violation and incentive to comply with the law in the future.</w:t>
      </w:r>
    </w:p>
    <w:p w14:paraId="7E4EF477" w14:textId="77777777" w:rsidR="00227177" w:rsidRDefault="00227177">
      <w:pPr>
        <w:rPr>
          <w:rFonts w:eastAsia="Calibri"/>
        </w:rPr>
      </w:pPr>
      <w:r>
        <w:br w:type="page"/>
      </w:r>
    </w:p>
    <w:p w14:paraId="5EF5440C" w14:textId="77777777" w:rsidR="0093236E" w:rsidRPr="00F94498" w:rsidRDefault="0093236E" w:rsidP="00227177">
      <w:pPr>
        <w:pStyle w:val="NoSpacing"/>
        <w:numPr>
          <w:ilvl w:val="0"/>
          <w:numId w:val="8"/>
        </w:numPr>
        <w:spacing w:after="240" w:line="264" w:lineRule="auto"/>
        <w:ind w:left="0" w:hanging="720"/>
        <w:rPr>
          <w:rFonts w:ascii="Times New Roman" w:hAnsi="Times New Roman"/>
          <w:sz w:val="24"/>
          <w:szCs w:val="24"/>
        </w:rPr>
      </w:pPr>
    </w:p>
    <w:p w14:paraId="681228EE" w14:textId="77777777" w:rsidR="00CB0163" w:rsidRPr="00CB1237" w:rsidRDefault="00CB0163" w:rsidP="00227177">
      <w:pPr>
        <w:pStyle w:val="Heading1"/>
      </w:pPr>
      <w:r w:rsidRPr="00CB1237">
        <w:t>ORDER</w:t>
      </w:r>
    </w:p>
    <w:p w14:paraId="2AD9756E" w14:textId="77777777" w:rsidR="00CB0163" w:rsidRPr="00CB1237" w:rsidRDefault="00CB0163" w:rsidP="00227177">
      <w:pPr>
        <w:spacing w:after="240" w:line="264" w:lineRule="auto"/>
      </w:pPr>
      <w:r w:rsidRPr="00CB1237">
        <w:t>THE COMMISSION ORDERS THAT:</w:t>
      </w:r>
    </w:p>
    <w:p w14:paraId="4A7E08EC" w14:textId="39186103" w:rsidR="00CB0163" w:rsidRPr="00CB1237" w:rsidRDefault="00EB34C8" w:rsidP="00227177">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(1)</w:t>
      </w:r>
      <w:r w:rsidRPr="00CB1237">
        <w:rPr>
          <w:rFonts w:ascii="Times New Roman" w:hAnsi="Times New Roman"/>
          <w:sz w:val="24"/>
          <w:szCs w:val="24"/>
        </w:rPr>
        <w:tab/>
      </w:r>
      <w:r w:rsidR="00D65819">
        <w:rPr>
          <w:rFonts w:ascii="Times New Roman" w:hAnsi="Times New Roman"/>
          <w:sz w:val="24"/>
          <w:szCs w:val="24"/>
        </w:rPr>
        <w:t xml:space="preserve">The Commission </w:t>
      </w:r>
      <w:r w:rsidR="009909FF">
        <w:rPr>
          <w:rFonts w:ascii="Times New Roman" w:hAnsi="Times New Roman"/>
          <w:sz w:val="24"/>
          <w:szCs w:val="24"/>
        </w:rPr>
        <w:t>AFFIRMS and adopts</w:t>
      </w:r>
      <w:r w:rsidR="00D65819">
        <w:rPr>
          <w:rFonts w:ascii="Times New Roman" w:hAnsi="Times New Roman"/>
          <w:sz w:val="24"/>
          <w:szCs w:val="24"/>
        </w:rPr>
        <w:t xml:space="preserve"> Order 01</w:t>
      </w:r>
      <w:r w:rsidR="009909FF">
        <w:rPr>
          <w:rFonts w:ascii="Times New Roman" w:hAnsi="Times New Roman"/>
          <w:sz w:val="24"/>
          <w:szCs w:val="24"/>
        </w:rPr>
        <w:t xml:space="preserve"> as its own</w:t>
      </w:r>
      <w:r w:rsidR="005A3029" w:rsidRPr="00CB1237">
        <w:rPr>
          <w:rFonts w:ascii="Times New Roman" w:hAnsi="Times New Roman"/>
          <w:sz w:val="24"/>
          <w:szCs w:val="24"/>
        </w:rPr>
        <w:t xml:space="preserve">. </w:t>
      </w:r>
    </w:p>
    <w:p w14:paraId="40B7CC27" w14:textId="1208B584" w:rsidR="00EB34C8" w:rsidRPr="00CB1237" w:rsidRDefault="00EB34C8" w:rsidP="00227177">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(2)</w:t>
      </w:r>
      <w:r w:rsidRPr="00CB1237">
        <w:rPr>
          <w:rFonts w:ascii="Times New Roman" w:hAnsi="Times New Roman"/>
          <w:sz w:val="24"/>
          <w:szCs w:val="24"/>
        </w:rPr>
        <w:tab/>
      </w:r>
      <w:r w:rsidR="00361692">
        <w:rPr>
          <w:rFonts w:ascii="Times New Roman" w:hAnsi="Times New Roman"/>
          <w:sz w:val="24"/>
          <w:szCs w:val="24"/>
        </w:rPr>
        <w:t>Nate’s Plumbing, Inc., must pay t</w:t>
      </w:r>
      <w:r w:rsidR="00F94498">
        <w:rPr>
          <w:rFonts w:ascii="Times New Roman" w:hAnsi="Times New Roman"/>
          <w:sz w:val="24"/>
          <w:szCs w:val="24"/>
        </w:rPr>
        <w:t>he $</w:t>
      </w:r>
      <w:r w:rsidR="00237D0D">
        <w:rPr>
          <w:rFonts w:ascii="Times New Roman" w:hAnsi="Times New Roman"/>
          <w:sz w:val="24"/>
          <w:szCs w:val="24"/>
        </w:rPr>
        <w:t>1</w:t>
      </w:r>
      <w:r w:rsidR="00F94498">
        <w:rPr>
          <w:rFonts w:ascii="Times New Roman" w:hAnsi="Times New Roman"/>
          <w:sz w:val="24"/>
          <w:szCs w:val="24"/>
        </w:rPr>
        <w:t xml:space="preserve">,000 penalty no later than </w:t>
      </w:r>
      <w:r w:rsidR="00237D0D">
        <w:rPr>
          <w:rFonts w:ascii="Times New Roman" w:hAnsi="Times New Roman"/>
          <w:sz w:val="24"/>
          <w:szCs w:val="24"/>
        </w:rPr>
        <w:t xml:space="preserve">October </w:t>
      </w:r>
      <w:r w:rsidR="009909FF">
        <w:rPr>
          <w:rFonts w:ascii="Times New Roman" w:hAnsi="Times New Roman"/>
          <w:sz w:val="24"/>
          <w:szCs w:val="24"/>
        </w:rPr>
        <w:t>14</w:t>
      </w:r>
      <w:r w:rsidR="00F94498">
        <w:rPr>
          <w:rFonts w:ascii="Times New Roman" w:hAnsi="Times New Roman"/>
          <w:sz w:val="24"/>
          <w:szCs w:val="24"/>
        </w:rPr>
        <w:t>, 2016</w:t>
      </w:r>
      <w:r w:rsidRPr="00CB1237">
        <w:rPr>
          <w:rFonts w:ascii="Times New Roman" w:hAnsi="Times New Roman"/>
          <w:sz w:val="24"/>
          <w:szCs w:val="24"/>
        </w:rPr>
        <w:t>.</w:t>
      </w:r>
    </w:p>
    <w:p w14:paraId="2290B464" w14:textId="18D0E96B" w:rsidR="00CB0163" w:rsidRPr="00CB1237" w:rsidRDefault="00CB0163" w:rsidP="00227177">
      <w:pPr>
        <w:spacing w:after="240" w:line="264" w:lineRule="auto"/>
      </w:pPr>
      <w:r w:rsidRPr="00CB1237">
        <w:t xml:space="preserve">DATED at Olympia, Washington, and effective </w:t>
      </w:r>
      <w:r w:rsidR="00D65819">
        <w:t xml:space="preserve">October </w:t>
      </w:r>
      <w:r w:rsidR="00AD778D">
        <w:t>7</w:t>
      </w:r>
      <w:r w:rsidR="0026116F" w:rsidRPr="00CB1237">
        <w:t>, 2016</w:t>
      </w:r>
      <w:r w:rsidRPr="00CB1237">
        <w:t>.</w:t>
      </w:r>
    </w:p>
    <w:p w14:paraId="0A603641" w14:textId="77777777" w:rsidR="00CB029C" w:rsidRPr="00CB1237" w:rsidRDefault="00CB029C" w:rsidP="00CB029C">
      <w:pPr>
        <w:spacing w:line="264" w:lineRule="auto"/>
        <w:jc w:val="center"/>
      </w:pPr>
      <w:r w:rsidRPr="00CB1237">
        <w:t>WASHINGTON UTILITIES AND TRANSPORTATION COMMISSION</w:t>
      </w:r>
    </w:p>
    <w:p w14:paraId="280E12B0" w14:textId="77777777" w:rsidR="00CB029C" w:rsidRPr="00CB1237" w:rsidRDefault="00CB029C" w:rsidP="00CB029C">
      <w:pPr>
        <w:spacing w:line="264" w:lineRule="auto"/>
      </w:pPr>
    </w:p>
    <w:p w14:paraId="3EEFB0D2" w14:textId="77777777" w:rsidR="00CB029C" w:rsidRPr="00CB1237" w:rsidRDefault="00CB029C" w:rsidP="00CB029C">
      <w:pPr>
        <w:spacing w:line="264" w:lineRule="auto"/>
      </w:pPr>
    </w:p>
    <w:p w14:paraId="0C5F3BB0" w14:textId="77777777" w:rsidR="00CB029C" w:rsidRPr="00CB1237" w:rsidRDefault="00CB029C" w:rsidP="00CB029C">
      <w:pPr>
        <w:spacing w:line="264" w:lineRule="auto"/>
      </w:pPr>
    </w:p>
    <w:p w14:paraId="3C8188C8" w14:textId="77777777" w:rsidR="00CB029C" w:rsidRPr="002D13D7" w:rsidRDefault="00CB029C" w:rsidP="00CB029C">
      <w:pPr>
        <w:spacing w:after="840" w:line="288" w:lineRule="auto"/>
        <w:ind w:left="3600"/>
      </w:pPr>
      <w:r w:rsidRPr="002D13D7">
        <w:t>DAVID W. DANNER, Chairman</w:t>
      </w:r>
    </w:p>
    <w:p w14:paraId="50694330" w14:textId="77777777" w:rsidR="00CB029C" w:rsidRPr="002D13D7" w:rsidRDefault="00CB029C" w:rsidP="00CB029C">
      <w:pPr>
        <w:spacing w:after="840" w:line="288" w:lineRule="auto"/>
        <w:ind w:left="3600"/>
      </w:pPr>
      <w:r w:rsidRPr="002D13D7">
        <w:t>PHILIP B. JONES, Commissioner</w:t>
      </w:r>
    </w:p>
    <w:p w14:paraId="71435CCE" w14:textId="77777777" w:rsidR="00CB029C" w:rsidRPr="00CB1237" w:rsidRDefault="00CB029C" w:rsidP="00CB029C">
      <w:pPr>
        <w:spacing w:after="840" w:line="288" w:lineRule="auto"/>
        <w:ind w:left="3600"/>
      </w:pPr>
      <w:r w:rsidRPr="002D13D7">
        <w:t>ANN E. RENDAHL, Commissioner</w:t>
      </w:r>
    </w:p>
    <w:p w14:paraId="21A07091" w14:textId="77777777" w:rsidR="00CB0163" w:rsidRPr="00CB1237" w:rsidRDefault="00CB0163" w:rsidP="00CB0163">
      <w:pPr>
        <w:spacing w:line="264" w:lineRule="auto"/>
      </w:pPr>
    </w:p>
    <w:p w14:paraId="230B23EC" w14:textId="77777777" w:rsidR="00CB0163" w:rsidRPr="00CB1237" w:rsidRDefault="00CB0163" w:rsidP="00CB0163">
      <w:pPr>
        <w:spacing w:line="264" w:lineRule="auto"/>
      </w:pPr>
    </w:p>
    <w:p w14:paraId="61B9F9BE" w14:textId="36258035" w:rsidR="00964F36" w:rsidRPr="00CB1237" w:rsidRDefault="00CB0163" w:rsidP="00D65819">
      <w:pPr>
        <w:spacing w:line="288" w:lineRule="auto"/>
        <w:ind w:left="3600" w:firstLine="720"/>
        <w:rPr>
          <w:b/>
        </w:rPr>
      </w:pPr>
      <w:r w:rsidRPr="00CB1237">
        <w:tab/>
      </w:r>
      <w:r w:rsidRPr="00CB1237">
        <w:tab/>
      </w:r>
      <w:r w:rsidRPr="00CB1237">
        <w:tab/>
      </w:r>
      <w:r w:rsidRPr="00CB1237">
        <w:tab/>
      </w:r>
      <w:r w:rsidRPr="00CB1237">
        <w:tab/>
      </w:r>
    </w:p>
    <w:p w14:paraId="18552984" w14:textId="77777777" w:rsidR="006972FB" w:rsidRPr="00CB1237" w:rsidRDefault="006972FB" w:rsidP="00CB0163">
      <w:pPr>
        <w:spacing w:line="288" w:lineRule="auto"/>
        <w:jc w:val="center"/>
        <w:rPr>
          <w:b/>
          <w:bCs/>
        </w:rPr>
      </w:pPr>
    </w:p>
    <w:sectPr w:rsidR="006972FB" w:rsidRPr="00CB1237"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EC01" w14:textId="77777777" w:rsidR="00F909BD" w:rsidRDefault="00F909BD">
      <w:r>
        <w:separator/>
      </w:r>
    </w:p>
  </w:endnote>
  <w:endnote w:type="continuationSeparator" w:id="0">
    <w:p w14:paraId="270FD90C" w14:textId="77777777" w:rsidR="00F909BD" w:rsidRDefault="00F9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817" w14:textId="77777777" w:rsidR="00227177" w:rsidRDefault="00227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B944" w14:textId="77777777" w:rsidR="00227177" w:rsidRDefault="00227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AF1D" w14:textId="77777777" w:rsidR="00227177" w:rsidRDefault="00227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43CC" w14:textId="77777777" w:rsidR="00F909BD" w:rsidRDefault="00F909BD">
      <w:r>
        <w:separator/>
      </w:r>
    </w:p>
  </w:footnote>
  <w:footnote w:type="continuationSeparator" w:id="0">
    <w:p w14:paraId="31AA589C" w14:textId="77777777" w:rsidR="00F909BD" w:rsidRDefault="00F909BD">
      <w:r>
        <w:continuationSeparator/>
      </w:r>
    </w:p>
  </w:footnote>
  <w:footnote w:id="1">
    <w:p w14:paraId="0BE3D58A" w14:textId="621224CB" w:rsidR="00DA0EB5" w:rsidRPr="00DA0EB5" w:rsidRDefault="00DA0EB5" w:rsidP="00DA0EB5">
      <w:pPr>
        <w:pStyle w:val="FootnoteText"/>
        <w:spacing w:after="120"/>
        <w:rPr>
          <w:sz w:val="22"/>
          <w:szCs w:val="22"/>
        </w:rPr>
      </w:pPr>
      <w:r>
        <w:rPr>
          <w:rStyle w:val="FootnoteReference"/>
        </w:rPr>
        <w:footnoteRef/>
      </w:r>
      <w:r>
        <w:t xml:space="preserve"> </w:t>
      </w:r>
      <w:r>
        <w:rPr>
          <w:sz w:val="22"/>
          <w:szCs w:val="22"/>
        </w:rPr>
        <w:t xml:space="preserve">The Commission exercises its discretion under WAC 480-07-110 to undertake review based on the written record, rather than </w:t>
      </w:r>
      <w:r w:rsidR="00AD778D">
        <w:rPr>
          <w:sz w:val="22"/>
          <w:szCs w:val="22"/>
        </w:rPr>
        <w:t xml:space="preserve">through consideration </w:t>
      </w:r>
      <w:r>
        <w:rPr>
          <w:sz w:val="22"/>
          <w:szCs w:val="22"/>
        </w:rPr>
        <w:t>at an open meeting as contemplated in WAC 480-07-904.</w:t>
      </w:r>
    </w:p>
  </w:footnote>
  <w:footnote w:id="2">
    <w:p w14:paraId="25EBD41F" w14:textId="49F67963" w:rsidR="00A16640" w:rsidRPr="00FA59FF" w:rsidRDefault="00A16640" w:rsidP="004D0F34">
      <w:pPr>
        <w:pStyle w:val="FootnoteText"/>
        <w:spacing w:after="120"/>
        <w:rPr>
          <w:sz w:val="22"/>
          <w:szCs w:val="22"/>
        </w:rPr>
      </w:pPr>
      <w:r w:rsidRPr="00FA59FF">
        <w:rPr>
          <w:rStyle w:val="FootnoteReference"/>
          <w:sz w:val="22"/>
          <w:szCs w:val="22"/>
        </w:rPr>
        <w:footnoteRef/>
      </w:r>
      <w:r w:rsidRPr="00FA59FF">
        <w:rPr>
          <w:sz w:val="22"/>
          <w:szCs w:val="22"/>
        </w:rPr>
        <w:t xml:space="preserve"> </w:t>
      </w:r>
      <w:proofErr w:type="spellStart"/>
      <w:r w:rsidRPr="00FA59FF">
        <w:rPr>
          <w:sz w:val="22"/>
          <w:szCs w:val="22"/>
        </w:rPr>
        <w:t>RCW</w:t>
      </w:r>
      <w:proofErr w:type="spellEnd"/>
      <w:r w:rsidRPr="00FA59FF">
        <w:rPr>
          <w:sz w:val="22"/>
          <w:szCs w:val="22"/>
        </w:rPr>
        <w:t xml:space="preserve"> 19.122.0</w:t>
      </w:r>
      <w:r>
        <w:rPr>
          <w:sz w:val="22"/>
          <w:szCs w:val="22"/>
        </w:rPr>
        <w:t>30</w:t>
      </w:r>
      <w:r w:rsidRPr="00FA59FF">
        <w:rPr>
          <w:sz w:val="22"/>
          <w:szCs w:val="22"/>
        </w:rPr>
        <w:t>(1</w:t>
      </w:r>
      <w:proofErr w:type="gramStart"/>
      <w:r w:rsidRPr="00FA59FF">
        <w:rPr>
          <w:sz w:val="22"/>
          <w:szCs w:val="22"/>
        </w:rPr>
        <w:t>)(</w:t>
      </w:r>
      <w:proofErr w:type="gramEnd"/>
      <w:r w:rsidRPr="00FA59FF">
        <w:rPr>
          <w:sz w:val="22"/>
          <w:szCs w:val="22"/>
        </w:rPr>
        <w:t>a).</w:t>
      </w:r>
    </w:p>
  </w:footnote>
  <w:footnote w:id="3">
    <w:p w14:paraId="2C30DB57" w14:textId="68569CBD" w:rsidR="00A16640" w:rsidRPr="00FA59FF" w:rsidRDefault="00A16640" w:rsidP="00CB029C">
      <w:pPr>
        <w:pStyle w:val="FootnoteText"/>
        <w:spacing w:after="120"/>
        <w:rPr>
          <w:sz w:val="22"/>
          <w:szCs w:val="22"/>
        </w:rPr>
      </w:pPr>
      <w:r w:rsidRPr="00FA59FF">
        <w:rPr>
          <w:rStyle w:val="FootnoteReference"/>
          <w:sz w:val="22"/>
          <w:szCs w:val="22"/>
        </w:rPr>
        <w:footnoteRef/>
      </w:r>
      <w:r w:rsidRPr="00FA59FF">
        <w:rPr>
          <w:sz w:val="22"/>
          <w:szCs w:val="22"/>
        </w:rPr>
        <w:t xml:space="preserve"> RCW 19.122.0</w:t>
      </w:r>
      <w:r>
        <w:rPr>
          <w:sz w:val="22"/>
          <w:szCs w:val="22"/>
        </w:rPr>
        <w:t>20</w:t>
      </w:r>
      <w:r w:rsidRPr="00FA59FF">
        <w:rPr>
          <w:sz w:val="22"/>
          <w:szCs w:val="22"/>
        </w:rPr>
        <w:t>(1</w:t>
      </w:r>
      <w:r>
        <w:rPr>
          <w:sz w:val="22"/>
          <w:szCs w:val="22"/>
        </w:rPr>
        <w:t>0</w:t>
      </w:r>
      <w:r w:rsidRPr="00FA59FF">
        <w:rPr>
          <w:sz w:val="22"/>
          <w:szCs w:val="22"/>
        </w:rPr>
        <w:t>)</w:t>
      </w:r>
      <w:r>
        <w:rPr>
          <w:sz w:val="22"/>
          <w:szCs w:val="22"/>
        </w:rPr>
        <w:t xml:space="preserve"> (emphasis added)</w:t>
      </w:r>
      <w:r w:rsidRPr="00FA59FF">
        <w:rPr>
          <w:sz w:val="22"/>
          <w:szCs w:val="22"/>
        </w:rPr>
        <w:t>.</w:t>
      </w:r>
    </w:p>
  </w:footnote>
  <w:footnote w:id="4">
    <w:p w14:paraId="1FA3D130" w14:textId="209F112D" w:rsidR="009A469B" w:rsidRPr="009A469B" w:rsidRDefault="009A469B" w:rsidP="009A469B">
      <w:pPr>
        <w:pStyle w:val="FootnoteText"/>
        <w:spacing w:after="120"/>
        <w:rPr>
          <w:sz w:val="22"/>
          <w:szCs w:val="22"/>
        </w:rPr>
      </w:pPr>
      <w:r>
        <w:rPr>
          <w:rStyle w:val="FootnoteReference"/>
        </w:rPr>
        <w:footnoteRef/>
      </w:r>
      <w:r>
        <w:t xml:space="preserve"> </w:t>
      </w:r>
      <w:r w:rsidRPr="009A469B">
        <w:rPr>
          <w:sz w:val="22"/>
          <w:szCs w:val="22"/>
        </w:rPr>
        <w:t>We are also concerned with the Company owner’s conduct as described in Staff’s response to the request for hearing. We will not tolerate, much less reward, abusive behavior directed to our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A230" w14:textId="77777777" w:rsidR="00227177" w:rsidRDefault="00227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0E630412" w:rsidR="00A16640" w:rsidRDefault="00A16640" w:rsidP="00A21BEB">
    <w:pPr>
      <w:pStyle w:val="Header"/>
      <w:tabs>
        <w:tab w:val="clear" w:pos="8640"/>
        <w:tab w:val="right" w:pos="8100"/>
      </w:tabs>
      <w:rPr>
        <w:b/>
        <w:bCs/>
        <w:sz w:val="20"/>
        <w:szCs w:val="20"/>
      </w:rPr>
    </w:pPr>
    <w:r w:rsidRPr="00B85B2D">
      <w:rPr>
        <w:b/>
        <w:bCs/>
        <w:sz w:val="20"/>
        <w:szCs w:val="20"/>
      </w:rPr>
      <w:t xml:space="preserve">DOCKET </w:t>
    </w:r>
    <w:r>
      <w:rPr>
        <w:b/>
        <w:bCs/>
        <w:sz w:val="20"/>
        <w:szCs w:val="20"/>
      </w:rPr>
      <w:t>DG-160907</w:t>
    </w:r>
  </w:p>
  <w:p w14:paraId="3C03D472" w14:textId="41EF39ED" w:rsidR="00A16640" w:rsidRDefault="009A469B" w:rsidP="00A21BEB">
    <w:pPr>
      <w:pStyle w:val="Header"/>
      <w:tabs>
        <w:tab w:val="clear" w:pos="8640"/>
        <w:tab w:val="right" w:pos="8100"/>
      </w:tabs>
      <w:rPr>
        <w:rStyle w:val="PageNumber"/>
        <w:b/>
        <w:bCs/>
        <w:sz w:val="20"/>
        <w:szCs w:val="20"/>
      </w:rPr>
    </w:pPr>
    <w:r>
      <w:rPr>
        <w:b/>
        <w:bCs/>
        <w:sz w:val="20"/>
        <w:szCs w:val="20"/>
      </w:rPr>
      <w:t>Order 02</w:t>
    </w:r>
    <w:r w:rsidR="00A16640" w:rsidRPr="00B85B2D">
      <w:rPr>
        <w:b/>
        <w:bCs/>
        <w:sz w:val="20"/>
        <w:szCs w:val="20"/>
      </w:rPr>
      <w:tab/>
    </w:r>
    <w:r w:rsidR="00A16640" w:rsidRPr="00B85B2D">
      <w:rPr>
        <w:b/>
        <w:bCs/>
        <w:sz w:val="20"/>
        <w:szCs w:val="20"/>
      </w:rPr>
      <w:tab/>
      <w:t xml:space="preserve">PAGE </w:t>
    </w:r>
    <w:r w:rsidR="00A16640" w:rsidRPr="00B85B2D">
      <w:rPr>
        <w:rStyle w:val="PageNumber"/>
        <w:b/>
        <w:bCs/>
        <w:sz w:val="20"/>
        <w:szCs w:val="20"/>
      </w:rPr>
      <w:fldChar w:fldCharType="begin"/>
    </w:r>
    <w:r w:rsidR="00A16640" w:rsidRPr="00B85B2D">
      <w:rPr>
        <w:rStyle w:val="PageNumber"/>
        <w:b/>
        <w:bCs/>
        <w:sz w:val="20"/>
        <w:szCs w:val="20"/>
      </w:rPr>
      <w:instrText xml:space="preserve"> PAGE </w:instrText>
    </w:r>
    <w:r w:rsidR="00A16640" w:rsidRPr="00B85B2D">
      <w:rPr>
        <w:rStyle w:val="PageNumber"/>
        <w:b/>
        <w:bCs/>
        <w:sz w:val="20"/>
        <w:szCs w:val="20"/>
      </w:rPr>
      <w:fldChar w:fldCharType="separate"/>
    </w:r>
    <w:r w:rsidR="00227177">
      <w:rPr>
        <w:rStyle w:val="PageNumber"/>
        <w:b/>
        <w:bCs/>
        <w:noProof/>
        <w:sz w:val="20"/>
        <w:szCs w:val="20"/>
      </w:rPr>
      <w:t>3</w:t>
    </w:r>
    <w:r w:rsidR="00A16640" w:rsidRPr="00B85B2D">
      <w:rPr>
        <w:rStyle w:val="PageNumber"/>
        <w:b/>
        <w:bCs/>
        <w:sz w:val="20"/>
        <w:szCs w:val="20"/>
      </w:rPr>
      <w:fldChar w:fldCharType="end"/>
    </w:r>
  </w:p>
  <w:p w14:paraId="2B73C76D" w14:textId="77777777" w:rsidR="00A16640" w:rsidRDefault="00A16640">
    <w:pPr>
      <w:pStyle w:val="Header"/>
      <w:tabs>
        <w:tab w:val="clear" w:pos="8640"/>
        <w:tab w:val="right" w:pos="8100"/>
      </w:tabs>
      <w:rPr>
        <w:rStyle w:val="PageNumber"/>
        <w:b/>
        <w:bCs/>
        <w:sz w:val="20"/>
        <w:szCs w:val="20"/>
      </w:rPr>
    </w:pPr>
  </w:p>
  <w:p w14:paraId="13B67592" w14:textId="77777777" w:rsidR="00A16640" w:rsidRPr="00B85B2D" w:rsidRDefault="00A16640">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6824" w14:textId="6362D837" w:rsidR="00227177" w:rsidRDefault="00227177" w:rsidP="00227177">
    <w:pPr>
      <w:pStyle w:val="Header"/>
      <w:jc w:val="right"/>
    </w:pPr>
    <w:r>
      <w:t xml:space="preserve">Service Date: October 7, </w:t>
    </w:r>
    <w: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97F"/>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139"/>
    <w:rsid w:val="000D3ACC"/>
    <w:rsid w:val="000D4261"/>
    <w:rsid w:val="000D74CA"/>
    <w:rsid w:val="000D77CC"/>
    <w:rsid w:val="000E0772"/>
    <w:rsid w:val="000E1196"/>
    <w:rsid w:val="000E1EB1"/>
    <w:rsid w:val="000E2A61"/>
    <w:rsid w:val="000E4BC7"/>
    <w:rsid w:val="000F0649"/>
    <w:rsid w:val="001007E1"/>
    <w:rsid w:val="00101D97"/>
    <w:rsid w:val="00103960"/>
    <w:rsid w:val="00111219"/>
    <w:rsid w:val="00111B07"/>
    <w:rsid w:val="00112B93"/>
    <w:rsid w:val="001155A4"/>
    <w:rsid w:val="001155D2"/>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02DC"/>
    <w:rsid w:val="00223687"/>
    <w:rsid w:val="002258B1"/>
    <w:rsid w:val="00225BA3"/>
    <w:rsid w:val="00226090"/>
    <w:rsid w:val="002260E1"/>
    <w:rsid w:val="00227177"/>
    <w:rsid w:val="00227F07"/>
    <w:rsid w:val="00230FD0"/>
    <w:rsid w:val="00233D02"/>
    <w:rsid w:val="002376DA"/>
    <w:rsid w:val="00237D0D"/>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69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3F7CAD"/>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187"/>
    <w:rsid w:val="00436446"/>
    <w:rsid w:val="00437E4C"/>
    <w:rsid w:val="00441E21"/>
    <w:rsid w:val="00444529"/>
    <w:rsid w:val="00444E53"/>
    <w:rsid w:val="0044560D"/>
    <w:rsid w:val="00447286"/>
    <w:rsid w:val="00447DDD"/>
    <w:rsid w:val="00450C85"/>
    <w:rsid w:val="0045128B"/>
    <w:rsid w:val="0046023D"/>
    <w:rsid w:val="004614D7"/>
    <w:rsid w:val="004618C8"/>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0F34"/>
    <w:rsid w:val="004D1695"/>
    <w:rsid w:val="004D1765"/>
    <w:rsid w:val="004D2214"/>
    <w:rsid w:val="004D24E3"/>
    <w:rsid w:val="004D2B76"/>
    <w:rsid w:val="004D561C"/>
    <w:rsid w:val="004D692C"/>
    <w:rsid w:val="004D7804"/>
    <w:rsid w:val="004E14C5"/>
    <w:rsid w:val="004E1E3C"/>
    <w:rsid w:val="004E29CD"/>
    <w:rsid w:val="004E2ED1"/>
    <w:rsid w:val="004E40B1"/>
    <w:rsid w:val="004E60D7"/>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477A3"/>
    <w:rsid w:val="00551071"/>
    <w:rsid w:val="00551866"/>
    <w:rsid w:val="005519EF"/>
    <w:rsid w:val="00551E82"/>
    <w:rsid w:val="0055204F"/>
    <w:rsid w:val="00552401"/>
    <w:rsid w:val="00555C15"/>
    <w:rsid w:val="0055673C"/>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599F"/>
    <w:rsid w:val="006060EF"/>
    <w:rsid w:val="00606C8D"/>
    <w:rsid w:val="0060746B"/>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127E"/>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1F0"/>
    <w:rsid w:val="006D1F48"/>
    <w:rsid w:val="006D307A"/>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11E9"/>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1FEE"/>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85E41"/>
    <w:rsid w:val="009909FF"/>
    <w:rsid w:val="00992ED9"/>
    <w:rsid w:val="0099456C"/>
    <w:rsid w:val="009946AD"/>
    <w:rsid w:val="0099595F"/>
    <w:rsid w:val="00996773"/>
    <w:rsid w:val="0099740E"/>
    <w:rsid w:val="009A1B9B"/>
    <w:rsid w:val="009A3C28"/>
    <w:rsid w:val="009A469B"/>
    <w:rsid w:val="009B1AB0"/>
    <w:rsid w:val="009B4ABC"/>
    <w:rsid w:val="009B4C93"/>
    <w:rsid w:val="009C0FDC"/>
    <w:rsid w:val="009C37F4"/>
    <w:rsid w:val="009C5A75"/>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16640"/>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57D27"/>
    <w:rsid w:val="00A60CCC"/>
    <w:rsid w:val="00A6168F"/>
    <w:rsid w:val="00A6192B"/>
    <w:rsid w:val="00A61B61"/>
    <w:rsid w:val="00A61EDE"/>
    <w:rsid w:val="00A6493D"/>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78D"/>
    <w:rsid w:val="00AD7BE5"/>
    <w:rsid w:val="00AE2AB3"/>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39D9"/>
    <w:rsid w:val="00B152B0"/>
    <w:rsid w:val="00B17C43"/>
    <w:rsid w:val="00B20685"/>
    <w:rsid w:val="00B210FE"/>
    <w:rsid w:val="00B21414"/>
    <w:rsid w:val="00B24948"/>
    <w:rsid w:val="00B2625D"/>
    <w:rsid w:val="00B276F2"/>
    <w:rsid w:val="00B303EB"/>
    <w:rsid w:val="00B316C7"/>
    <w:rsid w:val="00B32723"/>
    <w:rsid w:val="00B33989"/>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4904"/>
    <w:rsid w:val="00BC5059"/>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E62EF"/>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677F6"/>
    <w:rsid w:val="00C71783"/>
    <w:rsid w:val="00C76F7C"/>
    <w:rsid w:val="00C81906"/>
    <w:rsid w:val="00C829A5"/>
    <w:rsid w:val="00C831B2"/>
    <w:rsid w:val="00C837DB"/>
    <w:rsid w:val="00C84737"/>
    <w:rsid w:val="00C8612F"/>
    <w:rsid w:val="00C92A52"/>
    <w:rsid w:val="00C94AC0"/>
    <w:rsid w:val="00C94D38"/>
    <w:rsid w:val="00CA0EC2"/>
    <w:rsid w:val="00CA18D9"/>
    <w:rsid w:val="00CA364C"/>
    <w:rsid w:val="00CB0163"/>
    <w:rsid w:val="00CB0263"/>
    <w:rsid w:val="00CB029C"/>
    <w:rsid w:val="00CB1237"/>
    <w:rsid w:val="00CB15EF"/>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7A0"/>
    <w:rsid w:val="00D41A53"/>
    <w:rsid w:val="00D41C73"/>
    <w:rsid w:val="00D440F4"/>
    <w:rsid w:val="00D44F83"/>
    <w:rsid w:val="00D50BF5"/>
    <w:rsid w:val="00D526A9"/>
    <w:rsid w:val="00D5334A"/>
    <w:rsid w:val="00D53B98"/>
    <w:rsid w:val="00D600A4"/>
    <w:rsid w:val="00D61266"/>
    <w:rsid w:val="00D613F9"/>
    <w:rsid w:val="00D61A89"/>
    <w:rsid w:val="00D6581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0EB5"/>
    <w:rsid w:val="00DA4003"/>
    <w:rsid w:val="00DA4312"/>
    <w:rsid w:val="00DA4853"/>
    <w:rsid w:val="00DA5917"/>
    <w:rsid w:val="00DA6C06"/>
    <w:rsid w:val="00DA7288"/>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10C8"/>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D6894"/>
    <w:rsid w:val="00EE0B4D"/>
    <w:rsid w:val="00EE4841"/>
    <w:rsid w:val="00EE49DE"/>
    <w:rsid w:val="00EE4CF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A45"/>
    <w:rsid w:val="00F71EAB"/>
    <w:rsid w:val="00F73A62"/>
    <w:rsid w:val="00F80B51"/>
    <w:rsid w:val="00F86941"/>
    <w:rsid w:val="00F909BD"/>
    <w:rsid w:val="00F929AB"/>
    <w:rsid w:val="00F94498"/>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ListParagraph"/>
    <w:next w:val="Normal"/>
    <w:qFormat/>
    <w:rsid w:val="00227177"/>
    <w:pPr>
      <w:keepNext/>
      <w:spacing w:after="240"/>
      <w:ind w:left="0"/>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131CA09616E348A03ED3F432485E30" ma:contentTypeVersion="96" ma:contentTypeDescription="" ma:contentTypeScope="" ma:versionID="f7980cb522591c93597e87ff7222a3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Final</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2016-07-13T07:00:00+00:00</OpenedDate>
    <Date1 xmlns="dc463f71-b30c-4ab2-9473-d307f9d35888">2016-10-07T07:00:00+00:00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AB9E09-E886-4951-A009-E7CFB080D675}"/>
</file>

<file path=customXml/itemProps2.xml><?xml version="1.0" encoding="utf-8"?>
<ds:datastoreItem xmlns:ds="http://schemas.openxmlformats.org/officeDocument/2006/customXml" ds:itemID="{2FEDAF0E-3F1C-4C0D-AFA0-D8B3C7F7EC75}">
  <ds:schemaRefs>
    <ds:schemaRef ds:uri="http://schemas.microsoft.com/sharepoint/v3/contenttype/forms"/>
  </ds:schemaRefs>
</ds:datastoreItem>
</file>

<file path=customXml/itemProps3.xml><?xml version="1.0" encoding="utf-8"?>
<ds:datastoreItem xmlns:ds="http://schemas.openxmlformats.org/officeDocument/2006/customXml" ds:itemID="{6DBCD98E-5BCC-43E8-BDB9-4D09D33001C2}">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fdbe071c-6926-4705-b29f-f52cff258ab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A8B723-4AAA-4EEE-9D9F-CC7D3A6DF364}">
  <ds:schemaRefs>
    <ds:schemaRef ds:uri="http://schemas.openxmlformats.org/officeDocument/2006/bibliography"/>
  </ds:schemaRefs>
</ds:datastoreItem>
</file>

<file path=customXml/itemProps5.xml><?xml version="1.0" encoding="utf-8"?>
<ds:datastoreItem xmlns:ds="http://schemas.openxmlformats.org/officeDocument/2006/customXml" ds:itemID="{05E34160-CEE7-4D22-8CEA-1E13BC83BE69}"/>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 Affirming Order 01</dc:title>
  <dc:subject/>
  <dc:creator/>
  <cp:keywords/>
  <cp:lastModifiedBy/>
  <cp:revision>1</cp:revision>
  <dcterms:created xsi:type="dcterms:W3CDTF">2016-10-07T15:32:00Z</dcterms:created>
  <dcterms:modified xsi:type="dcterms:W3CDTF">2016-10-07T15:32:00Z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0x0101006E56B4D1795A2E4DB2F0B01679ED314A0035131CA09616E348A03ED3F432485E30</vt:lpwstr>
  </property>
  <property fmtid="{D5CDD505-2E9C-101B-9397-08002B2CF9AE}" pid="3" name="_docset_NoMedatataSyncRequired">
    <vt:lpwstr>False</vt:lpwstr>
  </property>
</Properties>
</file>