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1FE6D" w14:textId="77777777" w:rsidR="0081462F" w:rsidRPr="00764CC9" w:rsidRDefault="0081462F">
      <w:pPr>
        <w:pStyle w:val="BodyText"/>
        <w:rPr>
          <w:b/>
          <w:bCs/>
        </w:rPr>
      </w:pPr>
      <w:bookmarkStart w:id="0" w:name="_GoBack"/>
      <w:bookmarkEnd w:id="0"/>
      <w:r w:rsidRPr="00764CC9">
        <w:rPr>
          <w:b/>
          <w:bCs/>
        </w:rPr>
        <w:t>BEFORE THE WASHINGTON</w:t>
      </w:r>
    </w:p>
    <w:p w14:paraId="6C81FE6E" w14:textId="77777777" w:rsidR="0081462F" w:rsidRPr="00764CC9" w:rsidRDefault="0081462F">
      <w:pPr>
        <w:pStyle w:val="BodyText"/>
        <w:rPr>
          <w:b/>
          <w:bCs/>
        </w:rPr>
      </w:pPr>
      <w:r w:rsidRPr="00764CC9">
        <w:rPr>
          <w:b/>
          <w:bCs/>
        </w:rPr>
        <w:t xml:space="preserve">UTILITIES AND TRANSPORTATION </w:t>
      </w:r>
      <w:r w:rsidR="00F3239C">
        <w:rPr>
          <w:b/>
          <w:bCs/>
        </w:rPr>
        <w:t>COMMISSION</w:t>
      </w:r>
    </w:p>
    <w:p w14:paraId="6C81FE6F" w14:textId="77777777" w:rsidR="0081462F" w:rsidRPr="00764CC9" w:rsidRDefault="0081462F">
      <w:pPr>
        <w:rPr>
          <w:b/>
          <w:bCs/>
        </w:rPr>
      </w:pPr>
    </w:p>
    <w:p w14:paraId="6C81FE70"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764CC9" w14:paraId="6C81FE91" w14:textId="77777777">
        <w:tc>
          <w:tcPr>
            <w:tcW w:w="4108" w:type="dxa"/>
          </w:tcPr>
          <w:p w14:paraId="6C81FE71" w14:textId="77777777" w:rsidR="0081462F" w:rsidRPr="00764CC9" w:rsidRDefault="0081462F">
            <w:pPr>
              <w:pStyle w:val="Header"/>
              <w:tabs>
                <w:tab w:val="clear" w:pos="4320"/>
                <w:tab w:val="clear" w:pos="8640"/>
              </w:tabs>
            </w:pPr>
            <w:r w:rsidRPr="00764CC9">
              <w:t>In the Matter of the Application of</w:t>
            </w:r>
          </w:p>
          <w:p w14:paraId="6C81FE72" w14:textId="77777777" w:rsidR="0081462F" w:rsidRPr="00764CC9" w:rsidRDefault="0081462F">
            <w:pPr>
              <w:pStyle w:val="Header"/>
              <w:tabs>
                <w:tab w:val="clear" w:pos="4320"/>
                <w:tab w:val="clear" w:pos="8640"/>
              </w:tabs>
            </w:pPr>
          </w:p>
          <w:p w14:paraId="6C81FE73" w14:textId="2EDBDD12" w:rsidR="00833157" w:rsidRPr="00764CC9" w:rsidRDefault="00805E15" w:rsidP="00805E15">
            <w:r>
              <w:t xml:space="preserve">FRAGARIA LANDING WATER </w:t>
            </w:r>
            <w:r w:rsidRPr="00674F64">
              <w:t>CO</w:t>
            </w:r>
            <w:r>
              <w:t xml:space="preserve">MPANY, LOWPER, INCORPORATED </w:t>
            </w:r>
            <w:r w:rsidR="009B5E6D">
              <w:t>DBA</w:t>
            </w:r>
            <w:r>
              <w:t xml:space="preserve"> LOWPER WATER COMPANY, MARBELLO WATER CO., INC. AND SJM WATER SERVICE, INC.</w:t>
            </w:r>
          </w:p>
          <w:p w14:paraId="6C81FE74" w14:textId="77777777" w:rsidR="00B0617F" w:rsidRPr="00764CC9" w:rsidRDefault="00B0617F">
            <w:pPr>
              <w:pStyle w:val="Header"/>
              <w:tabs>
                <w:tab w:val="clear" w:pos="4320"/>
                <w:tab w:val="clear" w:pos="8640"/>
              </w:tabs>
            </w:pPr>
          </w:p>
          <w:p w14:paraId="6C81FE75" w14:textId="77777777" w:rsidR="0081462F" w:rsidRPr="00764CC9" w:rsidRDefault="0081462F">
            <w:pPr>
              <w:pStyle w:val="Header"/>
              <w:tabs>
                <w:tab w:val="clear" w:pos="4320"/>
                <w:tab w:val="clear" w:pos="8640"/>
              </w:tabs>
            </w:pPr>
            <w:r w:rsidRPr="00764CC9">
              <w:t xml:space="preserve">                Applicant,</w:t>
            </w:r>
          </w:p>
          <w:p w14:paraId="6C81FE76" w14:textId="77777777" w:rsidR="0081462F" w:rsidRPr="00764CC9" w:rsidRDefault="0081462F"/>
          <w:p w14:paraId="6C81FE77" w14:textId="77777777" w:rsidR="0081462F" w:rsidRPr="00764CC9" w:rsidRDefault="0081462F">
            <w:pPr>
              <w:rPr>
                <w:b/>
                <w:bCs/>
              </w:rPr>
            </w:pPr>
            <w:r w:rsidRPr="00764CC9">
              <w:t xml:space="preserve">For the Sale and Transfer of </w:t>
            </w:r>
            <w:r w:rsidR="009D3DE9">
              <w:t>Stock</w:t>
            </w:r>
            <w:r w:rsidRPr="00764CC9">
              <w:t xml:space="preserve"> to </w:t>
            </w:r>
          </w:p>
          <w:p w14:paraId="6C81FE79" w14:textId="6979EAD4" w:rsidR="00AB5A4C" w:rsidRPr="00764CC9" w:rsidRDefault="00551872">
            <w:pPr>
              <w:rPr>
                <w:bCs/>
              </w:rPr>
            </w:pPr>
            <w:r>
              <w:rPr>
                <w:bCs/>
              </w:rPr>
              <w:t>ILIAD WATER SERVICES, INC.</w:t>
            </w:r>
          </w:p>
          <w:p w14:paraId="6C81FE7A" w14:textId="46F96A90" w:rsidR="0081462F" w:rsidRPr="00764CC9" w:rsidRDefault="0081462F">
            <w:r w:rsidRPr="00764CC9">
              <w:t xml:space="preserve">. . . . . . . . . . . . . . . . . . . . . . . . . . . . . . . </w:t>
            </w:r>
          </w:p>
        </w:tc>
        <w:tc>
          <w:tcPr>
            <w:tcW w:w="300" w:type="dxa"/>
          </w:tcPr>
          <w:p w14:paraId="6C81FE7B" w14:textId="77777777" w:rsidR="0081462F" w:rsidRPr="00764CC9" w:rsidRDefault="0081462F">
            <w:r w:rsidRPr="00764CC9">
              <w:t>)</w:t>
            </w:r>
          </w:p>
          <w:p w14:paraId="6C81FE7C" w14:textId="77777777" w:rsidR="0081462F" w:rsidRPr="00764CC9" w:rsidRDefault="0081462F">
            <w:r w:rsidRPr="00764CC9">
              <w:t>)</w:t>
            </w:r>
          </w:p>
          <w:p w14:paraId="6C81FE7D" w14:textId="77777777" w:rsidR="0081462F" w:rsidRPr="00764CC9" w:rsidRDefault="0081462F">
            <w:r w:rsidRPr="00764CC9">
              <w:t>)</w:t>
            </w:r>
          </w:p>
          <w:p w14:paraId="6C81FE7E" w14:textId="77777777" w:rsidR="0081462F" w:rsidRPr="00764CC9" w:rsidRDefault="0081462F">
            <w:r w:rsidRPr="00764CC9">
              <w:t>)</w:t>
            </w:r>
          </w:p>
          <w:p w14:paraId="6C81FE7F" w14:textId="77777777" w:rsidR="0081462F" w:rsidRPr="00764CC9" w:rsidRDefault="0081462F">
            <w:r w:rsidRPr="00764CC9">
              <w:t>)</w:t>
            </w:r>
          </w:p>
          <w:p w14:paraId="6C81FE80" w14:textId="77777777" w:rsidR="0081462F" w:rsidRPr="00764CC9" w:rsidRDefault="0081462F">
            <w:r w:rsidRPr="00764CC9">
              <w:t>)</w:t>
            </w:r>
          </w:p>
          <w:p w14:paraId="6C81FE81" w14:textId="77777777" w:rsidR="0081462F" w:rsidRPr="00764CC9" w:rsidRDefault="0081462F">
            <w:r w:rsidRPr="00764CC9">
              <w:t>)</w:t>
            </w:r>
          </w:p>
          <w:p w14:paraId="6C81FE82" w14:textId="77777777" w:rsidR="0081462F" w:rsidRPr="00764CC9" w:rsidRDefault="0081462F">
            <w:r w:rsidRPr="00764CC9">
              <w:t>)</w:t>
            </w:r>
          </w:p>
          <w:p w14:paraId="6C81FE83" w14:textId="77777777" w:rsidR="00146F7B" w:rsidRPr="00764CC9" w:rsidRDefault="0081462F">
            <w:r w:rsidRPr="00764CC9">
              <w:t>)</w:t>
            </w:r>
          </w:p>
          <w:p w14:paraId="6C81FE84" w14:textId="77777777" w:rsidR="00833157" w:rsidRDefault="00833157">
            <w:r w:rsidRPr="00764CC9">
              <w:t>)</w:t>
            </w:r>
          </w:p>
          <w:p w14:paraId="6C81FE85" w14:textId="77777777" w:rsidR="00805E15" w:rsidRDefault="00805E15">
            <w:r>
              <w:t>)</w:t>
            </w:r>
          </w:p>
          <w:p w14:paraId="6C81FE86" w14:textId="77777777" w:rsidR="00805E15" w:rsidRDefault="00805E15">
            <w:r>
              <w:t>)</w:t>
            </w:r>
          </w:p>
          <w:p w14:paraId="6C81FE87" w14:textId="77777777" w:rsidR="00805E15" w:rsidRDefault="00805E15">
            <w:r>
              <w:t>)</w:t>
            </w:r>
          </w:p>
          <w:p w14:paraId="6C81FE88" w14:textId="77777777" w:rsidR="00805E15" w:rsidRDefault="00805E15">
            <w:r>
              <w:t>)</w:t>
            </w:r>
          </w:p>
          <w:p w14:paraId="6C81FE89" w14:textId="0532C307" w:rsidR="00805E15" w:rsidRPr="00764CC9" w:rsidRDefault="00805E15"/>
        </w:tc>
        <w:tc>
          <w:tcPr>
            <w:tcW w:w="4088" w:type="dxa"/>
          </w:tcPr>
          <w:p w14:paraId="6C81FE8A" w14:textId="77777777" w:rsidR="0081462F" w:rsidRPr="00764CC9" w:rsidRDefault="0081462F">
            <w:pPr>
              <w:rPr>
                <w:bCs/>
              </w:rPr>
            </w:pPr>
            <w:r w:rsidRPr="00764CC9">
              <w:t xml:space="preserve">DOCKET </w:t>
            </w:r>
            <w:r w:rsidR="00551872">
              <w:t>UW-150688</w:t>
            </w:r>
          </w:p>
          <w:p w14:paraId="6C81FE8B" w14:textId="77777777" w:rsidR="0081462F" w:rsidRPr="00764CC9" w:rsidRDefault="0081462F">
            <w:pPr>
              <w:ind w:left="720"/>
            </w:pPr>
          </w:p>
          <w:p w14:paraId="6C81FE8C" w14:textId="77777777" w:rsidR="0081462F" w:rsidRPr="00764CC9" w:rsidRDefault="00CE0B7B">
            <w:pPr>
              <w:rPr>
                <w:bCs/>
              </w:rPr>
            </w:pPr>
            <w:r w:rsidRPr="00764CC9">
              <w:t>ORDER</w:t>
            </w:r>
            <w:r w:rsidR="0081462F" w:rsidRPr="00764CC9">
              <w:t xml:space="preserve"> </w:t>
            </w:r>
            <w:r w:rsidR="00551872">
              <w:t>01</w:t>
            </w:r>
          </w:p>
          <w:p w14:paraId="6C81FE8E" w14:textId="77777777" w:rsidR="0012543D" w:rsidRPr="00764CC9" w:rsidRDefault="0012543D"/>
          <w:p w14:paraId="6C81FE8F" w14:textId="77777777" w:rsidR="00833157" w:rsidRPr="00764CC9" w:rsidRDefault="00833157"/>
          <w:p w14:paraId="6C81FE90" w14:textId="77777777" w:rsidR="0081462F" w:rsidRPr="00764CC9" w:rsidRDefault="0081462F">
            <w:r w:rsidRPr="00764CC9">
              <w:t>ORDER GRANTING APPLICATION FOR SALE</w:t>
            </w:r>
            <w:r w:rsidR="00F73F62" w:rsidRPr="00764CC9">
              <w:t xml:space="preserve"> AND TRANSFER OF </w:t>
            </w:r>
            <w:r w:rsidR="009D3DE9">
              <w:t>STOCK</w:t>
            </w:r>
            <w:r w:rsidR="00F73F62" w:rsidRPr="00764CC9">
              <w:t>;</w:t>
            </w:r>
            <w:r w:rsidRPr="00764CC9">
              <w:t xml:space="preserve"> </w:t>
            </w:r>
            <w:r w:rsidR="00D57424">
              <w:t xml:space="preserve">MERGER and </w:t>
            </w:r>
            <w:r w:rsidR="00F73F62" w:rsidRPr="00764CC9">
              <w:t>ADOPTING TAR</w:t>
            </w:r>
            <w:r w:rsidR="001A36F8" w:rsidRPr="00764CC9">
              <w:t>I</w:t>
            </w:r>
            <w:r w:rsidR="00F73F62" w:rsidRPr="00764CC9">
              <w:t>FF</w:t>
            </w:r>
            <w:r w:rsidR="00240722">
              <w:t>S</w:t>
            </w:r>
            <w:r w:rsidRPr="00764CC9">
              <w:t xml:space="preserve"> </w:t>
            </w:r>
          </w:p>
        </w:tc>
      </w:tr>
    </w:tbl>
    <w:p w14:paraId="6C81FE92" w14:textId="77777777" w:rsidR="009A292E" w:rsidRPr="00764CC9" w:rsidRDefault="009A292E">
      <w:pPr>
        <w:pStyle w:val="Header"/>
        <w:tabs>
          <w:tab w:val="clear" w:pos="4320"/>
          <w:tab w:val="clear" w:pos="8640"/>
        </w:tabs>
      </w:pPr>
    </w:p>
    <w:p w14:paraId="6C81FE93" w14:textId="77777777" w:rsidR="0081462F" w:rsidRPr="00764CC9" w:rsidRDefault="0081462F" w:rsidP="00F73BD2">
      <w:pPr>
        <w:pStyle w:val="Heading2"/>
        <w:spacing w:line="320" w:lineRule="exact"/>
        <w:rPr>
          <w:b/>
          <w:bCs/>
          <w:u w:val="none"/>
        </w:rPr>
      </w:pPr>
      <w:r w:rsidRPr="00764CC9">
        <w:rPr>
          <w:b/>
          <w:bCs/>
          <w:u w:val="none"/>
        </w:rPr>
        <w:t>BACKGROUND</w:t>
      </w:r>
    </w:p>
    <w:p w14:paraId="6C81FE94" w14:textId="77777777" w:rsidR="0081462F" w:rsidRPr="00764CC9" w:rsidRDefault="0081462F" w:rsidP="00F73BD2">
      <w:pPr>
        <w:pStyle w:val="Header"/>
        <w:tabs>
          <w:tab w:val="clear" w:pos="4320"/>
          <w:tab w:val="clear" w:pos="8640"/>
        </w:tabs>
        <w:spacing w:line="320" w:lineRule="exact"/>
      </w:pPr>
    </w:p>
    <w:p w14:paraId="6C81FE95" w14:textId="44F308DB" w:rsidR="0034018E" w:rsidRPr="00764CC9" w:rsidRDefault="00240722" w:rsidP="00CF786D">
      <w:pPr>
        <w:pStyle w:val="FindingsConclusions"/>
        <w:ind w:left="0" w:hanging="720"/>
      </w:pPr>
      <w:r w:rsidRPr="00756B71">
        <w:t>On April 21, 2015,</w:t>
      </w:r>
      <w:r w:rsidRPr="00756B71">
        <w:rPr>
          <w:b/>
          <w:bCs/>
        </w:rPr>
        <w:t xml:space="preserve"> </w:t>
      </w:r>
      <w:r w:rsidRPr="00756B71">
        <w:t xml:space="preserve">Fragaria Landing Water Company, Lowper, Incorporated </w:t>
      </w:r>
      <w:r w:rsidR="009B5E6D">
        <w:t>dba</w:t>
      </w:r>
      <w:r w:rsidRPr="00756B71">
        <w:t xml:space="preserve"> Lowper Water Company, Marbello Water Co., Inc. and SJM Water Service, Inc. </w:t>
      </w:r>
      <w:r w:rsidR="0081462F" w:rsidRPr="00756B71">
        <w:t xml:space="preserve">and </w:t>
      </w:r>
      <w:r w:rsidR="00551872" w:rsidRPr="00756B71">
        <w:rPr>
          <w:bCs/>
        </w:rPr>
        <w:t>Iliad Water Services, Inc.</w:t>
      </w:r>
      <w:r w:rsidR="00670841" w:rsidRPr="00756B71">
        <w:t xml:space="preserve"> (collectively, the </w:t>
      </w:r>
      <w:r w:rsidR="00F04D8D">
        <w:t>C</w:t>
      </w:r>
      <w:r w:rsidR="00670841" w:rsidRPr="00756B71">
        <w:t>ompanies)</w:t>
      </w:r>
      <w:r w:rsidR="0081462F" w:rsidRPr="00756B71">
        <w:t xml:space="preserve">, filed </w:t>
      </w:r>
      <w:r w:rsidR="007C3CD3" w:rsidRPr="00756B71">
        <w:t xml:space="preserve">with the Washington Utilities and Transportation </w:t>
      </w:r>
      <w:r w:rsidR="00F3239C" w:rsidRPr="00756B71">
        <w:t>Commission</w:t>
      </w:r>
      <w:r w:rsidR="007C3CD3" w:rsidRPr="00756B71">
        <w:t xml:space="preserve"> (</w:t>
      </w:r>
      <w:r w:rsidR="00F3239C" w:rsidRPr="00756B71">
        <w:t>Commission</w:t>
      </w:r>
      <w:r w:rsidR="007C3CD3" w:rsidRPr="00756B71">
        <w:t xml:space="preserve">) </w:t>
      </w:r>
      <w:r w:rsidR="0081462F" w:rsidRPr="00756B71">
        <w:t xml:space="preserve">an application for sale and transfer of </w:t>
      </w:r>
      <w:r w:rsidR="009D3DE9" w:rsidRPr="00756B71">
        <w:t>stock</w:t>
      </w:r>
      <w:r w:rsidR="0081462F" w:rsidRPr="00756B71">
        <w:t xml:space="preserve"> pursuant to the provisions of </w:t>
      </w:r>
      <w:r w:rsidR="00297376" w:rsidRPr="00756B71">
        <w:t>RCW 80.12</w:t>
      </w:r>
      <w:r w:rsidR="0034018E" w:rsidRPr="00764CC9">
        <w:t>.</w:t>
      </w:r>
    </w:p>
    <w:p w14:paraId="6C81FE96" w14:textId="77777777" w:rsidR="0081462F" w:rsidRPr="00240722" w:rsidRDefault="0081462F" w:rsidP="00CF786D">
      <w:pPr>
        <w:pStyle w:val="FindingsConclusions"/>
        <w:numPr>
          <w:ilvl w:val="0"/>
          <w:numId w:val="0"/>
        </w:numPr>
        <w:tabs>
          <w:tab w:val="num" w:pos="0"/>
        </w:tabs>
        <w:ind w:hanging="720"/>
      </w:pPr>
    </w:p>
    <w:p w14:paraId="6C81FE97" w14:textId="4B978D2A" w:rsidR="003A1A81" w:rsidRPr="00240722" w:rsidRDefault="003A1A81" w:rsidP="00CF786D">
      <w:pPr>
        <w:pStyle w:val="FindingsConclusions"/>
        <w:ind w:left="0" w:hanging="720"/>
      </w:pPr>
      <w:r w:rsidRPr="00240722">
        <w:t>Iliad Water Services, Inc. (Iliad Water</w:t>
      </w:r>
      <w:r w:rsidR="00240722" w:rsidRPr="00240722">
        <w:t>),</w:t>
      </w:r>
      <w:r w:rsidRPr="00240722">
        <w:t xml:space="preserve"> Fragaria Landing Water Company (Fragaria), Lowper, Incorporated </w:t>
      </w:r>
      <w:r w:rsidR="009B5E6D">
        <w:t>dba</w:t>
      </w:r>
      <w:r w:rsidRPr="00240722">
        <w:t xml:space="preserve"> Lowper Water Company (Lowper), Marbello Water Co., Inc. (Marbello) and SJM Water Service, Inc. (SJM) filed a joint application with the Washington Utilities and Transportation </w:t>
      </w:r>
      <w:r w:rsidR="00F3239C">
        <w:t>Commission</w:t>
      </w:r>
      <w:r w:rsidRPr="00240722">
        <w:t xml:space="preserve"> (</w:t>
      </w:r>
      <w:r w:rsidR="00F3239C">
        <w:t>Commission</w:t>
      </w:r>
      <w:r w:rsidRPr="00240722">
        <w:t xml:space="preserve">) an application for transfer of control, by stock acquisitions, and merger pursuant to the provisions of RCW 80.12. </w:t>
      </w:r>
    </w:p>
    <w:p w14:paraId="6C81FE98" w14:textId="77777777" w:rsidR="00240722" w:rsidRPr="00240722" w:rsidRDefault="00240722" w:rsidP="00CF786D">
      <w:pPr>
        <w:pStyle w:val="ListParagraph"/>
        <w:tabs>
          <w:tab w:val="num" w:pos="0"/>
        </w:tabs>
        <w:ind w:left="0" w:hanging="720"/>
      </w:pPr>
    </w:p>
    <w:p w14:paraId="6C81FE99" w14:textId="77777777" w:rsidR="00240722" w:rsidRPr="00240722" w:rsidRDefault="00240722" w:rsidP="00CF786D">
      <w:pPr>
        <w:pStyle w:val="FindingsConclusions"/>
        <w:ind w:left="0" w:hanging="720"/>
      </w:pPr>
      <w:r w:rsidRPr="00240722">
        <w:t>The requested petition for sale and transfer is presented in two parts.</w:t>
      </w:r>
      <w:r w:rsidR="00627219">
        <w:t xml:space="preserve"> </w:t>
      </w:r>
      <w:r w:rsidR="00372E5C">
        <w:t xml:space="preserve"> </w:t>
      </w:r>
      <w:r w:rsidR="00627219">
        <w:t>The first step transfer</w:t>
      </w:r>
      <w:r w:rsidR="00D57424">
        <w:t>s</w:t>
      </w:r>
      <w:r w:rsidR="00627219">
        <w:t xml:space="preserve"> the shares of </w:t>
      </w:r>
      <w:r w:rsidR="00D57424">
        <w:t xml:space="preserve">stock for </w:t>
      </w:r>
      <w:r w:rsidR="00627219">
        <w:t xml:space="preserve">Fragaria, Lowper, Marbello and SJM to Iliad Water Services. </w:t>
      </w:r>
      <w:r w:rsidR="00CC0551">
        <w:t xml:space="preserve"> </w:t>
      </w:r>
      <w:r w:rsidR="00627219">
        <w:t xml:space="preserve">The shares </w:t>
      </w:r>
      <w:r w:rsidR="00D57424">
        <w:t xml:space="preserve">of stock for Fragaria, Lowper, Marbello and SJM </w:t>
      </w:r>
      <w:r w:rsidR="00627219">
        <w:t xml:space="preserve">will be cancelled and new shares reissued on the books of </w:t>
      </w:r>
      <w:r w:rsidR="00D57424">
        <w:t>Iliad Water Services</w:t>
      </w:r>
      <w:r w:rsidR="00627219">
        <w:t xml:space="preserve">. </w:t>
      </w:r>
      <w:r w:rsidR="00D57424">
        <w:t xml:space="preserve"> </w:t>
      </w:r>
      <w:r w:rsidR="00627219">
        <w:t xml:space="preserve">The second step will merge Fragaria, Lowper, Marbello and SJM </w:t>
      </w:r>
      <w:r w:rsidR="00CD6DA5">
        <w:t>in</w:t>
      </w:r>
      <w:r w:rsidR="00627219">
        <w:t>to Iliad Water Services</w:t>
      </w:r>
      <w:r w:rsidR="00D57424">
        <w:t xml:space="preserve"> </w:t>
      </w:r>
      <w:r w:rsidR="00627219">
        <w:t xml:space="preserve">pursuant to </w:t>
      </w:r>
      <w:r w:rsidR="00D57424">
        <w:t>a</w:t>
      </w:r>
      <w:r w:rsidR="00627219">
        <w:t xml:space="preserve"> plan of merger and the filing of Articles of Merger with the Secretary of State. </w:t>
      </w:r>
      <w:r w:rsidR="00627219">
        <w:rPr>
          <w:rStyle w:val="FootnoteReference"/>
        </w:rPr>
        <w:footnoteReference w:id="1"/>
      </w:r>
      <w:r w:rsidR="00627219">
        <w:t xml:space="preserve"> </w:t>
      </w:r>
      <w:r w:rsidR="00CC0551">
        <w:t xml:space="preserve"> </w:t>
      </w:r>
      <w:r w:rsidR="00627219">
        <w:t xml:space="preserve">Iliad Water </w:t>
      </w:r>
      <w:r w:rsidR="00627219">
        <w:lastRenderedPageBreak/>
        <w:t>Services as the surviving entity shall continue its existence under the laws of the State of Washington, and upon the merger, Iliad Water Services shall possess all the rights, privileges, immunities, powers and obligations whether of a public or private nature, of Fragaria, Lowper, Marbello and SJM.</w:t>
      </w:r>
    </w:p>
    <w:p w14:paraId="6C81FE9A" w14:textId="77777777" w:rsidR="00323DDD" w:rsidRPr="00240722" w:rsidRDefault="00323DDD" w:rsidP="00CF786D">
      <w:pPr>
        <w:pStyle w:val="FindingsConclusions"/>
        <w:numPr>
          <w:ilvl w:val="0"/>
          <w:numId w:val="0"/>
        </w:numPr>
        <w:tabs>
          <w:tab w:val="num" w:pos="0"/>
        </w:tabs>
        <w:ind w:hanging="720"/>
      </w:pPr>
    </w:p>
    <w:p w14:paraId="6C81FE9B" w14:textId="77777777" w:rsidR="00605ADF" w:rsidRPr="00605ADF" w:rsidRDefault="00605ADF" w:rsidP="00CF786D">
      <w:pPr>
        <w:pStyle w:val="FindingsConclusions"/>
        <w:ind w:left="0" w:hanging="720"/>
      </w:pPr>
      <w:r w:rsidRPr="00605ADF">
        <w:t>The chart below shows the pertinent information for each of the water companies and their respective water systems.</w:t>
      </w:r>
    </w:p>
    <w:p w14:paraId="6C81FE9C" w14:textId="77777777" w:rsidR="00605ADF" w:rsidRPr="00605ADF" w:rsidRDefault="00605ADF" w:rsidP="00605ADF"/>
    <w:tbl>
      <w:tblPr>
        <w:tblStyle w:val="TableGrid"/>
        <w:tblW w:w="0" w:type="auto"/>
        <w:tblLook w:val="04A0" w:firstRow="1" w:lastRow="0" w:firstColumn="1" w:lastColumn="0" w:noHBand="0" w:noVBand="1"/>
      </w:tblPr>
      <w:tblGrid>
        <w:gridCol w:w="2659"/>
        <w:gridCol w:w="1144"/>
        <w:gridCol w:w="1166"/>
        <w:gridCol w:w="1899"/>
        <w:gridCol w:w="1762"/>
      </w:tblGrid>
      <w:tr w:rsidR="00605ADF" w:rsidRPr="00605ADF" w14:paraId="6C81FEA2" w14:textId="77777777" w:rsidTr="00F04D8D">
        <w:tc>
          <w:tcPr>
            <w:tcW w:w="3055" w:type="dxa"/>
            <w:vAlign w:val="bottom"/>
          </w:tcPr>
          <w:p w14:paraId="6C81FE9D" w14:textId="77777777" w:rsidR="00605ADF" w:rsidRPr="00605ADF" w:rsidRDefault="00605ADF" w:rsidP="00F04D8D">
            <w:pPr>
              <w:jc w:val="center"/>
              <w:rPr>
                <w:rFonts w:ascii="Times New Roman" w:hAnsi="Times New Roman"/>
              </w:rPr>
            </w:pPr>
            <w:r w:rsidRPr="00605ADF">
              <w:rPr>
                <w:rFonts w:ascii="Times New Roman" w:hAnsi="Times New Roman"/>
              </w:rPr>
              <w:t>Name – system</w:t>
            </w:r>
          </w:p>
        </w:tc>
        <w:tc>
          <w:tcPr>
            <w:tcW w:w="1170" w:type="dxa"/>
            <w:vAlign w:val="bottom"/>
          </w:tcPr>
          <w:p w14:paraId="6C81FE9E" w14:textId="77777777" w:rsidR="00605ADF" w:rsidRPr="00605ADF" w:rsidRDefault="00605ADF" w:rsidP="00F04D8D">
            <w:pPr>
              <w:jc w:val="center"/>
              <w:rPr>
                <w:rFonts w:ascii="Times New Roman" w:hAnsi="Times New Roman"/>
              </w:rPr>
            </w:pPr>
            <w:r w:rsidRPr="00605ADF">
              <w:rPr>
                <w:rFonts w:ascii="Times New Roman" w:hAnsi="Times New Roman"/>
              </w:rPr>
              <w:t>DOH  ID#</w:t>
            </w:r>
          </w:p>
        </w:tc>
        <w:tc>
          <w:tcPr>
            <w:tcW w:w="1170" w:type="dxa"/>
            <w:vAlign w:val="bottom"/>
          </w:tcPr>
          <w:p w14:paraId="6C81FE9F" w14:textId="77777777" w:rsidR="00605ADF" w:rsidRPr="00605ADF" w:rsidRDefault="00605ADF" w:rsidP="00F04D8D">
            <w:pPr>
              <w:jc w:val="center"/>
              <w:rPr>
                <w:rFonts w:ascii="Times New Roman" w:hAnsi="Times New Roman"/>
              </w:rPr>
            </w:pPr>
            <w:r w:rsidRPr="00605ADF">
              <w:rPr>
                <w:rFonts w:ascii="Times New Roman" w:hAnsi="Times New Roman"/>
              </w:rPr>
              <w:t>Customer Count</w:t>
            </w:r>
          </w:p>
        </w:tc>
        <w:tc>
          <w:tcPr>
            <w:tcW w:w="2075" w:type="dxa"/>
            <w:vAlign w:val="bottom"/>
          </w:tcPr>
          <w:p w14:paraId="6C81FEA0" w14:textId="77777777" w:rsidR="00605ADF" w:rsidRPr="00605ADF" w:rsidRDefault="00605ADF" w:rsidP="00F04D8D">
            <w:pPr>
              <w:jc w:val="center"/>
              <w:rPr>
                <w:rFonts w:ascii="Times New Roman" w:hAnsi="Times New Roman"/>
              </w:rPr>
            </w:pPr>
            <w:r w:rsidRPr="00605ADF">
              <w:rPr>
                <w:rFonts w:ascii="Times New Roman" w:hAnsi="Times New Roman"/>
              </w:rPr>
              <w:t>Location</w:t>
            </w:r>
          </w:p>
        </w:tc>
        <w:tc>
          <w:tcPr>
            <w:tcW w:w="1880" w:type="dxa"/>
            <w:vAlign w:val="bottom"/>
          </w:tcPr>
          <w:p w14:paraId="6C81FEA1" w14:textId="77777777" w:rsidR="00605ADF" w:rsidRPr="00605ADF" w:rsidRDefault="00605ADF" w:rsidP="00F04D8D">
            <w:pPr>
              <w:jc w:val="center"/>
              <w:rPr>
                <w:rFonts w:ascii="Times New Roman" w:hAnsi="Times New Roman"/>
              </w:rPr>
            </w:pPr>
            <w:r w:rsidRPr="00605ADF">
              <w:rPr>
                <w:rFonts w:ascii="Times New Roman" w:hAnsi="Times New Roman"/>
              </w:rPr>
              <w:t>County</w:t>
            </w:r>
          </w:p>
        </w:tc>
      </w:tr>
      <w:tr w:rsidR="00605ADF" w:rsidRPr="00605ADF" w14:paraId="6C81FEA8" w14:textId="77777777" w:rsidTr="00345FB4">
        <w:tc>
          <w:tcPr>
            <w:tcW w:w="3055" w:type="dxa"/>
          </w:tcPr>
          <w:p w14:paraId="6C81FEA3" w14:textId="77777777" w:rsidR="00605ADF" w:rsidRPr="00605ADF" w:rsidRDefault="00605ADF" w:rsidP="00345FB4">
            <w:pPr>
              <w:rPr>
                <w:rFonts w:ascii="Times New Roman" w:hAnsi="Times New Roman"/>
              </w:rPr>
            </w:pPr>
            <w:r w:rsidRPr="00605ADF">
              <w:rPr>
                <w:rFonts w:ascii="Times New Roman" w:hAnsi="Times New Roman"/>
              </w:rPr>
              <w:t>Fragaria</w:t>
            </w:r>
          </w:p>
        </w:tc>
        <w:tc>
          <w:tcPr>
            <w:tcW w:w="1170" w:type="dxa"/>
          </w:tcPr>
          <w:p w14:paraId="6C81FEA4" w14:textId="77777777" w:rsidR="00605ADF" w:rsidRPr="00605ADF" w:rsidRDefault="00605ADF" w:rsidP="00345FB4">
            <w:pPr>
              <w:rPr>
                <w:rFonts w:ascii="Times New Roman" w:hAnsi="Times New Roman"/>
              </w:rPr>
            </w:pPr>
          </w:p>
        </w:tc>
        <w:tc>
          <w:tcPr>
            <w:tcW w:w="1170" w:type="dxa"/>
          </w:tcPr>
          <w:p w14:paraId="6C81FEA5" w14:textId="77777777" w:rsidR="00605ADF" w:rsidRPr="00605ADF" w:rsidRDefault="00605ADF" w:rsidP="00345FB4">
            <w:pPr>
              <w:jc w:val="center"/>
              <w:rPr>
                <w:rFonts w:ascii="Times New Roman" w:hAnsi="Times New Roman"/>
              </w:rPr>
            </w:pPr>
          </w:p>
        </w:tc>
        <w:tc>
          <w:tcPr>
            <w:tcW w:w="2075" w:type="dxa"/>
          </w:tcPr>
          <w:p w14:paraId="6C81FEA6" w14:textId="77777777" w:rsidR="00605ADF" w:rsidRPr="00605ADF" w:rsidRDefault="00605ADF" w:rsidP="00345FB4">
            <w:pPr>
              <w:rPr>
                <w:rFonts w:ascii="Times New Roman" w:hAnsi="Times New Roman"/>
              </w:rPr>
            </w:pPr>
          </w:p>
        </w:tc>
        <w:tc>
          <w:tcPr>
            <w:tcW w:w="1880" w:type="dxa"/>
          </w:tcPr>
          <w:p w14:paraId="6C81FEA7" w14:textId="77777777" w:rsidR="00605ADF" w:rsidRPr="00605ADF" w:rsidRDefault="00605ADF" w:rsidP="00345FB4">
            <w:pPr>
              <w:rPr>
                <w:rFonts w:ascii="Times New Roman" w:hAnsi="Times New Roman"/>
              </w:rPr>
            </w:pPr>
          </w:p>
        </w:tc>
      </w:tr>
      <w:tr w:rsidR="00605ADF" w:rsidRPr="00605ADF" w14:paraId="6C81FEAE" w14:textId="77777777" w:rsidTr="00345FB4">
        <w:tc>
          <w:tcPr>
            <w:tcW w:w="3055" w:type="dxa"/>
          </w:tcPr>
          <w:p w14:paraId="6C81FEA9" w14:textId="77777777" w:rsidR="00605ADF" w:rsidRPr="00605ADF" w:rsidRDefault="00605ADF" w:rsidP="00345FB4">
            <w:pPr>
              <w:jc w:val="right"/>
              <w:rPr>
                <w:rFonts w:ascii="Times New Roman" w:hAnsi="Times New Roman"/>
              </w:rPr>
            </w:pPr>
            <w:r w:rsidRPr="00605ADF">
              <w:rPr>
                <w:rFonts w:ascii="Times New Roman" w:hAnsi="Times New Roman"/>
              </w:rPr>
              <w:t>Fragaria Landing</w:t>
            </w:r>
          </w:p>
        </w:tc>
        <w:tc>
          <w:tcPr>
            <w:tcW w:w="1170" w:type="dxa"/>
          </w:tcPr>
          <w:p w14:paraId="6C81FEAA" w14:textId="77777777" w:rsidR="00605ADF" w:rsidRPr="00605ADF" w:rsidRDefault="00605ADF" w:rsidP="00345FB4">
            <w:pPr>
              <w:rPr>
                <w:rFonts w:ascii="Times New Roman" w:hAnsi="Times New Roman"/>
              </w:rPr>
            </w:pPr>
            <w:r w:rsidRPr="00605ADF">
              <w:rPr>
                <w:rFonts w:ascii="Times New Roman" w:hAnsi="Times New Roman"/>
              </w:rPr>
              <w:t>266519</w:t>
            </w:r>
          </w:p>
        </w:tc>
        <w:tc>
          <w:tcPr>
            <w:tcW w:w="1170" w:type="dxa"/>
          </w:tcPr>
          <w:p w14:paraId="6C81FEAB" w14:textId="77777777" w:rsidR="00605ADF" w:rsidRPr="00605ADF" w:rsidRDefault="00605ADF" w:rsidP="00345FB4">
            <w:pPr>
              <w:jc w:val="center"/>
              <w:rPr>
                <w:rFonts w:ascii="Times New Roman" w:hAnsi="Times New Roman"/>
              </w:rPr>
            </w:pPr>
            <w:r w:rsidRPr="00605ADF">
              <w:rPr>
                <w:rFonts w:ascii="Times New Roman" w:hAnsi="Times New Roman"/>
              </w:rPr>
              <w:t>85</w:t>
            </w:r>
          </w:p>
        </w:tc>
        <w:tc>
          <w:tcPr>
            <w:tcW w:w="2075" w:type="dxa"/>
          </w:tcPr>
          <w:p w14:paraId="6C81FEAC" w14:textId="77777777" w:rsidR="00605ADF" w:rsidRPr="00605ADF" w:rsidRDefault="00605ADF" w:rsidP="00345FB4">
            <w:pPr>
              <w:rPr>
                <w:rFonts w:ascii="Times New Roman" w:hAnsi="Times New Roman"/>
              </w:rPr>
            </w:pPr>
            <w:r w:rsidRPr="00605ADF">
              <w:rPr>
                <w:rFonts w:ascii="Times New Roman" w:hAnsi="Times New Roman"/>
              </w:rPr>
              <w:t>Port Orchard</w:t>
            </w:r>
          </w:p>
        </w:tc>
        <w:tc>
          <w:tcPr>
            <w:tcW w:w="1880" w:type="dxa"/>
          </w:tcPr>
          <w:p w14:paraId="6C81FEAD" w14:textId="77777777" w:rsidR="00605ADF" w:rsidRPr="00605ADF" w:rsidRDefault="00605ADF" w:rsidP="00345FB4">
            <w:pPr>
              <w:rPr>
                <w:rFonts w:ascii="Times New Roman" w:hAnsi="Times New Roman"/>
              </w:rPr>
            </w:pPr>
            <w:r w:rsidRPr="00605ADF">
              <w:rPr>
                <w:rFonts w:ascii="Times New Roman" w:hAnsi="Times New Roman"/>
              </w:rPr>
              <w:t>Kitsap</w:t>
            </w:r>
          </w:p>
        </w:tc>
      </w:tr>
      <w:tr w:rsidR="00605ADF" w:rsidRPr="00605ADF" w14:paraId="6C81FEB4" w14:textId="77777777" w:rsidTr="00345FB4">
        <w:tc>
          <w:tcPr>
            <w:tcW w:w="3055" w:type="dxa"/>
          </w:tcPr>
          <w:p w14:paraId="6C81FEAF" w14:textId="77777777" w:rsidR="00605ADF" w:rsidRPr="00605ADF" w:rsidRDefault="00605ADF" w:rsidP="00345FB4">
            <w:pPr>
              <w:jc w:val="right"/>
              <w:rPr>
                <w:rFonts w:ascii="Times New Roman" w:hAnsi="Times New Roman"/>
              </w:rPr>
            </w:pPr>
            <w:r w:rsidRPr="00605ADF">
              <w:rPr>
                <w:rFonts w:ascii="Times New Roman" w:hAnsi="Times New Roman"/>
              </w:rPr>
              <w:t>Hunt I &amp; II</w:t>
            </w:r>
          </w:p>
        </w:tc>
        <w:tc>
          <w:tcPr>
            <w:tcW w:w="1170" w:type="dxa"/>
          </w:tcPr>
          <w:p w14:paraId="6C81FEB0" w14:textId="77777777" w:rsidR="00605ADF" w:rsidRPr="00605ADF" w:rsidRDefault="00605ADF" w:rsidP="00345FB4">
            <w:pPr>
              <w:rPr>
                <w:rFonts w:ascii="Times New Roman" w:hAnsi="Times New Roman"/>
              </w:rPr>
            </w:pPr>
            <w:r w:rsidRPr="00605ADF">
              <w:rPr>
                <w:rFonts w:ascii="Times New Roman" w:hAnsi="Times New Roman"/>
              </w:rPr>
              <w:t>00567T</w:t>
            </w:r>
          </w:p>
        </w:tc>
        <w:tc>
          <w:tcPr>
            <w:tcW w:w="1170" w:type="dxa"/>
          </w:tcPr>
          <w:p w14:paraId="6C81FEB1" w14:textId="77777777" w:rsidR="00605ADF" w:rsidRPr="00605ADF" w:rsidRDefault="00605ADF" w:rsidP="00345FB4">
            <w:pPr>
              <w:jc w:val="center"/>
              <w:rPr>
                <w:rFonts w:ascii="Times New Roman" w:hAnsi="Times New Roman"/>
              </w:rPr>
            </w:pPr>
            <w:r w:rsidRPr="00605ADF">
              <w:rPr>
                <w:rFonts w:ascii="Times New Roman" w:hAnsi="Times New Roman"/>
              </w:rPr>
              <w:t>24</w:t>
            </w:r>
          </w:p>
        </w:tc>
        <w:tc>
          <w:tcPr>
            <w:tcW w:w="2075" w:type="dxa"/>
          </w:tcPr>
          <w:p w14:paraId="6C81FEB2" w14:textId="77777777" w:rsidR="00605ADF" w:rsidRPr="00605ADF" w:rsidRDefault="00605ADF" w:rsidP="00345FB4">
            <w:pPr>
              <w:rPr>
                <w:rFonts w:ascii="Times New Roman" w:hAnsi="Times New Roman"/>
              </w:rPr>
            </w:pPr>
            <w:r w:rsidRPr="00605ADF">
              <w:rPr>
                <w:rFonts w:ascii="Times New Roman" w:hAnsi="Times New Roman"/>
              </w:rPr>
              <w:t>Port Orchard</w:t>
            </w:r>
          </w:p>
        </w:tc>
        <w:tc>
          <w:tcPr>
            <w:tcW w:w="1880" w:type="dxa"/>
          </w:tcPr>
          <w:p w14:paraId="6C81FEB3" w14:textId="77777777" w:rsidR="00605ADF" w:rsidRPr="00605ADF" w:rsidRDefault="00605ADF" w:rsidP="00345FB4">
            <w:pPr>
              <w:rPr>
                <w:rFonts w:ascii="Times New Roman" w:hAnsi="Times New Roman"/>
              </w:rPr>
            </w:pPr>
            <w:r w:rsidRPr="00605ADF">
              <w:rPr>
                <w:rFonts w:ascii="Times New Roman" w:hAnsi="Times New Roman"/>
              </w:rPr>
              <w:t>Kitsap</w:t>
            </w:r>
          </w:p>
        </w:tc>
      </w:tr>
      <w:tr w:rsidR="00605ADF" w:rsidRPr="00605ADF" w14:paraId="6C81FEBA" w14:textId="77777777" w:rsidTr="00345FB4">
        <w:tc>
          <w:tcPr>
            <w:tcW w:w="3055" w:type="dxa"/>
          </w:tcPr>
          <w:p w14:paraId="6C81FEB5" w14:textId="77777777" w:rsidR="00605ADF" w:rsidRPr="00605ADF" w:rsidRDefault="00605ADF" w:rsidP="00345FB4">
            <w:pPr>
              <w:rPr>
                <w:rFonts w:ascii="Times New Roman" w:hAnsi="Times New Roman"/>
              </w:rPr>
            </w:pPr>
            <w:r w:rsidRPr="00605ADF">
              <w:rPr>
                <w:rFonts w:ascii="Times New Roman" w:hAnsi="Times New Roman"/>
              </w:rPr>
              <w:t>Lowper</w:t>
            </w:r>
          </w:p>
        </w:tc>
        <w:tc>
          <w:tcPr>
            <w:tcW w:w="1170" w:type="dxa"/>
          </w:tcPr>
          <w:p w14:paraId="6C81FEB6" w14:textId="77777777" w:rsidR="00605ADF" w:rsidRPr="00605ADF" w:rsidRDefault="00605ADF" w:rsidP="00345FB4">
            <w:pPr>
              <w:rPr>
                <w:rFonts w:ascii="Times New Roman" w:hAnsi="Times New Roman"/>
              </w:rPr>
            </w:pPr>
            <w:r w:rsidRPr="00605ADF">
              <w:rPr>
                <w:rFonts w:ascii="Times New Roman" w:hAnsi="Times New Roman"/>
              </w:rPr>
              <w:t>019595</w:t>
            </w:r>
          </w:p>
        </w:tc>
        <w:tc>
          <w:tcPr>
            <w:tcW w:w="1170" w:type="dxa"/>
          </w:tcPr>
          <w:p w14:paraId="6C81FEB7" w14:textId="77777777" w:rsidR="00605ADF" w:rsidRPr="00605ADF" w:rsidRDefault="00605ADF" w:rsidP="00345FB4">
            <w:pPr>
              <w:jc w:val="center"/>
              <w:rPr>
                <w:rFonts w:ascii="Times New Roman" w:hAnsi="Times New Roman"/>
              </w:rPr>
            </w:pPr>
            <w:r w:rsidRPr="00605ADF">
              <w:rPr>
                <w:rFonts w:ascii="Times New Roman" w:hAnsi="Times New Roman"/>
              </w:rPr>
              <w:t>7</w:t>
            </w:r>
          </w:p>
        </w:tc>
        <w:tc>
          <w:tcPr>
            <w:tcW w:w="2075" w:type="dxa"/>
          </w:tcPr>
          <w:p w14:paraId="6C81FEB8" w14:textId="77777777" w:rsidR="00605ADF" w:rsidRPr="00605ADF" w:rsidRDefault="00605ADF" w:rsidP="00345FB4">
            <w:pPr>
              <w:rPr>
                <w:rFonts w:ascii="Times New Roman" w:hAnsi="Times New Roman"/>
              </w:rPr>
            </w:pPr>
            <w:r w:rsidRPr="00605ADF">
              <w:rPr>
                <w:rFonts w:ascii="Times New Roman" w:hAnsi="Times New Roman"/>
              </w:rPr>
              <w:t>Sequim</w:t>
            </w:r>
          </w:p>
        </w:tc>
        <w:tc>
          <w:tcPr>
            <w:tcW w:w="1880" w:type="dxa"/>
          </w:tcPr>
          <w:p w14:paraId="6C81FEB9" w14:textId="77777777" w:rsidR="00605ADF" w:rsidRPr="00605ADF" w:rsidRDefault="00605ADF" w:rsidP="00345FB4">
            <w:pPr>
              <w:rPr>
                <w:rFonts w:ascii="Times New Roman" w:hAnsi="Times New Roman"/>
              </w:rPr>
            </w:pPr>
            <w:r w:rsidRPr="00605ADF">
              <w:rPr>
                <w:rFonts w:ascii="Times New Roman" w:hAnsi="Times New Roman"/>
              </w:rPr>
              <w:t>Clallam</w:t>
            </w:r>
          </w:p>
        </w:tc>
      </w:tr>
      <w:tr w:rsidR="00605ADF" w:rsidRPr="00605ADF" w14:paraId="6C81FEC0" w14:textId="77777777" w:rsidTr="00345FB4">
        <w:tc>
          <w:tcPr>
            <w:tcW w:w="3055" w:type="dxa"/>
          </w:tcPr>
          <w:p w14:paraId="6C81FEBB" w14:textId="77777777" w:rsidR="00605ADF" w:rsidRPr="00605ADF" w:rsidRDefault="00605ADF" w:rsidP="00345FB4">
            <w:pPr>
              <w:rPr>
                <w:rFonts w:ascii="Times New Roman" w:hAnsi="Times New Roman"/>
              </w:rPr>
            </w:pPr>
            <w:r w:rsidRPr="00605ADF">
              <w:rPr>
                <w:rFonts w:ascii="Times New Roman" w:hAnsi="Times New Roman"/>
              </w:rPr>
              <w:t>Marbello</w:t>
            </w:r>
          </w:p>
        </w:tc>
        <w:tc>
          <w:tcPr>
            <w:tcW w:w="1170" w:type="dxa"/>
          </w:tcPr>
          <w:p w14:paraId="6C81FEBC" w14:textId="77777777" w:rsidR="00605ADF" w:rsidRPr="00605ADF" w:rsidRDefault="00605ADF" w:rsidP="00345FB4">
            <w:pPr>
              <w:rPr>
                <w:rFonts w:ascii="Times New Roman" w:hAnsi="Times New Roman"/>
              </w:rPr>
            </w:pPr>
            <w:r w:rsidRPr="00605ADF">
              <w:rPr>
                <w:rFonts w:ascii="Times New Roman" w:hAnsi="Times New Roman"/>
              </w:rPr>
              <w:t>51530M</w:t>
            </w:r>
          </w:p>
        </w:tc>
        <w:tc>
          <w:tcPr>
            <w:tcW w:w="1170" w:type="dxa"/>
          </w:tcPr>
          <w:p w14:paraId="6C81FEBD" w14:textId="77777777" w:rsidR="00605ADF" w:rsidRPr="00605ADF" w:rsidRDefault="00605ADF" w:rsidP="00345FB4">
            <w:pPr>
              <w:jc w:val="center"/>
              <w:rPr>
                <w:rFonts w:ascii="Times New Roman" w:hAnsi="Times New Roman"/>
              </w:rPr>
            </w:pPr>
            <w:r w:rsidRPr="00605ADF">
              <w:rPr>
                <w:rFonts w:ascii="Times New Roman" w:hAnsi="Times New Roman"/>
              </w:rPr>
              <w:t>98</w:t>
            </w:r>
          </w:p>
        </w:tc>
        <w:tc>
          <w:tcPr>
            <w:tcW w:w="2075" w:type="dxa"/>
          </w:tcPr>
          <w:p w14:paraId="6C81FEBE" w14:textId="77777777" w:rsidR="00605ADF" w:rsidRPr="00605ADF" w:rsidRDefault="00605ADF" w:rsidP="00345FB4">
            <w:pPr>
              <w:rPr>
                <w:rFonts w:ascii="Times New Roman" w:hAnsi="Times New Roman"/>
              </w:rPr>
            </w:pPr>
            <w:r w:rsidRPr="00605ADF">
              <w:rPr>
                <w:rFonts w:ascii="Times New Roman" w:hAnsi="Times New Roman"/>
              </w:rPr>
              <w:t>Monroe</w:t>
            </w:r>
          </w:p>
        </w:tc>
        <w:tc>
          <w:tcPr>
            <w:tcW w:w="1880" w:type="dxa"/>
          </w:tcPr>
          <w:p w14:paraId="6C81FEBF" w14:textId="77777777" w:rsidR="00605ADF" w:rsidRPr="00605ADF" w:rsidRDefault="00605ADF" w:rsidP="00345FB4">
            <w:pPr>
              <w:rPr>
                <w:rFonts w:ascii="Times New Roman" w:hAnsi="Times New Roman"/>
              </w:rPr>
            </w:pPr>
            <w:r w:rsidRPr="00605ADF">
              <w:rPr>
                <w:rFonts w:ascii="Times New Roman" w:hAnsi="Times New Roman"/>
              </w:rPr>
              <w:t>Snohomish</w:t>
            </w:r>
          </w:p>
        </w:tc>
      </w:tr>
      <w:tr w:rsidR="00605ADF" w:rsidRPr="00605ADF" w14:paraId="6C81FEC6" w14:textId="77777777" w:rsidTr="00345FB4">
        <w:tc>
          <w:tcPr>
            <w:tcW w:w="3055" w:type="dxa"/>
          </w:tcPr>
          <w:p w14:paraId="6C81FEC1" w14:textId="77777777" w:rsidR="00605ADF" w:rsidRPr="00605ADF" w:rsidRDefault="00605ADF" w:rsidP="00345FB4">
            <w:pPr>
              <w:rPr>
                <w:rFonts w:ascii="Times New Roman" w:hAnsi="Times New Roman"/>
              </w:rPr>
            </w:pPr>
            <w:r w:rsidRPr="00605ADF">
              <w:rPr>
                <w:rFonts w:ascii="Times New Roman" w:hAnsi="Times New Roman"/>
              </w:rPr>
              <w:t>SJM – Cherry Creek</w:t>
            </w:r>
          </w:p>
        </w:tc>
        <w:tc>
          <w:tcPr>
            <w:tcW w:w="1170" w:type="dxa"/>
          </w:tcPr>
          <w:p w14:paraId="6C81FEC2" w14:textId="77777777" w:rsidR="00605ADF" w:rsidRPr="00605ADF" w:rsidRDefault="00605ADF" w:rsidP="00345FB4">
            <w:pPr>
              <w:rPr>
                <w:rFonts w:ascii="Times New Roman" w:hAnsi="Times New Roman"/>
              </w:rPr>
            </w:pPr>
            <w:r w:rsidRPr="00605ADF">
              <w:rPr>
                <w:rFonts w:ascii="Times New Roman" w:hAnsi="Times New Roman"/>
              </w:rPr>
              <w:t>23101W</w:t>
            </w:r>
          </w:p>
        </w:tc>
        <w:tc>
          <w:tcPr>
            <w:tcW w:w="1170" w:type="dxa"/>
          </w:tcPr>
          <w:p w14:paraId="6C81FEC3" w14:textId="77777777" w:rsidR="00605ADF" w:rsidRPr="00605ADF" w:rsidRDefault="00605ADF" w:rsidP="00345FB4">
            <w:pPr>
              <w:jc w:val="center"/>
              <w:rPr>
                <w:rFonts w:ascii="Times New Roman" w:hAnsi="Times New Roman"/>
              </w:rPr>
            </w:pPr>
            <w:r w:rsidRPr="00605ADF">
              <w:rPr>
                <w:rFonts w:ascii="Times New Roman" w:hAnsi="Times New Roman"/>
              </w:rPr>
              <w:t>54</w:t>
            </w:r>
          </w:p>
        </w:tc>
        <w:tc>
          <w:tcPr>
            <w:tcW w:w="2075" w:type="dxa"/>
          </w:tcPr>
          <w:p w14:paraId="6C81FEC4" w14:textId="77777777" w:rsidR="00605ADF" w:rsidRPr="00605ADF" w:rsidRDefault="00605ADF" w:rsidP="00345FB4">
            <w:pPr>
              <w:rPr>
                <w:rFonts w:ascii="Times New Roman" w:hAnsi="Times New Roman"/>
              </w:rPr>
            </w:pPr>
            <w:r w:rsidRPr="00605ADF">
              <w:rPr>
                <w:rFonts w:ascii="Times New Roman" w:hAnsi="Times New Roman"/>
              </w:rPr>
              <w:t>Duvall</w:t>
            </w:r>
          </w:p>
        </w:tc>
        <w:tc>
          <w:tcPr>
            <w:tcW w:w="1880" w:type="dxa"/>
          </w:tcPr>
          <w:p w14:paraId="6C81FEC5" w14:textId="77777777" w:rsidR="00605ADF" w:rsidRPr="00605ADF" w:rsidRDefault="00605ADF" w:rsidP="00345FB4">
            <w:pPr>
              <w:rPr>
                <w:rFonts w:ascii="Times New Roman" w:hAnsi="Times New Roman"/>
              </w:rPr>
            </w:pPr>
            <w:r w:rsidRPr="00605ADF">
              <w:rPr>
                <w:rFonts w:ascii="Times New Roman" w:hAnsi="Times New Roman"/>
              </w:rPr>
              <w:t>Snohomish</w:t>
            </w:r>
          </w:p>
        </w:tc>
      </w:tr>
      <w:tr w:rsidR="00605ADF" w:rsidRPr="00605ADF" w14:paraId="6C81FECC" w14:textId="77777777" w:rsidTr="00345FB4">
        <w:tc>
          <w:tcPr>
            <w:tcW w:w="3055" w:type="dxa"/>
          </w:tcPr>
          <w:p w14:paraId="6C81FEC7" w14:textId="77777777" w:rsidR="00605ADF" w:rsidRPr="00605ADF" w:rsidRDefault="00605ADF" w:rsidP="00345FB4">
            <w:pPr>
              <w:rPr>
                <w:rFonts w:ascii="Times New Roman" w:hAnsi="Times New Roman"/>
              </w:rPr>
            </w:pPr>
            <w:r w:rsidRPr="00605ADF">
              <w:rPr>
                <w:rFonts w:ascii="Times New Roman" w:hAnsi="Times New Roman"/>
              </w:rPr>
              <w:t>Iliad Water Services</w:t>
            </w:r>
          </w:p>
        </w:tc>
        <w:tc>
          <w:tcPr>
            <w:tcW w:w="1170" w:type="dxa"/>
          </w:tcPr>
          <w:p w14:paraId="6C81FEC8" w14:textId="77777777" w:rsidR="00605ADF" w:rsidRPr="00605ADF" w:rsidRDefault="00605ADF" w:rsidP="00345FB4">
            <w:pPr>
              <w:rPr>
                <w:rFonts w:ascii="Times New Roman" w:hAnsi="Times New Roman"/>
              </w:rPr>
            </w:pPr>
          </w:p>
        </w:tc>
        <w:tc>
          <w:tcPr>
            <w:tcW w:w="1170" w:type="dxa"/>
          </w:tcPr>
          <w:p w14:paraId="6C81FEC9" w14:textId="77777777" w:rsidR="00605ADF" w:rsidRPr="00605ADF" w:rsidRDefault="00605ADF" w:rsidP="00345FB4">
            <w:pPr>
              <w:rPr>
                <w:rFonts w:ascii="Times New Roman" w:hAnsi="Times New Roman"/>
              </w:rPr>
            </w:pPr>
          </w:p>
        </w:tc>
        <w:tc>
          <w:tcPr>
            <w:tcW w:w="2075" w:type="dxa"/>
          </w:tcPr>
          <w:p w14:paraId="6C81FECA" w14:textId="77777777" w:rsidR="00605ADF" w:rsidRPr="00605ADF" w:rsidRDefault="00605ADF" w:rsidP="00345FB4">
            <w:pPr>
              <w:rPr>
                <w:rFonts w:ascii="Times New Roman" w:hAnsi="Times New Roman"/>
              </w:rPr>
            </w:pPr>
          </w:p>
        </w:tc>
        <w:tc>
          <w:tcPr>
            <w:tcW w:w="1880" w:type="dxa"/>
          </w:tcPr>
          <w:p w14:paraId="6C81FECB" w14:textId="77777777" w:rsidR="00605ADF" w:rsidRPr="00605ADF" w:rsidRDefault="00605ADF" w:rsidP="00345FB4">
            <w:pPr>
              <w:rPr>
                <w:rFonts w:ascii="Times New Roman" w:hAnsi="Times New Roman"/>
              </w:rPr>
            </w:pPr>
          </w:p>
        </w:tc>
      </w:tr>
      <w:tr w:rsidR="00605ADF" w:rsidRPr="00605ADF" w14:paraId="6C81FED2" w14:textId="77777777" w:rsidTr="00345FB4">
        <w:tc>
          <w:tcPr>
            <w:tcW w:w="3055" w:type="dxa"/>
          </w:tcPr>
          <w:p w14:paraId="6C81FECD" w14:textId="77777777" w:rsidR="00605ADF" w:rsidRPr="00605ADF" w:rsidRDefault="00605ADF" w:rsidP="00345FB4">
            <w:pPr>
              <w:jc w:val="right"/>
              <w:rPr>
                <w:rFonts w:ascii="Times New Roman" w:hAnsi="Times New Roman"/>
              </w:rPr>
            </w:pPr>
            <w:r w:rsidRPr="00605ADF">
              <w:rPr>
                <w:rFonts w:ascii="Times New Roman" w:hAnsi="Times New Roman"/>
              </w:rPr>
              <w:t>Alder Lake</w:t>
            </w:r>
          </w:p>
        </w:tc>
        <w:tc>
          <w:tcPr>
            <w:tcW w:w="1170" w:type="dxa"/>
          </w:tcPr>
          <w:p w14:paraId="6C81FECE" w14:textId="77777777" w:rsidR="00605ADF" w:rsidRPr="00605ADF" w:rsidRDefault="00605ADF" w:rsidP="00345FB4">
            <w:pPr>
              <w:rPr>
                <w:rFonts w:ascii="Times New Roman" w:hAnsi="Times New Roman"/>
              </w:rPr>
            </w:pPr>
            <w:r w:rsidRPr="00605ADF">
              <w:rPr>
                <w:rFonts w:ascii="Times New Roman" w:hAnsi="Times New Roman"/>
              </w:rPr>
              <w:t>221957</w:t>
            </w:r>
          </w:p>
        </w:tc>
        <w:tc>
          <w:tcPr>
            <w:tcW w:w="1170" w:type="dxa"/>
          </w:tcPr>
          <w:p w14:paraId="6C81FECF" w14:textId="77777777" w:rsidR="00605ADF" w:rsidRPr="00605ADF" w:rsidRDefault="00605ADF" w:rsidP="00345FB4">
            <w:pPr>
              <w:jc w:val="center"/>
              <w:rPr>
                <w:rFonts w:ascii="Times New Roman" w:hAnsi="Times New Roman"/>
              </w:rPr>
            </w:pPr>
            <w:r w:rsidRPr="00605ADF">
              <w:rPr>
                <w:rFonts w:ascii="Times New Roman" w:hAnsi="Times New Roman"/>
              </w:rPr>
              <w:t>35</w:t>
            </w:r>
          </w:p>
        </w:tc>
        <w:tc>
          <w:tcPr>
            <w:tcW w:w="2075" w:type="dxa"/>
          </w:tcPr>
          <w:p w14:paraId="6C81FED0" w14:textId="77777777" w:rsidR="00605ADF" w:rsidRPr="00605ADF" w:rsidRDefault="00605ADF" w:rsidP="00345FB4">
            <w:pPr>
              <w:rPr>
                <w:rFonts w:ascii="Times New Roman" w:hAnsi="Times New Roman"/>
              </w:rPr>
            </w:pPr>
            <w:r w:rsidRPr="00605ADF">
              <w:rPr>
                <w:rFonts w:ascii="Times New Roman" w:hAnsi="Times New Roman"/>
              </w:rPr>
              <w:t>Eatonville</w:t>
            </w:r>
          </w:p>
        </w:tc>
        <w:tc>
          <w:tcPr>
            <w:tcW w:w="1880" w:type="dxa"/>
          </w:tcPr>
          <w:p w14:paraId="6C81FED1" w14:textId="77777777" w:rsidR="00605ADF" w:rsidRPr="00605ADF" w:rsidRDefault="00605ADF" w:rsidP="00345FB4">
            <w:pPr>
              <w:rPr>
                <w:rFonts w:ascii="Times New Roman" w:hAnsi="Times New Roman"/>
              </w:rPr>
            </w:pPr>
            <w:r w:rsidRPr="00605ADF">
              <w:rPr>
                <w:rFonts w:ascii="Times New Roman" w:hAnsi="Times New Roman"/>
              </w:rPr>
              <w:t>Pierce</w:t>
            </w:r>
          </w:p>
        </w:tc>
      </w:tr>
      <w:tr w:rsidR="00605ADF" w:rsidRPr="00605ADF" w14:paraId="6C81FED8" w14:textId="77777777" w:rsidTr="00345FB4">
        <w:tc>
          <w:tcPr>
            <w:tcW w:w="3055" w:type="dxa"/>
          </w:tcPr>
          <w:p w14:paraId="6C81FED3" w14:textId="77777777" w:rsidR="00605ADF" w:rsidRPr="00605ADF" w:rsidRDefault="00605ADF" w:rsidP="00345FB4">
            <w:pPr>
              <w:jc w:val="right"/>
              <w:rPr>
                <w:rFonts w:ascii="Times New Roman" w:hAnsi="Times New Roman"/>
              </w:rPr>
            </w:pPr>
            <w:r w:rsidRPr="00605ADF">
              <w:rPr>
                <w:rFonts w:ascii="Times New Roman" w:hAnsi="Times New Roman"/>
              </w:rPr>
              <w:t>Cascade Creek</w:t>
            </w:r>
          </w:p>
        </w:tc>
        <w:tc>
          <w:tcPr>
            <w:tcW w:w="1170" w:type="dxa"/>
          </w:tcPr>
          <w:p w14:paraId="6C81FED4" w14:textId="77777777" w:rsidR="00605ADF" w:rsidRPr="00605ADF" w:rsidRDefault="00605ADF" w:rsidP="00345FB4">
            <w:pPr>
              <w:rPr>
                <w:rFonts w:ascii="Times New Roman" w:hAnsi="Times New Roman"/>
              </w:rPr>
            </w:pPr>
            <w:r w:rsidRPr="00605ADF">
              <w:rPr>
                <w:rFonts w:ascii="Times New Roman" w:hAnsi="Times New Roman"/>
              </w:rPr>
              <w:t>31203Y</w:t>
            </w:r>
          </w:p>
        </w:tc>
        <w:tc>
          <w:tcPr>
            <w:tcW w:w="1170" w:type="dxa"/>
          </w:tcPr>
          <w:p w14:paraId="6C81FED5" w14:textId="77777777" w:rsidR="00605ADF" w:rsidRPr="00605ADF" w:rsidRDefault="00605ADF" w:rsidP="00345FB4">
            <w:pPr>
              <w:jc w:val="center"/>
              <w:rPr>
                <w:rFonts w:ascii="Times New Roman" w:hAnsi="Times New Roman"/>
              </w:rPr>
            </w:pPr>
            <w:r w:rsidRPr="00605ADF">
              <w:rPr>
                <w:rFonts w:ascii="Times New Roman" w:hAnsi="Times New Roman"/>
              </w:rPr>
              <w:t>46</w:t>
            </w:r>
          </w:p>
        </w:tc>
        <w:tc>
          <w:tcPr>
            <w:tcW w:w="2075" w:type="dxa"/>
          </w:tcPr>
          <w:p w14:paraId="6C81FED6" w14:textId="77777777" w:rsidR="00605ADF" w:rsidRPr="00605ADF" w:rsidRDefault="00605ADF" w:rsidP="00345FB4">
            <w:pPr>
              <w:rPr>
                <w:rFonts w:ascii="Times New Roman" w:hAnsi="Times New Roman"/>
              </w:rPr>
            </w:pPr>
            <w:r w:rsidRPr="00605ADF">
              <w:rPr>
                <w:rFonts w:ascii="Times New Roman" w:hAnsi="Times New Roman"/>
              </w:rPr>
              <w:t>Lake Stevens</w:t>
            </w:r>
          </w:p>
        </w:tc>
        <w:tc>
          <w:tcPr>
            <w:tcW w:w="1880" w:type="dxa"/>
          </w:tcPr>
          <w:p w14:paraId="6C81FED7" w14:textId="77777777" w:rsidR="00605ADF" w:rsidRPr="00605ADF" w:rsidRDefault="00605ADF" w:rsidP="00345FB4">
            <w:pPr>
              <w:rPr>
                <w:rFonts w:ascii="Times New Roman" w:hAnsi="Times New Roman"/>
              </w:rPr>
            </w:pPr>
            <w:r w:rsidRPr="00605ADF">
              <w:rPr>
                <w:rFonts w:ascii="Times New Roman" w:hAnsi="Times New Roman"/>
              </w:rPr>
              <w:t>Snohomish</w:t>
            </w:r>
          </w:p>
        </w:tc>
      </w:tr>
      <w:tr w:rsidR="00605ADF" w:rsidRPr="00605ADF" w14:paraId="6C81FEDE" w14:textId="77777777" w:rsidTr="00345FB4">
        <w:tc>
          <w:tcPr>
            <w:tcW w:w="3055" w:type="dxa"/>
          </w:tcPr>
          <w:p w14:paraId="6C81FED9" w14:textId="77777777" w:rsidR="00605ADF" w:rsidRPr="00605ADF" w:rsidRDefault="00605ADF" w:rsidP="00345FB4">
            <w:pPr>
              <w:jc w:val="right"/>
              <w:rPr>
                <w:rFonts w:ascii="Times New Roman" w:hAnsi="Times New Roman"/>
              </w:rPr>
            </w:pPr>
            <w:r w:rsidRPr="00605ADF">
              <w:rPr>
                <w:rFonts w:ascii="Times New Roman" w:hAnsi="Times New Roman"/>
              </w:rPr>
              <w:t>Western Stavis II &amp; III*</w:t>
            </w:r>
          </w:p>
        </w:tc>
        <w:tc>
          <w:tcPr>
            <w:tcW w:w="1170" w:type="dxa"/>
          </w:tcPr>
          <w:p w14:paraId="6C81FEDA" w14:textId="77777777" w:rsidR="00605ADF" w:rsidRPr="00605ADF" w:rsidRDefault="00605ADF" w:rsidP="00345FB4">
            <w:pPr>
              <w:rPr>
                <w:rFonts w:ascii="Times New Roman" w:hAnsi="Times New Roman"/>
              </w:rPr>
            </w:pPr>
            <w:r w:rsidRPr="00605ADF">
              <w:rPr>
                <w:rFonts w:ascii="Times New Roman" w:hAnsi="Times New Roman"/>
              </w:rPr>
              <w:t>01668H</w:t>
            </w:r>
          </w:p>
        </w:tc>
        <w:tc>
          <w:tcPr>
            <w:tcW w:w="1170" w:type="dxa"/>
          </w:tcPr>
          <w:p w14:paraId="6C81FEDB" w14:textId="77777777" w:rsidR="00605ADF" w:rsidRPr="00605ADF" w:rsidRDefault="00605ADF" w:rsidP="00345FB4">
            <w:pPr>
              <w:jc w:val="center"/>
              <w:rPr>
                <w:rFonts w:ascii="Times New Roman" w:hAnsi="Times New Roman"/>
              </w:rPr>
            </w:pPr>
            <w:r w:rsidRPr="00605ADF">
              <w:rPr>
                <w:rFonts w:ascii="Times New Roman" w:hAnsi="Times New Roman"/>
              </w:rPr>
              <w:t>24</w:t>
            </w:r>
          </w:p>
        </w:tc>
        <w:tc>
          <w:tcPr>
            <w:tcW w:w="2075" w:type="dxa"/>
          </w:tcPr>
          <w:p w14:paraId="6C81FEDC" w14:textId="77777777" w:rsidR="00605ADF" w:rsidRPr="00605ADF" w:rsidRDefault="00605ADF" w:rsidP="00345FB4">
            <w:pPr>
              <w:rPr>
                <w:rFonts w:ascii="Times New Roman" w:hAnsi="Times New Roman"/>
              </w:rPr>
            </w:pPr>
            <w:r w:rsidRPr="00605ADF">
              <w:rPr>
                <w:rFonts w:ascii="Times New Roman" w:hAnsi="Times New Roman"/>
              </w:rPr>
              <w:t>Poulsbo</w:t>
            </w:r>
          </w:p>
        </w:tc>
        <w:tc>
          <w:tcPr>
            <w:tcW w:w="1880" w:type="dxa"/>
          </w:tcPr>
          <w:p w14:paraId="6C81FEDD" w14:textId="77777777" w:rsidR="00605ADF" w:rsidRPr="00605ADF" w:rsidRDefault="00605ADF" w:rsidP="00345FB4">
            <w:pPr>
              <w:rPr>
                <w:rFonts w:ascii="Times New Roman" w:hAnsi="Times New Roman"/>
              </w:rPr>
            </w:pPr>
            <w:r w:rsidRPr="00605ADF">
              <w:rPr>
                <w:rFonts w:ascii="Times New Roman" w:hAnsi="Times New Roman"/>
              </w:rPr>
              <w:t>Kitsap</w:t>
            </w:r>
          </w:p>
        </w:tc>
      </w:tr>
    </w:tbl>
    <w:p w14:paraId="6C81FEDF" w14:textId="77777777" w:rsidR="00605ADF" w:rsidRPr="00605ADF" w:rsidRDefault="00605ADF" w:rsidP="00CF786D">
      <w:pPr>
        <w:pStyle w:val="FindingsConclusions"/>
        <w:numPr>
          <w:ilvl w:val="0"/>
          <w:numId w:val="0"/>
        </w:numPr>
      </w:pPr>
      <w:r w:rsidRPr="00605ADF">
        <w:t xml:space="preserve"> *System transferred to Kitsap PUD in 2011.</w:t>
      </w:r>
    </w:p>
    <w:p w14:paraId="6C81FEE0" w14:textId="77777777" w:rsidR="0073523C" w:rsidRPr="00605ADF" w:rsidRDefault="0073523C" w:rsidP="00CF786D">
      <w:pPr>
        <w:pStyle w:val="FindingsConclusions"/>
        <w:numPr>
          <w:ilvl w:val="0"/>
          <w:numId w:val="0"/>
        </w:numPr>
        <w:ind w:left="-720"/>
      </w:pPr>
    </w:p>
    <w:p w14:paraId="6C81FEE1" w14:textId="77777777" w:rsidR="0081462F" w:rsidRPr="00764CC9" w:rsidRDefault="00A32791" w:rsidP="00CF786D">
      <w:pPr>
        <w:pStyle w:val="FindingsConclusions"/>
        <w:ind w:left="0" w:hanging="720"/>
      </w:pPr>
      <w:r>
        <w:t xml:space="preserve">Iliad Water Services </w:t>
      </w:r>
      <w:r w:rsidR="0073523C" w:rsidRPr="00240722">
        <w:t>assumes the regulatory obligations of the purchased utilit</w:t>
      </w:r>
      <w:r w:rsidR="00756B71">
        <w:t>ies</w:t>
      </w:r>
      <w:r>
        <w:t>, i</w:t>
      </w:r>
      <w:r w:rsidR="006976F2" w:rsidRPr="00240722">
        <w:t xml:space="preserve">f the </w:t>
      </w:r>
      <w:r w:rsidR="00F3239C">
        <w:t>Commission</w:t>
      </w:r>
      <w:r w:rsidR="0073523C" w:rsidRPr="00764CC9">
        <w:t xml:space="preserve"> approves the sale and transfer of </w:t>
      </w:r>
      <w:r w:rsidR="00240722">
        <w:t xml:space="preserve">Fragaria, Lowper, Marbello and </w:t>
      </w:r>
      <w:r w:rsidR="00631CE6" w:rsidRPr="00AF656B">
        <w:t xml:space="preserve">SJM </w:t>
      </w:r>
      <w:r w:rsidR="00631CE6" w:rsidRPr="00AF656B">
        <w:rPr>
          <w:bCs/>
        </w:rPr>
        <w:t>to</w:t>
      </w:r>
      <w:r w:rsidR="00B83619" w:rsidRPr="00764CC9">
        <w:t xml:space="preserve"> </w:t>
      </w:r>
      <w:r w:rsidR="00551872" w:rsidRPr="00551872">
        <w:rPr>
          <w:bCs/>
        </w:rPr>
        <w:t xml:space="preserve">Iliad Water </w:t>
      </w:r>
      <w:r w:rsidR="00551872">
        <w:rPr>
          <w:bCs/>
        </w:rPr>
        <w:t>Services</w:t>
      </w:r>
      <w:r w:rsidR="00B83619" w:rsidRPr="00764CC9">
        <w:t xml:space="preserve">. </w:t>
      </w:r>
      <w:r w:rsidR="0034018E" w:rsidRPr="00764CC9">
        <w:t xml:space="preserve"> </w:t>
      </w:r>
      <w:r w:rsidR="00551872" w:rsidRPr="00551872">
        <w:rPr>
          <w:bCs/>
        </w:rPr>
        <w:t xml:space="preserve">Iliad Water </w:t>
      </w:r>
      <w:r w:rsidR="00551872">
        <w:rPr>
          <w:bCs/>
        </w:rPr>
        <w:t>Services</w:t>
      </w:r>
      <w:r w:rsidR="0073523C" w:rsidRPr="00764CC9">
        <w:t xml:space="preserve"> will be subject to</w:t>
      </w:r>
      <w:r w:rsidR="0034018E" w:rsidRPr="00764CC9">
        <w:t xml:space="preserve"> </w:t>
      </w:r>
      <w:r w:rsidR="00AB7DD1" w:rsidRPr="00764CC9">
        <w:t>any</w:t>
      </w:r>
      <w:r w:rsidR="0034018E" w:rsidRPr="00764CC9">
        <w:t xml:space="preserve"> obligations the </w:t>
      </w:r>
      <w:r w:rsidR="00F3239C">
        <w:t>Commission</w:t>
      </w:r>
      <w:r w:rsidR="0034018E" w:rsidRPr="00764CC9">
        <w:t xml:space="preserve"> imposed on</w:t>
      </w:r>
      <w:r w:rsidR="00DB0CF5" w:rsidRPr="00764CC9">
        <w:t xml:space="preserve"> </w:t>
      </w:r>
      <w:r w:rsidR="00240722">
        <w:t>Fragaria, Lowper, Marbello and SJM</w:t>
      </w:r>
      <w:r w:rsidR="00AB7DD1" w:rsidRPr="00764CC9">
        <w:t>.</w:t>
      </w:r>
      <w:r w:rsidR="0073523C" w:rsidRPr="00764CC9">
        <w:t xml:space="preserve">  </w:t>
      </w:r>
    </w:p>
    <w:p w14:paraId="6C81FEE2" w14:textId="77777777" w:rsidR="00505778" w:rsidRPr="00764CC9" w:rsidRDefault="00505778" w:rsidP="00CF786D">
      <w:pPr>
        <w:pStyle w:val="FindingsConclusions"/>
        <w:numPr>
          <w:ilvl w:val="0"/>
          <w:numId w:val="0"/>
        </w:numPr>
        <w:ind w:hanging="720"/>
      </w:pPr>
    </w:p>
    <w:p w14:paraId="6C81FEE3" w14:textId="77777777" w:rsidR="0081462F" w:rsidRPr="00764CC9" w:rsidRDefault="0081462F" w:rsidP="00F73BD2">
      <w:pPr>
        <w:pStyle w:val="Heading3"/>
        <w:spacing w:line="320" w:lineRule="exact"/>
        <w:ind w:left="0"/>
        <w:rPr>
          <w:rFonts w:ascii="Times New Roman" w:hAnsi="Times New Roman"/>
        </w:rPr>
      </w:pPr>
      <w:r w:rsidRPr="00764CC9">
        <w:rPr>
          <w:rFonts w:ascii="Times New Roman" w:hAnsi="Times New Roman"/>
        </w:rPr>
        <w:t>FINDINGS AND CONCLUSIONS</w:t>
      </w:r>
    </w:p>
    <w:p w14:paraId="6C81FEE4" w14:textId="77777777" w:rsidR="0081462F" w:rsidRPr="00764CC9" w:rsidRDefault="0081462F" w:rsidP="00CF786D">
      <w:pPr>
        <w:pStyle w:val="FindingsConclusions"/>
        <w:numPr>
          <w:ilvl w:val="0"/>
          <w:numId w:val="0"/>
        </w:numPr>
        <w:ind w:left="-720"/>
      </w:pPr>
    </w:p>
    <w:p w14:paraId="6C81FEE5" w14:textId="77777777" w:rsidR="0081462F" w:rsidRPr="00764CC9" w:rsidRDefault="0081462F" w:rsidP="00323DDD">
      <w:pPr>
        <w:numPr>
          <w:ilvl w:val="0"/>
          <w:numId w:val="14"/>
        </w:numPr>
        <w:spacing w:line="320" w:lineRule="exact"/>
        <w:ind w:left="700" w:hanging="1420"/>
      </w:pPr>
      <w:r w:rsidRPr="00764CC9">
        <w:t>(1)</w:t>
      </w:r>
      <w:r w:rsidRPr="00764CC9">
        <w:tab/>
        <w:t xml:space="preserve">The Washington Utilities and Transportation </w:t>
      </w:r>
      <w:r w:rsidR="00F3239C">
        <w:t>Commission</w:t>
      </w:r>
      <w:r w:rsidRPr="00764CC9">
        <w:t xml:space="preserve"> is an agency of the </w:t>
      </w:r>
      <w:r w:rsidR="00833157" w:rsidRPr="00764CC9">
        <w:t>S</w:t>
      </w:r>
      <w:r w:rsidRPr="00764CC9">
        <w:t xml:space="preserve">tate of Washington vested by statute with the authority to regulate </w:t>
      </w:r>
      <w:r w:rsidR="001A05D6" w:rsidRPr="00764CC9">
        <w:t xml:space="preserve">the </w:t>
      </w:r>
      <w:r w:rsidRPr="00764CC9">
        <w:t>rates, rules, regulations, practic</w:t>
      </w:r>
      <w:r w:rsidR="001A05D6" w:rsidRPr="00764CC9">
        <w:t>es, accounts, securities,</w:t>
      </w:r>
      <w:r w:rsidRPr="00764CC9">
        <w:t xml:space="preserve"> transfers of </w:t>
      </w:r>
      <w:r w:rsidR="001A05D6" w:rsidRPr="00764CC9">
        <w:t xml:space="preserve">property and affiliated interests of </w:t>
      </w:r>
      <w:r w:rsidRPr="00764CC9">
        <w:t>public service companies, including water companies.</w:t>
      </w:r>
      <w:r w:rsidR="00375E3F" w:rsidRPr="00764CC9">
        <w:t xml:space="preserve"> </w:t>
      </w:r>
      <w:r w:rsidR="00375E3F" w:rsidRPr="00F3239C">
        <w:t>RCW 80.01.040</w:t>
      </w:r>
      <w:r w:rsidR="00375E3F" w:rsidRPr="00AC0026">
        <w:t xml:space="preserve">, </w:t>
      </w:r>
      <w:r w:rsidR="00375E3F" w:rsidRPr="00F3239C">
        <w:t>RCW 80.04</w:t>
      </w:r>
      <w:r w:rsidR="00375E3F" w:rsidRPr="00AC0026">
        <w:t xml:space="preserve">, </w:t>
      </w:r>
      <w:r w:rsidR="00375E3F" w:rsidRPr="00F3239C">
        <w:t>RCW 80.08</w:t>
      </w:r>
      <w:r w:rsidR="00375E3F" w:rsidRPr="00AC0026">
        <w:t xml:space="preserve">, </w:t>
      </w:r>
      <w:r w:rsidR="00375E3F" w:rsidRPr="00F3239C">
        <w:t>RCW 80.12</w:t>
      </w:r>
      <w:r w:rsidR="00375E3F" w:rsidRPr="00AC0026">
        <w:t xml:space="preserve">, </w:t>
      </w:r>
      <w:r w:rsidR="00375E3F" w:rsidRPr="00F3239C">
        <w:t>RCW 80.16</w:t>
      </w:r>
      <w:r w:rsidR="00375E3F" w:rsidRPr="00AC0026">
        <w:t xml:space="preserve"> and </w:t>
      </w:r>
      <w:r w:rsidR="00375E3F" w:rsidRPr="00F3239C">
        <w:t>RCW 80.28</w:t>
      </w:r>
      <w:r w:rsidR="00375E3F" w:rsidRPr="00AC0026">
        <w:rPr>
          <w:iCs/>
        </w:rPr>
        <w:t>.</w:t>
      </w:r>
    </w:p>
    <w:p w14:paraId="6C81FEE6" w14:textId="77777777" w:rsidR="0081462F" w:rsidRPr="00764CC9" w:rsidRDefault="0081462F" w:rsidP="00F73BD2">
      <w:pPr>
        <w:spacing w:line="320" w:lineRule="exact"/>
        <w:ind w:left="-720"/>
      </w:pPr>
    </w:p>
    <w:p w14:paraId="6C81FEE7" w14:textId="77777777" w:rsidR="0081462F" w:rsidRPr="00764CC9" w:rsidRDefault="001A05D6" w:rsidP="00F73BD2">
      <w:pPr>
        <w:numPr>
          <w:ilvl w:val="0"/>
          <w:numId w:val="14"/>
        </w:numPr>
        <w:spacing w:line="320" w:lineRule="exact"/>
        <w:ind w:left="700" w:hanging="1420"/>
      </w:pPr>
      <w:r w:rsidRPr="00764CC9">
        <w:t>(2)</w:t>
      </w:r>
      <w:r w:rsidR="0081462F" w:rsidRPr="00764CC9">
        <w:tab/>
      </w:r>
      <w:r w:rsidR="00240722">
        <w:rPr>
          <w:bCs/>
        </w:rPr>
        <w:t xml:space="preserve">Fragaria, Lowper, Marbello and </w:t>
      </w:r>
      <w:r w:rsidR="00631CE6">
        <w:rPr>
          <w:bCs/>
        </w:rPr>
        <w:t xml:space="preserve">SJM </w:t>
      </w:r>
      <w:r w:rsidR="00631CE6" w:rsidRPr="00240722">
        <w:rPr>
          <w:bCs/>
        </w:rPr>
        <w:t>are</w:t>
      </w:r>
      <w:r w:rsidR="0081462F" w:rsidRPr="00764CC9">
        <w:t xml:space="preserve"> investor-owned water compan</w:t>
      </w:r>
      <w:r w:rsidR="00240722">
        <w:t>ies</w:t>
      </w:r>
      <w:r w:rsidR="0081462F" w:rsidRPr="00764CC9">
        <w:t xml:space="preserve"> and </w:t>
      </w:r>
      <w:r w:rsidR="00240722">
        <w:t>are</w:t>
      </w:r>
      <w:r w:rsidR="0081462F" w:rsidRPr="00764CC9">
        <w:t xml:space="preserve"> public service compan</w:t>
      </w:r>
      <w:r w:rsidR="00240722">
        <w:t>ies</w:t>
      </w:r>
      <w:r w:rsidR="0081462F" w:rsidRPr="00764CC9">
        <w:t xml:space="preserve"> subject to </w:t>
      </w:r>
      <w:r w:rsidR="00F3239C">
        <w:t>Commission</w:t>
      </w:r>
      <w:r w:rsidR="0081462F" w:rsidRPr="00764CC9">
        <w:t xml:space="preserve"> jurisdiction.</w:t>
      </w:r>
    </w:p>
    <w:p w14:paraId="6C81FEE8" w14:textId="77777777" w:rsidR="0081462F" w:rsidRPr="00764CC9" w:rsidRDefault="0081462F" w:rsidP="00F73BD2">
      <w:pPr>
        <w:spacing w:line="320" w:lineRule="exact"/>
      </w:pPr>
    </w:p>
    <w:p w14:paraId="6C81FEE9" w14:textId="77777777" w:rsidR="0081462F" w:rsidRPr="00764CC9" w:rsidRDefault="0081462F" w:rsidP="00F73BD2">
      <w:pPr>
        <w:numPr>
          <w:ilvl w:val="0"/>
          <w:numId w:val="14"/>
        </w:numPr>
        <w:spacing w:line="320" w:lineRule="exact"/>
        <w:ind w:left="700" w:hanging="1420"/>
      </w:pPr>
      <w:r w:rsidRPr="00764CC9">
        <w:lastRenderedPageBreak/>
        <w:t>(3)</w:t>
      </w:r>
      <w:r w:rsidRPr="00764CC9">
        <w:tab/>
      </w:r>
      <w:r w:rsidR="00551872">
        <w:rPr>
          <w:bCs/>
        </w:rPr>
        <w:t>Iliad Water Services</w:t>
      </w:r>
      <w:r w:rsidR="00DB0CF5" w:rsidRPr="00764CC9">
        <w:t xml:space="preserve"> </w:t>
      </w:r>
      <w:r w:rsidRPr="00764CC9">
        <w:t xml:space="preserve">is a </w:t>
      </w:r>
      <w:r w:rsidR="00322EC5">
        <w:t xml:space="preserve">water utility company and </w:t>
      </w:r>
      <w:r w:rsidR="00367A3A" w:rsidRPr="00764CC9">
        <w:t>is a W</w:t>
      </w:r>
      <w:r w:rsidR="001A05D6" w:rsidRPr="00764CC9">
        <w:t xml:space="preserve">ashington </w:t>
      </w:r>
      <w:r w:rsidR="00670841" w:rsidRPr="00764CC9">
        <w:t>c</w:t>
      </w:r>
      <w:r w:rsidR="00AF3A91" w:rsidRPr="00764CC9">
        <w:t>o</w:t>
      </w:r>
      <w:r w:rsidR="00220DC7" w:rsidRPr="00764CC9">
        <w:t>rporati</w:t>
      </w:r>
      <w:r w:rsidR="00322EC5">
        <w:t xml:space="preserve">on. </w:t>
      </w:r>
      <w:r w:rsidR="00551872">
        <w:rPr>
          <w:bCs/>
        </w:rPr>
        <w:t xml:space="preserve">Iliad Water </w:t>
      </w:r>
      <w:r w:rsidR="00631CE6" w:rsidRPr="00756B71">
        <w:rPr>
          <w:bCs/>
        </w:rPr>
        <w:t>Services</w:t>
      </w:r>
      <w:r w:rsidR="00631CE6" w:rsidRPr="00756B71">
        <w:rPr>
          <w:color w:val="FF0000"/>
        </w:rPr>
        <w:t xml:space="preserve"> </w:t>
      </w:r>
      <w:r w:rsidR="00631CE6" w:rsidRPr="00756B71">
        <w:rPr>
          <w:bCs/>
        </w:rPr>
        <w:t>is</w:t>
      </w:r>
      <w:r w:rsidR="00216D65" w:rsidRPr="00756B71">
        <w:t xml:space="preserve"> a</w:t>
      </w:r>
      <w:r w:rsidR="00216D65" w:rsidRPr="00764CC9">
        <w:t xml:space="preserve"> public service company subject to </w:t>
      </w:r>
      <w:r w:rsidR="00F3239C">
        <w:t>Commission</w:t>
      </w:r>
      <w:r w:rsidR="001A05D6" w:rsidRPr="00764CC9">
        <w:t xml:space="preserve"> jurisdiction</w:t>
      </w:r>
      <w:r w:rsidR="00216D65" w:rsidRPr="00764CC9">
        <w:t>.</w:t>
      </w:r>
    </w:p>
    <w:p w14:paraId="6C81FEEA" w14:textId="77777777" w:rsidR="0081462F" w:rsidRPr="00764CC9" w:rsidRDefault="0081462F" w:rsidP="00F73BD2">
      <w:pPr>
        <w:spacing w:line="320" w:lineRule="exact"/>
      </w:pPr>
    </w:p>
    <w:p w14:paraId="6C81FEEB" w14:textId="77777777" w:rsidR="0034018E" w:rsidRPr="00764CC9" w:rsidRDefault="0081462F" w:rsidP="00F73BD2">
      <w:pPr>
        <w:numPr>
          <w:ilvl w:val="0"/>
          <w:numId w:val="14"/>
        </w:numPr>
        <w:spacing w:line="320" w:lineRule="exact"/>
        <w:ind w:left="700" w:hanging="1420"/>
      </w:pPr>
      <w:r w:rsidRPr="00764CC9">
        <w:t>(4)</w:t>
      </w:r>
      <w:r w:rsidRPr="00764CC9">
        <w:tab/>
      </w:r>
      <w:r w:rsidR="00240722">
        <w:rPr>
          <w:bCs/>
        </w:rPr>
        <w:t xml:space="preserve">Fragaria, Lowper, Marbello and </w:t>
      </w:r>
      <w:r w:rsidR="00631CE6">
        <w:rPr>
          <w:bCs/>
        </w:rPr>
        <w:t xml:space="preserve">SJM </w:t>
      </w:r>
      <w:r w:rsidR="00631CE6" w:rsidRPr="00631CE6">
        <w:rPr>
          <w:bCs/>
        </w:rPr>
        <w:t>notified</w:t>
      </w:r>
      <w:r w:rsidR="00220DC7" w:rsidRPr="00631CE6">
        <w:t xml:space="preserve"> its</w:t>
      </w:r>
      <w:r w:rsidR="00220DC7" w:rsidRPr="00764CC9">
        <w:t xml:space="preserve"> customers of the sale and transfer in a mailing on </w:t>
      </w:r>
      <w:r w:rsidR="00322EC5">
        <w:t>April 21, 2015</w:t>
      </w:r>
      <w:r w:rsidR="00220DC7" w:rsidRPr="00764CC9">
        <w:t xml:space="preserve">. </w:t>
      </w:r>
    </w:p>
    <w:p w14:paraId="6C81FEEC" w14:textId="77777777" w:rsidR="0081462F" w:rsidRPr="00764CC9" w:rsidRDefault="0081462F" w:rsidP="00F73BD2">
      <w:pPr>
        <w:spacing w:line="320" w:lineRule="exact"/>
      </w:pPr>
    </w:p>
    <w:p w14:paraId="6C81FEED" w14:textId="77777777" w:rsidR="0081462F" w:rsidRPr="00F04D8D" w:rsidRDefault="0034018E" w:rsidP="00CF786D">
      <w:pPr>
        <w:pStyle w:val="FindingsConclusions"/>
      </w:pPr>
      <w:r w:rsidRPr="00F04D8D">
        <w:t>(5)</w:t>
      </w:r>
      <w:r w:rsidRPr="00F04D8D">
        <w:tab/>
        <w:t xml:space="preserve">The companies </w:t>
      </w:r>
      <w:r w:rsidR="00453BF1" w:rsidRPr="00F04D8D">
        <w:t>claim</w:t>
      </w:r>
      <w:r w:rsidR="008F28D2" w:rsidRPr="00F04D8D">
        <w:t xml:space="preserve"> several</w:t>
      </w:r>
      <w:r w:rsidR="0081462F" w:rsidRPr="00F04D8D">
        <w:t xml:space="preserve"> benefits of this </w:t>
      </w:r>
      <w:r w:rsidR="00670841" w:rsidRPr="00F04D8D">
        <w:t xml:space="preserve">sale and transfer of </w:t>
      </w:r>
      <w:r w:rsidR="009D3DE9" w:rsidRPr="00F04D8D">
        <w:t>stock</w:t>
      </w:r>
      <w:r w:rsidR="00240722" w:rsidRPr="00F04D8D">
        <w:t xml:space="preserve"> and new ownership</w:t>
      </w:r>
      <w:r w:rsidR="008F28D2" w:rsidRPr="00F04D8D">
        <w:t xml:space="preserve">, one of which is </w:t>
      </w:r>
      <w:r w:rsidR="00670841" w:rsidRPr="00F04D8D">
        <w:t xml:space="preserve">that </w:t>
      </w:r>
      <w:r w:rsidR="00551872" w:rsidRPr="00F04D8D">
        <w:rPr>
          <w:bCs/>
        </w:rPr>
        <w:t>Iliad Water Services</w:t>
      </w:r>
      <w:r w:rsidR="00073186" w:rsidRPr="00F04D8D">
        <w:rPr>
          <w:b/>
          <w:bCs/>
        </w:rPr>
        <w:t xml:space="preserve"> </w:t>
      </w:r>
      <w:r w:rsidR="003370F7" w:rsidRPr="00F04D8D">
        <w:t xml:space="preserve">desires to own and operate water systems on an ongoing basis. </w:t>
      </w:r>
      <w:r w:rsidR="0012543D" w:rsidRPr="00F04D8D">
        <w:t xml:space="preserve"> </w:t>
      </w:r>
      <w:r w:rsidR="00240722" w:rsidRPr="00F04D8D">
        <w:rPr>
          <w:bCs/>
        </w:rPr>
        <w:t>Fragaria, Lowper, Marbello and SJM</w:t>
      </w:r>
      <w:r w:rsidR="00F3239C" w:rsidRPr="00F04D8D">
        <w:t>’</w:t>
      </w:r>
      <w:r w:rsidRPr="00F04D8D">
        <w:t>s current owners</w:t>
      </w:r>
      <w:r w:rsidR="00670841" w:rsidRPr="00F04D8D">
        <w:rPr>
          <w:b/>
          <w:bCs/>
        </w:rPr>
        <w:t xml:space="preserve"> </w:t>
      </w:r>
      <w:r w:rsidR="00670841" w:rsidRPr="00F04D8D">
        <w:t>no longer desire to own and operate the water system</w:t>
      </w:r>
      <w:r w:rsidR="00240722" w:rsidRPr="00F04D8D">
        <w:t>s</w:t>
      </w:r>
      <w:r w:rsidR="00756B71" w:rsidRPr="00F04D8D">
        <w:t xml:space="preserve"> as stand-alone businesses</w:t>
      </w:r>
      <w:r w:rsidR="00670841" w:rsidRPr="00F04D8D">
        <w:t xml:space="preserve">. </w:t>
      </w:r>
      <w:r w:rsidR="0012543D" w:rsidRPr="00F04D8D">
        <w:t xml:space="preserve"> </w:t>
      </w:r>
      <w:r w:rsidR="00551872" w:rsidRPr="00F04D8D">
        <w:rPr>
          <w:bCs/>
        </w:rPr>
        <w:t>Iliad Water Services</w:t>
      </w:r>
      <w:r w:rsidR="00073186" w:rsidRPr="00F04D8D">
        <w:rPr>
          <w:b/>
          <w:bCs/>
        </w:rPr>
        <w:t xml:space="preserve"> </w:t>
      </w:r>
      <w:r w:rsidR="00670841" w:rsidRPr="00F04D8D">
        <w:t>will be able to bring economies of scale benefits to the utilit</w:t>
      </w:r>
      <w:r w:rsidR="00756B71" w:rsidRPr="00F04D8D">
        <w:t>ies</w:t>
      </w:r>
      <w:r w:rsidR="00670841" w:rsidRPr="00F04D8D">
        <w:t xml:space="preserve"> in certain areas, such as </w:t>
      </w:r>
      <w:r w:rsidR="00756B71" w:rsidRPr="00F04D8D">
        <w:t xml:space="preserve">operations, project financing, </w:t>
      </w:r>
      <w:r w:rsidR="0017413D" w:rsidRPr="00F04D8D">
        <w:t>billing</w:t>
      </w:r>
      <w:r w:rsidRPr="00F04D8D">
        <w:t>, and insurance.</w:t>
      </w:r>
      <w:r w:rsidR="00322EC5" w:rsidRPr="00F04D8D">
        <w:t xml:space="preserve"> </w:t>
      </w:r>
      <w:r w:rsidR="00B045AE" w:rsidRPr="00F04D8D">
        <w:t xml:space="preserve"> </w:t>
      </w:r>
      <w:r w:rsidR="00551872" w:rsidRPr="00F04D8D">
        <w:rPr>
          <w:bCs/>
        </w:rPr>
        <w:t>Iliad Water Services</w:t>
      </w:r>
      <w:r w:rsidR="00073186" w:rsidRPr="00F04D8D">
        <w:rPr>
          <w:bCs/>
        </w:rPr>
        <w:t xml:space="preserve"> </w:t>
      </w:r>
      <w:r w:rsidR="00240722" w:rsidRPr="00F04D8D">
        <w:rPr>
          <w:bCs/>
        </w:rPr>
        <w:t>will continue to use the same</w:t>
      </w:r>
      <w:r w:rsidR="00AB7DD1" w:rsidRPr="00F04D8D">
        <w:t xml:space="preserve"> operations and billing </w:t>
      </w:r>
      <w:r w:rsidR="00756B71" w:rsidRPr="00F04D8D">
        <w:t>s</w:t>
      </w:r>
      <w:r w:rsidR="00F3239C" w:rsidRPr="00F04D8D">
        <w:t>taff</w:t>
      </w:r>
      <w:r w:rsidR="0081462F" w:rsidRPr="00F04D8D">
        <w:t xml:space="preserve"> </w:t>
      </w:r>
      <w:r w:rsidR="00F3239C" w:rsidRPr="00F04D8D">
        <w:t>who are</w:t>
      </w:r>
      <w:r w:rsidR="00670841" w:rsidRPr="00F04D8D">
        <w:rPr>
          <w:bCs/>
        </w:rPr>
        <w:t xml:space="preserve"> familiar with </w:t>
      </w:r>
      <w:r w:rsidR="00F3239C" w:rsidRPr="00F04D8D">
        <w:rPr>
          <w:bCs/>
        </w:rPr>
        <w:t xml:space="preserve">each of </w:t>
      </w:r>
      <w:r w:rsidR="00670841" w:rsidRPr="00F04D8D">
        <w:rPr>
          <w:bCs/>
        </w:rPr>
        <w:t>the utility</w:t>
      </w:r>
      <w:r w:rsidR="00F3239C" w:rsidRPr="00F04D8D">
        <w:rPr>
          <w:bCs/>
        </w:rPr>
        <w:t>’</w:t>
      </w:r>
      <w:r w:rsidR="00670841" w:rsidRPr="00F04D8D">
        <w:rPr>
          <w:bCs/>
        </w:rPr>
        <w:t>s operations</w:t>
      </w:r>
      <w:r w:rsidRPr="00F04D8D">
        <w:rPr>
          <w:bCs/>
        </w:rPr>
        <w:t>.</w:t>
      </w:r>
    </w:p>
    <w:p w14:paraId="6C81FEEE" w14:textId="77777777" w:rsidR="00F7564A" w:rsidRPr="00764CC9" w:rsidRDefault="00F7564A" w:rsidP="00F73BD2">
      <w:pPr>
        <w:spacing w:line="320" w:lineRule="exact"/>
      </w:pPr>
    </w:p>
    <w:p w14:paraId="6C81FEEF" w14:textId="77777777" w:rsidR="00F7564A" w:rsidRPr="00764CC9" w:rsidRDefault="00F7564A" w:rsidP="00F04D8D">
      <w:pPr>
        <w:numPr>
          <w:ilvl w:val="0"/>
          <w:numId w:val="14"/>
        </w:numPr>
        <w:spacing w:line="320" w:lineRule="exact"/>
        <w:ind w:left="706" w:hanging="1426"/>
      </w:pPr>
      <w:r w:rsidRPr="00764CC9">
        <w:t>(6)</w:t>
      </w:r>
      <w:r w:rsidRPr="00764CC9">
        <w:tab/>
      </w:r>
      <w:r w:rsidR="00551872">
        <w:rPr>
          <w:bCs/>
        </w:rPr>
        <w:t>Iliad Water Services</w:t>
      </w:r>
      <w:r w:rsidRPr="00764CC9">
        <w:rPr>
          <w:b/>
          <w:bCs/>
        </w:rPr>
        <w:t xml:space="preserve"> </w:t>
      </w:r>
      <w:r w:rsidRPr="00764CC9">
        <w:t xml:space="preserve">will acquire the </w:t>
      </w:r>
      <w:r w:rsidR="00756B71">
        <w:t>stock of each company</w:t>
      </w:r>
      <w:r w:rsidR="00666F92">
        <w:t xml:space="preserve"> for and inconsideration of </w:t>
      </w:r>
      <w:r w:rsidR="00551872">
        <w:t>the</w:t>
      </w:r>
      <w:r w:rsidR="00666F92">
        <w:t xml:space="preserve"> sum of One Dollar ($1.00) </w:t>
      </w:r>
      <w:r w:rsidR="00551872">
        <w:t>and</w:t>
      </w:r>
      <w:r w:rsidR="00666F92">
        <w:t xml:space="preserve"> other valuable consideration, </w:t>
      </w:r>
      <w:r w:rsidR="00551872">
        <w:t>receipt</w:t>
      </w:r>
      <w:r w:rsidR="00666F92">
        <w:t xml:space="preserve"> of which is hereby acknowled</w:t>
      </w:r>
      <w:r w:rsidR="00551872">
        <w:t xml:space="preserve">ged, </w:t>
      </w:r>
      <w:r w:rsidR="00756B71">
        <w:t xml:space="preserve">to </w:t>
      </w:r>
      <w:r w:rsidR="00551872">
        <w:t>transfer all right</w:t>
      </w:r>
      <w:r w:rsidR="00F3239C">
        <w:t>s</w:t>
      </w:r>
      <w:r w:rsidR="00551872">
        <w:t>, title and interest o</w:t>
      </w:r>
      <w:r w:rsidR="00756B71">
        <w:t>f</w:t>
      </w:r>
      <w:r w:rsidR="00551872">
        <w:t xml:space="preserve"> all shares of stock of </w:t>
      </w:r>
      <w:r w:rsidR="00F3239C">
        <w:t>Fragaria, Lowper, Marbello and SJM</w:t>
      </w:r>
      <w:r w:rsidR="00551872">
        <w:t xml:space="preserve"> to </w:t>
      </w:r>
      <w:r w:rsidR="00F3239C">
        <w:t>Iliad Water Services</w:t>
      </w:r>
      <w:r w:rsidR="00551872">
        <w:t>.</w:t>
      </w:r>
    </w:p>
    <w:p w14:paraId="6C81FEF0" w14:textId="77777777" w:rsidR="0081462F" w:rsidRPr="00764CC9" w:rsidRDefault="0081462F" w:rsidP="00F73BD2">
      <w:pPr>
        <w:spacing w:line="320" w:lineRule="exact"/>
        <w:ind w:left="-1080"/>
      </w:pPr>
    </w:p>
    <w:p w14:paraId="6C81FEF1" w14:textId="77777777" w:rsidR="0081462F" w:rsidRPr="00764CC9" w:rsidRDefault="00F7564A" w:rsidP="00F73BD2">
      <w:pPr>
        <w:numPr>
          <w:ilvl w:val="0"/>
          <w:numId w:val="14"/>
        </w:numPr>
        <w:spacing w:line="320" w:lineRule="exact"/>
        <w:ind w:left="700" w:hanging="1420"/>
      </w:pPr>
      <w:r w:rsidRPr="00764CC9">
        <w:t>(7</w:t>
      </w:r>
      <w:r w:rsidR="0081462F" w:rsidRPr="00764CC9">
        <w:t>)</w:t>
      </w:r>
      <w:r w:rsidR="0081462F" w:rsidRPr="00764CC9">
        <w:tab/>
        <w:t xml:space="preserve">As a result of this sale and transfer of water system </w:t>
      </w:r>
      <w:r w:rsidR="009D3DE9">
        <w:t>stock</w:t>
      </w:r>
      <w:r w:rsidR="0081462F" w:rsidRPr="00764CC9">
        <w:t xml:space="preserve">, </w:t>
      </w:r>
      <w:r w:rsidR="00551872">
        <w:rPr>
          <w:bCs/>
        </w:rPr>
        <w:t>Iliad Water Services</w:t>
      </w:r>
      <w:r w:rsidRPr="00764CC9">
        <w:rPr>
          <w:b/>
          <w:bCs/>
        </w:rPr>
        <w:t xml:space="preserve"> </w:t>
      </w:r>
      <w:r w:rsidR="0081462F" w:rsidRPr="00764CC9">
        <w:t xml:space="preserve">will adopt </w:t>
      </w:r>
      <w:r w:rsidR="00240722">
        <w:t>Fragaria, Lowper, Marbello and SJM</w:t>
      </w:r>
      <w:r w:rsidR="00F3239C">
        <w:t>’</w:t>
      </w:r>
      <w:r w:rsidR="00DF328D" w:rsidRPr="00764CC9">
        <w:t xml:space="preserve">s </w:t>
      </w:r>
      <w:r w:rsidR="0081462F" w:rsidRPr="00764CC9">
        <w:t>tariff.</w:t>
      </w:r>
      <w:r w:rsidR="001A52B8">
        <w:t xml:space="preserve">  Monthly water rates and charges for services will not change</w:t>
      </w:r>
      <w:r w:rsidR="00756B71">
        <w:t xml:space="preserve"> at this time</w:t>
      </w:r>
      <w:r w:rsidR="001A52B8">
        <w:t>.</w:t>
      </w:r>
    </w:p>
    <w:p w14:paraId="6C81FEF2" w14:textId="77777777" w:rsidR="0081462F" w:rsidRPr="00764CC9" w:rsidRDefault="0081462F" w:rsidP="00F73BD2">
      <w:pPr>
        <w:spacing w:line="320" w:lineRule="exact"/>
      </w:pPr>
    </w:p>
    <w:p w14:paraId="6C81FEF3" w14:textId="77777777" w:rsidR="00F7564A" w:rsidRPr="00764CC9" w:rsidRDefault="00F7564A" w:rsidP="00F73BD2">
      <w:pPr>
        <w:numPr>
          <w:ilvl w:val="0"/>
          <w:numId w:val="14"/>
        </w:numPr>
        <w:spacing w:line="320" w:lineRule="exact"/>
        <w:ind w:left="700" w:hanging="1420"/>
      </w:pPr>
      <w:r w:rsidRPr="00764CC9">
        <w:t>(8)</w:t>
      </w:r>
      <w:r w:rsidRPr="00764CC9">
        <w:tab/>
        <w:t xml:space="preserve">This matter was brought before the </w:t>
      </w:r>
      <w:r w:rsidR="00F3239C">
        <w:t>Commission</w:t>
      </w:r>
      <w:r w:rsidRPr="00764CC9">
        <w:t xml:space="preserve"> at its regularly scheduled meeting on</w:t>
      </w:r>
      <w:r w:rsidR="00B83619" w:rsidRPr="00764CC9">
        <w:t xml:space="preserve"> </w:t>
      </w:r>
      <w:r w:rsidR="00551872">
        <w:t>July 30, 2015</w:t>
      </w:r>
      <w:r w:rsidR="00375E3F" w:rsidRPr="00764CC9">
        <w:t>.</w:t>
      </w:r>
    </w:p>
    <w:p w14:paraId="6C81FEF4" w14:textId="77777777" w:rsidR="00F7564A" w:rsidRPr="00764CC9" w:rsidRDefault="00F7564A" w:rsidP="00F73BD2">
      <w:pPr>
        <w:spacing w:line="320" w:lineRule="exact"/>
      </w:pPr>
    </w:p>
    <w:p w14:paraId="6C81FEF5" w14:textId="77777777" w:rsidR="0081462F" w:rsidRPr="00764CC9" w:rsidRDefault="0081462F" w:rsidP="00F73BD2">
      <w:pPr>
        <w:numPr>
          <w:ilvl w:val="0"/>
          <w:numId w:val="14"/>
        </w:numPr>
        <w:spacing w:line="320" w:lineRule="exact"/>
        <w:ind w:left="700" w:hanging="1420"/>
      </w:pPr>
      <w:r w:rsidRPr="00764CC9">
        <w:t>(</w:t>
      </w:r>
      <w:r w:rsidR="00AB7DD1" w:rsidRPr="00764CC9">
        <w:t>9</w:t>
      </w:r>
      <w:r w:rsidRPr="00764CC9">
        <w:t>)</w:t>
      </w:r>
      <w:r w:rsidRPr="00764CC9">
        <w:tab/>
        <w:t xml:space="preserve">The proposed transfer and tariff adoption will have an effective date </w:t>
      </w:r>
      <w:r w:rsidR="006C269A" w:rsidRPr="00764CC9">
        <w:t>of</w:t>
      </w:r>
      <w:r w:rsidR="00375E3F" w:rsidRPr="00764CC9">
        <w:t xml:space="preserve"> </w:t>
      </w:r>
      <w:r w:rsidR="00551872">
        <w:t>August 1, 2015</w:t>
      </w:r>
      <w:r w:rsidRPr="00764CC9">
        <w:t xml:space="preserve">. </w:t>
      </w:r>
      <w:r w:rsidR="0012543D" w:rsidRPr="00764CC9">
        <w:t xml:space="preserve"> </w:t>
      </w:r>
      <w:r w:rsidRPr="00764CC9">
        <w:t>This date coincide</w:t>
      </w:r>
      <w:r w:rsidR="00670841" w:rsidRPr="00764CC9">
        <w:t>s</w:t>
      </w:r>
      <w:r w:rsidRPr="00764CC9">
        <w:t xml:space="preserve"> with </w:t>
      </w:r>
      <w:r w:rsidR="00240722">
        <w:rPr>
          <w:bCs/>
        </w:rPr>
        <w:t>Fragaria, Lowper, Marbello and SJM</w:t>
      </w:r>
      <w:r w:rsidR="00F3239C">
        <w:t>’</w:t>
      </w:r>
      <w:r w:rsidR="00DF328D" w:rsidRPr="00764CC9">
        <w:t>s</w:t>
      </w:r>
      <w:r w:rsidR="00670841" w:rsidRPr="00764CC9">
        <w:t xml:space="preserve"> </w:t>
      </w:r>
      <w:r w:rsidRPr="00764CC9">
        <w:t xml:space="preserve">billing periods. </w:t>
      </w:r>
      <w:r w:rsidR="00DF328D" w:rsidRPr="00764CC9">
        <w:t xml:space="preserve"> </w:t>
      </w:r>
      <w:r w:rsidRPr="00764CC9">
        <w:t>For accounting purposes</w:t>
      </w:r>
      <w:r w:rsidR="00670841" w:rsidRPr="00764CC9">
        <w:t>,</w:t>
      </w:r>
      <w:r w:rsidRPr="00764CC9">
        <w:t xml:space="preserve"> the </w:t>
      </w:r>
      <w:r w:rsidR="00670841" w:rsidRPr="00764CC9">
        <w:t>utility</w:t>
      </w:r>
      <w:r w:rsidR="00F3239C">
        <w:t>’</w:t>
      </w:r>
      <w:r w:rsidR="00670841" w:rsidRPr="00764CC9">
        <w:t xml:space="preserve">s </w:t>
      </w:r>
      <w:r w:rsidRPr="00764CC9">
        <w:t xml:space="preserve">accounting records </w:t>
      </w:r>
      <w:r w:rsidR="00670841" w:rsidRPr="00764CC9">
        <w:t xml:space="preserve">will </w:t>
      </w:r>
      <w:r w:rsidRPr="00764CC9">
        <w:t>be transferred and effective on that date.</w:t>
      </w:r>
    </w:p>
    <w:p w14:paraId="6C81FEF6" w14:textId="77777777" w:rsidR="00F7564A" w:rsidRPr="00764CC9" w:rsidRDefault="00F7564A" w:rsidP="00F73BD2">
      <w:pPr>
        <w:spacing w:line="320" w:lineRule="exact"/>
        <w:ind w:left="-720"/>
      </w:pPr>
    </w:p>
    <w:p w14:paraId="6C81FEF7" w14:textId="77777777" w:rsidR="00F7564A" w:rsidRPr="00764CC9" w:rsidRDefault="00146F7B" w:rsidP="00F04D8D">
      <w:pPr>
        <w:numPr>
          <w:ilvl w:val="0"/>
          <w:numId w:val="14"/>
        </w:numPr>
        <w:tabs>
          <w:tab w:val="clear" w:pos="0"/>
          <w:tab w:val="num" w:pos="-90"/>
        </w:tabs>
        <w:spacing w:line="320" w:lineRule="exact"/>
        <w:ind w:left="700" w:hanging="1420"/>
      </w:pPr>
      <w:r w:rsidRPr="00764CC9">
        <w:t>(10</w:t>
      </w:r>
      <w:r w:rsidR="00F7564A" w:rsidRPr="00764CC9">
        <w:t>)</w:t>
      </w:r>
      <w:r w:rsidR="00F7564A" w:rsidRPr="00764CC9">
        <w:tab/>
        <w:t xml:space="preserve">Pursuant to </w:t>
      </w:r>
      <w:r w:rsidR="00F7564A" w:rsidRPr="00F3239C">
        <w:t>RCW 80.12.020</w:t>
      </w:r>
      <w:r w:rsidR="00F7564A" w:rsidRPr="00764CC9">
        <w:t xml:space="preserve"> and </w:t>
      </w:r>
      <w:r w:rsidR="00F7564A" w:rsidRPr="00F3239C">
        <w:t>WAC 480-143-170</w:t>
      </w:r>
      <w:r w:rsidR="00F7564A" w:rsidRPr="00764CC9">
        <w:t xml:space="preserve">, the </w:t>
      </w:r>
      <w:r w:rsidR="00F3239C">
        <w:t>Commission</w:t>
      </w:r>
      <w:r w:rsidR="00F7564A" w:rsidRPr="00764CC9">
        <w:t xml:space="preserve"> has determined that applicants in a transaction of this sort must “at least demonstrate </w:t>
      </w:r>
      <w:r w:rsidR="00F7564A" w:rsidRPr="00764CC9">
        <w:lastRenderedPageBreak/>
        <w:t>no harm to the public interest.”</w:t>
      </w:r>
      <w:r w:rsidR="00F7564A" w:rsidRPr="00764CC9">
        <w:rPr>
          <w:rStyle w:val="FootnoteReference"/>
        </w:rPr>
        <w:footnoteReference w:id="2"/>
      </w:r>
      <w:r w:rsidR="00F7564A" w:rsidRPr="00764CC9">
        <w:t xml:space="preserve">  The </w:t>
      </w:r>
      <w:r w:rsidR="00F3239C">
        <w:t>Commission</w:t>
      </w:r>
      <w:r w:rsidR="00F7564A" w:rsidRPr="00764CC9">
        <w:t xml:space="preserve"> also looks to the new company</w:t>
      </w:r>
      <w:r w:rsidR="00F3239C">
        <w:t>’</w:t>
      </w:r>
      <w:r w:rsidR="00F7564A" w:rsidRPr="00764CC9">
        <w:t>s financial and managerial fitness to run the operations.</w:t>
      </w:r>
      <w:r w:rsidR="00F7564A" w:rsidRPr="00764CC9">
        <w:rPr>
          <w:rStyle w:val="FootnoteReference"/>
        </w:rPr>
        <w:footnoteReference w:id="3"/>
      </w:r>
      <w:r w:rsidR="00F7564A" w:rsidRPr="00764CC9">
        <w:t xml:space="preserve">  The </w:t>
      </w:r>
      <w:r w:rsidR="00F3239C">
        <w:t>Commission</w:t>
      </w:r>
      <w:r w:rsidR="00F7564A" w:rsidRPr="00764CC9">
        <w:t xml:space="preserve"> believes the applicants have shown there are substantial benefits to the transfer.</w:t>
      </w:r>
    </w:p>
    <w:p w14:paraId="6C81FEF8" w14:textId="77777777" w:rsidR="00833157" w:rsidRPr="00764CC9" w:rsidRDefault="00833157" w:rsidP="00F04D8D">
      <w:pPr>
        <w:tabs>
          <w:tab w:val="num" w:pos="-90"/>
        </w:tabs>
        <w:spacing w:line="320" w:lineRule="exact"/>
      </w:pPr>
    </w:p>
    <w:p w14:paraId="6C81FEF9" w14:textId="77777777" w:rsidR="00DF328D" w:rsidRPr="00764CC9" w:rsidRDefault="0081462F" w:rsidP="00F04D8D">
      <w:pPr>
        <w:numPr>
          <w:ilvl w:val="0"/>
          <w:numId w:val="14"/>
        </w:numPr>
        <w:tabs>
          <w:tab w:val="clear" w:pos="0"/>
          <w:tab w:val="num" w:pos="-90"/>
        </w:tabs>
        <w:spacing w:line="320" w:lineRule="exact"/>
        <w:ind w:left="700" w:hanging="1420"/>
      </w:pPr>
      <w:r w:rsidRPr="00764CC9">
        <w:t>(</w:t>
      </w:r>
      <w:r w:rsidR="00073186" w:rsidRPr="00764CC9">
        <w:t>11</w:t>
      </w:r>
      <w:r w:rsidRPr="00764CC9">
        <w:t>)</w:t>
      </w:r>
      <w:r w:rsidRPr="00764CC9">
        <w:tab/>
        <w:t xml:space="preserve">In this docket, the </w:t>
      </w:r>
      <w:r w:rsidR="00F3239C">
        <w:t>Commission</w:t>
      </w:r>
      <w:r w:rsidRPr="00764CC9">
        <w:t xml:space="preserve"> neither approves nor disapproves the reasonableness of any fees, charges, rates, purchase price, or accounting allocations involved with the </w:t>
      </w:r>
      <w:r w:rsidR="00670841" w:rsidRPr="00764CC9">
        <w:t xml:space="preserve">transaction. </w:t>
      </w:r>
      <w:r w:rsidR="0012543D" w:rsidRPr="00764CC9">
        <w:t xml:space="preserve"> </w:t>
      </w:r>
      <w:r w:rsidR="00670841" w:rsidRPr="00764CC9">
        <w:t xml:space="preserve">The </w:t>
      </w:r>
      <w:r w:rsidR="00F3239C">
        <w:t>Commission</w:t>
      </w:r>
      <w:r w:rsidRPr="00764CC9">
        <w:t xml:space="preserve"> reserves the right to review those fees, charges, rates, or accounting allocations in a future rate proceeding.</w:t>
      </w:r>
    </w:p>
    <w:p w14:paraId="6C81FEFA" w14:textId="77777777" w:rsidR="0081462F" w:rsidRPr="00764CC9" w:rsidRDefault="0081462F" w:rsidP="00CF786D">
      <w:pPr>
        <w:pStyle w:val="FindingsConclusions"/>
        <w:numPr>
          <w:ilvl w:val="0"/>
          <w:numId w:val="0"/>
        </w:numPr>
        <w:ind w:left="700"/>
      </w:pPr>
    </w:p>
    <w:p w14:paraId="6C81FEFB" w14:textId="2BD14D42" w:rsidR="00DF328D" w:rsidRPr="00764CC9" w:rsidRDefault="0081462F" w:rsidP="00F04D8D">
      <w:pPr>
        <w:numPr>
          <w:ilvl w:val="0"/>
          <w:numId w:val="14"/>
        </w:numPr>
        <w:tabs>
          <w:tab w:val="clear" w:pos="0"/>
          <w:tab w:val="num" w:pos="-90"/>
        </w:tabs>
        <w:spacing w:line="320" w:lineRule="exact"/>
        <w:ind w:left="700" w:hanging="1420"/>
      </w:pPr>
      <w:r w:rsidRPr="00764CC9">
        <w:t>(</w:t>
      </w:r>
      <w:r w:rsidR="003370F7" w:rsidRPr="00764CC9">
        <w:t>1</w:t>
      </w:r>
      <w:r w:rsidR="00146F7B" w:rsidRPr="00764CC9">
        <w:t>2</w:t>
      </w:r>
      <w:r w:rsidR="00F04D8D">
        <w:t>)</w:t>
      </w:r>
      <w:r w:rsidRPr="00764CC9">
        <w:tab/>
        <w:t xml:space="preserve">The application meets the requirements of </w:t>
      </w:r>
      <w:r w:rsidR="00297376" w:rsidRPr="00F3239C">
        <w:t>RCW 80.12</w:t>
      </w:r>
      <w:r w:rsidRPr="00764CC9">
        <w:t xml:space="preserve"> and the rules and regulations of the </w:t>
      </w:r>
      <w:r w:rsidR="00F3239C">
        <w:t>Commission</w:t>
      </w:r>
      <w:r w:rsidRPr="00764CC9">
        <w:t xml:space="preserve">. </w:t>
      </w:r>
      <w:r w:rsidR="0012543D" w:rsidRPr="00764CC9">
        <w:t xml:space="preserve"> </w:t>
      </w:r>
      <w:r w:rsidR="00297376" w:rsidRPr="00F3239C">
        <w:rPr>
          <w:iCs/>
        </w:rPr>
        <w:t>WAC</w:t>
      </w:r>
      <w:r w:rsidRPr="00F3239C">
        <w:rPr>
          <w:iCs/>
        </w:rPr>
        <w:t xml:space="preserve"> 480-143</w:t>
      </w:r>
      <w:r w:rsidRPr="00764CC9">
        <w:rPr>
          <w:i/>
          <w:iCs/>
        </w:rPr>
        <w:t>.</w:t>
      </w:r>
    </w:p>
    <w:p w14:paraId="6C81FEFC" w14:textId="77777777" w:rsidR="0081462F" w:rsidRPr="00764CC9" w:rsidRDefault="0081462F" w:rsidP="00F04D8D">
      <w:pPr>
        <w:tabs>
          <w:tab w:val="num" w:pos="-90"/>
        </w:tabs>
        <w:spacing w:line="320" w:lineRule="exact"/>
      </w:pPr>
    </w:p>
    <w:p w14:paraId="6C81FEFD" w14:textId="78E5AE12" w:rsidR="006C269A" w:rsidRPr="00764CC9" w:rsidRDefault="0081462F" w:rsidP="00F04D8D">
      <w:pPr>
        <w:numPr>
          <w:ilvl w:val="0"/>
          <w:numId w:val="14"/>
        </w:numPr>
        <w:tabs>
          <w:tab w:val="clear" w:pos="0"/>
          <w:tab w:val="num" w:pos="-90"/>
        </w:tabs>
        <w:spacing w:line="320" w:lineRule="exact"/>
        <w:ind w:left="700" w:hanging="1420"/>
      </w:pPr>
      <w:r w:rsidRPr="00764CC9">
        <w:t>(1</w:t>
      </w:r>
      <w:r w:rsidR="00146F7B" w:rsidRPr="00764CC9">
        <w:t>3</w:t>
      </w:r>
      <w:r w:rsidRPr="00764CC9">
        <w:t>)</w:t>
      </w:r>
      <w:r w:rsidRPr="00764CC9">
        <w:tab/>
        <w:t>After review</w:t>
      </w:r>
      <w:r w:rsidR="00DF328D" w:rsidRPr="00764CC9">
        <w:t xml:space="preserve">ing </w:t>
      </w:r>
      <w:r w:rsidRPr="00764CC9">
        <w:t xml:space="preserve">the </w:t>
      </w:r>
      <w:r w:rsidR="00756B71">
        <w:t xml:space="preserve">joint </w:t>
      </w:r>
      <w:r w:rsidRPr="00764CC9">
        <w:t xml:space="preserve">application </w:t>
      </w:r>
      <w:r w:rsidR="00756B71">
        <w:t xml:space="preserve">of </w:t>
      </w:r>
      <w:r w:rsidR="00240722">
        <w:rPr>
          <w:bCs/>
        </w:rPr>
        <w:t xml:space="preserve">Fragaria, Lowper, Marbello and </w:t>
      </w:r>
      <w:r w:rsidR="00627219">
        <w:rPr>
          <w:bCs/>
        </w:rPr>
        <w:t xml:space="preserve">SJM </w:t>
      </w:r>
      <w:r w:rsidR="00627219" w:rsidRPr="000B0F48">
        <w:rPr>
          <w:bCs/>
        </w:rPr>
        <w:t>filed</w:t>
      </w:r>
      <w:r w:rsidRPr="000B0F48">
        <w:t xml:space="preserve"> </w:t>
      </w:r>
      <w:r w:rsidRPr="00764CC9">
        <w:t xml:space="preserve">in Docket </w:t>
      </w:r>
      <w:r w:rsidR="00551872">
        <w:t>UW-150688</w:t>
      </w:r>
      <w:r w:rsidR="00375E3F" w:rsidRPr="00764CC9">
        <w:t xml:space="preserve"> </w:t>
      </w:r>
      <w:r w:rsidRPr="00764CC9">
        <w:t>on</w:t>
      </w:r>
      <w:r w:rsidR="00B83619" w:rsidRPr="00764CC9">
        <w:t xml:space="preserve"> </w:t>
      </w:r>
      <w:r w:rsidR="00551872">
        <w:t>April 21, 2015</w:t>
      </w:r>
      <w:r w:rsidRPr="00764CC9">
        <w:t xml:space="preserve">, and giving due consideration, the </w:t>
      </w:r>
      <w:r w:rsidR="00F3239C">
        <w:t>Commission</w:t>
      </w:r>
      <w:r w:rsidRPr="00764CC9">
        <w:t xml:space="preserve"> finds that </w:t>
      </w:r>
      <w:r w:rsidR="00F7564A" w:rsidRPr="00764CC9">
        <w:t xml:space="preserve">the </w:t>
      </w:r>
      <w:r w:rsidRPr="00764CC9">
        <w:t xml:space="preserve">Application of the Sale and Transfer of </w:t>
      </w:r>
      <w:r w:rsidR="009D3DE9">
        <w:t>Stock</w:t>
      </w:r>
      <w:r w:rsidRPr="00764CC9">
        <w:t xml:space="preserve"> by </w:t>
      </w:r>
      <w:r w:rsidR="00F3239C">
        <w:t xml:space="preserve">Fragaria, Lowper, Marbello and SJM </w:t>
      </w:r>
      <w:r w:rsidR="00B518C6" w:rsidRPr="00764CC9">
        <w:t>to</w:t>
      </w:r>
      <w:r w:rsidRPr="00764CC9">
        <w:t xml:space="preserve"> </w:t>
      </w:r>
      <w:r w:rsidR="00551872">
        <w:rPr>
          <w:bCs/>
        </w:rPr>
        <w:t>Iliad Water Services</w:t>
      </w:r>
      <w:r w:rsidR="00F7564A" w:rsidRPr="00764CC9">
        <w:rPr>
          <w:b/>
          <w:bCs/>
        </w:rPr>
        <w:t xml:space="preserve"> </w:t>
      </w:r>
      <w:r w:rsidRPr="00764CC9">
        <w:t>is consistent with</w:t>
      </w:r>
      <w:r w:rsidR="008F2F16" w:rsidRPr="00764CC9">
        <w:t>,</w:t>
      </w:r>
      <w:r w:rsidRPr="00764CC9">
        <w:t xml:space="preserve"> </w:t>
      </w:r>
      <w:r w:rsidR="008F2F16" w:rsidRPr="00764CC9">
        <w:t xml:space="preserve">and demonstrates no harm to, </w:t>
      </w:r>
      <w:r w:rsidRPr="00764CC9">
        <w:t>the public interest and should be a</w:t>
      </w:r>
      <w:r w:rsidR="00670841" w:rsidRPr="00764CC9">
        <w:t>pproved</w:t>
      </w:r>
      <w:r w:rsidRPr="00764CC9">
        <w:t xml:space="preserve">. </w:t>
      </w:r>
      <w:r w:rsidR="00A32DEE">
        <w:t xml:space="preserve"> This merger will consolidate five separate companies into one allowing for economies of scale in management and operations. A larger customer base will help to support plant cost and future industry issues.</w:t>
      </w:r>
    </w:p>
    <w:p w14:paraId="6C81FEFE" w14:textId="77777777" w:rsidR="0081462F" w:rsidRPr="00764CC9" w:rsidRDefault="0081462F" w:rsidP="00F73BD2">
      <w:pPr>
        <w:spacing w:line="320" w:lineRule="exact"/>
        <w:ind w:left="-720"/>
      </w:pPr>
    </w:p>
    <w:p w14:paraId="6C81FEFF" w14:textId="77777777" w:rsidR="0081462F" w:rsidRPr="00764CC9" w:rsidRDefault="0081462F" w:rsidP="00F73BD2">
      <w:pPr>
        <w:pStyle w:val="Heading2"/>
        <w:spacing w:line="320" w:lineRule="exact"/>
        <w:rPr>
          <w:b/>
          <w:bCs/>
          <w:u w:val="none"/>
        </w:rPr>
      </w:pPr>
      <w:r w:rsidRPr="00764CC9">
        <w:rPr>
          <w:b/>
          <w:bCs/>
          <w:u w:val="none"/>
        </w:rPr>
        <w:t>ORDER</w:t>
      </w:r>
    </w:p>
    <w:p w14:paraId="6C81FF00" w14:textId="77777777" w:rsidR="0081462F" w:rsidRPr="00764CC9" w:rsidRDefault="0081462F" w:rsidP="00F73BD2">
      <w:pPr>
        <w:spacing w:line="320" w:lineRule="exact"/>
      </w:pPr>
    </w:p>
    <w:p w14:paraId="6C81FF01" w14:textId="77777777" w:rsidR="0081462F" w:rsidRPr="00764CC9" w:rsidRDefault="0081462F" w:rsidP="00F73BD2">
      <w:pPr>
        <w:spacing w:line="320" w:lineRule="exact"/>
        <w:ind w:left="-720" w:firstLine="720"/>
        <w:rPr>
          <w:b/>
        </w:rPr>
      </w:pPr>
      <w:r w:rsidRPr="00764CC9">
        <w:rPr>
          <w:b/>
        </w:rPr>
        <w:t xml:space="preserve">THE </w:t>
      </w:r>
      <w:r w:rsidR="00F3239C">
        <w:rPr>
          <w:b/>
        </w:rPr>
        <w:t>COMMISSION</w:t>
      </w:r>
      <w:r w:rsidRPr="00764CC9">
        <w:rPr>
          <w:b/>
        </w:rPr>
        <w:t xml:space="preserve"> ORDERS:</w:t>
      </w:r>
    </w:p>
    <w:p w14:paraId="6C81FF02" w14:textId="77777777" w:rsidR="0081462F" w:rsidRPr="00764CC9" w:rsidRDefault="0081462F" w:rsidP="00F73BD2">
      <w:pPr>
        <w:spacing w:line="320" w:lineRule="exact"/>
      </w:pPr>
    </w:p>
    <w:p w14:paraId="6C81FF03" w14:textId="38129CD5" w:rsidR="0081462F" w:rsidRPr="00764CC9" w:rsidRDefault="00F04D8D" w:rsidP="00F73BD2">
      <w:pPr>
        <w:numPr>
          <w:ilvl w:val="0"/>
          <w:numId w:val="14"/>
        </w:numPr>
        <w:spacing w:line="320" w:lineRule="exact"/>
        <w:ind w:left="700" w:hanging="1420"/>
      </w:pPr>
      <w:r>
        <w:t>(1)</w:t>
      </w:r>
      <w:r w:rsidR="00DF328D" w:rsidRPr="00764CC9">
        <w:tab/>
        <w:t>T</w:t>
      </w:r>
      <w:r w:rsidR="0081462F" w:rsidRPr="00764CC9">
        <w:t xml:space="preserve">he </w:t>
      </w:r>
      <w:r w:rsidR="00F3239C">
        <w:t>Commission</w:t>
      </w:r>
      <w:r w:rsidR="0081462F" w:rsidRPr="00764CC9">
        <w:t xml:space="preserve"> authorizes the Sale and Transfer </w:t>
      </w:r>
      <w:r w:rsidR="008F2F16" w:rsidRPr="00764CC9">
        <w:t xml:space="preserve">of the </w:t>
      </w:r>
      <w:r w:rsidR="009D3DE9">
        <w:t>stock</w:t>
      </w:r>
      <w:r w:rsidR="008F2F16" w:rsidRPr="00764CC9">
        <w:t xml:space="preserve"> </w:t>
      </w:r>
      <w:r w:rsidR="00F3239C">
        <w:t xml:space="preserve">and merger </w:t>
      </w:r>
      <w:r w:rsidR="008F2F16" w:rsidRPr="00764CC9">
        <w:t xml:space="preserve">of </w:t>
      </w:r>
      <w:r w:rsidR="00805E15">
        <w:t xml:space="preserve">Fragaria Landing Water </w:t>
      </w:r>
      <w:r w:rsidR="00805E15" w:rsidRPr="00674F64">
        <w:t>Co</w:t>
      </w:r>
      <w:r w:rsidR="00805E15">
        <w:t xml:space="preserve">mpany, Lowper, Incorporated </w:t>
      </w:r>
      <w:r w:rsidR="009B5E6D">
        <w:t>dba</w:t>
      </w:r>
      <w:r w:rsidR="00805E15">
        <w:t xml:space="preserve"> Lowper Water Company, Marbello Water Co., Inc. and SJM Water Service, Inc. </w:t>
      </w:r>
      <w:r w:rsidR="008F2F16" w:rsidRPr="00764CC9">
        <w:rPr>
          <w:bCs/>
        </w:rPr>
        <w:t>to</w:t>
      </w:r>
      <w:r w:rsidR="008F2F16" w:rsidRPr="00764CC9">
        <w:t xml:space="preserve"> </w:t>
      </w:r>
      <w:r w:rsidR="00551872">
        <w:rPr>
          <w:bCs/>
        </w:rPr>
        <w:t>Iliad Water Services, Inc.</w:t>
      </w:r>
      <w:r w:rsidR="00F7564A" w:rsidRPr="00764CC9">
        <w:t xml:space="preserve"> </w:t>
      </w:r>
      <w:r w:rsidR="0081462F" w:rsidRPr="00764CC9">
        <w:t xml:space="preserve">consistent with the joint application in accordance with </w:t>
      </w:r>
      <w:r w:rsidR="00023576" w:rsidRPr="00F3239C">
        <w:t>RCW 80.12.020</w:t>
      </w:r>
      <w:r w:rsidR="0081462F" w:rsidRPr="00764CC9">
        <w:t xml:space="preserve">. </w:t>
      </w:r>
      <w:r w:rsidR="0012543D" w:rsidRPr="00764CC9">
        <w:t xml:space="preserve"> </w:t>
      </w:r>
      <w:r w:rsidR="0081462F" w:rsidRPr="00764CC9">
        <w:t>No material change, revision, or amendmen</w:t>
      </w:r>
      <w:r w:rsidR="00CE0B7B" w:rsidRPr="00764CC9">
        <w:t>t to the join</w:t>
      </w:r>
      <w:r w:rsidR="00DF328D" w:rsidRPr="00764CC9">
        <w:t>t</w:t>
      </w:r>
      <w:r w:rsidR="0081462F" w:rsidRPr="00764CC9">
        <w:t xml:space="preserve"> application and agreement shall become effective without the </w:t>
      </w:r>
      <w:r w:rsidR="00F3239C">
        <w:t>Commission’</w:t>
      </w:r>
      <w:r w:rsidR="0081462F" w:rsidRPr="00764CC9">
        <w:t xml:space="preserve">s prior written approval. </w:t>
      </w:r>
      <w:r w:rsidR="0012543D" w:rsidRPr="00764CC9">
        <w:t xml:space="preserve"> </w:t>
      </w:r>
    </w:p>
    <w:p w14:paraId="6C81FF04" w14:textId="77777777" w:rsidR="00EC756F" w:rsidRPr="00764CC9" w:rsidRDefault="00EC756F" w:rsidP="00F73BD2">
      <w:pPr>
        <w:spacing w:line="320" w:lineRule="exact"/>
        <w:ind w:left="360"/>
      </w:pPr>
    </w:p>
    <w:p w14:paraId="6C81FF05" w14:textId="4795E08F" w:rsidR="0081462F" w:rsidRPr="00764CC9" w:rsidRDefault="0081462F" w:rsidP="00F73BD2">
      <w:pPr>
        <w:numPr>
          <w:ilvl w:val="0"/>
          <w:numId w:val="14"/>
        </w:numPr>
        <w:spacing w:line="320" w:lineRule="exact"/>
        <w:ind w:left="700" w:hanging="1420"/>
      </w:pPr>
      <w:r w:rsidRPr="00764CC9">
        <w:lastRenderedPageBreak/>
        <w:t>(2)</w:t>
      </w:r>
      <w:r w:rsidRPr="00764CC9">
        <w:tab/>
        <w:t xml:space="preserve">The </w:t>
      </w:r>
      <w:r w:rsidR="00F3239C">
        <w:t>Commission</w:t>
      </w:r>
      <w:r w:rsidR="00670841" w:rsidRPr="00764CC9">
        <w:t xml:space="preserve"> approves</w:t>
      </w:r>
      <w:r w:rsidR="00B83619" w:rsidRPr="00764CC9">
        <w:t xml:space="preserve"> </w:t>
      </w:r>
      <w:r w:rsidR="00551872">
        <w:rPr>
          <w:bCs/>
        </w:rPr>
        <w:t>Iliad Water Services, Inc.</w:t>
      </w:r>
      <w:r w:rsidR="00F3239C">
        <w:t>’</w:t>
      </w:r>
      <w:r w:rsidR="0017413D" w:rsidRPr="00764CC9">
        <w:t>s</w:t>
      </w:r>
      <w:r w:rsidR="00670841" w:rsidRPr="00764CC9">
        <w:t xml:space="preserve"> adoption of the </w:t>
      </w:r>
      <w:r w:rsidRPr="00764CC9">
        <w:t>tariff</w:t>
      </w:r>
      <w:r w:rsidR="00670841" w:rsidRPr="00764CC9">
        <w:t>s of</w:t>
      </w:r>
      <w:r w:rsidR="00805E15">
        <w:t xml:space="preserve"> Fragaria Landing Water </w:t>
      </w:r>
      <w:r w:rsidR="00805E15" w:rsidRPr="00674F64">
        <w:t>Co</w:t>
      </w:r>
      <w:r w:rsidR="00805E15">
        <w:t xml:space="preserve">mpany, Lowper, Incorporated </w:t>
      </w:r>
      <w:r w:rsidR="009B5E6D">
        <w:t>dba</w:t>
      </w:r>
      <w:r w:rsidR="00805E15">
        <w:t xml:space="preserve"> Lowper Water Company, Marbello Water Co., Inc. and SJM Water Service, Inc.</w:t>
      </w:r>
      <w:r w:rsidR="0012543D" w:rsidRPr="00764CC9">
        <w:t>,</w:t>
      </w:r>
      <w:r w:rsidRPr="00764CC9">
        <w:t xml:space="preserve"> </w:t>
      </w:r>
      <w:r w:rsidR="00670841" w:rsidRPr="00764CC9">
        <w:t xml:space="preserve">to be </w:t>
      </w:r>
      <w:r w:rsidRPr="00764CC9">
        <w:t>effective with the effect</w:t>
      </w:r>
      <w:r w:rsidR="00670841" w:rsidRPr="00764CC9">
        <w:t>ive date</w:t>
      </w:r>
      <w:r w:rsidRPr="00764CC9">
        <w:t xml:space="preserve"> of the transfer itself</w:t>
      </w:r>
      <w:r w:rsidR="00670841" w:rsidRPr="00764CC9">
        <w:t>:</w:t>
      </w:r>
      <w:r w:rsidRPr="00764CC9">
        <w:t xml:space="preserve"> </w:t>
      </w:r>
      <w:r w:rsidR="00551872">
        <w:t>August 1, 2015</w:t>
      </w:r>
      <w:r w:rsidR="00AB5A4C" w:rsidRPr="00764CC9">
        <w:t xml:space="preserve">. </w:t>
      </w:r>
    </w:p>
    <w:p w14:paraId="6C81FF06" w14:textId="77777777" w:rsidR="0081462F" w:rsidRPr="00764CC9" w:rsidRDefault="0081462F" w:rsidP="00F73BD2">
      <w:pPr>
        <w:spacing w:line="320" w:lineRule="exact"/>
        <w:ind w:left="-720"/>
      </w:pPr>
    </w:p>
    <w:p w14:paraId="6C81FF07" w14:textId="77777777" w:rsidR="00F7564A" w:rsidRPr="00764CC9" w:rsidRDefault="0081462F" w:rsidP="00F73BD2">
      <w:pPr>
        <w:numPr>
          <w:ilvl w:val="0"/>
          <w:numId w:val="14"/>
        </w:numPr>
        <w:spacing w:line="320" w:lineRule="exact"/>
        <w:ind w:left="700" w:hanging="1420"/>
      </w:pPr>
      <w:r w:rsidRPr="00764CC9">
        <w:t>(3)</w:t>
      </w:r>
      <w:r w:rsidRPr="00764CC9">
        <w:tab/>
      </w:r>
      <w:r w:rsidR="00551872">
        <w:rPr>
          <w:bCs/>
        </w:rPr>
        <w:t>Iliad Water Services, Inc.</w:t>
      </w:r>
      <w:r w:rsidR="00023576" w:rsidRPr="00764CC9">
        <w:t xml:space="preserve"> </w:t>
      </w:r>
      <w:r w:rsidRPr="00764CC9">
        <w:t xml:space="preserve">must file with the </w:t>
      </w:r>
      <w:r w:rsidR="00F3239C">
        <w:t>Commission</w:t>
      </w:r>
      <w:r w:rsidRPr="00764CC9">
        <w:t xml:space="preserve"> within </w:t>
      </w:r>
      <w:r w:rsidR="00F1211F" w:rsidRPr="00764CC9">
        <w:t>90</w:t>
      </w:r>
      <w:r w:rsidRPr="00764CC9">
        <w:t xml:space="preserve"> days after the effective date of this Order, the journal entries by which it proposes to record on its books the transfer of water system </w:t>
      </w:r>
      <w:r w:rsidR="009D3DE9">
        <w:t>stock</w:t>
      </w:r>
      <w:r w:rsidRPr="00764CC9">
        <w:t xml:space="preserve"> authorized herein. </w:t>
      </w:r>
      <w:r w:rsidR="0012543D" w:rsidRPr="00764CC9">
        <w:t xml:space="preserve"> </w:t>
      </w:r>
      <w:r w:rsidRPr="00764CC9">
        <w:t xml:space="preserve">The effective date for accounting purposes shall be </w:t>
      </w:r>
      <w:r w:rsidR="00551872">
        <w:t>August 1, 2015</w:t>
      </w:r>
      <w:r w:rsidRPr="00764CC9">
        <w:t>.</w:t>
      </w:r>
    </w:p>
    <w:p w14:paraId="6C81FF08" w14:textId="77777777" w:rsidR="00FE0B51" w:rsidRPr="00764CC9" w:rsidRDefault="00FE0B51" w:rsidP="00F73BD2">
      <w:pPr>
        <w:spacing w:line="320" w:lineRule="exact"/>
        <w:ind w:left="-720"/>
      </w:pPr>
    </w:p>
    <w:p w14:paraId="6C81FF09" w14:textId="77777777" w:rsidR="00F671C2" w:rsidRPr="00764CC9" w:rsidRDefault="0081462F" w:rsidP="00F73BD2">
      <w:pPr>
        <w:numPr>
          <w:ilvl w:val="0"/>
          <w:numId w:val="14"/>
        </w:numPr>
        <w:spacing w:line="320" w:lineRule="exact"/>
        <w:ind w:left="700" w:hanging="1420"/>
      </w:pPr>
      <w:r w:rsidRPr="00764CC9">
        <w:t>(4)</w:t>
      </w:r>
      <w:r w:rsidRPr="00764CC9">
        <w:tab/>
      </w:r>
      <w:r w:rsidR="00146F7B" w:rsidRPr="00764CC9">
        <w:t xml:space="preserve">This Order shall not affect the </w:t>
      </w:r>
      <w:r w:rsidR="00F3239C">
        <w:t>Commission’</w:t>
      </w:r>
      <w:r w:rsidR="00146F7B" w:rsidRPr="00764CC9">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6C81FF0A" w14:textId="77777777" w:rsidR="0081462F" w:rsidRPr="00764CC9" w:rsidRDefault="0081462F" w:rsidP="00CF786D">
      <w:pPr>
        <w:pStyle w:val="FindingsConclusions"/>
        <w:numPr>
          <w:ilvl w:val="0"/>
          <w:numId w:val="0"/>
        </w:numPr>
      </w:pPr>
    </w:p>
    <w:p w14:paraId="6C81FF0B" w14:textId="07E8258D" w:rsidR="0081462F" w:rsidRPr="00764CC9" w:rsidRDefault="0081462F" w:rsidP="00F73BD2">
      <w:pPr>
        <w:numPr>
          <w:ilvl w:val="0"/>
          <w:numId w:val="14"/>
        </w:numPr>
        <w:spacing w:line="320" w:lineRule="exact"/>
        <w:ind w:left="700" w:hanging="1420"/>
      </w:pPr>
      <w:r w:rsidRPr="00764CC9">
        <w:t>(5)</w:t>
      </w:r>
      <w:r w:rsidRPr="00764CC9">
        <w:tab/>
        <w:t xml:space="preserve">The </w:t>
      </w:r>
      <w:r w:rsidR="00F3239C">
        <w:t>Commission</w:t>
      </w:r>
      <w:r w:rsidRPr="00764CC9">
        <w:t xml:space="preserve"> retains jurisdiction over the subject matter and</w:t>
      </w:r>
      <w:r w:rsidR="002414EB">
        <w:t xml:space="preserve"> Fragaria Landing Water </w:t>
      </w:r>
      <w:r w:rsidR="002414EB" w:rsidRPr="00674F64">
        <w:t>Co</w:t>
      </w:r>
      <w:r w:rsidR="002414EB">
        <w:t xml:space="preserve">mpany, Lowper, Incorporated </w:t>
      </w:r>
      <w:r w:rsidR="009B5E6D">
        <w:t>dba</w:t>
      </w:r>
      <w:r w:rsidR="002414EB">
        <w:t xml:space="preserve"> Lowper Water Company, Marbello Water Co., Inc. and SJM Water Service, Inc.</w:t>
      </w:r>
      <w:r w:rsidR="00F671C2" w:rsidRPr="00764CC9">
        <w:rPr>
          <w:bCs/>
        </w:rPr>
        <w:t xml:space="preserve">, and </w:t>
      </w:r>
      <w:r w:rsidR="00551872">
        <w:rPr>
          <w:bCs/>
        </w:rPr>
        <w:t>Iliad Water Services, Inc.</w:t>
      </w:r>
      <w:r w:rsidR="00023576" w:rsidRPr="00764CC9">
        <w:rPr>
          <w:bCs/>
        </w:rPr>
        <w:t xml:space="preserve"> </w:t>
      </w:r>
      <w:r w:rsidRPr="00764CC9">
        <w:t>to effectuate the provisions of this Order.</w:t>
      </w:r>
    </w:p>
    <w:p w14:paraId="6C81FF0C" w14:textId="0356C2DA" w:rsidR="0081462F" w:rsidRPr="00764CC9" w:rsidRDefault="0081462F" w:rsidP="00B045AE">
      <w:pPr>
        <w:spacing w:line="320" w:lineRule="exact"/>
      </w:pPr>
    </w:p>
    <w:p w14:paraId="6C81FF0D" w14:textId="77777777" w:rsidR="0081462F" w:rsidRPr="00764CC9" w:rsidRDefault="0081462F" w:rsidP="00F73BD2">
      <w:pPr>
        <w:spacing w:line="320" w:lineRule="exact"/>
      </w:pPr>
      <w:r w:rsidRPr="00764CC9">
        <w:t xml:space="preserve">DATED at Olympia, Washington, and effective </w:t>
      </w:r>
      <w:r w:rsidR="00551872">
        <w:t>July 30, 2015</w:t>
      </w:r>
      <w:r w:rsidRPr="00764CC9">
        <w:t>.</w:t>
      </w:r>
    </w:p>
    <w:p w14:paraId="6C81FF0E" w14:textId="77777777" w:rsidR="0081462F" w:rsidRPr="00764CC9" w:rsidRDefault="0081462F" w:rsidP="00F73BD2">
      <w:pPr>
        <w:pStyle w:val="Header"/>
        <w:tabs>
          <w:tab w:val="clear" w:pos="4320"/>
          <w:tab w:val="clear" w:pos="8640"/>
        </w:tabs>
        <w:spacing w:line="320" w:lineRule="exact"/>
      </w:pPr>
    </w:p>
    <w:p w14:paraId="6C81FF0F" w14:textId="77777777" w:rsidR="00F14B63" w:rsidRDefault="00F14B63" w:rsidP="00F14B63">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w:t>
      </w:r>
      <w:r w:rsidR="00F3239C">
        <w:t>COMMISSION</w:t>
      </w:r>
    </w:p>
    <w:p w14:paraId="6C81FF10" w14:textId="77777777" w:rsidR="00F14B63" w:rsidRDefault="00F14B63" w:rsidP="00F14B63">
      <w:pPr>
        <w:spacing w:line="320" w:lineRule="exact"/>
      </w:pPr>
    </w:p>
    <w:p w14:paraId="6C81FF11" w14:textId="77777777" w:rsidR="00F14B63" w:rsidRDefault="00F14B63" w:rsidP="00F14B63">
      <w:pPr>
        <w:spacing w:line="320" w:lineRule="exact"/>
      </w:pPr>
    </w:p>
    <w:p w14:paraId="6C81FF12" w14:textId="77777777" w:rsidR="00F14B63" w:rsidRDefault="00F14B63" w:rsidP="00F14B63">
      <w:pPr>
        <w:spacing w:line="320" w:lineRule="exact"/>
      </w:pPr>
    </w:p>
    <w:p w14:paraId="6C81FF13" w14:textId="77777777" w:rsidR="00F14B63" w:rsidRDefault="00F14B63" w:rsidP="00F14B63">
      <w:pPr>
        <w:spacing w:line="320" w:lineRule="exact"/>
      </w:pPr>
      <w:r>
        <w:tab/>
      </w:r>
      <w:r>
        <w:tab/>
      </w:r>
      <w:r>
        <w:tab/>
      </w:r>
      <w:r>
        <w:tab/>
        <w:t>DAVID W. DANNER, Chairman</w:t>
      </w:r>
    </w:p>
    <w:p w14:paraId="6C81FF14" w14:textId="77777777" w:rsidR="00F14B63" w:rsidRDefault="00F14B63" w:rsidP="00F14B63">
      <w:pPr>
        <w:spacing w:line="320" w:lineRule="exact"/>
      </w:pPr>
    </w:p>
    <w:p w14:paraId="6C81FF15" w14:textId="77777777" w:rsidR="00F14B63" w:rsidRDefault="00F14B63" w:rsidP="00F14B63">
      <w:pPr>
        <w:spacing w:line="320" w:lineRule="exact"/>
      </w:pPr>
    </w:p>
    <w:p w14:paraId="6C81FF16" w14:textId="77777777" w:rsidR="00F14B63" w:rsidRDefault="00F14B63" w:rsidP="00F14B63">
      <w:pPr>
        <w:spacing w:line="320" w:lineRule="exact"/>
      </w:pPr>
    </w:p>
    <w:p w14:paraId="6C81FF17" w14:textId="77777777" w:rsidR="00F14B63" w:rsidRDefault="00F14B63" w:rsidP="00F14B63">
      <w:pPr>
        <w:spacing w:line="320" w:lineRule="exact"/>
      </w:pPr>
      <w:r>
        <w:tab/>
      </w:r>
      <w:r>
        <w:tab/>
      </w:r>
      <w:r>
        <w:tab/>
      </w:r>
      <w:r>
        <w:tab/>
        <w:t xml:space="preserve">PHILIP B. JONES, </w:t>
      </w:r>
      <w:r w:rsidR="00F3239C">
        <w:t>Commission</w:t>
      </w:r>
      <w:r>
        <w:t>er</w:t>
      </w:r>
    </w:p>
    <w:p w14:paraId="6C81FF18" w14:textId="77777777" w:rsidR="00F14B63" w:rsidRDefault="00F14B63" w:rsidP="00F14B63">
      <w:pPr>
        <w:spacing w:line="320" w:lineRule="exact"/>
      </w:pPr>
    </w:p>
    <w:p w14:paraId="6C81FF19" w14:textId="77777777" w:rsidR="00F14B63" w:rsidRDefault="00F14B63" w:rsidP="00F14B63">
      <w:pPr>
        <w:spacing w:line="320" w:lineRule="exact"/>
        <w:ind w:left="2160" w:firstLine="720"/>
      </w:pPr>
    </w:p>
    <w:p w14:paraId="6C81FF1A" w14:textId="77777777" w:rsidR="00F14B63" w:rsidRDefault="00F14B63" w:rsidP="00F14B63">
      <w:pPr>
        <w:spacing w:line="320" w:lineRule="exact"/>
        <w:ind w:left="2160" w:firstLine="720"/>
      </w:pPr>
    </w:p>
    <w:p w14:paraId="6C81FF1B" w14:textId="77777777" w:rsidR="00F14B63" w:rsidRDefault="00666F92" w:rsidP="00F14B63">
      <w:pPr>
        <w:spacing w:line="320" w:lineRule="exact"/>
        <w:ind w:left="2160" w:firstLine="720"/>
      </w:pPr>
      <w:r w:rsidRPr="0069534A">
        <w:t>ANN E. RENDAHL</w:t>
      </w:r>
      <w:r w:rsidR="00F14B63">
        <w:t xml:space="preserve">, </w:t>
      </w:r>
      <w:r w:rsidR="00F3239C">
        <w:t>Commission</w:t>
      </w:r>
      <w:r w:rsidR="00F14B63">
        <w:t>er</w:t>
      </w:r>
    </w:p>
    <w:p w14:paraId="6C81FF1C" w14:textId="77777777" w:rsidR="0081462F" w:rsidRPr="00764CC9" w:rsidRDefault="0081462F" w:rsidP="00F73BD2">
      <w:pPr>
        <w:spacing w:line="320" w:lineRule="exact"/>
        <w:ind w:left="2880" w:right="-144" w:firstLine="720"/>
      </w:pPr>
    </w:p>
    <w:p w14:paraId="6C81FF1F" w14:textId="11F26B58" w:rsidR="00B83619" w:rsidRPr="00764CC9" w:rsidRDefault="00B83619" w:rsidP="00A32DEE">
      <w:pPr>
        <w:spacing w:line="320" w:lineRule="exact"/>
      </w:pPr>
    </w:p>
    <w:sectPr w:rsidR="00B83619" w:rsidRPr="00764CC9" w:rsidSect="00631CE6">
      <w:headerReference w:type="default" r:id="rId11"/>
      <w:headerReference w:type="first" r:id="rId12"/>
      <w:type w:val="continuous"/>
      <w:pgSz w:w="12240" w:h="15840" w:code="1"/>
      <w:pgMar w:top="1440" w:right="1440" w:bottom="1440" w:left="2160" w:header="1008" w:footer="15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1FF22" w14:textId="77777777" w:rsidR="00791F66" w:rsidRDefault="00791F66">
      <w:r>
        <w:separator/>
      </w:r>
    </w:p>
  </w:endnote>
  <w:endnote w:type="continuationSeparator" w:id="0">
    <w:p w14:paraId="6C81FF23" w14:textId="77777777" w:rsidR="00791F66" w:rsidRDefault="0079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1FF20" w14:textId="77777777" w:rsidR="00791F66" w:rsidRDefault="00791F66">
      <w:r>
        <w:separator/>
      </w:r>
    </w:p>
  </w:footnote>
  <w:footnote w:type="continuationSeparator" w:id="0">
    <w:p w14:paraId="6C81FF21" w14:textId="77777777" w:rsidR="00791F66" w:rsidRDefault="00791F66">
      <w:r>
        <w:continuationSeparator/>
      </w:r>
    </w:p>
  </w:footnote>
  <w:footnote w:id="1">
    <w:p w14:paraId="6C81FF29" w14:textId="77777777" w:rsidR="00627219" w:rsidRDefault="00627219">
      <w:pPr>
        <w:pStyle w:val="FootnoteText"/>
      </w:pPr>
      <w:r>
        <w:rPr>
          <w:rStyle w:val="FootnoteReference"/>
        </w:rPr>
        <w:footnoteRef/>
      </w:r>
      <w:r>
        <w:t xml:space="preserve"> After the shares are transferred, Derek Dorland will become sole director and President of each company.</w:t>
      </w:r>
    </w:p>
  </w:footnote>
  <w:footnote w:id="2">
    <w:p w14:paraId="6C81FF2A" w14:textId="77777777" w:rsidR="00CE7D6E" w:rsidRDefault="00CE7D6E" w:rsidP="00F7564A">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3">
    <w:p w14:paraId="6C81FF2B" w14:textId="77777777" w:rsidR="00CE7D6E" w:rsidRPr="00216D65" w:rsidRDefault="00CE7D6E" w:rsidP="00F7564A">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1FF24" w14:textId="77777777" w:rsidR="00CE7D6E" w:rsidRPr="00F04D8D" w:rsidRDefault="006570CA" w:rsidP="006570CA">
    <w:pPr>
      <w:pStyle w:val="Header"/>
      <w:rPr>
        <w:noProof/>
        <w:sz w:val="20"/>
        <w:szCs w:val="20"/>
      </w:rPr>
    </w:pPr>
    <w:r w:rsidRPr="00F04D8D">
      <w:rPr>
        <w:sz w:val="20"/>
        <w:szCs w:val="20"/>
      </w:rPr>
      <w:t>DOCKET UW-150688</w:t>
    </w:r>
    <w:r w:rsidRPr="00F04D8D">
      <w:rPr>
        <w:sz w:val="20"/>
        <w:szCs w:val="20"/>
      </w:rPr>
      <w:tab/>
    </w:r>
    <w:r w:rsidRPr="00F04D8D">
      <w:rPr>
        <w:sz w:val="20"/>
        <w:szCs w:val="20"/>
      </w:rPr>
      <w:tab/>
      <w:t xml:space="preserve">Page </w:t>
    </w:r>
    <w:r w:rsidRPr="00F04D8D">
      <w:rPr>
        <w:sz w:val="20"/>
        <w:szCs w:val="20"/>
      </w:rPr>
      <w:fldChar w:fldCharType="begin"/>
    </w:r>
    <w:r w:rsidRPr="00F04D8D">
      <w:rPr>
        <w:sz w:val="20"/>
        <w:szCs w:val="20"/>
      </w:rPr>
      <w:instrText xml:space="preserve"> PAGE   \* MERGEFORMAT </w:instrText>
    </w:r>
    <w:r w:rsidRPr="00F04D8D">
      <w:rPr>
        <w:sz w:val="20"/>
        <w:szCs w:val="20"/>
      </w:rPr>
      <w:fldChar w:fldCharType="separate"/>
    </w:r>
    <w:r w:rsidR="00C908DE">
      <w:rPr>
        <w:noProof/>
        <w:sz w:val="20"/>
        <w:szCs w:val="20"/>
      </w:rPr>
      <w:t>5</w:t>
    </w:r>
    <w:r w:rsidRPr="00F04D8D">
      <w:rPr>
        <w:noProof/>
        <w:sz w:val="20"/>
        <w:szCs w:val="20"/>
      </w:rPr>
      <w:fldChar w:fldCharType="end"/>
    </w:r>
  </w:p>
  <w:p w14:paraId="6C81FF25" w14:textId="77777777" w:rsidR="006570CA" w:rsidRPr="00F04D8D" w:rsidRDefault="006570CA" w:rsidP="006570CA">
    <w:pPr>
      <w:pStyle w:val="Header"/>
      <w:rPr>
        <w:noProof/>
        <w:sz w:val="20"/>
        <w:szCs w:val="20"/>
      </w:rPr>
    </w:pPr>
    <w:r w:rsidRPr="00F04D8D">
      <w:rPr>
        <w:noProof/>
        <w:sz w:val="20"/>
        <w:szCs w:val="20"/>
      </w:rPr>
      <w:t>ORDER 01</w:t>
    </w:r>
  </w:p>
  <w:p w14:paraId="6C81FF26" w14:textId="77777777" w:rsidR="00631CE6" w:rsidRDefault="00631CE6" w:rsidP="006570CA">
    <w:pPr>
      <w:pStyle w:val="Header"/>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1FF28" w14:textId="77777777" w:rsidR="00CE7D6E" w:rsidRDefault="00CE7D6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32F70F3"/>
    <w:multiLevelType w:val="hybridMultilevel"/>
    <w:tmpl w:val="7D72FC16"/>
    <w:lvl w:ilvl="0" w:tplc="5C0EFF88">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9"/>
  </w:num>
  <w:num w:numId="3">
    <w:abstractNumId w:val="0"/>
  </w:num>
  <w:num w:numId="4">
    <w:abstractNumId w:val="14"/>
  </w:num>
  <w:num w:numId="5">
    <w:abstractNumId w:val="3"/>
  </w:num>
  <w:num w:numId="6">
    <w:abstractNumId w:val="11"/>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66"/>
    <w:rsid w:val="00023576"/>
    <w:rsid w:val="00050FB7"/>
    <w:rsid w:val="00057390"/>
    <w:rsid w:val="00073186"/>
    <w:rsid w:val="000A18BB"/>
    <w:rsid w:val="000B0BD0"/>
    <w:rsid w:val="000B0F48"/>
    <w:rsid w:val="000C2E8F"/>
    <w:rsid w:val="000F2DA0"/>
    <w:rsid w:val="0012543D"/>
    <w:rsid w:val="00146F7B"/>
    <w:rsid w:val="00170C45"/>
    <w:rsid w:val="0017413D"/>
    <w:rsid w:val="001A05D6"/>
    <w:rsid w:val="001A36F8"/>
    <w:rsid w:val="001A52B8"/>
    <w:rsid w:val="001E316F"/>
    <w:rsid w:val="001E5DD1"/>
    <w:rsid w:val="001E651A"/>
    <w:rsid w:val="00215360"/>
    <w:rsid w:val="00216D65"/>
    <w:rsid w:val="00220DC7"/>
    <w:rsid w:val="00240722"/>
    <w:rsid w:val="002414EB"/>
    <w:rsid w:val="00254A73"/>
    <w:rsid w:val="002847FC"/>
    <w:rsid w:val="002942EB"/>
    <w:rsid w:val="00297376"/>
    <w:rsid w:val="002A620B"/>
    <w:rsid w:val="003054C1"/>
    <w:rsid w:val="00320776"/>
    <w:rsid w:val="00322EC5"/>
    <w:rsid w:val="00323DDD"/>
    <w:rsid w:val="0032597D"/>
    <w:rsid w:val="003370F7"/>
    <w:rsid w:val="0034018E"/>
    <w:rsid w:val="00355BCD"/>
    <w:rsid w:val="00367A3A"/>
    <w:rsid w:val="00372E5C"/>
    <w:rsid w:val="00375E3F"/>
    <w:rsid w:val="003A1A81"/>
    <w:rsid w:val="003A1E13"/>
    <w:rsid w:val="003F5BB4"/>
    <w:rsid w:val="00400724"/>
    <w:rsid w:val="00407FED"/>
    <w:rsid w:val="00436B3A"/>
    <w:rsid w:val="00453BF1"/>
    <w:rsid w:val="004612A0"/>
    <w:rsid w:val="004B31C1"/>
    <w:rsid w:val="00501F17"/>
    <w:rsid w:val="00505778"/>
    <w:rsid w:val="00521711"/>
    <w:rsid w:val="005267EF"/>
    <w:rsid w:val="0054205E"/>
    <w:rsid w:val="00551872"/>
    <w:rsid w:val="00553DF1"/>
    <w:rsid w:val="00560BD1"/>
    <w:rsid w:val="00590418"/>
    <w:rsid w:val="005A2AD1"/>
    <w:rsid w:val="005A5FFA"/>
    <w:rsid w:val="005D05C3"/>
    <w:rsid w:val="005E0B74"/>
    <w:rsid w:val="005F2AED"/>
    <w:rsid w:val="005F71F1"/>
    <w:rsid w:val="00600357"/>
    <w:rsid w:val="00605ADF"/>
    <w:rsid w:val="00610E54"/>
    <w:rsid w:val="00611A22"/>
    <w:rsid w:val="00621237"/>
    <w:rsid w:val="00627219"/>
    <w:rsid w:val="00631CE6"/>
    <w:rsid w:val="00650A7C"/>
    <w:rsid w:val="006570CA"/>
    <w:rsid w:val="00666F92"/>
    <w:rsid w:val="0066794C"/>
    <w:rsid w:val="00670841"/>
    <w:rsid w:val="00672651"/>
    <w:rsid w:val="00675445"/>
    <w:rsid w:val="006976F2"/>
    <w:rsid w:val="006C269A"/>
    <w:rsid w:val="006C300C"/>
    <w:rsid w:val="006E021B"/>
    <w:rsid w:val="006E2497"/>
    <w:rsid w:val="00704C06"/>
    <w:rsid w:val="0073523C"/>
    <w:rsid w:val="00756B71"/>
    <w:rsid w:val="00764CC9"/>
    <w:rsid w:val="00791F66"/>
    <w:rsid w:val="007B22F0"/>
    <w:rsid w:val="007C3CD3"/>
    <w:rsid w:val="00805872"/>
    <w:rsid w:val="00805E15"/>
    <w:rsid w:val="0081462F"/>
    <w:rsid w:val="00833157"/>
    <w:rsid w:val="00874FF8"/>
    <w:rsid w:val="00882CC6"/>
    <w:rsid w:val="0089198A"/>
    <w:rsid w:val="008C0F71"/>
    <w:rsid w:val="008D3B92"/>
    <w:rsid w:val="008D698F"/>
    <w:rsid w:val="008F28D2"/>
    <w:rsid w:val="008F2F16"/>
    <w:rsid w:val="008F7C25"/>
    <w:rsid w:val="00911135"/>
    <w:rsid w:val="0092794F"/>
    <w:rsid w:val="00930F01"/>
    <w:rsid w:val="00934545"/>
    <w:rsid w:val="009447E3"/>
    <w:rsid w:val="009735DF"/>
    <w:rsid w:val="009A292E"/>
    <w:rsid w:val="009B5E6D"/>
    <w:rsid w:val="009D3DE9"/>
    <w:rsid w:val="009D4DD2"/>
    <w:rsid w:val="00A17C3F"/>
    <w:rsid w:val="00A32791"/>
    <w:rsid w:val="00A32DEE"/>
    <w:rsid w:val="00A33FA2"/>
    <w:rsid w:val="00A52B7E"/>
    <w:rsid w:val="00AA5105"/>
    <w:rsid w:val="00AA629B"/>
    <w:rsid w:val="00AB5A4C"/>
    <w:rsid w:val="00AB7DD1"/>
    <w:rsid w:val="00AC0026"/>
    <w:rsid w:val="00AE217A"/>
    <w:rsid w:val="00AF3A91"/>
    <w:rsid w:val="00AF656B"/>
    <w:rsid w:val="00B045AE"/>
    <w:rsid w:val="00B059DD"/>
    <w:rsid w:val="00B0617F"/>
    <w:rsid w:val="00B36585"/>
    <w:rsid w:val="00B407E2"/>
    <w:rsid w:val="00B518C6"/>
    <w:rsid w:val="00B53E40"/>
    <w:rsid w:val="00B60A43"/>
    <w:rsid w:val="00B6291C"/>
    <w:rsid w:val="00B83092"/>
    <w:rsid w:val="00B83619"/>
    <w:rsid w:val="00B874D0"/>
    <w:rsid w:val="00BA35CA"/>
    <w:rsid w:val="00C75424"/>
    <w:rsid w:val="00C908DE"/>
    <w:rsid w:val="00CA56F4"/>
    <w:rsid w:val="00CC0551"/>
    <w:rsid w:val="00CD6DA5"/>
    <w:rsid w:val="00CE0B7B"/>
    <w:rsid w:val="00CE694D"/>
    <w:rsid w:val="00CE7D6E"/>
    <w:rsid w:val="00CF786D"/>
    <w:rsid w:val="00D12461"/>
    <w:rsid w:val="00D20522"/>
    <w:rsid w:val="00D57424"/>
    <w:rsid w:val="00D603D0"/>
    <w:rsid w:val="00D71524"/>
    <w:rsid w:val="00D848B3"/>
    <w:rsid w:val="00DB0CF5"/>
    <w:rsid w:val="00DB7B63"/>
    <w:rsid w:val="00DD4123"/>
    <w:rsid w:val="00DF328D"/>
    <w:rsid w:val="00DF7296"/>
    <w:rsid w:val="00E63D2E"/>
    <w:rsid w:val="00E739B4"/>
    <w:rsid w:val="00E837BD"/>
    <w:rsid w:val="00E90AA2"/>
    <w:rsid w:val="00EB22FE"/>
    <w:rsid w:val="00EC513E"/>
    <w:rsid w:val="00EC756F"/>
    <w:rsid w:val="00F04D8D"/>
    <w:rsid w:val="00F1211F"/>
    <w:rsid w:val="00F14B63"/>
    <w:rsid w:val="00F31AD8"/>
    <w:rsid w:val="00F3239C"/>
    <w:rsid w:val="00F32EC1"/>
    <w:rsid w:val="00F671C2"/>
    <w:rsid w:val="00F72CD2"/>
    <w:rsid w:val="00F73BD2"/>
    <w:rsid w:val="00F73F62"/>
    <w:rsid w:val="00F7564A"/>
    <w:rsid w:val="00F87426"/>
    <w:rsid w:val="00F8767B"/>
    <w:rsid w:val="00FB2AF4"/>
    <w:rsid w:val="00FB7769"/>
    <w:rsid w:val="00FD5A92"/>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4577"/>
    <o:shapelayout v:ext="edit">
      <o:idmap v:ext="edit" data="1"/>
    </o:shapelayout>
  </w:shapeDefaults>
  <w:decimalSymbol w:val="."/>
  <w:listSeparator w:val=","/>
  <w14:docId w14:val="6C81FE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paragraph" w:styleId="Heading6">
    <w:name w:val="heading 6"/>
    <w:basedOn w:val="Normal"/>
    <w:next w:val="Normal"/>
    <w:link w:val="Heading6Char"/>
    <w:semiHidden/>
    <w:unhideWhenUsed/>
    <w:qFormat/>
    <w:rsid w:val="00605AD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CF786D"/>
    <w:pPr>
      <w:numPr>
        <w:numId w:val="14"/>
      </w:numPr>
      <w:spacing w:line="288" w:lineRule="auto"/>
      <w:ind w:left="720" w:hanging="1440"/>
    </w:p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 w:type="paragraph" w:styleId="ListParagraph">
    <w:name w:val="List Paragraph"/>
    <w:basedOn w:val="Normal"/>
    <w:uiPriority w:val="34"/>
    <w:qFormat/>
    <w:rsid w:val="00323DDD"/>
    <w:pPr>
      <w:ind w:left="720"/>
    </w:pPr>
  </w:style>
  <w:style w:type="character" w:customStyle="1" w:styleId="Heading6Char">
    <w:name w:val="Heading 6 Char"/>
    <w:basedOn w:val="DefaultParagraphFont"/>
    <w:link w:val="Heading6"/>
    <w:uiPriority w:val="9"/>
    <w:semiHidden/>
    <w:rsid w:val="00605AD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605AD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930F01"/>
    <w:rPr>
      <w:sz w:val="16"/>
      <w:szCs w:val="16"/>
    </w:rPr>
  </w:style>
  <w:style w:type="paragraph" w:styleId="CommentText">
    <w:name w:val="annotation text"/>
    <w:basedOn w:val="Normal"/>
    <w:link w:val="CommentTextChar"/>
    <w:rsid w:val="00930F01"/>
    <w:rPr>
      <w:sz w:val="20"/>
      <w:szCs w:val="20"/>
    </w:rPr>
  </w:style>
  <w:style w:type="character" w:customStyle="1" w:styleId="CommentTextChar">
    <w:name w:val="Comment Text Char"/>
    <w:basedOn w:val="DefaultParagraphFont"/>
    <w:link w:val="CommentText"/>
    <w:rsid w:val="00930F01"/>
  </w:style>
  <w:style w:type="paragraph" w:styleId="CommentSubject">
    <w:name w:val="annotation subject"/>
    <w:basedOn w:val="CommentText"/>
    <w:next w:val="CommentText"/>
    <w:link w:val="CommentSubjectChar"/>
    <w:rsid w:val="00930F01"/>
    <w:rPr>
      <w:b/>
      <w:bCs/>
    </w:rPr>
  </w:style>
  <w:style w:type="character" w:customStyle="1" w:styleId="CommentSubjectChar">
    <w:name w:val="Comment Subject Char"/>
    <w:basedOn w:val="CommentTextChar"/>
    <w:link w:val="CommentSubject"/>
    <w:rsid w:val="00930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UTCFS2\GRP_Data\UTIL\Migrated-WATER\COMPANY%20FILINGS\1%20Short%20Term\Iliad%20companies\150688%20Merger\Iliad%20Water%20Services%20Merger%20-%20UW-1506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2015-04-21T07:00:00+00:00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Iliad Water Service, Inc.;Fragaria Landing Water Company;Lowper, Incorporated;Marbello Water Co., Inc.;SJM Water Services, Inc.</CaseCompanyNames>
    <DocketNumber xmlns="dc463f71-b30c-4ab2-9473-d307f9d35888">150688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FD130E109A64BA532532B4826053C" ma:contentTypeVersion="119" ma:contentTypeDescription="" ma:contentTypeScope="" ma:versionID="84d024be1e575f13c815045e3a47aa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99B13-40F2-4959-A174-2C59F4E53692}"/>
</file>

<file path=customXml/itemProps2.xml><?xml version="1.0" encoding="utf-8"?>
<ds:datastoreItem xmlns:ds="http://schemas.openxmlformats.org/officeDocument/2006/customXml" ds:itemID="{024B166E-9D7F-47F7-B5D1-A09A61EC6D40}"/>
</file>

<file path=customXml/itemProps3.xml><?xml version="1.0" encoding="utf-8"?>
<ds:datastoreItem xmlns:ds="http://schemas.openxmlformats.org/officeDocument/2006/customXml" ds:itemID="{82A35229-6C64-473E-A8C9-DD680F245D49}"/>
</file>

<file path=customXml/itemProps4.xml><?xml version="1.0" encoding="utf-8"?>
<ds:datastoreItem xmlns:ds="http://schemas.openxmlformats.org/officeDocument/2006/customXml" ds:itemID="{A459E4E9-3930-4DB6-8250-6A0A98103FA9}"/>
</file>

<file path=customXml/itemProps5.xml><?xml version="1.0" encoding="utf-8"?>
<ds:datastoreItem xmlns:ds="http://schemas.openxmlformats.org/officeDocument/2006/customXml" ds:itemID="{521B39F7-9D0D-4E26-98F0-C77974A57166}"/>
</file>

<file path=docProps/app.xml><?xml version="1.0" encoding="utf-8"?>
<Properties xmlns="http://schemas.openxmlformats.org/officeDocument/2006/extended-properties" xmlns:vt="http://schemas.openxmlformats.org/officeDocument/2006/docPropsVTypes">
  <Template>Iliad Water Services Merger - UW-150688</Template>
  <TotalTime>0</TotalTime>
  <Pages>5</Pages>
  <Words>1405</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Iliad Water Service - order to approve</vt:lpstr>
    </vt:vector>
  </TitlesOfParts>
  <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Iliad Water Service - order to approve</dc:title>
  <dc:subject/>
  <dc:creator/>
  <cp:keywords/>
  <dc:description/>
  <cp:lastModifiedBy/>
  <cp:revision>1</cp:revision>
  <dcterms:created xsi:type="dcterms:W3CDTF">2015-07-29T23:52:00Z</dcterms:created>
  <dcterms:modified xsi:type="dcterms:W3CDTF">2015-07-29T23:53:00Z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0x0101006E56B4D1795A2E4DB2F0B01679ED314A00759FD130E109A64BA532532B4826053C</vt:lpwstr>
  </property>
  <property fmtid="{D5CDD505-2E9C-101B-9397-08002B2CF9AE}" pid="3" name="_docset_NoMedatataSyncRequired">
    <vt:lpwstr>False</vt:lpwstr>
  </property>
</Properties>
</file>