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1184"/>
      </w:tblGrid>
      <w:tr w:rsidR="009061EE" w:rsidRPr="00770E9A" w:rsidTr="00723FE5">
        <w:trPr>
          <w:cantSplit/>
          <w:trHeight w:hRule="exact" w:val="288"/>
        </w:trPr>
        <w:tc>
          <w:tcPr>
            <w:tcW w:w="1184" w:type="dxa"/>
            <w:tcMar>
              <w:left w:w="14" w:type="dxa"/>
              <w:right w:w="14" w:type="dxa"/>
            </w:tcMar>
            <w:vAlign w:val="center"/>
          </w:tcPr>
          <w:p w:rsidR="009061EE" w:rsidRPr="00770E9A" w:rsidRDefault="009061EE" w:rsidP="005241EE">
            <w:pPr>
              <w:spacing w:after="0" w:line="240" w:lineRule="auto"/>
              <w:jc w:val="center"/>
              <w:rPr>
                <w:rFonts w:ascii="Arial" w:hAnsi="Arial" w:cs="Arial"/>
                <w:sz w:val="20"/>
                <w:szCs w:val="20"/>
              </w:rPr>
            </w:pPr>
            <w:r>
              <w:rPr>
                <w:rFonts w:ascii="Arial" w:hAnsi="Arial" w:cs="Arial"/>
                <w:sz w:val="20"/>
                <w:szCs w:val="20"/>
              </w:rPr>
              <w:t>(N)</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C850A3">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Pr="00770E9A"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r>
              <w:rPr>
                <w:rFonts w:ascii="Arial" w:hAnsi="Arial" w:cs="Arial"/>
                <w:sz w:val="20"/>
                <w:szCs w:val="20"/>
              </w:rPr>
              <w:t>|</w:t>
            </w: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r>
              <w:rPr>
                <w:rFonts w:ascii="Arial" w:hAnsi="Arial" w:cs="Arial"/>
                <w:sz w:val="20"/>
                <w:szCs w:val="20"/>
              </w:rPr>
              <w:t>(N)</w:t>
            </w: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r w:rsidR="009061EE" w:rsidRPr="00770E9A" w:rsidTr="00723FE5">
        <w:trPr>
          <w:trHeight w:val="288"/>
        </w:trPr>
        <w:tc>
          <w:tcPr>
            <w:tcW w:w="1184" w:type="dxa"/>
            <w:tcMar>
              <w:left w:w="14" w:type="dxa"/>
              <w:right w:w="14" w:type="dxa"/>
            </w:tcMar>
            <w:vAlign w:val="center"/>
          </w:tcPr>
          <w:p w:rsidR="009061EE" w:rsidRDefault="009061EE" w:rsidP="0047056F">
            <w:pPr>
              <w:spacing w:after="0" w:line="240" w:lineRule="auto"/>
              <w:jc w:val="center"/>
              <w:rPr>
                <w:rFonts w:ascii="Arial" w:hAnsi="Arial" w:cs="Arial"/>
                <w:sz w:val="20"/>
                <w:szCs w:val="20"/>
              </w:rPr>
            </w:pPr>
          </w:p>
        </w:tc>
      </w:tr>
    </w:tbl>
    <w:p w:rsidR="009061EE" w:rsidRDefault="009061EE" w:rsidP="00B64632">
      <w:pPr>
        <w:spacing w:after="0" w:line="240" w:lineRule="auto"/>
        <w:rPr>
          <w:rFonts w:ascii="Arial" w:hAnsi="Arial" w:cs="Arial"/>
          <w:sz w:val="20"/>
          <w:szCs w:val="20"/>
        </w:rPr>
      </w:pPr>
    </w:p>
    <w:p w:rsidR="009061EE" w:rsidRDefault="009061EE" w:rsidP="00B64632">
      <w:pPr>
        <w:spacing w:after="0" w:line="240" w:lineRule="auto"/>
        <w:rPr>
          <w:rFonts w:ascii="Arial" w:hAnsi="Arial" w:cs="Arial"/>
          <w:sz w:val="20"/>
          <w:szCs w:val="20"/>
        </w:rPr>
        <w:sectPr w:rsidR="009061EE"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9061EE" w:rsidTr="00711010">
        <w:tc>
          <w:tcPr>
            <w:tcW w:w="8887" w:type="dxa"/>
          </w:tcPr>
          <w:p w:rsidR="009061EE" w:rsidRPr="00711010" w:rsidRDefault="009061EE" w:rsidP="00711010">
            <w:pPr>
              <w:spacing w:after="0" w:line="286" w:lineRule="exact"/>
              <w:jc w:val="center"/>
              <w:rPr>
                <w:rFonts w:ascii="Arial" w:hAnsi="Arial" w:cs="Arial"/>
                <w:b/>
                <w:sz w:val="20"/>
                <w:szCs w:val="20"/>
              </w:rPr>
            </w:pPr>
            <w:r>
              <w:rPr>
                <w:rStyle w:val="Custom1"/>
              </w:rPr>
              <w:t>SCHEDULE 140</w:t>
            </w:r>
          </w:p>
        </w:tc>
      </w:tr>
      <w:tr w:rsidR="009061EE" w:rsidTr="00711010">
        <w:tc>
          <w:tcPr>
            <w:tcW w:w="8887" w:type="dxa"/>
          </w:tcPr>
          <w:p w:rsidR="009061EE" w:rsidRPr="00711010" w:rsidRDefault="009061EE" w:rsidP="00711010">
            <w:pPr>
              <w:spacing w:after="0" w:line="286" w:lineRule="exact"/>
              <w:jc w:val="center"/>
              <w:rPr>
                <w:rFonts w:ascii="Arial" w:hAnsi="Arial" w:cs="Arial"/>
                <w:b/>
                <w:color w:val="000000"/>
                <w:sz w:val="20"/>
                <w:szCs w:val="20"/>
              </w:rPr>
            </w:pPr>
            <w:r>
              <w:rPr>
                <w:rStyle w:val="Custom1"/>
              </w:rPr>
              <w:t xml:space="preserve">PROPERTY TAX TRACKER </w:t>
            </w:r>
            <w:r w:rsidRPr="003165C7">
              <w:rPr>
                <w:rStyle w:val="Custom1"/>
                <w:b w:val="0"/>
              </w:rPr>
              <w:t>(Continued)</w:t>
            </w:r>
          </w:p>
        </w:tc>
      </w:tr>
    </w:tbl>
    <w:p w:rsidR="009061EE" w:rsidRDefault="009061EE" w:rsidP="00282FCF">
      <w:pPr>
        <w:spacing w:after="0" w:line="286" w:lineRule="exact"/>
        <w:rPr>
          <w:rFonts w:ascii="Arial" w:hAnsi="Arial" w:cs="Arial"/>
          <w:sz w:val="20"/>
          <w:szCs w:val="20"/>
        </w:rPr>
      </w:pPr>
    </w:p>
    <w:p w:rsidR="009061EE" w:rsidRPr="008D7B69" w:rsidRDefault="009061EE" w:rsidP="00324EAD">
      <w:pPr>
        <w:numPr>
          <w:ilvl w:val="0"/>
          <w:numId w:val="5"/>
        </w:numPr>
        <w:spacing w:after="0" w:line="286" w:lineRule="exact"/>
        <w:rPr>
          <w:rFonts w:ascii="Arial" w:hAnsi="Arial" w:cs="Arial"/>
          <w:sz w:val="20"/>
          <w:szCs w:val="20"/>
        </w:rPr>
      </w:pPr>
      <w:r>
        <w:rPr>
          <w:rFonts w:ascii="Arial" w:hAnsi="Arial" w:cs="Arial"/>
          <w:sz w:val="20"/>
          <w:szCs w:val="20"/>
        </w:rPr>
        <w:t>The Company will submit annual filings on or prior to April 15 for rates effective on May 1 each year.  Each annual filing will be for rates to be effective from May 1 through April 30 the following year. The rates will be based on (i) the total Assessed Property Taxes that become known prior to the annual filing, and (ii) starting with the April 2014 filing,</w:t>
      </w:r>
      <w:r w:rsidRPr="00051362">
        <w:rPr>
          <w:rFonts w:ascii="Arial" w:hAnsi="Arial" w:cs="Arial"/>
          <w:sz w:val="20"/>
          <w:szCs w:val="20"/>
        </w:rPr>
        <w:t xml:space="preserve"> </w:t>
      </w:r>
      <w:r>
        <w:rPr>
          <w:rFonts w:ascii="Arial" w:hAnsi="Arial" w:cs="Arial"/>
          <w:sz w:val="20"/>
          <w:szCs w:val="20"/>
        </w:rPr>
        <w:t xml:space="preserve">that amount of </w:t>
      </w:r>
      <w:r w:rsidRPr="00051362">
        <w:rPr>
          <w:rFonts w:ascii="Arial" w:hAnsi="Arial" w:cs="Arial"/>
          <w:sz w:val="20"/>
          <w:szCs w:val="20"/>
        </w:rPr>
        <w:t>true-ups described below.</w:t>
      </w:r>
    </w:p>
    <w:p w:rsidR="009061EE" w:rsidRPr="00051362" w:rsidRDefault="009061EE" w:rsidP="00051362">
      <w:pPr>
        <w:spacing w:after="0" w:line="286" w:lineRule="exact"/>
        <w:ind w:left="720"/>
        <w:rPr>
          <w:rFonts w:ascii="Arial" w:hAnsi="Arial" w:cs="Arial"/>
          <w:sz w:val="20"/>
          <w:szCs w:val="20"/>
        </w:rPr>
      </w:pPr>
    </w:p>
    <w:p w:rsidR="009061EE" w:rsidRPr="00051362" w:rsidRDefault="009061EE" w:rsidP="00051362">
      <w:pPr>
        <w:tabs>
          <w:tab w:val="left" w:pos="810"/>
        </w:tabs>
        <w:spacing w:after="0" w:line="286" w:lineRule="exact"/>
        <w:ind w:left="720"/>
        <w:rPr>
          <w:rFonts w:ascii="Arial" w:hAnsi="Arial" w:cs="Arial"/>
          <w:sz w:val="20"/>
          <w:szCs w:val="20"/>
        </w:rPr>
      </w:pPr>
      <w:r w:rsidRPr="00051362">
        <w:rPr>
          <w:rFonts w:ascii="Arial" w:hAnsi="Arial" w:cs="Arial"/>
          <w:sz w:val="20"/>
          <w:szCs w:val="20"/>
        </w:rPr>
        <w:t xml:space="preserve">True-Ups:  </w:t>
      </w:r>
    </w:p>
    <w:p w:rsidR="009061EE" w:rsidRPr="00051362" w:rsidRDefault="009061EE" w:rsidP="00051362">
      <w:pPr>
        <w:spacing w:after="0" w:line="286" w:lineRule="exact"/>
        <w:ind w:left="720"/>
        <w:rPr>
          <w:rFonts w:ascii="Arial" w:hAnsi="Arial" w:cs="Arial"/>
          <w:sz w:val="20"/>
          <w:szCs w:val="20"/>
        </w:rPr>
      </w:pPr>
      <w:r w:rsidRPr="00051362">
        <w:rPr>
          <w:rFonts w:ascii="Arial" w:hAnsi="Arial" w:cs="Arial"/>
          <w:sz w:val="20"/>
          <w:szCs w:val="20"/>
        </w:rPr>
        <w:t xml:space="preserve">(i) </w:t>
      </w:r>
      <w:r>
        <w:rPr>
          <w:rFonts w:ascii="Arial" w:hAnsi="Arial" w:cs="Arial"/>
          <w:sz w:val="20"/>
          <w:szCs w:val="20"/>
        </w:rPr>
        <w:t xml:space="preserve"> </w:t>
      </w:r>
      <w:r w:rsidRPr="008D7B69">
        <w:rPr>
          <w:rFonts w:ascii="Arial" w:hAnsi="Arial" w:cs="Arial"/>
          <w:sz w:val="20"/>
          <w:szCs w:val="20"/>
        </w:rPr>
        <w:t xml:space="preserve">a true-up equal to the actual property tax amounts paid in past tax cycles minus the </w:t>
      </w:r>
      <w:r>
        <w:rPr>
          <w:rFonts w:ascii="Arial" w:hAnsi="Arial" w:cs="Arial"/>
          <w:sz w:val="20"/>
          <w:szCs w:val="20"/>
        </w:rPr>
        <w:t xml:space="preserve">Assessed Property Taxes </w:t>
      </w:r>
      <w:r w:rsidRPr="008D7B69">
        <w:rPr>
          <w:rFonts w:ascii="Arial" w:hAnsi="Arial" w:cs="Arial"/>
          <w:sz w:val="20"/>
          <w:szCs w:val="20"/>
        </w:rPr>
        <w:t>used to set rates in past tax cycles</w:t>
      </w:r>
      <w:r w:rsidRPr="00051362">
        <w:rPr>
          <w:rFonts w:ascii="Arial" w:hAnsi="Arial" w:cs="Arial"/>
          <w:sz w:val="20"/>
          <w:szCs w:val="20"/>
        </w:rPr>
        <w:t xml:space="preserve">; </w:t>
      </w:r>
    </w:p>
    <w:p w:rsidR="009061EE" w:rsidRDefault="009061EE" w:rsidP="00051362">
      <w:pPr>
        <w:spacing w:after="0" w:line="286" w:lineRule="exact"/>
        <w:ind w:left="720"/>
        <w:rPr>
          <w:rFonts w:ascii="Arial" w:hAnsi="Arial" w:cs="Arial"/>
          <w:sz w:val="20"/>
          <w:szCs w:val="20"/>
        </w:rPr>
      </w:pPr>
      <w:r w:rsidRPr="00051362">
        <w:rPr>
          <w:rFonts w:ascii="Arial" w:hAnsi="Arial" w:cs="Arial"/>
          <w:sz w:val="20"/>
          <w:szCs w:val="20"/>
        </w:rPr>
        <w:t>(ii)</w:t>
      </w:r>
      <w:r w:rsidRPr="008D7B69">
        <w:rPr>
          <w:rFonts w:ascii="Arial" w:hAnsi="Arial" w:cs="Arial"/>
          <w:sz w:val="20"/>
          <w:szCs w:val="20"/>
        </w:rPr>
        <w:t xml:space="preserve"> </w:t>
      </w:r>
      <w:r>
        <w:rPr>
          <w:rFonts w:ascii="Arial" w:hAnsi="Arial" w:cs="Arial"/>
          <w:sz w:val="20"/>
          <w:szCs w:val="20"/>
        </w:rPr>
        <w:t xml:space="preserve"> </w:t>
      </w:r>
      <w:r w:rsidRPr="008D7B69">
        <w:rPr>
          <w:rFonts w:ascii="Arial" w:hAnsi="Arial" w:cs="Arial"/>
          <w:sz w:val="20"/>
          <w:szCs w:val="20"/>
        </w:rPr>
        <w:t xml:space="preserve">a true-up equal to property tax refunds or other adjustments received or paid </w:t>
      </w:r>
      <w:r>
        <w:rPr>
          <w:rFonts w:ascii="Arial" w:hAnsi="Arial" w:cs="Arial"/>
          <w:sz w:val="20"/>
          <w:szCs w:val="20"/>
        </w:rPr>
        <w:t xml:space="preserve">for property with lien dates on or after January 1, 2012 </w:t>
      </w:r>
      <w:r w:rsidRPr="008D7B69">
        <w:rPr>
          <w:rFonts w:ascii="Arial" w:hAnsi="Arial" w:cs="Arial"/>
          <w:sz w:val="20"/>
          <w:szCs w:val="20"/>
        </w:rPr>
        <w:t xml:space="preserve"> that are not </w:t>
      </w:r>
      <w:r>
        <w:rPr>
          <w:rFonts w:ascii="Arial" w:hAnsi="Arial" w:cs="Arial"/>
          <w:sz w:val="20"/>
          <w:szCs w:val="20"/>
        </w:rPr>
        <w:t xml:space="preserve">previously included in rates; and </w:t>
      </w:r>
    </w:p>
    <w:p w:rsidR="009061EE" w:rsidRDefault="009061EE" w:rsidP="00051362">
      <w:pPr>
        <w:spacing w:after="0" w:line="286" w:lineRule="exact"/>
        <w:ind w:left="720"/>
        <w:rPr>
          <w:rFonts w:ascii="Arial" w:hAnsi="Arial" w:cs="Arial"/>
          <w:sz w:val="20"/>
          <w:szCs w:val="20"/>
        </w:rPr>
      </w:pPr>
      <w:r>
        <w:rPr>
          <w:rFonts w:ascii="Arial" w:hAnsi="Arial" w:cs="Arial"/>
          <w:sz w:val="20"/>
          <w:szCs w:val="20"/>
        </w:rPr>
        <w:t xml:space="preserve">(iii)  a true-up will be included for the difference between what was expected to be collected when rates were set the previous year versus the amount actually collected that is due to </w:t>
      </w:r>
      <w:r w:rsidRPr="009932AC">
        <w:rPr>
          <w:rFonts w:ascii="Arial" w:hAnsi="Arial" w:cs="Arial"/>
          <w:sz w:val="20"/>
          <w:szCs w:val="20"/>
        </w:rPr>
        <w:t xml:space="preserve">variances between the load used to set the rate and actual load experienced during the period.  </w:t>
      </w:r>
    </w:p>
    <w:p w:rsidR="009061EE" w:rsidRDefault="009061EE" w:rsidP="00051362">
      <w:pPr>
        <w:spacing w:after="0" w:line="286" w:lineRule="exact"/>
        <w:ind w:left="720"/>
        <w:rPr>
          <w:rFonts w:ascii="Arial" w:hAnsi="Arial" w:cs="Arial"/>
          <w:sz w:val="20"/>
          <w:szCs w:val="20"/>
        </w:rPr>
      </w:pPr>
    </w:p>
    <w:p w:rsidR="009061EE" w:rsidRDefault="009061EE" w:rsidP="00051362">
      <w:pPr>
        <w:spacing w:after="0" w:line="286" w:lineRule="exact"/>
        <w:ind w:left="720"/>
        <w:rPr>
          <w:rFonts w:ascii="Arial" w:hAnsi="Arial" w:cs="Arial"/>
          <w:sz w:val="20"/>
          <w:szCs w:val="20"/>
        </w:rPr>
      </w:pPr>
      <w:r>
        <w:rPr>
          <w:rFonts w:ascii="Arial" w:hAnsi="Arial" w:cs="Arial"/>
          <w:sz w:val="20"/>
          <w:szCs w:val="20"/>
        </w:rPr>
        <w:t>If a true-up calculation results in</w:t>
      </w:r>
      <w:r w:rsidRPr="00A337FF">
        <w:rPr>
          <w:rFonts w:ascii="Arial" w:hAnsi="Arial" w:cs="Arial"/>
          <w:sz w:val="20"/>
          <w:szCs w:val="20"/>
        </w:rPr>
        <w:t xml:space="preserve"> a positive number, the amount will be an addition to the amount to be otherwise collected under Schedule 140 during the current year.  If the result is a negative number, the resulting amount will be a reduction to the amount to be otherwise collected under Schedule 140 during the current year.</w:t>
      </w:r>
    </w:p>
    <w:p w:rsidR="009061EE" w:rsidRDefault="009061EE" w:rsidP="00051362">
      <w:pPr>
        <w:spacing w:after="0" w:line="286" w:lineRule="exact"/>
        <w:ind w:left="720"/>
        <w:rPr>
          <w:rFonts w:ascii="Arial" w:hAnsi="Arial" w:cs="Arial"/>
          <w:sz w:val="20"/>
          <w:szCs w:val="20"/>
        </w:rPr>
      </w:pPr>
    </w:p>
    <w:p w:rsidR="009061EE" w:rsidRDefault="009061EE" w:rsidP="00A11915">
      <w:pPr>
        <w:numPr>
          <w:ilvl w:val="0"/>
          <w:numId w:val="5"/>
        </w:numPr>
        <w:spacing w:after="0" w:line="286" w:lineRule="exact"/>
        <w:rPr>
          <w:rFonts w:ascii="Arial" w:hAnsi="Arial" w:cs="Arial"/>
          <w:sz w:val="20"/>
          <w:szCs w:val="20"/>
        </w:rPr>
      </w:pPr>
      <w:r>
        <w:rPr>
          <w:rFonts w:ascii="Arial" w:hAnsi="Arial" w:cs="Arial"/>
          <w:sz w:val="20"/>
          <w:szCs w:val="20"/>
        </w:rPr>
        <w:t>Where the calculation described in d. above results in an amount that is less than one percent (1.0%) (“1% Threshold Amount”) greater or less than the prior year’s Assessed Property Taxes the annual filing submitted by the Company shall take the form of a letter stating that no change to the rates in Schedule 140 will be submitted.  The 1.0% Threshold Amount that is not passed through in one year will be included as an addition to the following year’s Assessed Property Taxes when setting rates for Schedule 140.</w:t>
      </w:r>
    </w:p>
    <w:sectPr w:rsidR="009061EE"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EE" w:rsidRDefault="009061EE" w:rsidP="00B963E0">
      <w:pPr>
        <w:spacing w:after="0" w:line="240" w:lineRule="auto"/>
      </w:pPr>
      <w:r>
        <w:separator/>
      </w:r>
    </w:p>
  </w:endnote>
  <w:endnote w:type="continuationSeparator" w:id="0">
    <w:p w:rsidR="009061EE" w:rsidRDefault="009061EE"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EE" w:rsidRDefault="009061EE"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9061EE" w:rsidRDefault="009061EE"/>
            </w:txbxContent>
          </v:textbox>
        </v:shape>
      </w:pict>
    </w:r>
  </w:p>
  <w:p w:rsidR="009061EE" w:rsidRDefault="009061EE"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2013</w:t>
    </w:r>
  </w:p>
  <w:p w:rsidR="009061EE" w:rsidRDefault="009061EE"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2013-XX</w:t>
    </w:r>
  </w:p>
  <w:p w:rsidR="009061EE" w:rsidRDefault="009061EE" w:rsidP="008A742D">
    <w:pPr>
      <w:pStyle w:val="Footer"/>
      <w:ind w:left="-720"/>
      <w:jc w:val="center"/>
      <w:rPr>
        <w:rFonts w:ascii="Arial" w:hAnsi="Arial" w:cs="Arial"/>
        <w:b/>
        <w:sz w:val="20"/>
        <w:szCs w:val="20"/>
      </w:rPr>
    </w:pPr>
  </w:p>
  <w:p w:rsidR="009061EE" w:rsidRDefault="009061EE"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9061EE" w:rsidRPr="007D434A" w:rsidTr="005313FA">
      <w:trPr>
        <w:trHeight w:val="422"/>
      </w:trPr>
      <w:tc>
        <w:tcPr>
          <w:tcW w:w="558" w:type="dxa"/>
          <w:vAlign w:val="center"/>
        </w:tcPr>
        <w:p w:rsidR="009061EE" w:rsidRPr="007D434A" w:rsidRDefault="009061EE" w:rsidP="005313FA">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9061EE" w:rsidRPr="007D434A" w:rsidRDefault="009061EE" w:rsidP="005313FA">
          <w:pPr>
            <w:pStyle w:val="Footer"/>
            <w:rPr>
              <w:rFonts w:ascii="Arial" w:hAnsi="Arial" w:cs="Arial"/>
              <w:b/>
              <w:sz w:val="20"/>
              <w:szCs w:val="20"/>
            </w:rPr>
          </w:pPr>
        </w:p>
      </w:tc>
      <w:tc>
        <w:tcPr>
          <w:tcW w:w="6660" w:type="dxa"/>
          <w:vAlign w:val="center"/>
        </w:tcPr>
        <w:p w:rsidR="009061EE" w:rsidRPr="007D434A" w:rsidRDefault="009061EE" w:rsidP="005313FA">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Pr>
              <w:rFonts w:ascii="Arial" w:hAnsi="Arial" w:cs="Arial"/>
              <w:sz w:val="20"/>
              <w:szCs w:val="20"/>
            </w:rPr>
            <w:t xml:space="preserve">Director, </w:t>
          </w:r>
          <w:r w:rsidRPr="007D434A">
            <w:rPr>
              <w:rFonts w:ascii="Arial" w:hAnsi="Arial" w:cs="Arial"/>
              <w:sz w:val="20"/>
              <w:szCs w:val="20"/>
            </w:rPr>
            <w:t>State Regulatory Affairs</w:t>
          </w:r>
        </w:p>
      </w:tc>
    </w:tr>
  </w:tbl>
  <w:p w:rsidR="009061EE" w:rsidRPr="006E75FB" w:rsidRDefault="009061EE">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EE" w:rsidRDefault="009061EE" w:rsidP="00B963E0">
      <w:pPr>
        <w:spacing w:after="0" w:line="240" w:lineRule="auto"/>
      </w:pPr>
      <w:r>
        <w:separator/>
      </w:r>
    </w:p>
  </w:footnote>
  <w:footnote w:type="continuationSeparator" w:id="0">
    <w:p w:rsidR="009061EE" w:rsidRDefault="009061EE"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EE" w:rsidRDefault="009061EE" w:rsidP="00E61AEC">
    <w:pPr>
      <w:pStyle w:val="NoSpacing"/>
      <w:ind w:right="3600"/>
      <w:jc w:val="right"/>
      <w:rPr>
        <w:u w:val="single"/>
      </w:rPr>
    </w:pPr>
  </w:p>
  <w:p w:rsidR="009061EE" w:rsidRDefault="009061EE" w:rsidP="00E61AEC">
    <w:pPr>
      <w:pStyle w:val="NoSpacing"/>
      <w:ind w:right="3600"/>
      <w:jc w:val="right"/>
      <w:rPr>
        <w:u w:val="single"/>
      </w:rPr>
    </w:pPr>
  </w:p>
  <w:p w:rsidR="009061EE" w:rsidRPr="00E61AEC" w:rsidRDefault="009061EE"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140-a</w:t>
    </w:r>
  </w:p>
  <w:p w:rsidR="009061EE" w:rsidRPr="00B963E0" w:rsidRDefault="009061EE"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9061EE" w:rsidRPr="00B64632" w:rsidRDefault="009061EE"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1.5pt;margin-top:12.85pt;width:489.75pt;height:0;z-index:251660288" o:connectortype="straight">
          <v:textbox>
            <w:txbxContent>
              <w:p w:rsidR="009061EE" w:rsidRDefault="009061EE"/>
            </w:txbxContent>
          </v:textbox>
        </v:shape>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C51F1"/>
    <w:multiLevelType w:val="hybridMultilevel"/>
    <w:tmpl w:val="BD66AA32"/>
    <w:lvl w:ilvl="0" w:tplc="ADAE81D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B9C1E91"/>
    <w:multiLevelType w:val="hybridMultilevel"/>
    <w:tmpl w:val="BAF613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ED77351"/>
    <w:multiLevelType w:val="hybridMultilevel"/>
    <w:tmpl w:val="DD4A1DE0"/>
    <w:lvl w:ilvl="0" w:tplc="BAB4410C">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5075A18"/>
    <w:multiLevelType w:val="hybridMultilevel"/>
    <w:tmpl w:val="2AD0D218"/>
    <w:lvl w:ilvl="0" w:tplc="0409000F">
      <w:start w:val="1"/>
      <w:numFmt w:val="decimal"/>
      <w:lvlText w:val="%1."/>
      <w:lvlJc w:val="left"/>
      <w:pPr>
        <w:ind w:left="720" w:hanging="360"/>
      </w:pPr>
      <w:rPr>
        <w:rFonts w:cs="Times New Roman"/>
      </w:rPr>
    </w:lvl>
    <w:lvl w:ilvl="1" w:tplc="0450C940">
      <w:start w:val="3"/>
      <w:numFmt w:val="lowerLetter"/>
      <w:lvlText w:val="%2."/>
      <w:lvlJc w:val="left"/>
      <w:pPr>
        <w:ind w:left="117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1877974"/>
    <w:multiLevelType w:val="hybridMultilevel"/>
    <w:tmpl w:val="8D5EDED6"/>
    <w:lvl w:ilvl="0" w:tplc="57BAE2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AEA6E60"/>
    <w:multiLevelType w:val="hybridMultilevel"/>
    <w:tmpl w:val="9490FA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78A"/>
    <w:rsid w:val="000029A5"/>
    <w:rsid w:val="0003601D"/>
    <w:rsid w:val="00051362"/>
    <w:rsid w:val="00053192"/>
    <w:rsid w:val="00060533"/>
    <w:rsid w:val="0006313F"/>
    <w:rsid w:val="0008711D"/>
    <w:rsid w:val="0009579F"/>
    <w:rsid w:val="000A1DBB"/>
    <w:rsid w:val="000B0263"/>
    <w:rsid w:val="000C04B8"/>
    <w:rsid w:val="000C387D"/>
    <w:rsid w:val="000C4722"/>
    <w:rsid w:val="000D00F1"/>
    <w:rsid w:val="000D2886"/>
    <w:rsid w:val="000F642C"/>
    <w:rsid w:val="000F7091"/>
    <w:rsid w:val="00104A70"/>
    <w:rsid w:val="0013127F"/>
    <w:rsid w:val="00133C17"/>
    <w:rsid w:val="001351A6"/>
    <w:rsid w:val="00143924"/>
    <w:rsid w:val="001601CC"/>
    <w:rsid w:val="001775B3"/>
    <w:rsid w:val="00186C0A"/>
    <w:rsid w:val="00195D14"/>
    <w:rsid w:val="001B2E67"/>
    <w:rsid w:val="001C0C09"/>
    <w:rsid w:val="001C7CC2"/>
    <w:rsid w:val="001D3AC3"/>
    <w:rsid w:val="001F3E4B"/>
    <w:rsid w:val="001F59AC"/>
    <w:rsid w:val="001F5B0A"/>
    <w:rsid w:val="00211594"/>
    <w:rsid w:val="00212172"/>
    <w:rsid w:val="00212367"/>
    <w:rsid w:val="00214FB0"/>
    <w:rsid w:val="00225C37"/>
    <w:rsid w:val="0023057D"/>
    <w:rsid w:val="0023458C"/>
    <w:rsid w:val="00234F2E"/>
    <w:rsid w:val="00235B37"/>
    <w:rsid w:val="00237B42"/>
    <w:rsid w:val="00255575"/>
    <w:rsid w:val="00256D47"/>
    <w:rsid w:val="00264C96"/>
    <w:rsid w:val="00273F94"/>
    <w:rsid w:val="00275B21"/>
    <w:rsid w:val="00277173"/>
    <w:rsid w:val="00282FCF"/>
    <w:rsid w:val="00284F0A"/>
    <w:rsid w:val="00285BC6"/>
    <w:rsid w:val="00287B0A"/>
    <w:rsid w:val="00297075"/>
    <w:rsid w:val="002A4238"/>
    <w:rsid w:val="002B615F"/>
    <w:rsid w:val="002C09C5"/>
    <w:rsid w:val="002E7037"/>
    <w:rsid w:val="002F56BC"/>
    <w:rsid w:val="003165C7"/>
    <w:rsid w:val="0032311B"/>
    <w:rsid w:val="00324EAD"/>
    <w:rsid w:val="0033374E"/>
    <w:rsid w:val="00344BFC"/>
    <w:rsid w:val="00347BE3"/>
    <w:rsid w:val="00350702"/>
    <w:rsid w:val="00350A9F"/>
    <w:rsid w:val="003715FD"/>
    <w:rsid w:val="003930FE"/>
    <w:rsid w:val="00394A44"/>
    <w:rsid w:val="003A5EFC"/>
    <w:rsid w:val="003B148A"/>
    <w:rsid w:val="003D5068"/>
    <w:rsid w:val="003D6A10"/>
    <w:rsid w:val="003D6A6F"/>
    <w:rsid w:val="003E672B"/>
    <w:rsid w:val="003F0F63"/>
    <w:rsid w:val="003F48BD"/>
    <w:rsid w:val="00401C8E"/>
    <w:rsid w:val="00436D2B"/>
    <w:rsid w:val="00446DAB"/>
    <w:rsid w:val="00461749"/>
    <w:rsid w:val="00466466"/>
    <w:rsid w:val="00466546"/>
    <w:rsid w:val="00466A71"/>
    <w:rsid w:val="0047056F"/>
    <w:rsid w:val="00471C30"/>
    <w:rsid w:val="004A36BE"/>
    <w:rsid w:val="004A7502"/>
    <w:rsid w:val="005141B1"/>
    <w:rsid w:val="005241EE"/>
    <w:rsid w:val="005255B2"/>
    <w:rsid w:val="005313FA"/>
    <w:rsid w:val="00541256"/>
    <w:rsid w:val="00543EA4"/>
    <w:rsid w:val="0055625A"/>
    <w:rsid w:val="005743AB"/>
    <w:rsid w:val="005746B6"/>
    <w:rsid w:val="005766A5"/>
    <w:rsid w:val="00596AA0"/>
    <w:rsid w:val="005B0818"/>
    <w:rsid w:val="005E09BA"/>
    <w:rsid w:val="005F7617"/>
    <w:rsid w:val="006101E3"/>
    <w:rsid w:val="00667CC3"/>
    <w:rsid w:val="00673FFB"/>
    <w:rsid w:val="006A72BD"/>
    <w:rsid w:val="006C27C7"/>
    <w:rsid w:val="006D2365"/>
    <w:rsid w:val="006E75FB"/>
    <w:rsid w:val="00703E53"/>
    <w:rsid w:val="00707DF4"/>
    <w:rsid w:val="00711010"/>
    <w:rsid w:val="00716A97"/>
    <w:rsid w:val="00723FE5"/>
    <w:rsid w:val="00756A5E"/>
    <w:rsid w:val="00757C64"/>
    <w:rsid w:val="00770E9A"/>
    <w:rsid w:val="00775E56"/>
    <w:rsid w:val="00780BB8"/>
    <w:rsid w:val="00784841"/>
    <w:rsid w:val="007926A2"/>
    <w:rsid w:val="00795847"/>
    <w:rsid w:val="007A130B"/>
    <w:rsid w:val="007A48CC"/>
    <w:rsid w:val="007B3F61"/>
    <w:rsid w:val="007D11B1"/>
    <w:rsid w:val="007D434A"/>
    <w:rsid w:val="007E6230"/>
    <w:rsid w:val="007E6D08"/>
    <w:rsid w:val="007F3BEC"/>
    <w:rsid w:val="0080589E"/>
    <w:rsid w:val="00813893"/>
    <w:rsid w:val="00830DAF"/>
    <w:rsid w:val="008312C9"/>
    <w:rsid w:val="00835D47"/>
    <w:rsid w:val="00880B8E"/>
    <w:rsid w:val="008A0C62"/>
    <w:rsid w:val="008A3E31"/>
    <w:rsid w:val="008A742D"/>
    <w:rsid w:val="008B2B87"/>
    <w:rsid w:val="008B3592"/>
    <w:rsid w:val="008C1F4D"/>
    <w:rsid w:val="008D7B69"/>
    <w:rsid w:val="008E58E7"/>
    <w:rsid w:val="009061EE"/>
    <w:rsid w:val="009342D5"/>
    <w:rsid w:val="00941F3E"/>
    <w:rsid w:val="00957A0B"/>
    <w:rsid w:val="0097291F"/>
    <w:rsid w:val="00980A65"/>
    <w:rsid w:val="00981C25"/>
    <w:rsid w:val="009932AC"/>
    <w:rsid w:val="0099361B"/>
    <w:rsid w:val="00993F35"/>
    <w:rsid w:val="0099417A"/>
    <w:rsid w:val="009A4928"/>
    <w:rsid w:val="009B1D7A"/>
    <w:rsid w:val="00A0363D"/>
    <w:rsid w:val="00A1049A"/>
    <w:rsid w:val="00A11915"/>
    <w:rsid w:val="00A337FF"/>
    <w:rsid w:val="00A42F11"/>
    <w:rsid w:val="00A55507"/>
    <w:rsid w:val="00A65A21"/>
    <w:rsid w:val="00A742E6"/>
    <w:rsid w:val="00A81C44"/>
    <w:rsid w:val="00A839AA"/>
    <w:rsid w:val="00A86FD1"/>
    <w:rsid w:val="00AA55FC"/>
    <w:rsid w:val="00AB4028"/>
    <w:rsid w:val="00AB5920"/>
    <w:rsid w:val="00B0749D"/>
    <w:rsid w:val="00B248DC"/>
    <w:rsid w:val="00B30E8E"/>
    <w:rsid w:val="00B328C0"/>
    <w:rsid w:val="00B42E7C"/>
    <w:rsid w:val="00B60AD9"/>
    <w:rsid w:val="00B64632"/>
    <w:rsid w:val="00B70BA0"/>
    <w:rsid w:val="00B963E0"/>
    <w:rsid w:val="00BA1F04"/>
    <w:rsid w:val="00BC7E42"/>
    <w:rsid w:val="00BE428A"/>
    <w:rsid w:val="00BF0570"/>
    <w:rsid w:val="00BF4881"/>
    <w:rsid w:val="00C06D5B"/>
    <w:rsid w:val="00C070F6"/>
    <w:rsid w:val="00C07562"/>
    <w:rsid w:val="00C078A3"/>
    <w:rsid w:val="00C27AA6"/>
    <w:rsid w:val="00C33152"/>
    <w:rsid w:val="00C42132"/>
    <w:rsid w:val="00C53345"/>
    <w:rsid w:val="00C67B1F"/>
    <w:rsid w:val="00C701FF"/>
    <w:rsid w:val="00C850A3"/>
    <w:rsid w:val="00C92C80"/>
    <w:rsid w:val="00CA5BFD"/>
    <w:rsid w:val="00CB7B61"/>
    <w:rsid w:val="00CE40EB"/>
    <w:rsid w:val="00CE71D5"/>
    <w:rsid w:val="00CF3A26"/>
    <w:rsid w:val="00D02C25"/>
    <w:rsid w:val="00D075B2"/>
    <w:rsid w:val="00D11CE5"/>
    <w:rsid w:val="00D11EBD"/>
    <w:rsid w:val="00D261F2"/>
    <w:rsid w:val="00D274C5"/>
    <w:rsid w:val="00D4002E"/>
    <w:rsid w:val="00D408AA"/>
    <w:rsid w:val="00D5139F"/>
    <w:rsid w:val="00D6353E"/>
    <w:rsid w:val="00D67996"/>
    <w:rsid w:val="00D712C1"/>
    <w:rsid w:val="00D736F2"/>
    <w:rsid w:val="00D7590D"/>
    <w:rsid w:val="00D768B3"/>
    <w:rsid w:val="00D80755"/>
    <w:rsid w:val="00D81917"/>
    <w:rsid w:val="00D92B4D"/>
    <w:rsid w:val="00DB3D30"/>
    <w:rsid w:val="00DB60D7"/>
    <w:rsid w:val="00DC040E"/>
    <w:rsid w:val="00DC2AAE"/>
    <w:rsid w:val="00DD1A8E"/>
    <w:rsid w:val="00DD72DF"/>
    <w:rsid w:val="00DF04B6"/>
    <w:rsid w:val="00DF5A84"/>
    <w:rsid w:val="00E002F2"/>
    <w:rsid w:val="00E07D30"/>
    <w:rsid w:val="00E1008D"/>
    <w:rsid w:val="00E12B4A"/>
    <w:rsid w:val="00E47E77"/>
    <w:rsid w:val="00E526ED"/>
    <w:rsid w:val="00E54161"/>
    <w:rsid w:val="00E61AEC"/>
    <w:rsid w:val="00E70B3C"/>
    <w:rsid w:val="00E74A20"/>
    <w:rsid w:val="00E8478A"/>
    <w:rsid w:val="00E84B31"/>
    <w:rsid w:val="00E9001F"/>
    <w:rsid w:val="00E94710"/>
    <w:rsid w:val="00EA73AD"/>
    <w:rsid w:val="00EC2623"/>
    <w:rsid w:val="00EC4414"/>
    <w:rsid w:val="00ED6D74"/>
    <w:rsid w:val="00EF663C"/>
    <w:rsid w:val="00F27465"/>
    <w:rsid w:val="00F468B3"/>
    <w:rsid w:val="00F4757C"/>
    <w:rsid w:val="00F518C8"/>
    <w:rsid w:val="00F53FC2"/>
    <w:rsid w:val="00F57C21"/>
    <w:rsid w:val="00F73413"/>
    <w:rsid w:val="00F86A24"/>
    <w:rsid w:val="00FA0402"/>
    <w:rsid w:val="00FA1B13"/>
    <w:rsid w:val="00FB534D"/>
    <w:rsid w:val="00FD3130"/>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344BFC"/>
    <w:pPr>
      <w:ind w:left="720"/>
      <w:contextualSpacing/>
    </w:pPr>
  </w:style>
  <w:style w:type="character" w:styleId="CommentReference">
    <w:name w:val="annotation reference"/>
    <w:basedOn w:val="DefaultParagraphFont"/>
    <w:uiPriority w:val="99"/>
    <w:semiHidden/>
    <w:rsid w:val="00E1008D"/>
    <w:rPr>
      <w:rFonts w:cs="Times New Roman"/>
      <w:sz w:val="16"/>
      <w:szCs w:val="16"/>
    </w:rPr>
  </w:style>
  <w:style w:type="paragraph" w:styleId="CommentText">
    <w:name w:val="annotation text"/>
    <w:basedOn w:val="Normal"/>
    <w:link w:val="CommentTextChar"/>
    <w:uiPriority w:val="99"/>
    <w:semiHidden/>
    <w:rsid w:val="00E1008D"/>
    <w:rPr>
      <w:sz w:val="20"/>
      <w:szCs w:val="20"/>
    </w:rPr>
  </w:style>
  <w:style w:type="character" w:customStyle="1" w:styleId="CommentTextChar">
    <w:name w:val="Comment Text Char"/>
    <w:basedOn w:val="DefaultParagraphFont"/>
    <w:link w:val="CommentText"/>
    <w:uiPriority w:val="99"/>
    <w:semiHidden/>
    <w:locked/>
    <w:rsid w:val="00E1008D"/>
    <w:rPr>
      <w:rFonts w:cs="Times New Roman"/>
      <w:sz w:val="20"/>
      <w:szCs w:val="20"/>
    </w:rPr>
  </w:style>
  <w:style w:type="paragraph" w:styleId="CommentSubject">
    <w:name w:val="annotation subject"/>
    <w:basedOn w:val="CommentText"/>
    <w:next w:val="CommentText"/>
    <w:link w:val="CommentSubjectChar"/>
    <w:uiPriority w:val="99"/>
    <w:semiHidden/>
    <w:rsid w:val="00E1008D"/>
    <w:rPr>
      <w:b/>
      <w:bCs/>
    </w:rPr>
  </w:style>
  <w:style w:type="character" w:customStyle="1" w:styleId="CommentSubjectChar">
    <w:name w:val="Comment Subject Char"/>
    <w:basedOn w:val="CommentTextChar"/>
    <w:link w:val="CommentSubject"/>
    <w:uiPriority w:val="99"/>
    <w:semiHidden/>
    <w:locked/>
    <w:rsid w:val="00E100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960558-CAA7-499C-BDD8-B9861904AB15}"/>
</file>

<file path=customXml/itemProps2.xml><?xml version="1.0" encoding="utf-8"?>
<ds:datastoreItem xmlns:ds="http://schemas.openxmlformats.org/officeDocument/2006/customXml" ds:itemID="{B1FC99B7-1AFD-4FC2-997A-4CF5BF04CEFD}"/>
</file>

<file path=customXml/itemProps3.xml><?xml version="1.0" encoding="utf-8"?>
<ds:datastoreItem xmlns:ds="http://schemas.openxmlformats.org/officeDocument/2006/customXml" ds:itemID="{D66C31F9-4168-46A6-9AC2-6CB6AE37C2F0}"/>
</file>

<file path=customXml/itemProps4.xml><?xml version="1.0" encoding="utf-8"?>
<ds:datastoreItem xmlns:ds="http://schemas.openxmlformats.org/officeDocument/2006/customXml" ds:itemID="{C6277DEE-653A-4E1C-A9D5-490DAB0ADDDE}"/>
</file>

<file path=docProps/app.xml><?xml version="1.0" encoding="utf-8"?>
<Properties xmlns="http://schemas.openxmlformats.org/officeDocument/2006/extended-properties" xmlns:vt="http://schemas.openxmlformats.org/officeDocument/2006/docPropsVTypes">
  <Pages>1</Pages>
  <Words>374</Words>
  <Characters>1673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gFAA9xAl/vizjZiNpntYD5S0PImCw8VJqOZSXWIhK5JCVtehBs9YWoG49hEgWySGlZRZGnZmT22ZWg2mvJRkoIqGvOrnt/noNNZKConfPU8GR3fB7XSNg60KJHO5Q/iOy27Pr6qKFOwa5nUXrDgg8OAS/nyRo24nQjc9PHF21sSrXpPH4ITJticMM9YTlkScW9T7CorzpgpZnNV9UXJaeYPPHKNOFy01T1XAo1X8Q65Dp8kBOpLmZzu+F</vt:lpwstr>
  </property>
  <property fmtid="{D5CDD505-2E9C-101B-9397-08002B2CF9AE}" pid="3" name="MAIL_MSG_ID2">
    <vt:lpwstr>lGiOZH9lip7o16/jfeGARs9x1Mc0sIYkx1tiIn8qZ6uBoNNmglTkWnX/fd1uxkXmmGygyCoO6jc1++bF+Dagio/c9+3kWygmQ==</vt:lpwstr>
  </property>
  <property fmtid="{D5CDD505-2E9C-101B-9397-08002B2CF9AE}" pid="4" name="RESPONSE_SENDER_NAME">
    <vt:lpwstr>sAAAXRTqSjcrLApTVolPOmXPModeT87Cg1vDEJaqhNFzN9A=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0x0101006E56B4D1795A2E4DB2F0B01679ED314A005CE7F24A893EF748851A04A63F8286CB</vt:lpwstr>
  </property>
  <property fmtid="{D5CDD505-2E9C-101B-9397-08002B2CF9AE}" pid="7" name="_docset_NoMedatataSyncRequired">
    <vt:lpwstr>False</vt:lpwstr>
  </property>
</Properties>
</file>