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C1173" w14:textId="77777777" w:rsidR="00C011AB" w:rsidRPr="00BD1EB2" w:rsidRDefault="00C011AB">
      <w:pPr>
        <w:pStyle w:val="BodyText"/>
        <w:rPr>
          <w:b/>
          <w:bCs/>
          <w:sz w:val="25"/>
          <w:szCs w:val="25"/>
        </w:rPr>
      </w:pPr>
      <w:r w:rsidRPr="00BD1EB2">
        <w:rPr>
          <w:b/>
          <w:bCs/>
          <w:sz w:val="25"/>
          <w:szCs w:val="25"/>
        </w:rPr>
        <w:t xml:space="preserve">BEFORE THE WASHINGTON </w:t>
      </w:r>
    </w:p>
    <w:p w14:paraId="3986344E" w14:textId="77777777" w:rsidR="00C011AB" w:rsidRPr="00BD1EB2" w:rsidRDefault="00C011AB">
      <w:pPr>
        <w:pStyle w:val="BodyText"/>
        <w:rPr>
          <w:b/>
          <w:bCs/>
          <w:sz w:val="25"/>
          <w:szCs w:val="25"/>
        </w:rPr>
      </w:pPr>
      <w:r w:rsidRPr="00BD1EB2">
        <w:rPr>
          <w:b/>
          <w:bCs/>
          <w:sz w:val="25"/>
          <w:szCs w:val="25"/>
        </w:rPr>
        <w:t>UTILITIES AND TRANSPORTATION COMMISSION</w:t>
      </w:r>
    </w:p>
    <w:p w14:paraId="6C9171C5" w14:textId="77777777" w:rsidR="00C011AB" w:rsidRDefault="00C011AB">
      <w:pPr>
        <w:pStyle w:val="BodyText"/>
        <w:rPr>
          <w:sz w:val="25"/>
          <w:szCs w:val="25"/>
        </w:rPr>
      </w:pPr>
    </w:p>
    <w:p w14:paraId="22C67FD0" w14:textId="77777777" w:rsidR="00B6350E" w:rsidRPr="00BD1EB2" w:rsidRDefault="00B6350E">
      <w:pPr>
        <w:pStyle w:val="BodyText"/>
        <w:rPr>
          <w:sz w:val="25"/>
          <w:szCs w:val="25"/>
        </w:rPr>
      </w:pPr>
      <w:bookmarkStart w:id="0" w:name="_GoBack"/>
      <w:bookmarkEnd w:id="0"/>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C77B16" w:rsidRPr="00CB1237" w14:paraId="1F571F09" w14:textId="77777777" w:rsidTr="00E22E01">
        <w:trPr>
          <w:trHeight w:val="1681"/>
        </w:trPr>
        <w:tc>
          <w:tcPr>
            <w:tcW w:w="4195" w:type="dxa"/>
            <w:vMerge w:val="restart"/>
            <w:tcBorders>
              <w:right w:val="single" w:sz="4" w:space="0" w:color="auto"/>
            </w:tcBorders>
          </w:tcPr>
          <w:p w14:paraId="3422221C" w14:textId="77777777" w:rsidR="00C77B16" w:rsidRDefault="00C77B16" w:rsidP="00E22E01">
            <w:pPr>
              <w:spacing w:line="264" w:lineRule="auto"/>
            </w:pPr>
            <w:r>
              <w:t>WASHINGTON UTILITIES AND TRANSPORTATION COMMISSION,</w:t>
            </w:r>
          </w:p>
          <w:p w14:paraId="1C8353F5" w14:textId="77777777" w:rsidR="00C77B16" w:rsidRDefault="00C77B16" w:rsidP="00E22E01">
            <w:pPr>
              <w:spacing w:line="264" w:lineRule="auto"/>
            </w:pPr>
          </w:p>
          <w:p w14:paraId="753891ED" w14:textId="77777777" w:rsidR="00C77B16" w:rsidRPr="00CB1237" w:rsidRDefault="00C77B16" w:rsidP="00E22E01">
            <w:pPr>
              <w:spacing w:line="264" w:lineRule="auto"/>
            </w:pPr>
            <w:r>
              <w:t xml:space="preserve">                                            Complainant,</w:t>
            </w:r>
          </w:p>
          <w:p w14:paraId="16432C95" w14:textId="77777777" w:rsidR="00C77B16" w:rsidRDefault="00C77B16" w:rsidP="00E22E01">
            <w:pPr>
              <w:spacing w:line="288" w:lineRule="auto"/>
            </w:pPr>
            <w:r>
              <w:t>v.</w:t>
            </w:r>
          </w:p>
          <w:p w14:paraId="2A1210CB" w14:textId="77777777" w:rsidR="00C77B16" w:rsidRDefault="00C77B16" w:rsidP="00E22E01">
            <w:pPr>
              <w:spacing w:line="288" w:lineRule="auto"/>
            </w:pPr>
          </w:p>
          <w:p w14:paraId="121B0C39" w14:textId="77777777" w:rsidR="00C77B16" w:rsidRPr="00F12D85" w:rsidRDefault="00C77B16" w:rsidP="00E22E01">
            <w:pPr>
              <w:spacing w:line="264" w:lineRule="auto"/>
              <w:rPr>
                <w:sz w:val="25"/>
                <w:szCs w:val="25"/>
              </w:rPr>
            </w:pPr>
            <w:r w:rsidRPr="00F12D85">
              <w:rPr>
                <w:sz w:val="25"/>
                <w:szCs w:val="25"/>
              </w:rPr>
              <w:t>AVISTA CORPORATION</w:t>
            </w:r>
            <w:r>
              <w:rPr>
                <w:sz w:val="25"/>
                <w:szCs w:val="25"/>
              </w:rPr>
              <w:t xml:space="preserve"> d/b/a</w:t>
            </w:r>
            <w:r w:rsidRPr="00F12D85">
              <w:rPr>
                <w:sz w:val="25"/>
                <w:szCs w:val="25"/>
              </w:rPr>
              <w:t xml:space="preserve"> AVISTA UTILITIES,</w:t>
            </w:r>
          </w:p>
          <w:p w14:paraId="32B09D55" w14:textId="77777777" w:rsidR="00C77B16" w:rsidRDefault="00C77B16" w:rsidP="00E22E01">
            <w:pPr>
              <w:spacing w:line="288" w:lineRule="auto"/>
            </w:pPr>
          </w:p>
          <w:p w14:paraId="3C908951" w14:textId="77777777" w:rsidR="00C77B16" w:rsidRDefault="00C77B16" w:rsidP="00E22E01">
            <w:pPr>
              <w:spacing w:line="288" w:lineRule="auto"/>
            </w:pPr>
          </w:p>
          <w:p w14:paraId="0FF0AE30" w14:textId="77777777" w:rsidR="00C77B16" w:rsidRPr="00CB1237" w:rsidRDefault="00C77B16" w:rsidP="00E22E01">
            <w:pPr>
              <w:spacing w:line="288" w:lineRule="auto"/>
            </w:pPr>
            <w:r>
              <w:t xml:space="preserve">                                              Respondent. </w:t>
            </w:r>
          </w:p>
        </w:tc>
      </w:tr>
      <w:tr w:rsidR="00C77B16" w:rsidRPr="00CB1237" w14:paraId="17CE3097" w14:textId="77777777" w:rsidTr="00E22E01">
        <w:trPr>
          <w:trHeight w:val="306"/>
        </w:trPr>
        <w:tc>
          <w:tcPr>
            <w:tcW w:w="4195" w:type="dxa"/>
            <w:vMerge/>
            <w:tcBorders>
              <w:bottom w:val="single" w:sz="4" w:space="0" w:color="auto"/>
              <w:right w:val="single" w:sz="4" w:space="0" w:color="auto"/>
            </w:tcBorders>
          </w:tcPr>
          <w:p w14:paraId="6C4E6D90" w14:textId="77777777" w:rsidR="00C77B16" w:rsidRPr="00CB1237" w:rsidRDefault="00C77B16" w:rsidP="00E22E01">
            <w:pPr>
              <w:pStyle w:val="BodyText"/>
              <w:pBdr>
                <w:bottom w:val="single" w:sz="4" w:space="1" w:color="auto"/>
              </w:pBdr>
              <w:jc w:val="left"/>
            </w:pPr>
          </w:p>
        </w:tc>
      </w:tr>
    </w:tbl>
    <w:p w14:paraId="5C2ACD52" w14:textId="77777777" w:rsidR="00C77B16" w:rsidRDefault="00C77B16" w:rsidP="00C77B16">
      <w:pPr>
        <w:spacing w:line="264" w:lineRule="auto"/>
        <w:rPr>
          <w:bCs/>
          <w:sz w:val="25"/>
          <w:szCs w:val="25"/>
        </w:rPr>
      </w:pPr>
      <w:r w:rsidRPr="00BD1EB2">
        <w:rPr>
          <w:sz w:val="25"/>
          <w:szCs w:val="25"/>
        </w:rPr>
        <w:t>DOCKET</w:t>
      </w:r>
      <w:r>
        <w:rPr>
          <w:sz w:val="25"/>
          <w:szCs w:val="25"/>
        </w:rPr>
        <w:t>S</w:t>
      </w:r>
      <w:r w:rsidRPr="00BD1EB2">
        <w:rPr>
          <w:sz w:val="25"/>
          <w:szCs w:val="25"/>
        </w:rPr>
        <w:t xml:space="preserve"> </w:t>
      </w:r>
      <w:r>
        <w:rPr>
          <w:bCs/>
          <w:sz w:val="25"/>
          <w:szCs w:val="25"/>
        </w:rPr>
        <w:t xml:space="preserve">UE-160228 and </w:t>
      </w:r>
    </w:p>
    <w:p w14:paraId="7113B307" w14:textId="77777777" w:rsidR="00C77B16" w:rsidRPr="00236B8B" w:rsidRDefault="00C77B16" w:rsidP="00C77B16">
      <w:pPr>
        <w:spacing w:line="264" w:lineRule="auto"/>
        <w:rPr>
          <w:sz w:val="25"/>
          <w:szCs w:val="25"/>
        </w:rPr>
      </w:pPr>
      <w:r>
        <w:rPr>
          <w:bCs/>
          <w:sz w:val="25"/>
          <w:szCs w:val="25"/>
        </w:rPr>
        <w:t>UG-160229 (</w:t>
      </w:r>
      <w:r w:rsidRPr="00236B8B">
        <w:rPr>
          <w:bCs/>
          <w:i/>
          <w:sz w:val="25"/>
          <w:szCs w:val="25"/>
        </w:rPr>
        <w:t>Consolidated</w:t>
      </w:r>
      <w:r>
        <w:rPr>
          <w:bCs/>
          <w:sz w:val="25"/>
          <w:szCs w:val="25"/>
        </w:rPr>
        <w:t>)</w:t>
      </w:r>
    </w:p>
    <w:p w14:paraId="1BC8177F" w14:textId="77777777" w:rsidR="00C77B16" w:rsidRPr="00CB1237" w:rsidRDefault="00C77B16" w:rsidP="00C77B16">
      <w:pPr>
        <w:spacing w:line="288" w:lineRule="auto"/>
      </w:pPr>
    </w:p>
    <w:p w14:paraId="663A11AA" w14:textId="77777777" w:rsidR="00C77B16" w:rsidRPr="00CB1237" w:rsidRDefault="00C77B16" w:rsidP="00C77B16">
      <w:pPr>
        <w:spacing w:line="288" w:lineRule="auto"/>
      </w:pPr>
      <w:r w:rsidRPr="00CB1237">
        <w:t>ORDER 0</w:t>
      </w:r>
      <w:r>
        <w:rPr>
          <w:bCs/>
        </w:rPr>
        <w:t>5</w:t>
      </w:r>
    </w:p>
    <w:p w14:paraId="5CC49F3E" w14:textId="77777777" w:rsidR="00C77B16" w:rsidRPr="00CB1237" w:rsidRDefault="00C77B16" w:rsidP="00C77B16">
      <w:pPr>
        <w:spacing w:line="288" w:lineRule="auto"/>
      </w:pPr>
    </w:p>
    <w:p w14:paraId="7E1DEA5B" w14:textId="77777777" w:rsidR="00C77B16" w:rsidRPr="00CB1237" w:rsidRDefault="00C77B16" w:rsidP="00C77B16">
      <w:pPr>
        <w:spacing w:line="288" w:lineRule="auto"/>
      </w:pPr>
      <w:r w:rsidRPr="00CB1237">
        <w:t xml:space="preserve">ORDER </w:t>
      </w:r>
      <w:r w:rsidR="00A35B7C">
        <w:t>DENYING</w:t>
      </w:r>
      <w:r>
        <w:t xml:space="preserve"> MOTION TO SUPPLEMENT THE RECORD; REJECTING RESPONSES TO COMMISSION BENCH REQUESTS</w:t>
      </w:r>
    </w:p>
    <w:p w14:paraId="5CB4A748" w14:textId="77777777" w:rsidR="00B6350E" w:rsidRDefault="00B6350E">
      <w:pPr>
        <w:spacing w:line="288" w:lineRule="auto"/>
        <w:rPr>
          <w:sz w:val="25"/>
          <w:szCs w:val="25"/>
        </w:rPr>
      </w:pPr>
    </w:p>
    <w:p w14:paraId="198269AC" w14:textId="77777777" w:rsidR="0093027D" w:rsidRDefault="0093027D">
      <w:pPr>
        <w:spacing w:line="288" w:lineRule="auto"/>
        <w:rPr>
          <w:sz w:val="25"/>
          <w:szCs w:val="25"/>
        </w:rPr>
      </w:pPr>
    </w:p>
    <w:p w14:paraId="3B1CB045" w14:textId="77777777" w:rsidR="005F7815" w:rsidRPr="005F7815" w:rsidRDefault="00181B8A" w:rsidP="0093027D">
      <w:pPr>
        <w:pStyle w:val="Heading1"/>
      </w:pPr>
      <w:r>
        <w:br/>
      </w:r>
      <w:r w:rsidR="005F7815" w:rsidRPr="0093027D">
        <w:t>MEMORANDUM</w:t>
      </w:r>
    </w:p>
    <w:p w14:paraId="56A3172A" w14:textId="77777777" w:rsidR="00C77B16" w:rsidRDefault="00533A8D" w:rsidP="008B42FD">
      <w:pPr>
        <w:numPr>
          <w:ilvl w:val="0"/>
          <w:numId w:val="1"/>
        </w:numPr>
        <w:spacing w:after="160" w:line="288" w:lineRule="auto"/>
        <w:ind w:hanging="720"/>
      </w:pPr>
      <w:r w:rsidRPr="00C77B16">
        <w:rPr>
          <w:bCs/>
        </w:rPr>
        <w:t>On February 19, 2016, Avista Corporation d/b/a Avista Utilities (Avista)</w:t>
      </w:r>
      <w:r w:rsidRPr="00533A8D">
        <w:t xml:space="preserve"> filed with the Washington Utilities and Transportation Commission (Commission) revisions to its currently effective Tariff WN U-28, Elec</w:t>
      </w:r>
      <w:r w:rsidR="00C77B16">
        <w:t>tric Service, and</w:t>
      </w:r>
      <w:r w:rsidRPr="00533A8D">
        <w:t xml:space="preserve"> Tari</w:t>
      </w:r>
      <w:r w:rsidR="00C77B16">
        <w:t>ff WN U-29, Natural Gas Service. In Order 01, the Commission suspended the proposed tariff revisions and consolidated them for hearing. The Commission conducted evidentiary hearings on October 1</w:t>
      </w:r>
      <w:r w:rsidR="005468EA">
        <w:t>2</w:t>
      </w:r>
      <w:r w:rsidR="00C77B16">
        <w:t xml:space="preserve"> and October 1</w:t>
      </w:r>
      <w:r w:rsidR="005468EA">
        <w:t>3</w:t>
      </w:r>
      <w:r w:rsidR="00C77B16">
        <w:t>, 2016.</w:t>
      </w:r>
    </w:p>
    <w:p w14:paraId="49BC86C4" w14:textId="77777777" w:rsidR="00F353D1" w:rsidRDefault="005E4292" w:rsidP="005E4292">
      <w:pPr>
        <w:numPr>
          <w:ilvl w:val="0"/>
          <w:numId w:val="1"/>
        </w:numPr>
        <w:spacing w:after="160" w:line="288" w:lineRule="auto"/>
        <w:ind w:hanging="720"/>
      </w:pPr>
      <w:r>
        <w:t>In its initial filing, Avista propose</w:t>
      </w:r>
      <w:r w:rsidR="00936C4D">
        <w:t>d</w:t>
      </w:r>
      <w:r>
        <w:t xml:space="preserve"> to update its power supply costs 60 days prior to new rates going into effect on </w:t>
      </w:r>
      <w:r w:rsidR="00B73BB7">
        <w:t>January</w:t>
      </w:r>
      <w:r>
        <w:t xml:space="preserve"> 1, 2017, and again 60 days prior to its proposed second step</w:t>
      </w:r>
      <w:r w:rsidR="00F20F6C">
        <w:t xml:space="preserve"> rate</w:t>
      </w:r>
      <w:r>
        <w:t xml:space="preserve"> increase on January 1, 2018. </w:t>
      </w:r>
      <w:r w:rsidR="00533D9D">
        <w:t>No party objected to this proposal.</w:t>
      </w:r>
    </w:p>
    <w:p w14:paraId="608AE53E" w14:textId="77777777" w:rsidR="007F6B9B" w:rsidRDefault="005E4292" w:rsidP="005E4292">
      <w:pPr>
        <w:numPr>
          <w:ilvl w:val="0"/>
          <w:numId w:val="1"/>
        </w:numPr>
        <w:spacing w:after="160" w:line="288" w:lineRule="auto"/>
        <w:ind w:hanging="720"/>
      </w:pPr>
      <w:r>
        <w:t>On November 1, 2016</w:t>
      </w:r>
      <w:r w:rsidR="005533CF">
        <w:t xml:space="preserve">, Avista filed </w:t>
      </w:r>
      <w:r>
        <w:t>a Motion to Supplement the Record to Include Power Supply Upda</w:t>
      </w:r>
      <w:r w:rsidR="005468EA">
        <w:t xml:space="preserve">te (Motion). Avista requests </w:t>
      </w:r>
      <w:r w:rsidR="00B05739">
        <w:t xml:space="preserve">that </w:t>
      </w:r>
      <w:r w:rsidR="005468EA">
        <w:t xml:space="preserve">the Commission update its power supply expenses to: 1) update the three-month average of natural gas and electricity market prices; 2) include new short-term contracts for natural gas and electric; and 3) update or correct power and transmission service contracts for the </w:t>
      </w:r>
      <w:r w:rsidR="007F6B9B">
        <w:t>proposed 18-month rate period.</w:t>
      </w:r>
      <w:r w:rsidR="007B5694">
        <w:t xml:space="preserve"> The Company states in its Motion that it also updated certain power supply-related expenses and transmission revenues within the power supply update</w:t>
      </w:r>
      <w:r w:rsidR="00AF0B54">
        <w:t xml:space="preserve"> and reset the base for the Energy Recovery Mechanism (</w:t>
      </w:r>
      <w:r w:rsidR="00AF0B54" w:rsidRPr="00B73BB7">
        <w:t>ERM</w:t>
      </w:r>
      <w:r w:rsidR="00AF0B54">
        <w:t>) calculations for the future rate period.</w:t>
      </w:r>
    </w:p>
    <w:p w14:paraId="4B8965C5" w14:textId="77777777" w:rsidR="005468EA" w:rsidRPr="005533CF" w:rsidRDefault="005468EA" w:rsidP="00AF0B54">
      <w:pPr>
        <w:numPr>
          <w:ilvl w:val="0"/>
          <w:numId w:val="1"/>
        </w:numPr>
        <w:spacing w:after="160" w:line="288" w:lineRule="auto"/>
        <w:ind w:hanging="720"/>
      </w:pPr>
      <w:r>
        <w:t xml:space="preserve">The result of Avista’s power supply update reduces overall power supply costs by approximately $591,000 for 2017 and $1.46 million for the first six months of 2018. </w:t>
      </w:r>
      <w:r w:rsidR="000E4BAD">
        <w:t>On rebuttal</w:t>
      </w:r>
      <w:r w:rsidR="00FE70F1">
        <w:t xml:space="preserve">, the Company </w:t>
      </w:r>
      <w:r w:rsidR="001C4D3B">
        <w:t xml:space="preserve">proposed an updated </w:t>
      </w:r>
      <w:r w:rsidR="00FE70F1">
        <w:t xml:space="preserve">revenue requirement </w:t>
      </w:r>
      <w:r w:rsidR="001C4D3B">
        <w:t>of</w:t>
      </w:r>
      <w:r w:rsidR="00FE70F1">
        <w:t xml:space="preserve"> $40.1 million for </w:t>
      </w:r>
      <w:r w:rsidR="00FE70F1">
        <w:lastRenderedPageBreak/>
        <w:t xml:space="preserve">2017, but did not increase its </w:t>
      </w:r>
      <w:r w:rsidR="001C4D3B">
        <w:t xml:space="preserve">original </w:t>
      </w:r>
      <w:r w:rsidR="00FE70F1">
        <w:t xml:space="preserve">revenue request. </w:t>
      </w:r>
      <w:r w:rsidR="007151E3">
        <w:t xml:space="preserve">In its Motion, the Company </w:t>
      </w:r>
      <w:r w:rsidR="007F6B9B">
        <w:t xml:space="preserve">proposes to reduce </w:t>
      </w:r>
      <w:r w:rsidR="00FE70F1">
        <w:t>the</w:t>
      </w:r>
      <w:r>
        <w:t xml:space="preserve"> </w:t>
      </w:r>
      <w:r w:rsidR="00FE70F1">
        <w:t xml:space="preserve">$40.1 million </w:t>
      </w:r>
      <w:r w:rsidRPr="00464601">
        <w:rPr>
          <w:i/>
        </w:rPr>
        <w:t>updated</w:t>
      </w:r>
      <w:r>
        <w:t xml:space="preserve"> </w:t>
      </w:r>
      <w:r w:rsidR="00FE70F1">
        <w:t>revenue requirement</w:t>
      </w:r>
      <w:r w:rsidR="00726653">
        <w:t xml:space="preserve"> </w:t>
      </w:r>
      <w:r>
        <w:t>to approximately $39.5 million</w:t>
      </w:r>
      <w:r w:rsidR="007151E3">
        <w:t>, which</w:t>
      </w:r>
      <w:r w:rsidR="00726653">
        <w:t xml:space="preserve"> </w:t>
      </w:r>
      <w:r>
        <w:t xml:space="preserve">still exceeds </w:t>
      </w:r>
      <w:r w:rsidR="00726653">
        <w:t>the</w:t>
      </w:r>
      <w:r>
        <w:t xml:space="preserve"> $38.6 million </w:t>
      </w:r>
      <w:r w:rsidR="00FE70F1">
        <w:t xml:space="preserve">increase </w:t>
      </w:r>
      <w:r w:rsidR="00726653">
        <w:t xml:space="preserve">Avista originally </w:t>
      </w:r>
      <w:r>
        <w:t xml:space="preserve">requested </w:t>
      </w:r>
      <w:r w:rsidR="00B05739">
        <w:t>in this case</w:t>
      </w:r>
      <w:r>
        <w:t>.</w:t>
      </w:r>
      <w:r w:rsidR="00A803DC">
        <w:t xml:space="preserve"> Given Avista’s statement in its rebuttal testimony that it would not seek to update its revenue request relative to the Company’s as-filed case, the revised numbers presented </w:t>
      </w:r>
      <w:r w:rsidR="007151E3">
        <w:t>on</w:t>
      </w:r>
      <w:r w:rsidR="00A803DC">
        <w:t xml:space="preserve"> rebuttal were neither examined closely nor challenged</w:t>
      </w:r>
      <w:r>
        <w:t xml:space="preserve"> </w:t>
      </w:r>
      <w:r w:rsidR="00A803DC">
        <w:t>by other parties. Thus</w:t>
      </w:r>
      <w:r w:rsidR="00533D9D">
        <w:t xml:space="preserve">, we cannot be confident of </w:t>
      </w:r>
      <w:r w:rsidR="00A803DC">
        <w:t>the true impact of the Company’s power cost update</w:t>
      </w:r>
      <w:r w:rsidR="00533D9D">
        <w:t>.</w:t>
      </w:r>
    </w:p>
    <w:p w14:paraId="71122622" w14:textId="77777777" w:rsidR="005533CF" w:rsidRDefault="005533CF" w:rsidP="0016718C">
      <w:pPr>
        <w:numPr>
          <w:ilvl w:val="0"/>
          <w:numId w:val="1"/>
        </w:numPr>
        <w:spacing w:after="160" w:line="288" w:lineRule="auto"/>
        <w:ind w:hanging="720"/>
      </w:pPr>
      <w:r>
        <w:t xml:space="preserve">On </w:t>
      </w:r>
      <w:r w:rsidR="0016718C">
        <w:t xml:space="preserve">November 10, 2016, the Industrial Customers of Northwest Utilities (ICNU) filed a response to </w:t>
      </w:r>
      <w:r w:rsidR="00A803DC">
        <w:t xml:space="preserve">Avista’s </w:t>
      </w:r>
      <w:r w:rsidR="0016718C">
        <w:t xml:space="preserve">Motion. Although ICNU does not oppose the Motion, it raises several concerns about </w:t>
      </w:r>
      <w:r w:rsidR="0072698A">
        <w:t xml:space="preserve">Avista’s supporting </w:t>
      </w:r>
      <w:r w:rsidR="007F6B9B">
        <w:t>documents</w:t>
      </w:r>
      <w:r w:rsidR="0016718C">
        <w:t>. First, ICNU notes that</w:t>
      </w:r>
      <w:r w:rsidR="00726653">
        <w:t>, without explanation,</w:t>
      </w:r>
      <w:r w:rsidR="0016718C">
        <w:t xml:space="preserve"> Avista updated only one of its two power cost studies.</w:t>
      </w:r>
      <w:r w:rsidR="00181B8A">
        <w:rPr>
          <w:rStyle w:val="FootnoteReference"/>
        </w:rPr>
        <w:footnoteReference w:id="1"/>
      </w:r>
      <w:r w:rsidR="0016718C">
        <w:t xml:space="preserve"> Second, </w:t>
      </w:r>
      <w:r w:rsidR="00181B8A">
        <w:t xml:space="preserve">ICNU argues that </w:t>
      </w:r>
      <w:r w:rsidR="0016718C">
        <w:t xml:space="preserve">Avista changed the formula for calculating a fixed capacity payment for </w:t>
      </w:r>
      <w:r w:rsidR="00936C4D">
        <w:t xml:space="preserve">the </w:t>
      </w:r>
      <w:r w:rsidR="00223B7B">
        <w:t>Lancaster Generating F</w:t>
      </w:r>
      <w:r w:rsidR="0016718C">
        <w:t>acility</w:t>
      </w:r>
      <w:r w:rsidR="0035012C">
        <w:t>, again without explanation</w:t>
      </w:r>
      <w:r w:rsidR="007F6B9B">
        <w:t>,</w:t>
      </w:r>
      <w:r w:rsidR="0016718C">
        <w:t xml:space="preserve"> result</w:t>
      </w:r>
      <w:r w:rsidR="00726653">
        <w:t>ing</w:t>
      </w:r>
      <w:r w:rsidR="0016718C">
        <w:t xml:space="preserve"> in a significant </w:t>
      </w:r>
      <w:r w:rsidR="007F6B9B">
        <w:t>increase</w:t>
      </w:r>
      <w:r w:rsidR="00523500">
        <w:t xml:space="preserve"> in power costs</w:t>
      </w:r>
      <w:r w:rsidR="0016718C">
        <w:t>. Finally, Avista failed to explain why its forecas</w:t>
      </w:r>
      <w:r w:rsidR="00223B7B">
        <w:t>t output from its Noxon Rapids Hydro F</w:t>
      </w:r>
      <w:r w:rsidR="0016718C">
        <w:t xml:space="preserve">acility declined significantly. ICNU recommends </w:t>
      </w:r>
      <w:r w:rsidR="00523500">
        <w:t xml:space="preserve">that the Commission require </w:t>
      </w:r>
      <w:r w:rsidR="0016718C">
        <w:t xml:space="preserve">Avista </w:t>
      </w:r>
      <w:r w:rsidR="00523500">
        <w:t xml:space="preserve">to </w:t>
      </w:r>
      <w:r w:rsidR="0016718C">
        <w:t>perform a “step study</w:t>
      </w:r>
      <w:r w:rsidR="00CA0C8D">
        <w:t>,” which would detail the impact of each incremental change proposed by the Company</w:t>
      </w:r>
      <w:r w:rsidR="007F6B9B">
        <w:t xml:space="preserve"> and allow the parties to appropriately evaluate its proposal</w:t>
      </w:r>
      <w:r w:rsidR="00CA0C8D">
        <w:t xml:space="preserve">. </w:t>
      </w:r>
    </w:p>
    <w:p w14:paraId="604DD1F2" w14:textId="77777777" w:rsidR="00E43BC4" w:rsidRDefault="00F20F6C" w:rsidP="0093027D">
      <w:pPr>
        <w:numPr>
          <w:ilvl w:val="0"/>
          <w:numId w:val="1"/>
        </w:numPr>
        <w:spacing w:after="240" w:line="288" w:lineRule="auto"/>
        <w:ind w:hanging="720"/>
      </w:pPr>
      <w:r>
        <w:t>Also o</w:t>
      </w:r>
      <w:r w:rsidR="00CA0C8D">
        <w:t>n November 1</w:t>
      </w:r>
      <w:r>
        <w:t>0</w:t>
      </w:r>
      <w:r w:rsidR="00CA0C8D">
        <w:t xml:space="preserve">, 2016, Commission </w:t>
      </w:r>
      <w:r w:rsidR="00523500">
        <w:t xml:space="preserve">regulatory </w:t>
      </w:r>
      <w:r w:rsidR="00CA0C8D">
        <w:t xml:space="preserve">staff (Staff) filed a response </w:t>
      </w:r>
      <w:r w:rsidR="00523500">
        <w:t xml:space="preserve">opposing </w:t>
      </w:r>
      <w:r w:rsidR="00CA0C8D">
        <w:t xml:space="preserve">Avista’s Motion. Staff recommends the Commission deny the Motion because the Company based its </w:t>
      </w:r>
      <w:r w:rsidR="007F6B9B">
        <w:t xml:space="preserve">proposed power supply </w:t>
      </w:r>
      <w:r w:rsidR="00CA0C8D">
        <w:t xml:space="preserve">update on models, assumptions, and estimates different from those it relied on </w:t>
      </w:r>
      <w:r>
        <w:t xml:space="preserve">in </w:t>
      </w:r>
      <w:r w:rsidR="00CA0C8D">
        <w:t xml:space="preserve">earlier phases of the case, </w:t>
      </w:r>
      <w:r w:rsidR="00E43BC4">
        <w:t>essentially presenting</w:t>
      </w:r>
      <w:r w:rsidR="00CA0C8D">
        <w:t xml:space="preserve"> a new power cost case at this late stage of the proceeding. Staff argues that there is no procedural opportunity to rigorously analyze the Company’s changes or verify the reasonableness or accuracy of the Company’s filing. Staff also opposes the Company’s proposal to use the power cost updates to </w:t>
      </w:r>
      <w:r w:rsidR="00E43BC4">
        <w:t>adjust</w:t>
      </w:r>
      <w:r w:rsidR="00CA0C8D">
        <w:t xml:space="preserve"> the ERM baseline because </w:t>
      </w:r>
      <w:r w:rsidR="00181B8A">
        <w:t xml:space="preserve">Staff believes that </w:t>
      </w:r>
      <w:r w:rsidR="00E43BC4">
        <w:t>doing so</w:t>
      </w:r>
      <w:r w:rsidR="00CA0C8D">
        <w:t xml:space="preserve"> now</w:t>
      </w:r>
      <w:r w:rsidR="00523500">
        <w:t>,</w:t>
      </w:r>
      <w:r w:rsidR="00CA0C8D">
        <w:t xml:space="preserve"> and twice in 2018</w:t>
      </w:r>
      <w:r w:rsidR="00523500">
        <w:t>,</w:t>
      </w:r>
      <w:r w:rsidR="00CA0C8D">
        <w:t xml:space="preserve"> frustrates the purpose of the ERM. </w:t>
      </w:r>
    </w:p>
    <w:p w14:paraId="247C2AD3" w14:textId="77777777" w:rsidR="00A96A5A" w:rsidRDefault="00CA0C8D" w:rsidP="0093027D">
      <w:pPr>
        <w:numPr>
          <w:ilvl w:val="0"/>
          <w:numId w:val="1"/>
        </w:numPr>
        <w:spacing w:after="240" w:line="288" w:lineRule="auto"/>
        <w:ind w:hanging="720"/>
      </w:pPr>
      <w:r>
        <w:t xml:space="preserve">Staff argues that an acceptable power cost update would include </w:t>
      </w:r>
      <w:r w:rsidR="00A803DC">
        <w:t xml:space="preserve">only </w:t>
      </w:r>
      <w:r w:rsidR="00E43BC4">
        <w:t xml:space="preserve">the following: 1) </w:t>
      </w:r>
      <w:r>
        <w:t>material</w:t>
      </w:r>
      <w:r w:rsidR="00523500">
        <w:t>,</w:t>
      </w:r>
      <w:r>
        <w:t xml:space="preserve"> known</w:t>
      </w:r>
      <w:r w:rsidR="007151E3">
        <w:t>,</w:t>
      </w:r>
      <w:r>
        <w:t xml:space="preserve"> and measurable up</w:t>
      </w:r>
      <w:r w:rsidR="00E43BC4">
        <w:t>dates to power contracts;</w:t>
      </w:r>
      <w:r>
        <w:t xml:space="preserve"> </w:t>
      </w:r>
      <w:r w:rsidR="00E43BC4">
        <w:t xml:space="preserve">2) </w:t>
      </w:r>
      <w:r>
        <w:t>updates to forw</w:t>
      </w:r>
      <w:r w:rsidR="00E43BC4">
        <w:t xml:space="preserve">ard gas and market power prices; </w:t>
      </w:r>
      <w:r>
        <w:t xml:space="preserve">and </w:t>
      </w:r>
      <w:r w:rsidR="00E43BC4">
        <w:t>3) AURORA model-</w:t>
      </w:r>
      <w:r>
        <w:t>run parameters set identical</w:t>
      </w:r>
      <w:r w:rsidR="00F25BF8">
        <w:t>ly</w:t>
      </w:r>
      <w:r>
        <w:t xml:space="preserve"> to</w:t>
      </w:r>
      <w:r w:rsidR="00F25BF8">
        <w:t xml:space="preserve"> those in</w:t>
      </w:r>
      <w:r>
        <w:t xml:space="preserve"> Avista’s as-filed case or modified as specified in the Commission’s final order.</w:t>
      </w:r>
    </w:p>
    <w:p w14:paraId="4A83A86F" w14:textId="77777777" w:rsidR="008B0BC2" w:rsidRDefault="00CA0C8D" w:rsidP="008B0BC2">
      <w:pPr>
        <w:numPr>
          <w:ilvl w:val="0"/>
          <w:numId w:val="1"/>
        </w:numPr>
        <w:spacing w:after="240" w:line="288" w:lineRule="auto"/>
        <w:ind w:hanging="720"/>
      </w:pPr>
      <w:r>
        <w:lastRenderedPageBreak/>
        <w:t>Finally, Staff recommends the Commission reject Avista’s response to the Commission</w:t>
      </w:r>
      <w:r w:rsidR="00E43BC4">
        <w:t>’</w:t>
      </w:r>
      <w:r>
        <w:t>s</w:t>
      </w:r>
      <w:r w:rsidR="00195F95">
        <w:t xml:space="preserve"> Bench R</w:t>
      </w:r>
      <w:r>
        <w:t>equest</w:t>
      </w:r>
      <w:r w:rsidR="00195F95">
        <w:t xml:space="preserve"> No</w:t>
      </w:r>
      <w:r w:rsidR="00E43BC4">
        <w:t>s</w:t>
      </w:r>
      <w:r w:rsidR="00195F95">
        <w:t>. 10.3 and 10.4,</w:t>
      </w:r>
      <w:r>
        <w:t xml:space="preserve"> re</w:t>
      </w:r>
      <w:r w:rsidR="00195F95">
        <w:t>lated to</w:t>
      </w:r>
      <w:r>
        <w:t xml:space="preserve"> </w:t>
      </w:r>
      <w:r w:rsidR="00195F95">
        <w:t xml:space="preserve">updated power costs, because those responses </w:t>
      </w:r>
      <w:r w:rsidR="00181B8A">
        <w:t>are based on</w:t>
      </w:r>
      <w:r w:rsidR="00195F95">
        <w:t xml:space="preserve"> the same </w:t>
      </w:r>
      <w:r w:rsidR="006F080B">
        <w:t>updates</w:t>
      </w:r>
      <w:r w:rsidR="00195F95">
        <w:t xml:space="preserve"> proposed </w:t>
      </w:r>
      <w:r w:rsidR="00F25BF8">
        <w:t>in</w:t>
      </w:r>
      <w:r w:rsidR="00195F95">
        <w:t xml:space="preserve"> the Company’s Motion.</w:t>
      </w:r>
      <w:r>
        <w:t xml:space="preserve"> </w:t>
      </w:r>
    </w:p>
    <w:p w14:paraId="37E1849D" w14:textId="77777777" w:rsidR="008B0BC2" w:rsidRDefault="008B0BC2" w:rsidP="008B0BC2">
      <w:pPr>
        <w:pStyle w:val="Heading1"/>
      </w:pPr>
      <w:r>
        <w:t>DISCUSSION AND DECISION</w:t>
      </w:r>
    </w:p>
    <w:p w14:paraId="61A95027" w14:textId="77777777" w:rsidR="008B0BC2" w:rsidRDefault="00087220" w:rsidP="008B0BC2">
      <w:pPr>
        <w:numPr>
          <w:ilvl w:val="0"/>
          <w:numId w:val="1"/>
        </w:numPr>
        <w:spacing w:after="240" w:line="288" w:lineRule="auto"/>
        <w:ind w:hanging="720"/>
      </w:pPr>
      <w:r>
        <w:t xml:space="preserve">We </w:t>
      </w:r>
      <w:r w:rsidR="00E43BC4">
        <w:t xml:space="preserve">deny Avista’s Motion </w:t>
      </w:r>
      <w:r w:rsidR="008A2AAD">
        <w:t xml:space="preserve">to </w:t>
      </w:r>
      <w:r w:rsidR="00B06A6E">
        <w:t xml:space="preserve">Supplement </w:t>
      </w:r>
      <w:r w:rsidR="008A2AAD">
        <w:t xml:space="preserve">the </w:t>
      </w:r>
      <w:r w:rsidR="00B06A6E">
        <w:t xml:space="preserve">Record </w:t>
      </w:r>
      <w:r w:rsidR="008A2AAD">
        <w:t xml:space="preserve">to </w:t>
      </w:r>
      <w:r w:rsidR="00B06A6E">
        <w:t>Include Power Supply Update</w:t>
      </w:r>
      <w:r w:rsidR="008A2AAD">
        <w:t>.</w:t>
      </w:r>
      <w:r w:rsidR="00E43BC4">
        <w:t xml:space="preserve"> </w:t>
      </w:r>
      <w:r w:rsidR="007534D7">
        <w:t xml:space="preserve">In the context of a general rate case, </w:t>
      </w:r>
      <w:r w:rsidR="00523500">
        <w:t xml:space="preserve">if allowed at all, </w:t>
      </w:r>
      <w:r w:rsidR="007534D7">
        <w:t xml:space="preserve">power cost updates </w:t>
      </w:r>
      <w:r w:rsidR="00523500">
        <w:t xml:space="preserve">should be </w:t>
      </w:r>
      <w:r w:rsidR="007534D7">
        <w:t xml:space="preserve">limited adjustments to power costs using the same methods, assumptions, and estimates used </w:t>
      </w:r>
      <w:r w:rsidR="00204D87">
        <w:t>in the company’s</w:t>
      </w:r>
      <w:r w:rsidR="007534D7">
        <w:t xml:space="preserve"> initial power cost case.</w:t>
      </w:r>
      <w:r w:rsidR="00AF7718">
        <w:rPr>
          <w:rStyle w:val="FootnoteReference"/>
        </w:rPr>
        <w:footnoteReference w:id="2"/>
      </w:r>
      <w:r w:rsidR="007534D7">
        <w:t xml:space="preserve"> </w:t>
      </w:r>
    </w:p>
    <w:p w14:paraId="3774CF32" w14:textId="77777777" w:rsidR="008B0BC2" w:rsidRDefault="00D759F8" w:rsidP="008B0BC2">
      <w:pPr>
        <w:numPr>
          <w:ilvl w:val="0"/>
          <w:numId w:val="1"/>
        </w:numPr>
        <w:spacing w:after="240" w:line="288" w:lineRule="auto"/>
        <w:ind w:hanging="720"/>
      </w:pPr>
      <w:r>
        <w:t xml:space="preserve">We agree with Staff </w:t>
      </w:r>
      <w:r w:rsidR="008954FE">
        <w:t>that</w:t>
      </w:r>
      <w:r w:rsidR="00AF7718">
        <w:t xml:space="preserve"> </w:t>
      </w:r>
      <w:r w:rsidR="00204D87">
        <w:t>Avista’s</w:t>
      </w:r>
      <w:r w:rsidR="008954FE">
        <w:t xml:space="preserve"> </w:t>
      </w:r>
      <w:r w:rsidR="00342E49">
        <w:t>proposed</w:t>
      </w:r>
      <w:r w:rsidR="00B06A6E">
        <w:t xml:space="preserve"> power cost </w:t>
      </w:r>
      <w:r w:rsidR="00342E49">
        <w:t>update</w:t>
      </w:r>
      <w:r w:rsidR="008954FE">
        <w:t xml:space="preserve"> contains “new and material changes to specific parameters</w:t>
      </w:r>
      <w:r>
        <w:t xml:space="preserve"> within the AURORA model itself,</w:t>
      </w:r>
      <w:r w:rsidR="008954FE">
        <w:t>”</w:t>
      </w:r>
      <w:r w:rsidR="008954FE">
        <w:rPr>
          <w:rStyle w:val="FootnoteReference"/>
        </w:rPr>
        <w:footnoteReference w:id="3"/>
      </w:r>
      <w:r w:rsidRPr="00D759F8">
        <w:t xml:space="preserve"> </w:t>
      </w:r>
      <w:r>
        <w:t xml:space="preserve">and that </w:t>
      </w:r>
      <w:r w:rsidR="00342E49">
        <w:t>those changes</w:t>
      </w:r>
      <w:r w:rsidR="007534D7">
        <w:t xml:space="preserve">, in conjunction with </w:t>
      </w:r>
      <w:r w:rsidR="00342E49">
        <w:t xml:space="preserve">the </w:t>
      </w:r>
      <w:r w:rsidR="007534D7">
        <w:t xml:space="preserve">changes in </w:t>
      </w:r>
      <w:r w:rsidR="00AF7718">
        <w:t xml:space="preserve">the Company’s </w:t>
      </w:r>
      <w:r w:rsidR="007534D7">
        <w:t>assumptions and estimates,</w:t>
      </w:r>
      <w:r>
        <w:t xml:space="preserve"> exceed the scope of </w:t>
      </w:r>
      <w:r w:rsidR="00074B7C">
        <w:t>a technical</w:t>
      </w:r>
      <w:r>
        <w:t xml:space="preserve"> update.</w:t>
      </w:r>
      <w:r w:rsidR="007D6E03">
        <w:t xml:space="preserve"> Moreover, </w:t>
      </w:r>
      <w:r w:rsidR="00204D87">
        <w:t xml:space="preserve">as ICNU notes, </w:t>
      </w:r>
      <w:r w:rsidR="007D6E03">
        <w:t>Avista</w:t>
      </w:r>
      <w:r w:rsidR="003814CC">
        <w:t xml:space="preserve"> </w:t>
      </w:r>
      <w:r w:rsidR="006F080B">
        <w:t>failed to provide</w:t>
      </w:r>
      <w:r w:rsidR="00342E49">
        <w:t xml:space="preserve"> </w:t>
      </w:r>
      <w:r w:rsidR="007D6E03">
        <w:t xml:space="preserve">an explanation for </w:t>
      </w:r>
      <w:r w:rsidR="00342E49">
        <w:t xml:space="preserve">these changes </w:t>
      </w:r>
      <w:r w:rsidR="006F080B">
        <w:t>or</w:t>
      </w:r>
      <w:r w:rsidR="003814CC">
        <w:t xml:space="preserve"> </w:t>
      </w:r>
      <w:r w:rsidR="00342E49">
        <w:t xml:space="preserve">why the Commission should accept them. </w:t>
      </w:r>
      <w:r>
        <w:t>For these reasons, Avista’s Motion is denied.</w:t>
      </w:r>
    </w:p>
    <w:p w14:paraId="173D81A4" w14:textId="77777777" w:rsidR="00D75B45" w:rsidRDefault="00901D0F" w:rsidP="00A20DDA">
      <w:pPr>
        <w:numPr>
          <w:ilvl w:val="0"/>
          <w:numId w:val="1"/>
        </w:numPr>
        <w:spacing w:after="240" w:line="288" w:lineRule="auto"/>
        <w:ind w:hanging="720"/>
      </w:pPr>
      <w:r>
        <w:t xml:space="preserve">We also </w:t>
      </w:r>
      <w:r w:rsidR="00074B7C">
        <w:t xml:space="preserve">agree with Staff that </w:t>
      </w:r>
      <w:r w:rsidR="00F655C2">
        <w:t>t</w:t>
      </w:r>
      <w:r w:rsidR="00D45CB8">
        <w:t>he Company’s response</w:t>
      </w:r>
      <w:r w:rsidR="00BB598A">
        <w:t>s</w:t>
      </w:r>
      <w:r w:rsidR="00D45CB8">
        <w:t xml:space="preserve"> to </w:t>
      </w:r>
      <w:r w:rsidR="00D45CB8" w:rsidRPr="00D45CB8">
        <w:t>Bench Request Nos. 10.3 and 10.4</w:t>
      </w:r>
      <w:r w:rsidR="00074B7C">
        <w:t xml:space="preserve"> should be rejected</w:t>
      </w:r>
      <w:r>
        <w:t xml:space="preserve">. </w:t>
      </w:r>
      <w:r w:rsidR="00074B7C">
        <w:t xml:space="preserve">Because these </w:t>
      </w:r>
      <w:r w:rsidR="00F655C2">
        <w:t>responses</w:t>
      </w:r>
      <w:r w:rsidR="00074B7C">
        <w:t xml:space="preserve"> are based on the same </w:t>
      </w:r>
      <w:r w:rsidR="00204D87">
        <w:t>updates</w:t>
      </w:r>
      <w:r w:rsidR="00074B7C">
        <w:t xml:space="preserve"> </w:t>
      </w:r>
      <w:r w:rsidR="001707FE">
        <w:t xml:space="preserve">to power costs </w:t>
      </w:r>
      <w:r w:rsidR="00204D87">
        <w:t xml:space="preserve">that support the Company’s </w:t>
      </w:r>
      <w:r w:rsidR="00074B7C">
        <w:t>M</w:t>
      </w:r>
      <w:r w:rsidR="00D45CB8">
        <w:t>otion</w:t>
      </w:r>
      <w:r w:rsidR="00074B7C">
        <w:t>,</w:t>
      </w:r>
      <w:r w:rsidR="00F655C2">
        <w:t xml:space="preserve"> </w:t>
      </w:r>
      <w:r w:rsidR="00074B7C">
        <w:t xml:space="preserve">they are </w:t>
      </w:r>
      <w:r w:rsidR="00523500">
        <w:t xml:space="preserve">not </w:t>
      </w:r>
      <w:r w:rsidR="00D45CB8">
        <w:t xml:space="preserve">responsive </w:t>
      </w:r>
      <w:r w:rsidR="007534D7">
        <w:t>to the Commission’s requests</w:t>
      </w:r>
      <w:r w:rsidR="00464601">
        <w:t xml:space="preserve">. </w:t>
      </w:r>
      <w:r w:rsidR="00523500">
        <w:t>Avista</w:t>
      </w:r>
      <w:r w:rsidR="00464601">
        <w:t xml:space="preserve"> must</w:t>
      </w:r>
      <w:r w:rsidR="00523500">
        <w:t xml:space="preserve"> respond to these Bench Requests with reference to the Company’s as-filed power costs.</w:t>
      </w:r>
    </w:p>
    <w:p w14:paraId="2DA32734" w14:textId="77777777" w:rsidR="00D75B45" w:rsidRPr="00D75B45" w:rsidRDefault="00D75B45" w:rsidP="00D75B45">
      <w:pPr>
        <w:spacing w:after="240" w:line="288" w:lineRule="auto"/>
        <w:jc w:val="center"/>
        <w:rPr>
          <w:b/>
          <w:u w:val="single"/>
        </w:rPr>
      </w:pPr>
      <w:r>
        <w:rPr>
          <w:b/>
          <w:u w:val="single"/>
        </w:rPr>
        <w:t xml:space="preserve">ORDER </w:t>
      </w:r>
    </w:p>
    <w:p w14:paraId="6723B953" w14:textId="77777777" w:rsidR="00CD2193" w:rsidRDefault="001707FE" w:rsidP="00B73BB7">
      <w:pPr>
        <w:numPr>
          <w:ilvl w:val="0"/>
          <w:numId w:val="1"/>
        </w:numPr>
        <w:spacing w:after="240" w:line="288" w:lineRule="auto"/>
        <w:ind w:hanging="720"/>
      </w:pPr>
      <w:r>
        <w:t>F</w:t>
      </w:r>
      <w:r w:rsidR="00E23D1B">
        <w:t xml:space="preserve">or the reasons stated in the body of this Order, </w:t>
      </w:r>
      <w:r>
        <w:t>the Commission</w:t>
      </w:r>
    </w:p>
    <w:p w14:paraId="60899146" w14:textId="77777777" w:rsidR="00B73BB7" w:rsidRDefault="00CD2193" w:rsidP="007151E3">
      <w:pPr>
        <w:spacing w:after="240" w:line="288" w:lineRule="auto"/>
        <w:ind w:left="1440"/>
      </w:pPr>
      <w:r>
        <w:t>(a)</w:t>
      </w:r>
      <w:r w:rsidR="001707FE">
        <w:t xml:space="preserve"> </w:t>
      </w:r>
      <w:r w:rsidR="00195F95">
        <w:t>denies Avista’s</w:t>
      </w:r>
      <w:r w:rsidR="00E23D1B">
        <w:t xml:space="preserve"> Motion to </w:t>
      </w:r>
      <w:r w:rsidR="00195F95">
        <w:t>Supplement the Record</w:t>
      </w:r>
      <w:r w:rsidR="00936C4D">
        <w:t xml:space="preserve"> to Include Power Supply Update</w:t>
      </w:r>
      <w:r>
        <w:t xml:space="preserve">, and </w:t>
      </w:r>
    </w:p>
    <w:p w14:paraId="18970864" w14:textId="77777777" w:rsidR="00195F95" w:rsidRDefault="00CD2193" w:rsidP="007151E3">
      <w:pPr>
        <w:spacing w:after="240" w:line="288" w:lineRule="auto"/>
        <w:ind w:left="1440"/>
      </w:pPr>
      <w:r>
        <w:t>(b)</w:t>
      </w:r>
      <w:r w:rsidR="00B73BB7">
        <w:t xml:space="preserve"> rejects Avista’s responses to Bench Request Nos. 10.3 and 10.4</w:t>
      </w:r>
      <w:r w:rsidR="00523500">
        <w:t xml:space="preserve">. </w:t>
      </w:r>
    </w:p>
    <w:p w14:paraId="7529B59F" w14:textId="77777777" w:rsidR="00523500" w:rsidRPr="00D0495C" w:rsidRDefault="00523500" w:rsidP="00B73BB7">
      <w:pPr>
        <w:numPr>
          <w:ilvl w:val="0"/>
          <w:numId w:val="1"/>
        </w:numPr>
        <w:spacing w:after="240" w:line="288" w:lineRule="auto"/>
        <w:ind w:hanging="720"/>
      </w:pPr>
      <w:r>
        <w:lastRenderedPageBreak/>
        <w:t xml:space="preserve">The Commission directs Avista to submit new responses to </w:t>
      </w:r>
      <w:r w:rsidRPr="00523500">
        <w:t>Bench Request Nos. 10.3 and 10.4</w:t>
      </w:r>
      <w:r>
        <w:t xml:space="preserve"> with reference to the Compan</w:t>
      </w:r>
      <w:r w:rsidR="001C4D3B">
        <w:t>y’s as-filed power costs by 3</w:t>
      </w:r>
      <w:r>
        <w:t xml:space="preserve"> p.m. on </w:t>
      </w:r>
      <w:r w:rsidR="007151E3">
        <w:t>Monday, November 28</w:t>
      </w:r>
      <w:r>
        <w:t>, 2016.</w:t>
      </w:r>
    </w:p>
    <w:p w14:paraId="5C299809" w14:textId="77777777" w:rsidR="00C011AB" w:rsidRPr="004D6EE3" w:rsidRDefault="00C011AB">
      <w:pPr>
        <w:spacing w:line="288" w:lineRule="auto"/>
      </w:pPr>
      <w:r w:rsidRPr="004D6EE3">
        <w:t xml:space="preserve">Dated at Olympia, Washington, and effective </w:t>
      </w:r>
      <w:r w:rsidR="00195F95">
        <w:t xml:space="preserve">November </w:t>
      </w:r>
      <w:r w:rsidR="00936C4D">
        <w:t>2</w:t>
      </w:r>
      <w:r w:rsidR="007151E3">
        <w:t>2</w:t>
      </w:r>
      <w:r w:rsidR="0006345C" w:rsidRPr="004D6EE3">
        <w:t>, 201</w:t>
      </w:r>
      <w:r w:rsidR="001D5DB9" w:rsidRPr="004D6EE3">
        <w:t>6</w:t>
      </w:r>
      <w:r w:rsidR="00F82DD9" w:rsidRPr="004D6EE3">
        <w:t>.</w:t>
      </w:r>
    </w:p>
    <w:p w14:paraId="42BA741A" w14:textId="77777777" w:rsidR="00C011AB" w:rsidRPr="004D6EE3" w:rsidRDefault="00C011AB">
      <w:pPr>
        <w:pStyle w:val="Header"/>
        <w:tabs>
          <w:tab w:val="clear" w:pos="4320"/>
          <w:tab w:val="clear" w:pos="8640"/>
        </w:tabs>
        <w:spacing w:line="288" w:lineRule="auto"/>
      </w:pPr>
    </w:p>
    <w:p w14:paraId="0604D354" w14:textId="77777777" w:rsidR="00C011AB" w:rsidRPr="004D6EE3" w:rsidRDefault="00C011AB" w:rsidP="0093027D">
      <w:pPr>
        <w:spacing w:after="720" w:line="288" w:lineRule="auto"/>
        <w:jc w:val="center"/>
      </w:pPr>
      <w:r w:rsidRPr="004D6EE3">
        <w:t>WASHINGTON UTILITIES AND TRANSPORTATION COMMISSION</w:t>
      </w:r>
    </w:p>
    <w:p w14:paraId="022BF4BE" w14:textId="77777777" w:rsidR="00223B7B" w:rsidRDefault="00223B7B" w:rsidP="0093027D">
      <w:pPr>
        <w:spacing w:line="288" w:lineRule="auto"/>
        <w:ind w:left="4320"/>
        <w:rPr>
          <w:bCs/>
        </w:rPr>
      </w:pPr>
    </w:p>
    <w:p w14:paraId="6B58CB7A" w14:textId="77777777" w:rsidR="00223B7B" w:rsidRDefault="00223B7B" w:rsidP="0093027D">
      <w:pPr>
        <w:spacing w:line="288" w:lineRule="auto"/>
        <w:ind w:left="4320"/>
        <w:rPr>
          <w:bCs/>
        </w:rPr>
      </w:pPr>
    </w:p>
    <w:p w14:paraId="4882F8D7" w14:textId="77777777" w:rsidR="00A803DC" w:rsidRDefault="00A803DC" w:rsidP="0093027D">
      <w:pPr>
        <w:spacing w:line="288" w:lineRule="auto"/>
        <w:ind w:left="4320"/>
        <w:rPr>
          <w:bCs/>
        </w:rPr>
      </w:pPr>
      <w:r>
        <w:rPr>
          <w:bCs/>
        </w:rPr>
        <w:t>RAYNE PEARSON</w:t>
      </w:r>
    </w:p>
    <w:p w14:paraId="639121B3" w14:textId="77777777" w:rsidR="00C011AB" w:rsidRPr="00C61316" w:rsidRDefault="00A803DC" w:rsidP="0093027D">
      <w:pPr>
        <w:spacing w:line="288" w:lineRule="auto"/>
        <w:ind w:left="4320"/>
        <w:rPr>
          <w:sz w:val="26"/>
          <w:szCs w:val="26"/>
        </w:rPr>
      </w:pPr>
      <w:r>
        <w:rPr>
          <w:bCs/>
        </w:rPr>
        <w:t>Administrative Law Judge</w:t>
      </w:r>
      <w:r w:rsidR="009064F2" w:rsidRPr="00165DFE">
        <w:rPr>
          <w:b/>
          <w:sz w:val="20"/>
          <w:szCs w:val="20"/>
        </w:rPr>
        <w:t xml:space="preserve"> </w:t>
      </w:r>
    </w:p>
    <w:sectPr w:rsidR="00C011AB" w:rsidRPr="00C61316" w:rsidSect="00223B7B">
      <w:headerReference w:type="default" r:id="rId11"/>
      <w:headerReference w:type="first" r:id="rId12"/>
      <w:type w:val="continuous"/>
      <w:pgSz w:w="12240" w:h="15840" w:code="1"/>
      <w:pgMar w:top="1440" w:right="1440" w:bottom="1440" w:left="216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6700" w14:textId="77777777" w:rsidR="00CB739D" w:rsidRDefault="00CB739D">
      <w:r>
        <w:separator/>
      </w:r>
    </w:p>
  </w:endnote>
  <w:endnote w:type="continuationSeparator" w:id="0">
    <w:p w14:paraId="45B618FE" w14:textId="77777777" w:rsidR="00CB739D" w:rsidRDefault="00CB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ED4A9" w14:textId="77777777" w:rsidR="00CB739D" w:rsidRDefault="00CB739D">
      <w:r>
        <w:separator/>
      </w:r>
    </w:p>
  </w:footnote>
  <w:footnote w:type="continuationSeparator" w:id="0">
    <w:p w14:paraId="7FD1C0DD" w14:textId="77777777" w:rsidR="00CB739D" w:rsidRDefault="00CB739D">
      <w:r>
        <w:continuationSeparator/>
      </w:r>
    </w:p>
  </w:footnote>
  <w:footnote w:id="1">
    <w:p w14:paraId="4184F916" w14:textId="77777777" w:rsidR="00181B8A" w:rsidRPr="00223B7B" w:rsidRDefault="00181B8A" w:rsidP="00223B7B">
      <w:pPr>
        <w:pStyle w:val="FootnoteText"/>
        <w:spacing w:after="120"/>
        <w:rPr>
          <w:sz w:val="22"/>
          <w:szCs w:val="22"/>
        </w:rPr>
      </w:pPr>
      <w:r w:rsidRPr="00223B7B">
        <w:rPr>
          <w:rStyle w:val="FootnoteReference"/>
          <w:sz w:val="22"/>
          <w:szCs w:val="22"/>
        </w:rPr>
        <w:footnoteRef/>
      </w:r>
      <w:r w:rsidRPr="00223B7B">
        <w:rPr>
          <w:sz w:val="22"/>
          <w:szCs w:val="22"/>
        </w:rPr>
        <w:t xml:space="preserve"> Avista’s attrition study uses both a power cost study based on historical loads and a power cost study based on pro forma loads. According to ICNU, the Company appears to have only updated the power cost study based on historical loads in its power cost update.</w:t>
      </w:r>
    </w:p>
  </w:footnote>
  <w:footnote w:id="2">
    <w:p w14:paraId="2554A493" w14:textId="77777777" w:rsidR="00AF7718" w:rsidRPr="00223B7B" w:rsidRDefault="00AF7718" w:rsidP="00223B7B">
      <w:pPr>
        <w:pStyle w:val="FootnoteText"/>
        <w:spacing w:after="120" w:line="24" w:lineRule="atLeast"/>
        <w:rPr>
          <w:sz w:val="22"/>
          <w:szCs w:val="22"/>
        </w:rPr>
      </w:pPr>
      <w:r w:rsidRPr="00223B7B">
        <w:rPr>
          <w:rStyle w:val="FootnoteReference"/>
          <w:sz w:val="22"/>
          <w:szCs w:val="22"/>
        </w:rPr>
        <w:footnoteRef/>
      </w:r>
      <w:r w:rsidRPr="00223B7B">
        <w:rPr>
          <w:sz w:val="22"/>
          <w:szCs w:val="22"/>
        </w:rPr>
        <w:t xml:space="preserve"> Although the Commission has recently allowed power cost updates during the pendency of general rate proceeding</w:t>
      </w:r>
      <w:r w:rsidR="00681B82" w:rsidRPr="00223B7B">
        <w:rPr>
          <w:sz w:val="22"/>
          <w:szCs w:val="22"/>
        </w:rPr>
        <w:t>s</w:t>
      </w:r>
      <w:r w:rsidRPr="00223B7B">
        <w:rPr>
          <w:sz w:val="22"/>
          <w:szCs w:val="22"/>
        </w:rPr>
        <w:t xml:space="preserve"> to calculate revenue requirement</w:t>
      </w:r>
      <w:r w:rsidR="00681B82" w:rsidRPr="00223B7B">
        <w:rPr>
          <w:sz w:val="22"/>
          <w:szCs w:val="22"/>
        </w:rPr>
        <w:t>s</w:t>
      </w:r>
      <w:r w:rsidRPr="00223B7B">
        <w:rPr>
          <w:sz w:val="22"/>
          <w:szCs w:val="22"/>
        </w:rPr>
        <w:t xml:space="preserve"> and subsequent approved rates, </w:t>
      </w:r>
      <w:r w:rsidR="00A803DC" w:rsidRPr="00223B7B">
        <w:rPr>
          <w:sz w:val="22"/>
          <w:szCs w:val="22"/>
        </w:rPr>
        <w:t>it has</w:t>
      </w:r>
      <w:r w:rsidRPr="00223B7B">
        <w:rPr>
          <w:sz w:val="22"/>
          <w:szCs w:val="22"/>
        </w:rPr>
        <w:t xml:space="preserve"> permitted only a narrow set of updated inputs based on non-controversial calculations that substantially affect the</w:t>
      </w:r>
      <w:r w:rsidR="00681B82" w:rsidRPr="00223B7B">
        <w:rPr>
          <w:sz w:val="22"/>
          <w:szCs w:val="22"/>
        </w:rPr>
        <w:t xml:space="preserve"> level of baseline power costs. </w:t>
      </w:r>
      <w:r w:rsidRPr="00223B7B">
        <w:rPr>
          <w:sz w:val="22"/>
          <w:szCs w:val="22"/>
        </w:rPr>
        <w:t>This practice evolved from periods of significant shifts in commodity prices that exceeded the ability of the ERM mechanism to account for power costs.</w:t>
      </w:r>
      <w:r w:rsidR="00F25BF8" w:rsidRPr="00223B7B">
        <w:rPr>
          <w:sz w:val="22"/>
          <w:szCs w:val="22"/>
        </w:rPr>
        <w:t xml:space="preserve"> Such circumstances do not appear to be present in this case.</w:t>
      </w:r>
      <w:r w:rsidRPr="00223B7B">
        <w:rPr>
          <w:sz w:val="22"/>
          <w:szCs w:val="22"/>
        </w:rPr>
        <w:br/>
      </w:r>
    </w:p>
  </w:footnote>
  <w:footnote w:id="3">
    <w:p w14:paraId="3B3A5E3D" w14:textId="77777777" w:rsidR="008954FE" w:rsidRPr="007534D7" w:rsidRDefault="008954FE" w:rsidP="00223B7B">
      <w:pPr>
        <w:pStyle w:val="FootnoteText"/>
        <w:spacing w:after="120" w:line="24" w:lineRule="atLeast"/>
        <w:rPr>
          <w:sz w:val="22"/>
          <w:szCs w:val="22"/>
        </w:rPr>
      </w:pPr>
      <w:r w:rsidRPr="00223B7B">
        <w:rPr>
          <w:rStyle w:val="FootnoteReference"/>
          <w:sz w:val="22"/>
          <w:szCs w:val="22"/>
        </w:rPr>
        <w:footnoteRef/>
      </w:r>
      <w:r w:rsidRPr="00223B7B">
        <w:rPr>
          <w:sz w:val="22"/>
          <w:szCs w:val="22"/>
        </w:rPr>
        <w:t xml:space="preserve"> Declaration of David Gomez, ¶ 7a.</w:t>
      </w:r>
      <w:r w:rsidRPr="007534D7">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234E" w14:textId="77777777" w:rsidR="001934B8" w:rsidRDefault="001934B8" w:rsidP="00F37788">
    <w:pPr>
      <w:pStyle w:val="Header"/>
      <w:rPr>
        <w:rStyle w:val="PageNumber"/>
        <w:b/>
        <w:bCs/>
        <w:sz w:val="20"/>
      </w:rPr>
    </w:pPr>
    <w:r w:rsidRPr="00C61316">
      <w:rPr>
        <w:b/>
        <w:bCs/>
        <w:sz w:val="20"/>
      </w:rPr>
      <w:t>DOCKET</w:t>
    </w:r>
    <w:r>
      <w:rPr>
        <w:b/>
        <w:bCs/>
        <w:sz w:val="20"/>
      </w:rPr>
      <w:t>S</w:t>
    </w:r>
    <w:r w:rsidRPr="00C61316">
      <w:rPr>
        <w:b/>
        <w:bCs/>
        <w:sz w:val="20"/>
      </w:rPr>
      <w:t xml:space="preserve"> </w:t>
    </w:r>
    <w:r>
      <w:rPr>
        <w:b/>
        <w:bCs/>
        <w:sz w:val="20"/>
      </w:rPr>
      <w:t xml:space="preserve">UE-160228 and UG-160229 </w:t>
    </w:r>
    <w:r>
      <w:rPr>
        <w:rStyle w:val="PageNumber"/>
        <w:b/>
        <w:bCs/>
        <w:sz w:val="20"/>
      </w:rPr>
      <w:t>(</w:t>
    </w:r>
    <w:r>
      <w:rPr>
        <w:rStyle w:val="PageNumber"/>
        <w:b/>
        <w:bCs/>
        <w:i/>
        <w:sz w:val="20"/>
      </w:rPr>
      <w:t>Consolidated</w:t>
    </w:r>
    <w:r>
      <w:rPr>
        <w:rStyle w:val="PageNumber"/>
        <w:b/>
        <w:bCs/>
        <w:sz w:val="20"/>
      </w:rPr>
      <w:t>)</w:t>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A139DA">
      <w:rPr>
        <w:rStyle w:val="PageNumber"/>
        <w:b/>
        <w:bCs/>
        <w:noProof/>
        <w:sz w:val="20"/>
      </w:rPr>
      <w:t>4</w:t>
    </w:r>
    <w:r w:rsidRPr="00C61316">
      <w:rPr>
        <w:rStyle w:val="PageNumber"/>
        <w:b/>
        <w:bCs/>
        <w:sz w:val="20"/>
      </w:rPr>
      <w:fldChar w:fldCharType="end"/>
    </w:r>
  </w:p>
  <w:p w14:paraId="6F8423F3" w14:textId="77777777" w:rsidR="001934B8" w:rsidRPr="00C61316" w:rsidRDefault="001934B8">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C77B16">
      <w:rPr>
        <w:rStyle w:val="PageNumber"/>
        <w:b/>
        <w:bCs/>
        <w:sz w:val="20"/>
      </w:rPr>
      <w:t>5</w:t>
    </w:r>
  </w:p>
  <w:p w14:paraId="3B641F75" w14:textId="77777777" w:rsidR="001934B8" w:rsidRDefault="001934B8">
    <w:pPr>
      <w:pStyle w:val="Header"/>
      <w:tabs>
        <w:tab w:val="clear" w:pos="8640"/>
        <w:tab w:val="right" w:pos="8100"/>
      </w:tabs>
      <w:rPr>
        <w:b/>
        <w:bCs/>
        <w:sz w:val="20"/>
      </w:rPr>
    </w:pPr>
  </w:p>
  <w:p w14:paraId="0B17A0DA" w14:textId="77777777" w:rsidR="00223B7B" w:rsidRPr="00C61316" w:rsidRDefault="00223B7B">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8587" w14:textId="77777777" w:rsidR="003F0AD5" w:rsidRPr="003F0AD5" w:rsidRDefault="003F0AD5" w:rsidP="003F0AD5">
    <w:pPr>
      <w:pStyle w:val="Header"/>
      <w:jc w:val="right"/>
      <w:rPr>
        <w:sz w:val="22"/>
        <w:szCs w:val="22"/>
      </w:rPr>
    </w:pPr>
    <w:r w:rsidRPr="003F0AD5">
      <w:rPr>
        <w:sz w:val="22"/>
        <w:szCs w:val="22"/>
      </w:rPr>
      <w:t>Service Date: November 22,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843BD"/>
    <w:multiLevelType w:val="hybridMultilevel"/>
    <w:tmpl w:val="C1F08AFA"/>
    <w:lvl w:ilvl="0" w:tplc="7616BCD0">
      <w:start w:val="1"/>
      <w:numFmt w:val="decimal"/>
      <w:lvlText w:val="%1"/>
      <w:lvlJc w:val="left"/>
      <w:pPr>
        <w:ind w:left="72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DE4B32"/>
    <w:multiLevelType w:val="hybridMultilevel"/>
    <w:tmpl w:val="76D0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7D1390"/>
    <w:multiLevelType w:val="hybridMultilevel"/>
    <w:tmpl w:val="4038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23B08"/>
    <w:rsid w:val="0006345C"/>
    <w:rsid w:val="00073280"/>
    <w:rsid w:val="00074B7C"/>
    <w:rsid w:val="00087220"/>
    <w:rsid w:val="000A24A4"/>
    <w:rsid w:val="000A253A"/>
    <w:rsid w:val="000A4BE8"/>
    <w:rsid w:val="000B2761"/>
    <w:rsid w:val="000D39AA"/>
    <w:rsid w:val="000D5A2A"/>
    <w:rsid w:val="000D738C"/>
    <w:rsid w:val="000E4BAD"/>
    <w:rsid w:val="000E5DD0"/>
    <w:rsid w:val="000F42FC"/>
    <w:rsid w:val="001350C5"/>
    <w:rsid w:val="001370B3"/>
    <w:rsid w:val="0016718C"/>
    <w:rsid w:val="001707FE"/>
    <w:rsid w:val="00173F52"/>
    <w:rsid w:val="00181B8A"/>
    <w:rsid w:val="00185315"/>
    <w:rsid w:val="001907EC"/>
    <w:rsid w:val="001934B8"/>
    <w:rsid w:val="00195112"/>
    <w:rsid w:val="00195F95"/>
    <w:rsid w:val="001A0E20"/>
    <w:rsid w:val="001C4D3B"/>
    <w:rsid w:val="001D5DB9"/>
    <w:rsid w:val="001E0307"/>
    <w:rsid w:val="001F53AA"/>
    <w:rsid w:val="00204D87"/>
    <w:rsid w:val="00213CE5"/>
    <w:rsid w:val="00223B7B"/>
    <w:rsid w:val="00233536"/>
    <w:rsid w:val="00236B8B"/>
    <w:rsid w:val="00283ED0"/>
    <w:rsid w:val="002B478D"/>
    <w:rsid w:val="002E1E12"/>
    <w:rsid w:val="002F17F5"/>
    <w:rsid w:val="00305BCB"/>
    <w:rsid w:val="0031199B"/>
    <w:rsid w:val="0032034A"/>
    <w:rsid w:val="00321B1D"/>
    <w:rsid w:val="003319C6"/>
    <w:rsid w:val="00342629"/>
    <w:rsid w:val="00342E49"/>
    <w:rsid w:val="00345AE6"/>
    <w:rsid w:val="00345CB8"/>
    <w:rsid w:val="0035012C"/>
    <w:rsid w:val="00351091"/>
    <w:rsid w:val="0036032C"/>
    <w:rsid w:val="003814CC"/>
    <w:rsid w:val="0038256A"/>
    <w:rsid w:val="00395013"/>
    <w:rsid w:val="003A707A"/>
    <w:rsid w:val="003A7CE6"/>
    <w:rsid w:val="003C5C70"/>
    <w:rsid w:val="003D2792"/>
    <w:rsid w:val="003D7006"/>
    <w:rsid w:val="003E380C"/>
    <w:rsid w:val="003F0AD5"/>
    <w:rsid w:val="00400ABA"/>
    <w:rsid w:val="00401FE5"/>
    <w:rsid w:val="0044543F"/>
    <w:rsid w:val="00452AD4"/>
    <w:rsid w:val="00456383"/>
    <w:rsid w:val="00463496"/>
    <w:rsid w:val="00464601"/>
    <w:rsid w:val="00491469"/>
    <w:rsid w:val="004A36B7"/>
    <w:rsid w:val="004A3749"/>
    <w:rsid w:val="004A7BC0"/>
    <w:rsid w:val="004B3B37"/>
    <w:rsid w:val="004B463C"/>
    <w:rsid w:val="004B56BD"/>
    <w:rsid w:val="004B7D74"/>
    <w:rsid w:val="004D1576"/>
    <w:rsid w:val="004D6EE3"/>
    <w:rsid w:val="004F569B"/>
    <w:rsid w:val="004F64CC"/>
    <w:rsid w:val="0051569A"/>
    <w:rsid w:val="00523500"/>
    <w:rsid w:val="00530CEB"/>
    <w:rsid w:val="00533A8D"/>
    <w:rsid w:val="00533D9D"/>
    <w:rsid w:val="0053524A"/>
    <w:rsid w:val="005468EA"/>
    <w:rsid w:val="005533CF"/>
    <w:rsid w:val="0055421A"/>
    <w:rsid w:val="005619F9"/>
    <w:rsid w:val="00564144"/>
    <w:rsid w:val="005A12FA"/>
    <w:rsid w:val="005A6B13"/>
    <w:rsid w:val="005B1BB1"/>
    <w:rsid w:val="005D5176"/>
    <w:rsid w:val="005E4292"/>
    <w:rsid w:val="005E7C6F"/>
    <w:rsid w:val="005F7815"/>
    <w:rsid w:val="00604A8A"/>
    <w:rsid w:val="00616C37"/>
    <w:rsid w:val="0061773A"/>
    <w:rsid w:val="00640453"/>
    <w:rsid w:val="00643158"/>
    <w:rsid w:val="00671328"/>
    <w:rsid w:val="00681B82"/>
    <w:rsid w:val="006832D1"/>
    <w:rsid w:val="00690596"/>
    <w:rsid w:val="00693413"/>
    <w:rsid w:val="00695E68"/>
    <w:rsid w:val="006B343C"/>
    <w:rsid w:val="006B3A57"/>
    <w:rsid w:val="006B4984"/>
    <w:rsid w:val="006B7E83"/>
    <w:rsid w:val="006D54B5"/>
    <w:rsid w:val="006E281E"/>
    <w:rsid w:val="006F080B"/>
    <w:rsid w:val="006F3723"/>
    <w:rsid w:val="00710EAA"/>
    <w:rsid w:val="007151E3"/>
    <w:rsid w:val="00726653"/>
    <w:rsid w:val="0072698A"/>
    <w:rsid w:val="007534D7"/>
    <w:rsid w:val="00764603"/>
    <w:rsid w:val="007859A6"/>
    <w:rsid w:val="00791555"/>
    <w:rsid w:val="00793CB9"/>
    <w:rsid w:val="007A5BB0"/>
    <w:rsid w:val="007B5694"/>
    <w:rsid w:val="007D1FE5"/>
    <w:rsid w:val="007D6E03"/>
    <w:rsid w:val="007F6B9B"/>
    <w:rsid w:val="00802EA7"/>
    <w:rsid w:val="008133A1"/>
    <w:rsid w:val="008133D2"/>
    <w:rsid w:val="0084556B"/>
    <w:rsid w:val="00845B60"/>
    <w:rsid w:val="008954FE"/>
    <w:rsid w:val="008A2AAD"/>
    <w:rsid w:val="008A3D90"/>
    <w:rsid w:val="008B0BC2"/>
    <w:rsid w:val="008D1DAE"/>
    <w:rsid w:val="008D2F83"/>
    <w:rsid w:val="008D557D"/>
    <w:rsid w:val="008E21F7"/>
    <w:rsid w:val="00901D0F"/>
    <w:rsid w:val="009064F2"/>
    <w:rsid w:val="0093027D"/>
    <w:rsid w:val="00936C4D"/>
    <w:rsid w:val="009459E8"/>
    <w:rsid w:val="00965623"/>
    <w:rsid w:val="009A7662"/>
    <w:rsid w:val="009B1FB6"/>
    <w:rsid w:val="009B4FF0"/>
    <w:rsid w:val="009C686D"/>
    <w:rsid w:val="009D1FD4"/>
    <w:rsid w:val="009D2700"/>
    <w:rsid w:val="009D3C75"/>
    <w:rsid w:val="009F7A1E"/>
    <w:rsid w:val="00A00F04"/>
    <w:rsid w:val="00A139DA"/>
    <w:rsid w:val="00A2242E"/>
    <w:rsid w:val="00A23384"/>
    <w:rsid w:val="00A27659"/>
    <w:rsid w:val="00A30AC1"/>
    <w:rsid w:val="00A35B7C"/>
    <w:rsid w:val="00A42F9D"/>
    <w:rsid w:val="00A434C5"/>
    <w:rsid w:val="00A5726D"/>
    <w:rsid w:val="00A6569F"/>
    <w:rsid w:val="00A71F69"/>
    <w:rsid w:val="00A727F6"/>
    <w:rsid w:val="00A803DC"/>
    <w:rsid w:val="00A9218B"/>
    <w:rsid w:val="00A96A5A"/>
    <w:rsid w:val="00AB060F"/>
    <w:rsid w:val="00AB2866"/>
    <w:rsid w:val="00AD4ACB"/>
    <w:rsid w:val="00AE3C19"/>
    <w:rsid w:val="00AF0B54"/>
    <w:rsid w:val="00AF7718"/>
    <w:rsid w:val="00B05739"/>
    <w:rsid w:val="00B06A6E"/>
    <w:rsid w:val="00B11E32"/>
    <w:rsid w:val="00B217C3"/>
    <w:rsid w:val="00B35BE7"/>
    <w:rsid w:val="00B47A77"/>
    <w:rsid w:val="00B62034"/>
    <w:rsid w:val="00B6350E"/>
    <w:rsid w:val="00B73BB7"/>
    <w:rsid w:val="00B91FB5"/>
    <w:rsid w:val="00BB3560"/>
    <w:rsid w:val="00BB598A"/>
    <w:rsid w:val="00BB5BB2"/>
    <w:rsid w:val="00BC6C78"/>
    <w:rsid w:val="00BD1EB2"/>
    <w:rsid w:val="00BD325C"/>
    <w:rsid w:val="00BF2BD9"/>
    <w:rsid w:val="00C00A34"/>
    <w:rsid w:val="00C011AB"/>
    <w:rsid w:val="00C03769"/>
    <w:rsid w:val="00C15767"/>
    <w:rsid w:val="00C36983"/>
    <w:rsid w:val="00C45E70"/>
    <w:rsid w:val="00C50DF0"/>
    <w:rsid w:val="00C51C45"/>
    <w:rsid w:val="00C55B00"/>
    <w:rsid w:val="00C57182"/>
    <w:rsid w:val="00C61316"/>
    <w:rsid w:val="00C64288"/>
    <w:rsid w:val="00C723C7"/>
    <w:rsid w:val="00C7528B"/>
    <w:rsid w:val="00C77B16"/>
    <w:rsid w:val="00C82DED"/>
    <w:rsid w:val="00CA0C8D"/>
    <w:rsid w:val="00CB6D73"/>
    <w:rsid w:val="00CB739D"/>
    <w:rsid w:val="00CC1D79"/>
    <w:rsid w:val="00CC464B"/>
    <w:rsid w:val="00CD2193"/>
    <w:rsid w:val="00CF22E5"/>
    <w:rsid w:val="00D0495C"/>
    <w:rsid w:val="00D11B58"/>
    <w:rsid w:val="00D12B7B"/>
    <w:rsid w:val="00D15E24"/>
    <w:rsid w:val="00D42DDC"/>
    <w:rsid w:val="00D45CB8"/>
    <w:rsid w:val="00D47773"/>
    <w:rsid w:val="00D57CC6"/>
    <w:rsid w:val="00D57F8E"/>
    <w:rsid w:val="00D6633B"/>
    <w:rsid w:val="00D759F8"/>
    <w:rsid w:val="00D75B45"/>
    <w:rsid w:val="00D770F3"/>
    <w:rsid w:val="00D91720"/>
    <w:rsid w:val="00DB1704"/>
    <w:rsid w:val="00DB401D"/>
    <w:rsid w:val="00DC1A4B"/>
    <w:rsid w:val="00DE4F00"/>
    <w:rsid w:val="00E23D1B"/>
    <w:rsid w:val="00E40792"/>
    <w:rsid w:val="00E4103A"/>
    <w:rsid w:val="00E43BC4"/>
    <w:rsid w:val="00E479AC"/>
    <w:rsid w:val="00E520CC"/>
    <w:rsid w:val="00E579EA"/>
    <w:rsid w:val="00E60CD4"/>
    <w:rsid w:val="00E64A66"/>
    <w:rsid w:val="00E74EF3"/>
    <w:rsid w:val="00E809CA"/>
    <w:rsid w:val="00E84B87"/>
    <w:rsid w:val="00E85FC8"/>
    <w:rsid w:val="00E948CF"/>
    <w:rsid w:val="00E96DB6"/>
    <w:rsid w:val="00EB4040"/>
    <w:rsid w:val="00ED35E7"/>
    <w:rsid w:val="00EF341F"/>
    <w:rsid w:val="00F046BC"/>
    <w:rsid w:val="00F12D85"/>
    <w:rsid w:val="00F20F6C"/>
    <w:rsid w:val="00F25BF8"/>
    <w:rsid w:val="00F353D1"/>
    <w:rsid w:val="00F36EB2"/>
    <w:rsid w:val="00F37788"/>
    <w:rsid w:val="00F4409C"/>
    <w:rsid w:val="00F442EE"/>
    <w:rsid w:val="00F56D2D"/>
    <w:rsid w:val="00F655C2"/>
    <w:rsid w:val="00F76F44"/>
    <w:rsid w:val="00F82DD9"/>
    <w:rsid w:val="00F869C9"/>
    <w:rsid w:val="00FE2EBA"/>
    <w:rsid w:val="00FE70F1"/>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070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3027D"/>
    <w:pPr>
      <w:keepNext/>
      <w:spacing w:after="240" w:line="288" w:lineRule="auto"/>
      <w:jc w:val="center"/>
      <w:outlineLvl w:val="0"/>
    </w:pPr>
    <w:rPr>
      <w:b/>
      <w:sz w:val="25"/>
      <w:szCs w:val="25"/>
      <w:u w:val="single"/>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customStyle="1" w:styleId="Level1">
    <w:name w:val="Level 1"/>
    <w:basedOn w:val="Normal"/>
    <w:rsid w:val="00A9218B"/>
    <w:pPr>
      <w:widowControl w:val="0"/>
      <w:autoSpaceDE w:val="0"/>
      <w:autoSpaceDN w:val="0"/>
      <w:adjustRightInd w:val="0"/>
      <w:ind w:left="720" w:hanging="720"/>
    </w:pPr>
    <w:rPr>
      <w:rFonts w:ascii="Arial" w:hAnsi="Arial"/>
      <w:sz w:val="20"/>
    </w:rPr>
  </w:style>
  <w:style w:type="paragraph" w:styleId="NoSpacing">
    <w:name w:val="No Spacing"/>
    <w:uiPriority w:val="1"/>
    <w:qFormat/>
    <w:rsid w:val="00A9218B"/>
    <w:rPr>
      <w:sz w:val="24"/>
      <w:szCs w:val="24"/>
    </w:rPr>
  </w:style>
  <w:style w:type="paragraph" w:styleId="BalloonText">
    <w:name w:val="Balloon Text"/>
    <w:basedOn w:val="Normal"/>
    <w:link w:val="BalloonTextChar"/>
    <w:rsid w:val="00802EA7"/>
    <w:rPr>
      <w:rFonts w:ascii="Segoe UI" w:hAnsi="Segoe UI" w:cs="Segoe UI"/>
      <w:sz w:val="18"/>
      <w:szCs w:val="18"/>
    </w:rPr>
  </w:style>
  <w:style w:type="character" w:customStyle="1" w:styleId="BalloonTextChar">
    <w:name w:val="Balloon Text Char"/>
    <w:link w:val="BalloonText"/>
    <w:rsid w:val="00802EA7"/>
    <w:rPr>
      <w:rFonts w:ascii="Segoe UI" w:hAnsi="Segoe UI" w:cs="Segoe UI"/>
      <w:sz w:val="18"/>
      <w:szCs w:val="18"/>
    </w:rPr>
  </w:style>
  <w:style w:type="character" w:styleId="CommentReference">
    <w:name w:val="annotation reference"/>
    <w:basedOn w:val="DefaultParagraphFont"/>
    <w:rsid w:val="003319C6"/>
    <w:rPr>
      <w:sz w:val="16"/>
      <w:szCs w:val="16"/>
    </w:rPr>
  </w:style>
  <w:style w:type="paragraph" w:styleId="CommentText">
    <w:name w:val="annotation text"/>
    <w:basedOn w:val="Normal"/>
    <w:link w:val="CommentTextChar"/>
    <w:rsid w:val="003319C6"/>
    <w:rPr>
      <w:sz w:val="20"/>
      <w:szCs w:val="20"/>
    </w:rPr>
  </w:style>
  <w:style w:type="character" w:customStyle="1" w:styleId="CommentTextChar">
    <w:name w:val="Comment Text Char"/>
    <w:basedOn w:val="DefaultParagraphFont"/>
    <w:link w:val="CommentText"/>
    <w:rsid w:val="003319C6"/>
  </w:style>
  <w:style w:type="paragraph" w:styleId="CommentSubject">
    <w:name w:val="annotation subject"/>
    <w:basedOn w:val="CommentText"/>
    <w:next w:val="CommentText"/>
    <w:link w:val="CommentSubjectChar"/>
    <w:rsid w:val="003319C6"/>
    <w:rPr>
      <w:b/>
      <w:bCs/>
    </w:rPr>
  </w:style>
  <w:style w:type="character" w:customStyle="1" w:styleId="CommentSubjectChar">
    <w:name w:val="Comment Subject Char"/>
    <w:basedOn w:val="CommentTextChar"/>
    <w:link w:val="CommentSubject"/>
    <w:rsid w:val="0033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7134">
      <w:bodyDiv w:val="1"/>
      <w:marLeft w:val="0"/>
      <w:marRight w:val="0"/>
      <w:marTop w:val="0"/>
      <w:marBottom w:val="0"/>
      <w:divBdr>
        <w:top w:val="none" w:sz="0" w:space="0" w:color="auto"/>
        <w:left w:val="none" w:sz="0" w:space="0" w:color="auto"/>
        <w:bottom w:val="none" w:sz="0" w:space="0" w:color="auto"/>
        <w:right w:val="none" w:sz="0" w:space="0" w:color="auto"/>
      </w:divBdr>
    </w:div>
    <w:div w:id="821779169">
      <w:bodyDiv w:val="1"/>
      <w:marLeft w:val="0"/>
      <w:marRight w:val="0"/>
      <w:marTop w:val="0"/>
      <w:marBottom w:val="0"/>
      <w:divBdr>
        <w:top w:val="none" w:sz="0" w:space="0" w:color="auto"/>
        <w:left w:val="none" w:sz="0" w:space="0" w:color="auto"/>
        <w:bottom w:val="none" w:sz="0" w:space="0" w:color="auto"/>
        <w:right w:val="none" w:sz="0" w:space="0" w:color="auto"/>
      </w:divBdr>
    </w:div>
    <w:div w:id="89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2016-11-22T08:00:00+00:00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7CAFD3-1650-4F9C-BA8F-D8EA38C86E94}"/>
</file>

<file path=customXml/itemProps2.xml><?xml version="1.0" encoding="utf-8"?>
<ds:datastoreItem xmlns:ds="http://schemas.openxmlformats.org/officeDocument/2006/customXml" ds:itemID="{EA32B612-E96B-452F-904E-A6C99FD267EE}">
  <ds:schemaRefs>
    <ds:schemaRef ds:uri="http://schemas.microsoft.com/sharepoint/v3/contenttype/forms"/>
  </ds:schemaRefs>
</ds:datastoreItem>
</file>

<file path=customXml/itemProps3.xml><?xml version="1.0" encoding="utf-8"?>
<ds:datastoreItem xmlns:ds="http://schemas.openxmlformats.org/officeDocument/2006/customXml" ds:itemID="{4E3FEA20-7000-4100-AD0F-DE381A91132B}">
  <ds:schemaRefs>
    <ds:schemaRef ds:uri="http://schemas.microsoft.com/office/infopath/2007/PartnerControls"/>
    <ds:schemaRef ds:uri="fdbe071c-6926-4705-b29f-f52cff258ab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9D85F6-F9D5-4F43-B495-84CA3B1F6CA4}">
  <ds:schemaRefs>
    <ds:schemaRef ds:uri="http://schemas.openxmlformats.org/officeDocument/2006/bibliography"/>
  </ds:schemaRefs>
</ds:datastoreItem>
</file>

<file path=customXml/itemProps5.xml><?xml version="1.0" encoding="utf-8"?>
<ds:datastoreItem xmlns:ds="http://schemas.openxmlformats.org/officeDocument/2006/customXml" ds:itemID="{29E88D92-843B-4AB2-B4F3-5296D74FEB05}"/>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5629</Characters>
  <Application>Microsoft Office Word</Application>
  <DocSecurity>0</DocSecurity>
  <Lines>46</Lines>
  <Paragraphs>13</Paragraphs>
  <ScaleCrop>false</ScaleCrop>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 Order Denying Motion to Supplement the Record, Rejecting Responses to Commission Bench Requests</dc:title>
  <dc:subject/>
  <dc:creator/>
  <cp:keywords/>
  <cp:lastModifiedBy/>
  <cp:revision>1</cp:revision>
  <dcterms:created xsi:type="dcterms:W3CDTF">2016-11-22T19:44:00Z</dcterms:created>
  <dcterms:modified xsi:type="dcterms:W3CDTF">2016-11-22T19:44:00Z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