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70B1" w14:textId="77777777" w:rsidR="00F748D8" w:rsidRPr="004A2910" w:rsidRDefault="00F748D8" w:rsidP="000A6D23">
      <w:pPr>
        <w:ind w:right="-108"/>
        <w:jc w:val="both"/>
        <w:rPr>
          <w:sz w:val="24"/>
        </w:rPr>
      </w:pPr>
      <w:r w:rsidRPr="004A2910">
        <w:rPr>
          <w:sz w:val="24"/>
        </w:rPr>
        <w:t>BEFORE THE WASHINGTON UTILITIES AND TRANSPORTATION COMMISSION</w:t>
      </w:r>
    </w:p>
    <w:p w14:paraId="76CB11B6" w14:textId="77777777" w:rsidR="00F748D8" w:rsidRPr="004A2910" w:rsidRDefault="00F748D8"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458"/>
        <w:gridCol w:w="4722"/>
      </w:tblGrid>
      <w:tr w:rsidR="00F748D8" w:rsidRPr="004A2910" w14:paraId="4ABF45D8" w14:textId="77777777" w:rsidTr="009B71B7">
        <w:tc>
          <w:tcPr>
            <w:tcW w:w="4458" w:type="dxa"/>
            <w:tcBorders>
              <w:top w:val="single" w:sz="6" w:space="0" w:color="FFFFFF"/>
              <w:left w:val="single" w:sz="6" w:space="0" w:color="FFFFFF"/>
              <w:bottom w:val="single" w:sz="7" w:space="0" w:color="000000"/>
              <w:right w:val="single" w:sz="6" w:space="0" w:color="FFFFFF"/>
            </w:tcBorders>
          </w:tcPr>
          <w:p w14:paraId="67736408" w14:textId="77777777" w:rsidR="00F518C4" w:rsidRPr="00F518C4" w:rsidRDefault="00F518C4" w:rsidP="00F518C4">
            <w:pPr>
              <w:pStyle w:val="Header"/>
              <w:tabs>
                <w:tab w:val="left" w:pos="681"/>
                <w:tab w:val="left" w:pos="1401"/>
              </w:tabs>
              <w:spacing w:line="240" w:lineRule="exact"/>
              <w:rPr>
                <w:sz w:val="24"/>
              </w:rPr>
            </w:pPr>
            <w:r w:rsidRPr="00F518C4">
              <w:rPr>
                <w:sz w:val="24"/>
              </w:rPr>
              <w:t xml:space="preserve">WASHINGTON UTILITIES AND TRANSPORTATION COMMISSION, </w:t>
            </w:r>
          </w:p>
          <w:p w14:paraId="50D17CEB" w14:textId="77777777" w:rsidR="00F518C4" w:rsidRPr="00F518C4" w:rsidRDefault="00F518C4" w:rsidP="00F518C4">
            <w:pPr>
              <w:pStyle w:val="Header"/>
              <w:tabs>
                <w:tab w:val="left" w:pos="681"/>
                <w:tab w:val="left" w:pos="1401"/>
              </w:tabs>
              <w:spacing w:line="240" w:lineRule="exact"/>
              <w:rPr>
                <w:sz w:val="24"/>
              </w:rPr>
            </w:pPr>
          </w:p>
          <w:p w14:paraId="0FB2206F" w14:textId="77777777" w:rsidR="00F518C4" w:rsidRPr="00F518C4" w:rsidRDefault="00F518C4" w:rsidP="00F518C4">
            <w:pPr>
              <w:pStyle w:val="Header"/>
              <w:tabs>
                <w:tab w:val="left" w:pos="681"/>
                <w:tab w:val="left" w:pos="1401"/>
              </w:tabs>
              <w:spacing w:line="240" w:lineRule="exact"/>
              <w:rPr>
                <w:sz w:val="24"/>
              </w:rPr>
            </w:pPr>
            <w:r w:rsidRPr="00F518C4">
              <w:rPr>
                <w:sz w:val="24"/>
              </w:rPr>
              <w:tab/>
            </w:r>
            <w:r w:rsidRPr="00F518C4">
              <w:rPr>
                <w:sz w:val="24"/>
              </w:rPr>
              <w:tab/>
              <w:t>Complainant,</w:t>
            </w:r>
          </w:p>
          <w:p w14:paraId="3F930CBA" w14:textId="77777777" w:rsidR="00F518C4" w:rsidRPr="00F518C4" w:rsidRDefault="00F518C4" w:rsidP="00F518C4">
            <w:pPr>
              <w:pStyle w:val="Header"/>
              <w:tabs>
                <w:tab w:val="left" w:pos="681"/>
                <w:tab w:val="left" w:pos="1401"/>
              </w:tabs>
              <w:spacing w:line="240" w:lineRule="exact"/>
              <w:rPr>
                <w:sz w:val="24"/>
              </w:rPr>
            </w:pPr>
          </w:p>
          <w:p w14:paraId="075C2393" w14:textId="77777777" w:rsidR="00F518C4" w:rsidRPr="00F518C4" w:rsidRDefault="00F518C4" w:rsidP="00F518C4">
            <w:pPr>
              <w:pStyle w:val="Header"/>
              <w:tabs>
                <w:tab w:val="left" w:pos="681"/>
                <w:tab w:val="left" w:pos="1401"/>
              </w:tabs>
              <w:spacing w:line="240" w:lineRule="exact"/>
              <w:rPr>
                <w:sz w:val="24"/>
              </w:rPr>
            </w:pPr>
            <w:r w:rsidRPr="00F518C4">
              <w:rPr>
                <w:sz w:val="24"/>
              </w:rPr>
              <w:tab/>
              <w:t>v.</w:t>
            </w:r>
          </w:p>
          <w:p w14:paraId="74CD765F" w14:textId="77777777" w:rsidR="00F518C4" w:rsidRPr="00F518C4" w:rsidRDefault="00F518C4" w:rsidP="00F518C4">
            <w:pPr>
              <w:pStyle w:val="Header"/>
              <w:tabs>
                <w:tab w:val="left" w:pos="681"/>
                <w:tab w:val="left" w:pos="1401"/>
              </w:tabs>
              <w:spacing w:line="240" w:lineRule="exact"/>
              <w:rPr>
                <w:sz w:val="24"/>
              </w:rPr>
            </w:pPr>
          </w:p>
          <w:p w14:paraId="09430EA7" w14:textId="77777777" w:rsidR="00F518C4" w:rsidRPr="00F518C4" w:rsidRDefault="00F518C4" w:rsidP="00F518C4">
            <w:pPr>
              <w:pStyle w:val="Header"/>
              <w:tabs>
                <w:tab w:val="left" w:pos="681"/>
                <w:tab w:val="left" w:pos="1401"/>
              </w:tabs>
              <w:spacing w:line="240" w:lineRule="exact"/>
              <w:rPr>
                <w:sz w:val="24"/>
              </w:rPr>
            </w:pPr>
            <w:r w:rsidRPr="00F518C4">
              <w:rPr>
                <w:sz w:val="24"/>
              </w:rPr>
              <w:t xml:space="preserve">AVISTA CORPORATION, </w:t>
            </w:r>
          </w:p>
          <w:p w14:paraId="6C95E51F" w14:textId="77777777" w:rsidR="00F518C4" w:rsidRPr="00F518C4" w:rsidRDefault="00F518C4" w:rsidP="00F518C4">
            <w:pPr>
              <w:pStyle w:val="Header"/>
              <w:tabs>
                <w:tab w:val="left" w:pos="681"/>
                <w:tab w:val="left" w:pos="1401"/>
              </w:tabs>
              <w:spacing w:line="240" w:lineRule="exact"/>
              <w:rPr>
                <w:sz w:val="24"/>
              </w:rPr>
            </w:pPr>
          </w:p>
          <w:p w14:paraId="4D83C8E7" w14:textId="77777777" w:rsidR="00F518C4" w:rsidRPr="00F518C4" w:rsidRDefault="00F518C4" w:rsidP="00F518C4">
            <w:pPr>
              <w:pStyle w:val="Header"/>
              <w:tabs>
                <w:tab w:val="left" w:pos="681"/>
                <w:tab w:val="left" w:pos="1401"/>
              </w:tabs>
              <w:spacing w:line="240" w:lineRule="exact"/>
              <w:rPr>
                <w:sz w:val="24"/>
              </w:rPr>
            </w:pPr>
            <w:r w:rsidRPr="00F518C4">
              <w:rPr>
                <w:sz w:val="24"/>
              </w:rPr>
              <w:tab/>
            </w:r>
            <w:r w:rsidRPr="00F518C4">
              <w:rPr>
                <w:sz w:val="24"/>
              </w:rPr>
              <w:tab/>
              <w:t>Respondent.</w:t>
            </w:r>
          </w:p>
          <w:p w14:paraId="53BF1C76" w14:textId="77777777" w:rsidR="004F69A5" w:rsidRPr="004A2910" w:rsidRDefault="004F69A5" w:rsidP="00F518C4">
            <w:pPr>
              <w:spacing w:after="19"/>
              <w:rPr>
                <w:sz w:val="24"/>
              </w:rPr>
            </w:pPr>
          </w:p>
        </w:tc>
        <w:tc>
          <w:tcPr>
            <w:tcW w:w="4722" w:type="dxa"/>
            <w:tcBorders>
              <w:top w:val="single" w:sz="6" w:space="0" w:color="FFFFFF"/>
              <w:left w:val="single" w:sz="7" w:space="0" w:color="000000"/>
              <w:bottom w:val="single" w:sz="6" w:space="0" w:color="FFFFFF"/>
              <w:right w:val="single" w:sz="6" w:space="0" w:color="FFFFFF"/>
            </w:tcBorders>
          </w:tcPr>
          <w:p w14:paraId="65B3ACD6" w14:textId="77777777" w:rsidR="00F518C4" w:rsidRPr="00F518C4" w:rsidRDefault="00F518C4" w:rsidP="005925E7">
            <w:pPr>
              <w:ind w:firstLine="464"/>
              <w:rPr>
                <w:sz w:val="24"/>
              </w:rPr>
            </w:pPr>
            <w:r w:rsidRPr="00F518C4">
              <w:rPr>
                <w:sz w:val="24"/>
              </w:rPr>
              <w:t>DOCKETS UE-160228/UG-160229</w:t>
            </w:r>
          </w:p>
          <w:p w14:paraId="38FA8301" w14:textId="77777777" w:rsidR="00F518C4" w:rsidRPr="00F518C4" w:rsidRDefault="00F518C4" w:rsidP="005925E7">
            <w:pPr>
              <w:ind w:firstLine="464"/>
              <w:rPr>
                <w:sz w:val="24"/>
              </w:rPr>
            </w:pPr>
          </w:p>
          <w:p w14:paraId="7D80A177" w14:textId="77777777" w:rsidR="00F748D8" w:rsidRPr="004A2910" w:rsidRDefault="009B71B7" w:rsidP="005925E7">
            <w:pPr>
              <w:spacing w:after="19"/>
              <w:ind w:left="464"/>
              <w:rPr>
                <w:sz w:val="24"/>
              </w:rPr>
            </w:pPr>
            <w:r>
              <w:rPr>
                <w:sz w:val="24"/>
              </w:rPr>
              <w:t>COMMISSION STAFF’S RESPONSE TO AVISTA’S MOTION TO SUPPLEMENT THE RECORD TO INCLUDE POWER SUPPLY UPDATE</w:t>
            </w:r>
          </w:p>
        </w:tc>
      </w:tr>
    </w:tbl>
    <w:p w14:paraId="26E753CD" w14:textId="77777777" w:rsidR="00F748D8" w:rsidRDefault="00F748D8" w:rsidP="00F748D8">
      <w:pPr>
        <w:jc w:val="both"/>
        <w:rPr>
          <w:sz w:val="24"/>
        </w:rPr>
      </w:pPr>
    </w:p>
    <w:p w14:paraId="13869B45" w14:textId="77777777" w:rsidR="000D259F" w:rsidRPr="006B0EF3" w:rsidRDefault="000D259F" w:rsidP="002215F9">
      <w:pPr>
        <w:pStyle w:val="ListParagraph"/>
        <w:numPr>
          <w:ilvl w:val="0"/>
          <w:numId w:val="9"/>
        </w:numPr>
        <w:spacing w:line="480" w:lineRule="auto"/>
        <w:ind w:left="0" w:firstLine="0"/>
        <w:jc w:val="center"/>
        <w:rPr>
          <w:b/>
          <w:sz w:val="24"/>
        </w:rPr>
      </w:pPr>
      <w:r w:rsidRPr="006B0EF3">
        <w:rPr>
          <w:b/>
          <w:sz w:val="24"/>
        </w:rPr>
        <w:t>INTRODUCTION</w:t>
      </w:r>
    </w:p>
    <w:p w14:paraId="2DFF5798" w14:textId="77777777" w:rsidR="000D259F" w:rsidRPr="000D259F" w:rsidRDefault="00D77653" w:rsidP="00D77653">
      <w:pPr>
        <w:widowControl/>
        <w:numPr>
          <w:ilvl w:val="0"/>
          <w:numId w:val="8"/>
        </w:numPr>
        <w:tabs>
          <w:tab w:val="left" w:pos="720"/>
          <w:tab w:val="left" w:pos="4770"/>
        </w:tabs>
        <w:autoSpaceDE/>
        <w:autoSpaceDN/>
        <w:adjustRightInd/>
        <w:spacing w:line="480" w:lineRule="auto"/>
        <w:ind w:left="0" w:hanging="720"/>
        <w:rPr>
          <w:sz w:val="24"/>
        </w:rPr>
      </w:pPr>
      <w:r>
        <w:rPr>
          <w:sz w:val="24"/>
        </w:rPr>
        <w:tab/>
      </w:r>
      <w:r w:rsidR="00007849">
        <w:rPr>
          <w:sz w:val="24"/>
        </w:rPr>
        <w:t xml:space="preserve">Pursuant to WAC 480-07-35(1)(d) and the Commission’s November 4th Notice Extending Time for Responses, </w:t>
      </w:r>
      <w:r w:rsidR="000D259F" w:rsidRPr="000D259F">
        <w:rPr>
          <w:sz w:val="24"/>
        </w:rPr>
        <w:t xml:space="preserve">Commission Staff of the Washington Utilities and Transportation Commission (Commission) submits this </w:t>
      </w:r>
      <w:r w:rsidR="000D259F">
        <w:rPr>
          <w:sz w:val="24"/>
        </w:rPr>
        <w:t>Response</w:t>
      </w:r>
      <w:r w:rsidR="00DB58DA">
        <w:rPr>
          <w:sz w:val="24"/>
        </w:rPr>
        <w:t xml:space="preserve"> to the Motion of Avista Corporation to Supplement the Record to Include Power Supply Update (Motion)</w:t>
      </w:r>
      <w:r w:rsidR="00CC017C">
        <w:rPr>
          <w:sz w:val="24"/>
        </w:rPr>
        <w:t>.</w:t>
      </w:r>
      <w:r w:rsidR="00EA581E">
        <w:rPr>
          <w:sz w:val="24"/>
        </w:rPr>
        <w:t xml:space="preserve"> </w:t>
      </w:r>
      <w:r>
        <w:rPr>
          <w:sz w:val="24"/>
        </w:rPr>
        <w:t>Staff recommends that the Commission deny the Motion</w:t>
      </w:r>
      <w:r w:rsidR="00EA581E">
        <w:rPr>
          <w:sz w:val="24"/>
        </w:rPr>
        <w:t xml:space="preserve">. </w:t>
      </w:r>
    </w:p>
    <w:p w14:paraId="37D03E88" w14:textId="77777777" w:rsidR="000D259F" w:rsidRPr="006B0EF3" w:rsidRDefault="000D259F" w:rsidP="00E26F64">
      <w:pPr>
        <w:pStyle w:val="ListParagraph"/>
        <w:numPr>
          <w:ilvl w:val="0"/>
          <w:numId w:val="9"/>
        </w:numPr>
        <w:spacing w:line="480" w:lineRule="auto"/>
        <w:ind w:left="0" w:firstLine="0"/>
        <w:jc w:val="center"/>
        <w:rPr>
          <w:b/>
          <w:sz w:val="24"/>
        </w:rPr>
      </w:pPr>
      <w:r w:rsidRPr="006B0EF3">
        <w:rPr>
          <w:b/>
          <w:sz w:val="24"/>
        </w:rPr>
        <w:t>BACKGROUND</w:t>
      </w:r>
    </w:p>
    <w:p w14:paraId="4AFBB8DA" w14:textId="177CB213" w:rsidR="001C1789" w:rsidRDefault="000A2C23" w:rsidP="000A2C23">
      <w:pPr>
        <w:widowControl/>
        <w:numPr>
          <w:ilvl w:val="0"/>
          <w:numId w:val="8"/>
        </w:numPr>
        <w:autoSpaceDE/>
        <w:autoSpaceDN/>
        <w:adjustRightInd/>
        <w:spacing w:line="480" w:lineRule="auto"/>
        <w:ind w:left="0" w:hanging="720"/>
        <w:rPr>
          <w:sz w:val="24"/>
        </w:rPr>
      </w:pPr>
      <w:r>
        <w:rPr>
          <w:sz w:val="24"/>
        </w:rPr>
        <w:tab/>
      </w:r>
      <w:r w:rsidR="005C6E69">
        <w:rPr>
          <w:sz w:val="24"/>
        </w:rPr>
        <w:t xml:space="preserve">At issue in </w:t>
      </w:r>
      <w:r w:rsidR="00C07A42">
        <w:rPr>
          <w:sz w:val="24"/>
        </w:rPr>
        <w:t>this M</w:t>
      </w:r>
      <w:r w:rsidR="005C6E69">
        <w:rPr>
          <w:sz w:val="24"/>
        </w:rPr>
        <w:t xml:space="preserve">otion are </w:t>
      </w:r>
      <w:r w:rsidR="00C07A42">
        <w:rPr>
          <w:sz w:val="24"/>
        </w:rPr>
        <w:t xml:space="preserve">proposed </w:t>
      </w:r>
      <w:r w:rsidR="005C6E69">
        <w:rPr>
          <w:sz w:val="24"/>
        </w:rPr>
        <w:t xml:space="preserve">updates to </w:t>
      </w:r>
      <w:r w:rsidR="002913B5">
        <w:rPr>
          <w:sz w:val="24"/>
        </w:rPr>
        <w:t xml:space="preserve">the </w:t>
      </w:r>
      <w:r w:rsidR="005C6E69">
        <w:rPr>
          <w:sz w:val="24"/>
        </w:rPr>
        <w:t>electric power costs</w:t>
      </w:r>
      <w:r w:rsidR="002913B5">
        <w:rPr>
          <w:sz w:val="24"/>
        </w:rPr>
        <w:t xml:space="preserve"> of Avista Corporation d/b/a Avista Utilities (“Avista” or “Company”)</w:t>
      </w:r>
      <w:r w:rsidR="005C6E69">
        <w:rPr>
          <w:sz w:val="24"/>
        </w:rPr>
        <w:t xml:space="preserve">. </w:t>
      </w:r>
      <w:r w:rsidR="005C58A4">
        <w:rPr>
          <w:sz w:val="24"/>
        </w:rPr>
        <w:t xml:space="preserve">When Avista filed this case, it proposed revenue requirements for gas and electric for the 2017 rate year and for the first six months of 2018. The Company’s revenue requirements </w:t>
      </w:r>
      <w:r w:rsidR="005C6E69">
        <w:rPr>
          <w:sz w:val="24"/>
        </w:rPr>
        <w:t xml:space="preserve">for electric service </w:t>
      </w:r>
      <w:r w:rsidR="005C58A4">
        <w:rPr>
          <w:sz w:val="24"/>
        </w:rPr>
        <w:t xml:space="preserve">were $38.6 million for </w:t>
      </w:r>
      <w:r w:rsidR="002913B5">
        <w:rPr>
          <w:sz w:val="24"/>
        </w:rPr>
        <w:t xml:space="preserve">the </w:t>
      </w:r>
      <w:r w:rsidR="005C6E69">
        <w:rPr>
          <w:sz w:val="24"/>
        </w:rPr>
        <w:t>2017 rate year</w:t>
      </w:r>
      <w:r w:rsidR="00355F29">
        <w:rPr>
          <w:rStyle w:val="FootnoteReference"/>
          <w:sz w:val="24"/>
        </w:rPr>
        <w:footnoteReference w:id="1"/>
      </w:r>
      <w:r w:rsidR="005C6E69">
        <w:rPr>
          <w:sz w:val="24"/>
        </w:rPr>
        <w:t xml:space="preserve"> and </w:t>
      </w:r>
      <w:r w:rsidR="00324019">
        <w:rPr>
          <w:sz w:val="24"/>
        </w:rPr>
        <w:t xml:space="preserve">$10.3 million for </w:t>
      </w:r>
      <w:r w:rsidR="005C6E69">
        <w:rPr>
          <w:sz w:val="24"/>
        </w:rPr>
        <w:t>the 2018 rate period</w:t>
      </w:r>
      <w:r w:rsidR="005C58A4">
        <w:rPr>
          <w:sz w:val="24"/>
        </w:rPr>
        <w:t>.</w:t>
      </w:r>
      <w:r w:rsidR="00355F29">
        <w:rPr>
          <w:rStyle w:val="FootnoteReference"/>
          <w:sz w:val="24"/>
        </w:rPr>
        <w:footnoteReference w:id="2"/>
      </w:r>
      <w:r w:rsidR="005C58A4">
        <w:rPr>
          <w:sz w:val="24"/>
        </w:rPr>
        <w:t xml:space="preserve"> On rebuttal, Avista presented increased </w:t>
      </w:r>
      <w:r w:rsidR="00324019">
        <w:rPr>
          <w:sz w:val="24"/>
        </w:rPr>
        <w:t xml:space="preserve">electric </w:t>
      </w:r>
      <w:r w:rsidR="005C58A4">
        <w:rPr>
          <w:sz w:val="24"/>
        </w:rPr>
        <w:t>revenue requirements in the amoun</w:t>
      </w:r>
      <w:r w:rsidR="00324019">
        <w:rPr>
          <w:sz w:val="24"/>
        </w:rPr>
        <w:t>t of $40.1 million fo</w:t>
      </w:r>
      <w:r w:rsidR="005C6E69">
        <w:rPr>
          <w:sz w:val="24"/>
        </w:rPr>
        <w:t>r</w:t>
      </w:r>
      <w:r w:rsidR="00324019">
        <w:rPr>
          <w:sz w:val="24"/>
        </w:rPr>
        <w:t xml:space="preserve"> 2017 and $10.5 for 2018</w:t>
      </w:r>
      <w:r w:rsidR="005C58A4">
        <w:rPr>
          <w:sz w:val="24"/>
        </w:rPr>
        <w:t>, but stated that the Company’s actual request had not changed from as-filed levels.</w:t>
      </w:r>
      <w:r w:rsidR="00BA1E93">
        <w:rPr>
          <w:rStyle w:val="FootnoteReference"/>
          <w:sz w:val="24"/>
        </w:rPr>
        <w:footnoteReference w:id="3"/>
      </w:r>
    </w:p>
    <w:p w14:paraId="35EF6E0B" w14:textId="66E8D883" w:rsidR="000D259F" w:rsidRDefault="001C1789" w:rsidP="000A2C23">
      <w:pPr>
        <w:widowControl/>
        <w:numPr>
          <w:ilvl w:val="0"/>
          <w:numId w:val="8"/>
        </w:numPr>
        <w:autoSpaceDE/>
        <w:autoSpaceDN/>
        <w:adjustRightInd/>
        <w:spacing w:line="480" w:lineRule="auto"/>
        <w:ind w:left="0" w:hanging="720"/>
        <w:rPr>
          <w:sz w:val="24"/>
        </w:rPr>
      </w:pPr>
      <w:r>
        <w:rPr>
          <w:sz w:val="24"/>
        </w:rPr>
        <w:lastRenderedPageBreak/>
        <w:tab/>
      </w:r>
      <w:r w:rsidR="00CC017C">
        <w:rPr>
          <w:sz w:val="24"/>
        </w:rPr>
        <w:t xml:space="preserve">On November </w:t>
      </w:r>
      <w:r w:rsidR="0055729C">
        <w:rPr>
          <w:sz w:val="24"/>
        </w:rPr>
        <w:t>1</w:t>
      </w:r>
      <w:r w:rsidR="00CC017C">
        <w:rPr>
          <w:sz w:val="24"/>
        </w:rPr>
        <w:t>, 2016, Avista</w:t>
      </w:r>
      <w:r w:rsidR="00732168">
        <w:rPr>
          <w:sz w:val="24"/>
        </w:rPr>
        <w:t xml:space="preserve"> filed its Motion. </w:t>
      </w:r>
      <w:r w:rsidR="001E6A9C">
        <w:rPr>
          <w:sz w:val="24"/>
        </w:rPr>
        <w:t xml:space="preserve">In its Motion, </w:t>
      </w:r>
      <w:r w:rsidR="00EA581E">
        <w:rPr>
          <w:sz w:val="24"/>
        </w:rPr>
        <w:t xml:space="preserve">Avista reports that </w:t>
      </w:r>
      <w:r w:rsidR="0030586C">
        <w:rPr>
          <w:sz w:val="24"/>
        </w:rPr>
        <w:t xml:space="preserve">there will be a </w:t>
      </w:r>
      <w:r w:rsidR="002F2B88">
        <w:rPr>
          <w:sz w:val="24"/>
        </w:rPr>
        <w:t xml:space="preserve">net </w:t>
      </w:r>
      <w:r w:rsidR="003C7B93">
        <w:rPr>
          <w:sz w:val="24"/>
        </w:rPr>
        <w:t>reduction in power supply costs for calendar year 2017</w:t>
      </w:r>
      <w:r w:rsidR="0030586C">
        <w:rPr>
          <w:sz w:val="24"/>
        </w:rPr>
        <w:t xml:space="preserve"> </w:t>
      </w:r>
      <w:r w:rsidR="002F2B88">
        <w:rPr>
          <w:sz w:val="24"/>
        </w:rPr>
        <w:t>in the amount of $591,000.</w:t>
      </w:r>
      <w:r w:rsidR="002F2B88">
        <w:rPr>
          <w:rStyle w:val="FootnoteReference"/>
          <w:sz w:val="24"/>
        </w:rPr>
        <w:footnoteReference w:id="4"/>
      </w:r>
      <w:r w:rsidR="002F2B88">
        <w:rPr>
          <w:sz w:val="24"/>
        </w:rPr>
        <w:t xml:space="preserve"> </w:t>
      </w:r>
      <w:r w:rsidR="0044219E">
        <w:rPr>
          <w:sz w:val="24"/>
        </w:rPr>
        <w:t xml:space="preserve">Avista subtracts this number from </w:t>
      </w:r>
      <w:r w:rsidR="00400F68">
        <w:rPr>
          <w:sz w:val="24"/>
        </w:rPr>
        <w:t>its most recently presented 2017 electric revenue requirement of $ 40.1 million</w:t>
      </w:r>
      <w:r w:rsidR="00AE6CCF">
        <w:rPr>
          <w:sz w:val="24"/>
        </w:rPr>
        <w:t>.</w:t>
      </w:r>
      <w:r w:rsidR="00400F68">
        <w:rPr>
          <w:rStyle w:val="FootnoteReference"/>
          <w:sz w:val="24"/>
        </w:rPr>
        <w:footnoteReference w:id="5"/>
      </w:r>
      <w:r w:rsidR="00400F68">
        <w:rPr>
          <w:sz w:val="24"/>
        </w:rPr>
        <w:t xml:space="preserve"> The difference is approximately $39.5 million. Because the difference remains above Avista’s requested revenue requirement of $38.6 million, Avista proposes that the decrease in power supply expense </w:t>
      </w:r>
      <w:r w:rsidR="00CA77B1">
        <w:rPr>
          <w:sz w:val="24"/>
        </w:rPr>
        <w:t>not be considered in establishing</w:t>
      </w:r>
      <w:r w:rsidR="00400F68">
        <w:rPr>
          <w:sz w:val="24"/>
        </w:rPr>
        <w:t xml:space="preserve"> Avista’s 2017 revenue requirement.</w:t>
      </w:r>
      <w:r w:rsidR="00400F68">
        <w:rPr>
          <w:rStyle w:val="FootnoteReference"/>
          <w:sz w:val="24"/>
        </w:rPr>
        <w:footnoteReference w:id="6"/>
      </w:r>
      <w:r w:rsidR="009D1CAB">
        <w:rPr>
          <w:sz w:val="24"/>
        </w:rPr>
        <w:t xml:space="preserve"> </w:t>
      </w:r>
      <w:r w:rsidR="00916CF4">
        <w:rPr>
          <w:sz w:val="24"/>
        </w:rPr>
        <w:t xml:space="preserve">The decrease in power costs would, however, be applied to set a new </w:t>
      </w:r>
      <w:r w:rsidR="008228D6">
        <w:rPr>
          <w:sz w:val="24"/>
        </w:rPr>
        <w:t>Energy Recovery Mechanism (</w:t>
      </w:r>
      <w:r w:rsidR="00916CF4">
        <w:rPr>
          <w:sz w:val="24"/>
        </w:rPr>
        <w:t>ERM</w:t>
      </w:r>
      <w:r w:rsidR="008228D6">
        <w:rPr>
          <w:sz w:val="24"/>
        </w:rPr>
        <w:t>)</w:t>
      </w:r>
      <w:r w:rsidR="00916CF4">
        <w:rPr>
          <w:sz w:val="24"/>
        </w:rPr>
        <w:t xml:space="preserve"> baseline for 2017.</w:t>
      </w:r>
      <w:r w:rsidR="00916CF4">
        <w:rPr>
          <w:rStyle w:val="FootnoteReference"/>
          <w:sz w:val="24"/>
        </w:rPr>
        <w:footnoteReference w:id="7"/>
      </w:r>
    </w:p>
    <w:p w14:paraId="10E390EE" w14:textId="0EBFEA75" w:rsidR="00F268EE" w:rsidRDefault="00F268EE" w:rsidP="000A2C23">
      <w:pPr>
        <w:widowControl/>
        <w:numPr>
          <w:ilvl w:val="0"/>
          <w:numId w:val="8"/>
        </w:numPr>
        <w:autoSpaceDE/>
        <w:autoSpaceDN/>
        <w:adjustRightInd/>
        <w:spacing w:line="480" w:lineRule="auto"/>
        <w:ind w:left="0" w:hanging="720"/>
        <w:rPr>
          <w:sz w:val="24"/>
        </w:rPr>
      </w:pPr>
      <w:r>
        <w:rPr>
          <w:sz w:val="24"/>
        </w:rPr>
        <w:tab/>
        <w:t xml:space="preserve">According to Avista’s Motion, power supply costs will decrease </w:t>
      </w:r>
      <w:r w:rsidR="00324019">
        <w:rPr>
          <w:sz w:val="24"/>
        </w:rPr>
        <w:t xml:space="preserve">also </w:t>
      </w:r>
      <w:r>
        <w:rPr>
          <w:sz w:val="24"/>
        </w:rPr>
        <w:t>for the six-month 2018 rate period. The reduction is incremental and is in the amount of $1.46 million.</w:t>
      </w:r>
      <w:r w:rsidR="00324019">
        <w:rPr>
          <w:rStyle w:val="FootnoteReference"/>
          <w:sz w:val="24"/>
        </w:rPr>
        <w:footnoteReference w:id="8"/>
      </w:r>
      <w:r w:rsidR="009F03EE">
        <w:rPr>
          <w:sz w:val="24"/>
        </w:rPr>
        <w:t xml:space="preserve"> Avista </w:t>
      </w:r>
      <w:r w:rsidR="00324019">
        <w:rPr>
          <w:sz w:val="24"/>
        </w:rPr>
        <w:t>subtracts</w:t>
      </w:r>
      <w:r w:rsidR="009F03EE">
        <w:rPr>
          <w:sz w:val="24"/>
        </w:rPr>
        <w:t xml:space="preserve"> </w:t>
      </w:r>
      <w:r w:rsidR="001E6A9C">
        <w:rPr>
          <w:sz w:val="24"/>
        </w:rPr>
        <w:t>this</w:t>
      </w:r>
      <w:r w:rsidR="009F03EE">
        <w:rPr>
          <w:sz w:val="24"/>
        </w:rPr>
        <w:t xml:space="preserve"> reduction </w:t>
      </w:r>
      <w:r w:rsidR="00324019">
        <w:rPr>
          <w:sz w:val="24"/>
        </w:rPr>
        <w:t xml:space="preserve">from </w:t>
      </w:r>
      <w:r w:rsidR="009F03EE">
        <w:rPr>
          <w:sz w:val="24"/>
        </w:rPr>
        <w:t xml:space="preserve">Avista’s electric revenue </w:t>
      </w:r>
      <w:r w:rsidR="001E6A9C">
        <w:rPr>
          <w:sz w:val="24"/>
        </w:rPr>
        <w:t>“need”</w:t>
      </w:r>
      <w:r w:rsidR="009F03EE">
        <w:rPr>
          <w:sz w:val="24"/>
        </w:rPr>
        <w:t xml:space="preserve"> </w:t>
      </w:r>
      <w:r w:rsidR="001E6A9C">
        <w:rPr>
          <w:sz w:val="24"/>
        </w:rPr>
        <w:t>of $10.5</w:t>
      </w:r>
      <w:r w:rsidR="009F03EE">
        <w:rPr>
          <w:sz w:val="24"/>
        </w:rPr>
        <w:t xml:space="preserve"> million </w:t>
      </w:r>
      <w:r w:rsidR="00606B53">
        <w:rPr>
          <w:sz w:val="24"/>
        </w:rPr>
        <w:t xml:space="preserve">presented on rebuttal </w:t>
      </w:r>
      <w:r w:rsidR="009F03EE">
        <w:rPr>
          <w:sz w:val="24"/>
        </w:rPr>
        <w:t>for the 2018 rate period</w:t>
      </w:r>
      <w:r w:rsidR="00E01340">
        <w:rPr>
          <w:sz w:val="24"/>
        </w:rPr>
        <w:t xml:space="preserve">. This difference results </w:t>
      </w:r>
      <w:r w:rsidR="009C5642">
        <w:rPr>
          <w:sz w:val="24"/>
        </w:rPr>
        <w:t>in a revised revenue requirement of</w:t>
      </w:r>
      <w:r w:rsidR="009F03EE">
        <w:rPr>
          <w:sz w:val="24"/>
        </w:rPr>
        <w:t xml:space="preserve"> $8,986,000, </w:t>
      </w:r>
      <w:r w:rsidR="00957654">
        <w:rPr>
          <w:sz w:val="24"/>
        </w:rPr>
        <w:t>which</w:t>
      </w:r>
      <w:r w:rsidR="009F03EE">
        <w:rPr>
          <w:sz w:val="24"/>
        </w:rPr>
        <w:t xml:space="preserve"> is the revenue requirement that Avista now requests for the 2018 rate period.</w:t>
      </w:r>
      <w:r w:rsidR="005F41BE">
        <w:rPr>
          <w:sz w:val="24"/>
        </w:rPr>
        <w:t xml:space="preserve"> This means that, with this Motion, Avista </w:t>
      </w:r>
      <w:r w:rsidR="00E01340">
        <w:rPr>
          <w:sz w:val="24"/>
        </w:rPr>
        <w:t>has changed</w:t>
      </w:r>
      <w:r w:rsidR="005F41BE">
        <w:rPr>
          <w:sz w:val="24"/>
        </w:rPr>
        <w:t xml:space="preserve"> its position and </w:t>
      </w:r>
      <w:r w:rsidR="00E01340">
        <w:rPr>
          <w:sz w:val="24"/>
        </w:rPr>
        <w:t xml:space="preserve">now </w:t>
      </w:r>
      <w:r w:rsidR="005F41BE">
        <w:rPr>
          <w:sz w:val="24"/>
        </w:rPr>
        <w:t>bases its requested revenue requirement for 2018 on the level it presented on rebuttal.</w:t>
      </w:r>
    </w:p>
    <w:p w14:paraId="602D4398" w14:textId="673F0F8B" w:rsidR="005A6DAC" w:rsidRDefault="005A6DAC" w:rsidP="000A2C23">
      <w:pPr>
        <w:widowControl/>
        <w:numPr>
          <w:ilvl w:val="0"/>
          <w:numId w:val="8"/>
        </w:numPr>
        <w:autoSpaceDE/>
        <w:autoSpaceDN/>
        <w:adjustRightInd/>
        <w:spacing w:line="480" w:lineRule="auto"/>
        <w:ind w:left="0" w:hanging="720"/>
        <w:rPr>
          <w:sz w:val="24"/>
        </w:rPr>
      </w:pPr>
      <w:r>
        <w:rPr>
          <w:sz w:val="24"/>
        </w:rPr>
        <w:tab/>
        <w:t>Avista’</w:t>
      </w:r>
      <w:r w:rsidR="009D31A2">
        <w:rPr>
          <w:sz w:val="24"/>
        </w:rPr>
        <w:t>s Motion includes a four-page cover letter and Attachments A through G, which are revised spreadsheets incorp</w:t>
      </w:r>
      <w:r w:rsidR="00DC5000">
        <w:rPr>
          <w:sz w:val="24"/>
        </w:rPr>
        <w:t>orating the power cost changes into the Company’s case.</w:t>
      </w:r>
      <w:r w:rsidR="009D31A2">
        <w:rPr>
          <w:sz w:val="24"/>
        </w:rPr>
        <w:t xml:space="preserve"> </w:t>
      </w:r>
      <w:r w:rsidR="00E704FD">
        <w:rPr>
          <w:sz w:val="24"/>
        </w:rPr>
        <w:t xml:space="preserve">Staff has reviewed the filing, including the </w:t>
      </w:r>
      <w:r w:rsidR="002913B5">
        <w:rPr>
          <w:sz w:val="24"/>
        </w:rPr>
        <w:t xml:space="preserve">Company’s </w:t>
      </w:r>
      <w:r w:rsidR="00E704FD">
        <w:rPr>
          <w:sz w:val="24"/>
        </w:rPr>
        <w:t>workpapers.</w:t>
      </w:r>
      <w:r w:rsidR="00E704FD">
        <w:rPr>
          <w:rStyle w:val="FootnoteReference"/>
          <w:sz w:val="24"/>
        </w:rPr>
        <w:footnoteReference w:id="9"/>
      </w:r>
      <w:r w:rsidR="00E704FD">
        <w:rPr>
          <w:sz w:val="24"/>
        </w:rPr>
        <w:t xml:space="preserve"> </w:t>
      </w:r>
      <w:r w:rsidR="00DC5000">
        <w:rPr>
          <w:sz w:val="24"/>
        </w:rPr>
        <w:t>The Motion, however, is not a simple update of power costs.</w:t>
      </w:r>
      <w:r w:rsidR="00DC5000">
        <w:rPr>
          <w:rStyle w:val="FootnoteReference"/>
          <w:sz w:val="24"/>
        </w:rPr>
        <w:footnoteReference w:id="10"/>
      </w:r>
      <w:r w:rsidR="00202F29">
        <w:rPr>
          <w:sz w:val="24"/>
        </w:rPr>
        <w:t xml:space="preserve"> </w:t>
      </w:r>
      <w:r w:rsidR="002164F9">
        <w:rPr>
          <w:sz w:val="24"/>
        </w:rPr>
        <w:t xml:space="preserve">For example, </w:t>
      </w:r>
      <w:r w:rsidR="00202F29">
        <w:rPr>
          <w:sz w:val="24"/>
        </w:rPr>
        <w:t xml:space="preserve">Avista changed the </w:t>
      </w:r>
      <w:r w:rsidR="00202F29">
        <w:rPr>
          <w:sz w:val="24"/>
        </w:rPr>
        <w:lastRenderedPageBreak/>
        <w:t>parameters of the Aurora model itself to generate the power cost update.</w:t>
      </w:r>
      <w:r w:rsidR="00202F29">
        <w:rPr>
          <w:rStyle w:val="FootnoteReference"/>
          <w:sz w:val="24"/>
        </w:rPr>
        <w:footnoteReference w:id="11"/>
      </w:r>
      <w:r w:rsidR="00202F29">
        <w:rPr>
          <w:sz w:val="24"/>
        </w:rPr>
        <w:t xml:space="preserve"> In addition, Avista has changed the assumptions and estimates that it relied on in earlier phases of the case</w:t>
      </w:r>
      <w:r w:rsidR="008E24B7">
        <w:rPr>
          <w:sz w:val="24"/>
        </w:rPr>
        <w:t xml:space="preserve"> and </w:t>
      </w:r>
      <w:r w:rsidR="00154E30">
        <w:rPr>
          <w:sz w:val="24"/>
        </w:rPr>
        <w:t xml:space="preserve">to </w:t>
      </w:r>
      <w:r w:rsidR="008E24B7">
        <w:rPr>
          <w:sz w:val="24"/>
        </w:rPr>
        <w:t>which witnesses responded in testimony and which are presently being deliberated by the Commission</w:t>
      </w:r>
      <w:r w:rsidR="00202F29">
        <w:rPr>
          <w:sz w:val="24"/>
        </w:rPr>
        <w:t>.</w:t>
      </w:r>
      <w:r w:rsidR="00202F29">
        <w:rPr>
          <w:rStyle w:val="FootnoteReference"/>
          <w:sz w:val="24"/>
        </w:rPr>
        <w:footnoteReference w:id="12"/>
      </w:r>
      <w:r w:rsidR="00202F29">
        <w:rPr>
          <w:sz w:val="24"/>
        </w:rPr>
        <w:t xml:space="preserve"> Taken together, this means that Avista essentially presents a new power cost case.</w:t>
      </w:r>
    </w:p>
    <w:p w14:paraId="4AA1A8D3" w14:textId="739241E0" w:rsidR="003261C1" w:rsidRDefault="003261C1" w:rsidP="000A2C23">
      <w:pPr>
        <w:widowControl/>
        <w:numPr>
          <w:ilvl w:val="0"/>
          <w:numId w:val="8"/>
        </w:numPr>
        <w:autoSpaceDE/>
        <w:autoSpaceDN/>
        <w:adjustRightInd/>
        <w:spacing w:line="480" w:lineRule="auto"/>
        <w:ind w:left="0" w:hanging="720"/>
        <w:rPr>
          <w:sz w:val="24"/>
        </w:rPr>
      </w:pPr>
      <w:r>
        <w:rPr>
          <w:sz w:val="24"/>
        </w:rPr>
        <w:tab/>
        <w:t>On the same day that Avista filed its power cost update proposal, the Commis</w:t>
      </w:r>
      <w:r w:rsidR="002913B5">
        <w:rPr>
          <w:sz w:val="24"/>
        </w:rPr>
        <w:t>sion issued</w:t>
      </w:r>
      <w:r w:rsidR="00973B8A">
        <w:rPr>
          <w:sz w:val="24"/>
        </w:rPr>
        <w:t xml:space="preserve"> Bench Request No. 10.</w:t>
      </w:r>
      <w:r w:rsidR="009C30EB">
        <w:rPr>
          <w:rStyle w:val="FootnoteReference"/>
          <w:sz w:val="24"/>
        </w:rPr>
        <w:footnoteReference w:id="13"/>
      </w:r>
      <w:r w:rsidR="009C30EB">
        <w:rPr>
          <w:sz w:val="24"/>
        </w:rPr>
        <w:t xml:space="preserve"> Bench Request Nos. 10.3 and 10.4 relate to power costs.</w:t>
      </w:r>
    </w:p>
    <w:p w14:paraId="4FC1AA1C" w14:textId="0C56BC88" w:rsidR="00973B8A" w:rsidRDefault="003F2BA0" w:rsidP="00990AD9">
      <w:pPr>
        <w:widowControl/>
        <w:autoSpaceDE/>
        <w:autoSpaceDN/>
        <w:adjustRightInd/>
        <w:spacing w:line="480" w:lineRule="auto"/>
        <w:rPr>
          <w:sz w:val="24"/>
        </w:rPr>
      </w:pPr>
      <w:r>
        <w:rPr>
          <w:sz w:val="24"/>
        </w:rPr>
        <w:t xml:space="preserve">In response, Avista provided </w:t>
      </w:r>
      <w:r w:rsidR="0087185E">
        <w:rPr>
          <w:sz w:val="24"/>
        </w:rPr>
        <w:t>a subset of the</w:t>
      </w:r>
      <w:r>
        <w:rPr>
          <w:sz w:val="24"/>
        </w:rPr>
        <w:t xml:space="preserve"> same</w:t>
      </w:r>
      <w:r w:rsidR="0087185E">
        <w:rPr>
          <w:sz w:val="24"/>
        </w:rPr>
        <w:t xml:space="preserve"> attachments</w:t>
      </w:r>
      <w:r>
        <w:rPr>
          <w:sz w:val="24"/>
        </w:rPr>
        <w:t xml:space="preserve"> </w:t>
      </w:r>
      <w:r w:rsidR="0087185E">
        <w:rPr>
          <w:sz w:val="24"/>
        </w:rPr>
        <w:t>(</w:t>
      </w:r>
      <w:r>
        <w:rPr>
          <w:sz w:val="24"/>
        </w:rPr>
        <w:t xml:space="preserve">Attachments </w:t>
      </w:r>
      <w:r w:rsidR="0087185E">
        <w:rPr>
          <w:sz w:val="24"/>
        </w:rPr>
        <w:t xml:space="preserve">A through </w:t>
      </w:r>
      <w:r w:rsidR="009C30EB">
        <w:rPr>
          <w:sz w:val="24"/>
        </w:rPr>
        <w:t>D</w:t>
      </w:r>
      <w:r w:rsidR="0087185E">
        <w:rPr>
          <w:sz w:val="24"/>
        </w:rPr>
        <w:t>)</w:t>
      </w:r>
      <w:r>
        <w:rPr>
          <w:sz w:val="24"/>
        </w:rPr>
        <w:t xml:space="preserve"> that it included in its Motion.</w:t>
      </w:r>
      <w:r w:rsidR="00C30118">
        <w:rPr>
          <w:rStyle w:val="FootnoteReference"/>
          <w:sz w:val="24"/>
        </w:rPr>
        <w:footnoteReference w:id="14"/>
      </w:r>
    </w:p>
    <w:p w14:paraId="678B9B47" w14:textId="77777777" w:rsidR="000D259F" w:rsidRPr="006B0EF3" w:rsidRDefault="000D259F" w:rsidP="00E26F64">
      <w:pPr>
        <w:pStyle w:val="ListParagraph"/>
        <w:keepNext/>
        <w:numPr>
          <w:ilvl w:val="0"/>
          <w:numId w:val="9"/>
        </w:numPr>
        <w:spacing w:line="480" w:lineRule="auto"/>
        <w:ind w:left="0" w:firstLine="0"/>
        <w:jc w:val="center"/>
        <w:rPr>
          <w:b/>
          <w:sz w:val="24"/>
        </w:rPr>
      </w:pPr>
      <w:r w:rsidRPr="006B0EF3">
        <w:rPr>
          <w:b/>
          <w:sz w:val="24"/>
        </w:rPr>
        <w:t>DISCUSSION</w:t>
      </w:r>
    </w:p>
    <w:p w14:paraId="71D0DCAA" w14:textId="5B803BCE" w:rsidR="008755CA" w:rsidRDefault="000A2C23" w:rsidP="00E03DD6">
      <w:pPr>
        <w:numPr>
          <w:ilvl w:val="0"/>
          <w:numId w:val="8"/>
        </w:numPr>
        <w:autoSpaceDE/>
        <w:autoSpaceDN/>
        <w:adjustRightInd/>
        <w:spacing w:line="480" w:lineRule="auto"/>
        <w:ind w:left="0" w:hanging="720"/>
        <w:rPr>
          <w:sz w:val="24"/>
        </w:rPr>
      </w:pPr>
      <w:r>
        <w:rPr>
          <w:sz w:val="24"/>
        </w:rPr>
        <w:tab/>
      </w:r>
      <w:r w:rsidR="00E704FD">
        <w:rPr>
          <w:sz w:val="24"/>
        </w:rPr>
        <w:t>This motion should be denied principally because Avista has presented a new power cost case rather than a straightforward update</w:t>
      </w:r>
      <w:r w:rsidR="00CE4EB0">
        <w:rPr>
          <w:sz w:val="24"/>
        </w:rPr>
        <w:t xml:space="preserve"> to power costs</w:t>
      </w:r>
      <w:r w:rsidR="00E704FD">
        <w:rPr>
          <w:sz w:val="24"/>
        </w:rPr>
        <w:t xml:space="preserve">. </w:t>
      </w:r>
      <w:r w:rsidR="00D42FC8">
        <w:rPr>
          <w:sz w:val="24"/>
        </w:rPr>
        <w:t xml:space="preserve">This makes it challenging </w:t>
      </w:r>
      <w:r w:rsidR="00B763CA">
        <w:rPr>
          <w:sz w:val="24"/>
        </w:rPr>
        <w:t xml:space="preserve">for other parties </w:t>
      </w:r>
      <w:r w:rsidR="00D42FC8">
        <w:rPr>
          <w:sz w:val="24"/>
        </w:rPr>
        <w:t xml:space="preserve">to analyze </w:t>
      </w:r>
      <w:r w:rsidR="00CE4EB0">
        <w:rPr>
          <w:sz w:val="24"/>
        </w:rPr>
        <w:t xml:space="preserve">the filing </w:t>
      </w:r>
      <w:r w:rsidR="008E24B7">
        <w:rPr>
          <w:sz w:val="24"/>
        </w:rPr>
        <w:t>and respond accordingly</w:t>
      </w:r>
      <w:r w:rsidR="00D42FC8">
        <w:rPr>
          <w:sz w:val="24"/>
        </w:rPr>
        <w:t xml:space="preserve">. The challenge is exacerbated by the nature of the filing. The </w:t>
      </w:r>
      <w:r w:rsidR="00CE4EB0">
        <w:rPr>
          <w:sz w:val="24"/>
        </w:rPr>
        <w:t>update</w:t>
      </w:r>
      <w:r w:rsidR="00D42FC8">
        <w:rPr>
          <w:sz w:val="24"/>
        </w:rPr>
        <w:t xml:space="preserve"> consis</w:t>
      </w:r>
      <w:r w:rsidR="00B763CA">
        <w:rPr>
          <w:sz w:val="24"/>
        </w:rPr>
        <w:t>ts mostly of spreadsheets, with</w:t>
      </w:r>
      <w:r w:rsidR="00D42FC8">
        <w:rPr>
          <w:sz w:val="24"/>
        </w:rPr>
        <w:t xml:space="preserve"> limited narrative. This is the sort of information that could be more clearly presented as written testimony. </w:t>
      </w:r>
      <w:r w:rsidR="00B763CA">
        <w:rPr>
          <w:sz w:val="24"/>
        </w:rPr>
        <w:t xml:space="preserve">This proceeding, however, is well beyond the </w:t>
      </w:r>
      <w:r w:rsidR="00CF429E">
        <w:rPr>
          <w:sz w:val="24"/>
        </w:rPr>
        <w:t>testimony stage.</w:t>
      </w:r>
      <w:r w:rsidR="00B763CA">
        <w:rPr>
          <w:sz w:val="24"/>
        </w:rPr>
        <w:t xml:space="preserve"> </w:t>
      </w:r>
      <w:r w:rsidR="00D42FC8">
        <w:rPr>
          <w:sz w:val="24"/>
        </w:rPr>
        <w:t>At</w:t>
      </w:r>
      <w:r w:rsidR="00E704FD">
        <w:rPr>
          <w:sz w:val="24"/>
        </w:rPr>
        <w:t xml:space="preserve"> this stage in the proceeding, there is no procedural opportunity to rigorously analyze all of the changes</w:t>
      </w:r>
      <w:r w:rsidR="00D42FC8">
        <w:rPr>
          <w:sz w:val="24"/>
        </w:rPr>
        <w:t xml:space="preserve"> that Avista appears to have made</w:t>
      </w:r>
      <w:r w:rsidR="00E704FD">
        <w:rPr>
          <w:sz w:val="24"/>
        </w:rPr>
        <w:t xml:space="preserve">, </w:t>
      </w:r>
      <w:r w:rsidR="00D42FC8">
        <w:rPr>
          <w:sz w:val="24"/>
        </w:rPr>
        <w:t xml:space="preserve">to </w:t>
      </w:r>
      <w:r w:rsidR="00E704FD">
        <w:rPr>
          <w:sz w:val="24"/>
        </w:rPr>
        <w:t xml:space="preserve">back out the underlying assumptions, </w:t>
      </w:r>
      <w:r w:rsidR="00D42FC8">
        <w:rPr>
          <w:sz w:val="24"/>
        </w:rPr>
        <w:t xml:space="preserve">to </w:t>
      </w:r>
      <w:r w:rsidR="00E704FD">
        <w:rPr>
          <w:sz w:val="24"/>
        </w:rPr>
        <w:t>conduct discovery</w:t>
      </w:r>
      <w:r w:rsidR="00957654">
        <w:rPr>
          <w:sz w:val="24"/>
        </w:rPr>
        <w:t>, and to</w:t>
      </w:r>
      <w:r w:rsidR="004821A4">
        <w:rPr>
          <w:sz w:val="24"/>
        </w:rPr>
        <w:t xml:space="preserve"> cross examine witnesses </w:t>
      </w:r>
      <w:r w:rsidR="00E704FD">
        <w:rPr>
          <w:sz w:val="24"/>
        </w:rPr>
        <w:t xml:space="preserve">on the elements that are not transparent. </w:t>
      </w:r>
      <w:r w:rsidR="00D42FC8">
        <w:rPr>
          <w:sz w:val="24"/>
        </w:rPr>
        <w:t>For these reasons, Staff cannot verify the reasonableness or the accuracy of the filing.</w:t>
      </w:r>
      <w:r w:rsidR="00D42FC8">
        <w:rPr>
          <w:rStyle w:val="FootnoteReference"/>
          <w:sz w:val="24"/>
        </w:rPr>
        <w:footnoteReference w:id="15"/>
      </w:r>
      <w:r w:rsidR="00D42FC8">
        <w:rPr>
          <w:sz w:val="24"/>
        </w:rPr>
        <w:t xml:space="preserve"> </w:t>
      </w:r>
      <w:r w:rsidR="00324964">
        <w:rPr>
          <w:sz w:val="24"/>
        </w:rPr>
        <w:t xml:space="preserve">So, even though there appears to be a reduction in power costs, Staff cannot </w:t>
      </w:r>
      <w:r w:rsidR="00E03DD6">
        <w:rPr>
          <w:sz w:val="24"/>
        </w:rPr>
        <w:t>recommend</w:t>
      </w:r>
      <w:r w:rsidR="00324964">
        <w:rPr>
          <w:sz w:val="24"/>
        </w:rPr>
        <w:t xml:space="preserve"> </w:t>
      </w:r>
      <w:r w:rsidR="00E03DD6">
        <w:rPr>
          <w:sz w:val="24"/>
        </w:rPr>
        <w:t xml:space="preserve">incorporating into the revenue requirement either </w:t>
      </w:r>
      <w:r w:rsidR="00324964">
        <w:rPr>
          <w:sz w:val="24"/>
        </w:rPr>
        <w:t xml:space="preserve">the </w:t>
      </w:r>
      <w:r w:rsidR="00E03DD6">
        <w:rPr>
          <w:sz w:val="24"/>
        </w:rPr>
        <w:t xml:space="preserve">2017 or 2018 </w:t>
      </w:r>
      <w:r w:rsidR="00324964">
        <w:rPr>
          <w:sz w:val="24"/>
        </w:rPr>
        <w:t>power cost update</w:t>
      </w:r>
      <w:r w:rsidR="008755CA">
        <w:rPr>
          <w:sz w:val="24"/>
        </w:rPr>
        <w:t>s</w:t>
      </w:r>
      <w:r w:rsidR="00324964">
        <w:rPr>
          <w:sz w:val="24"/>
        </w:rPr>
        <w:t xml:space="preserve"> </w:t>
      </w:r>
      <w:r w:rsidR="008755CA">
        <w:rPr>
          <w:sz w:val="24"/>
        </w:rPr>
        <w:t>because S</w:t>
      </w:r>
      <w:r w:rsidR="00324964">
        <w:rPr>
          <w:sz w:val="24"/>
        </w:rPr>
        <w:t>taff does not have insight into exactly how the Company arrived at its numbers</w:t>
      </w:r>
      <w:r w:rsidR="008755CA">
        <w:rPr>
          <w:sz w:val="24"/>
        </w:rPr>
        <w:t>.</w:t>
      </w:r>
    </w:p>
    <w:p w14:paraId="5F9356AB" w14:textId="628C9761" w:rsidR="00CF429E" w:rsidRDefault="002F1423" w:rsidP="00E03DD6">
      <w:pPr>
        <w:numPr>
          <w:ilvl w:val="0"/>
          <w:numId w:val="8"/>
        </w:numPr>
        <w:autoSpaceDE/>
        <w:autoSpaceDN/>
        <w:adjustRightInd/>
        <w:spacing w:line="480" w:lineRule="auto"/>
        <w:ind w:left="0" w:hanging="720"/>
        <w:rPr>
          <w:sz w:val="24"/>
        </w:rPr>
      </w:pPr>
      <w:r>
        <w:rPr>
          <w:sz w:val="24"/>
        </w:rPr>
        <w:tab/>
        <w:t>Staff questions the value of incorporating the 2017 update into this case. The amount of the reduction</w:t>
      </w:r>
      <w:r w:rsidR="006F5B0F">
        <w:rPr>
          <w:sz w:val="24"/>
        </w:rPr>
        <w:t xml:space="preserve"> that Avista proposes</w:t>
      </w:r>
      <w:r>
        <w:rPr>
          <w:sz w:val="24"/>
        </w:rPr>
        <w:t xml:space="preserve">, $591,000, is </w:t>
      </w:r>
      <w:r w:rsidR="00C77549">
        <w:rPr>
          <w:sz w:val="24"/>
        </w:rPr>
        <w:t>negligible</w:t>
      </w:r>
      <w:r w:rsidR="00A66328">
        <w:rPr>
          <w:sz w:val="24"/>
        </w:rPr>
        <w:t xml:space="preserve"> in terms of the overall revenue requirement</w:t>
      </w:r>
      <w:r>
        <w:rPr>
          <w:sz w:val="24"/>
        </w:rPr>
        <w:t>.</w:t>
      </w:r>
      <w:r w:rsidR="00C77549">
        <w:rPr>
          <w:rStyle w:val="FootnoteReference"/>
          <w:sz w:val="24"/>
        </w:rPr>
        <w:footnoteReference w:id="16"/>
      </w:r>
      <w:r w:rsidR="006F5B0F">
        <w:rPr>
          <w:sz w:val="24"/>
        </w:rPr>
        <w:t xml:space="preserve"> </w:t>
      </w:r>
      <w:r w:rsidR="00F53CB5">
        <w:rPr>
          <w:sz w:val="24"/>
        </w:rPr>
        <w:t>Given t</w:t>
      </w:r>
      <w:r w:rsidR="006F5B0F">
        <w:rPr>
          <w:sz w:val="24"/>
        </w:rPr>
        <w:t>he small magnitude of the update</w:t>
      </w:r>
      <w:r w:rsidR="00F23AFD">
        <w:rPr>
          <w:sz w:val="24"/>
        </w:rPr>
        <w:t xml:space="preserve"> coupled with the inability of the parties to</w:t>
      </w:r>
      <w:r w:rsidR="00F53CB5">
        <w:rPr>
          <w:sz w:val="24"/>
        </w:rPr>
        <w:t xml:space="preserve"> properly vet it, </w:t>
      </w:r>
      <w:r w:rsidR="00B741EB">
        <w:rPr>
          <w:sz w:val="24"/>
        </w:rPr>
        <w:t xml:space="preserve">it is sensible to wait until Avista’s next rate case to incorporate new power costs. This </w:t>
      </w:r>
      <w:r w:rsidR="00B763CA">
        <w:rPr>
          <w:sz w:val="24"/>
        </w:rPr>
        <w:t xml:space="preserve">would </w:t>
      </w:r>
      <w:r w:rsidR="00B741EB">
        <w:rPr>
          <w:sz w:val="24"/>
        </w:rPr>
        <w:t>also support</w:t>
      </w:r>
      <w:r w:rsidR="00F53CB5">
        <w:rPr>
          <w:sz w:val="24"/>
        </w:rPr>
        <w:t xml:space="preserve"> a clearer record and fairer process. </w:t>
      </w:r>
      <w:r w:rsidR="00F60499">
        <w:rPr>
          <w:sz w:val="24"/>
        </w:rPr>
        <w:t xml:space="preserve">Avista is not </w:t>
      </w:r>
      <w:r w:rsidR="00B741EB">
        <w:rPr>
          <w:sz w:val="24"/>
        </w:rPr>
        <w:t xml:space="preserve">even </w:t>
      </w:r>
      <w:r w:rsidR="00F60499">
        <w:rPr>
          <w:sz w:val="24"/>
        </w:rPr>
        <w:t xml:space="preserve">proposing to flow through </w:t>
      </w:r>
      <w:r w:rsidR="00B741EB">
        <w:rPr>
          <w:sz w:val="24"/>
        </w:rPr>
        <w:t xml:space="preserve">the 2017 reduction to ratepayers, so foregoing the </w:t>
      </w:r>
      <w:r w:rsidR="00C77549">
        <w:rPr>
          <w:sz w:val="24"/>
        </w:rPr>
        <w:t>reduction</w:t>
      </w:r>
      <w:r w:rsidR="00B741EB">
        <w:rPr>
          <w:sz w:val="24"/>
        </w:rPr>
        <w:t xml:space="preserve"> does not </w:t>
      </w:r>
      <w:r w:rsidR="00C77549">
        <w:rPr>
          <w:sz w:val="24"/>
        </w:rPr>
        <w:t>change the effect of Avista’s proposed update for 2017</w:t>
      </w:r>
      <w:r w:rsidR="00A11B6F">
        <w:rPr>
          <w:sz w:val="24"/>
        </w:rPr>
        <w:t xml:space="preserve"> rates</w:t>
      </w:r>
      <w:r w:rsidR="00C77549">
        <w:rPr>
          <w:sz w:val="24"/>
        </w:rPr>
        <w:t>.</w:t>
      </w:r>
    </w:p>
    <w:p w14:paraId="2DD775CB" w14:textId="77777777" w:rsidR="002F1423" w:rsidRDefault="00CF429E" w:rsidP="00E03DD6">
      <w:pPr>
        <w:numPr>
          <w:ilvl w:val="0"/>
          <w:numId w:val="8"/>
        </w:numPr>
        <w:autoSpaceDE/>
        <w:autoSpaceDN/>
        <w:adjustRightInd/>
        <w:spacing w:line="480" w:lineRule="auto"/>
        <w:ind w:left="0" w:hanging="720"/>
        <w:rPr>
          <w:sz w:val="24"/>
        </w:rPr>
      </w:pPr>
      <w:r>
        <w:rPr>
          <w:sz w:val="24"/>
        </w:rPr>
        <w:tab/>
      </w:r>
      <w:r w:rsidR="00A11B6F">
        <w:rPr>
          <w:sz w:val="24"/>
        </w:rPr>
        <w:t xml:space="preserve">Avista’s </w:t>
      </w:r>
      <w:r>
        <w:rPr>
          <w:sz w:val="24"/>
        </w:rPr>
        <w:t xml:space="preserve">proposed </w:t>
      </w:r>
      <w:r w:rsidR="00A11B6F">
        <w:rPr>
          <w:sz w:val="24"/>
        </w:rPr>
        <w:t xml:space="preserve">update for 2017 has one other unexpected feature. Although Avista does not plan to flow through the power cost reduction to rates, it does intend to re-set the ERM baseline. The effect is the allocation of </w:t>
      </w:r>
      <w:r w:rsidR="00A66328">
        <w:rPr>
          <w:sz w:val="24"/>
        </w:rPr>
        <w:t>the $591,000</w:t>
      </w:r>
      <w:r w:rsidR="00A11B6F">
        <w:rPr>
          <w:sz w:val="24"/>
        </w:rPr>
        <w:t xml:space="preserve"> to corporate operations spending.</w:t>
      </w:r>
      <w:r w:rsidR="00A11B6F">
        <w:rPr>
          <w:rStyle w:val="FootnoteReference"/>
          <w:sz w:val="24"/>
        </w:rPr>
        <w:footnoteReference w:id="17"/>
      </w:r>
    </w:p>
    <w:p w14:paraId="3E499553" w14:textId="77777777" w:rsidR="00A11B6F" w:rsidRDefault="00E03DD6" w:rsidP="00E03DD6">
      <w:pPr>
        <w:numPr>
          <w:ilvl w:val="0"/>
          <w:numId w:val="8"/>
        </w:numPr>
        <w:autoSpaceDE/>
        <w:autoSpaceDN/>
        <w:adjustRightInd/>
        <w:spacing w:line="480" w:lineRule="auto"/>
        <w:ind w:left="0" w:hanging="720"/>
        <w:rPr>
          <w:sz w:val="24"/>
        </w:rPr>
      </w:pPr>
      <w:r>
        <w:rPr>
          <w:sz w:val="24"/>
        </w:rPr>
        <w:tab/>
        <w:t xml:space="preserve">Staff opposes the power cost update for 2018 </w:t>
      </w:r>
      <w:r w:rsidR="000439E5">
        <w:rPr>
          <w:sz w:val="24"/>
        </w:rPr>
        <w:t>for reasons</w:t>
      </w:r>
      <w:r w:rsidR="00CF429E">
        <w:rPr>
          <w:sz w:val="24"/>
        </w:rPr>
        <w:t xml:space="preserve"> in addition to procedural unfairness</w:t>
      </w:r>
      <w:r w:rsidR="000439E5">
        <w:rPr>
          <w:sz w:val="24"/>
        </w:rPr>
        <w:t>. This update is</w:t>
      </w:r>
      <w:r w:rsidR="00CE4EB0">
        <w:rPr>
          <w:sz w:val="24"/>
        </w:rPr>
        <w:t xml:space="preserve"> unnecessary</w:t>
      </w:r>
      <w:r w:rsidR="000439E5">
        <w:rPr>
          <w:sz w:val="24"/>
        </w:rPr>
        <w:t>,</w:t>
      </w:r>
      <w:r w:rsidR="00CE4EB0">
        <w:rPr>
          <w:sz w:val="24"/>
        </w:rPr>
        <w:t xml:space="preserve"> and it </w:t>
      </w:r>
      <w:r>
        <w:rPr>
          <w:sz w:val="24"/>
        </w:rPr>
        <w:t xml:space="preserve">would </w:t>
      </w:r>
      <w:r w:rsidR="008228D6">
        <w:rPr>
          <w:sz w:val="24"/>
        </w:rPr>
        <w:t xml:space="preserve">interfere with the operation of Avista’s ERM. </w:t>
      </w:r>
      <w:r w:rsidR="00CE4EB0">
        <w:rPr>
          <w:sz w:val="24"/>
        </w:rPr>
        <w:t xml:space="preserve">Avista’s 2018 power costs are estimates, </w:t>
      </w:r>
      <w:r w:rsidR="006354B9">
        <w:rPr>
          <w:sz w:val="24"/>
        </w:rPr>
        <w:t>as are</w:t>
      </w:r>
      <w:r w:rsidR="00CE4EB0">
        <w:rPr>
          <w:sz w:val="24"/>
        </w:rPr>
        <w:t xml:space="preserve"> its “re-revised power costs” in the update</w:t>
      </w:r>
      <w:r>
        <w:rPr>
          <w:sz w:val="24"/>
        </w:rPr>
        <w:t>.</w:t>
      </w:r>
      <w:r w:rsidR="00CE4EB0">
        <w:rPr>
          <w:rStyle w:val="FootnoteReference"/>
          <w:sz w:val="24"/>
        </w:rPr>
        <w:footnoteReference w:id="18"/>
      </w:r>
      <w:r w:rsidR="002F1423">
        <w:rPr>
          <w:sz w:val="24"/>
        </w:rPr>
        <w:t xml:space="preserve"> </w:t>
      </w:r>
      <w:r w:rsidR="00CE4EB0">
        <w:rPr>
          <w:sz w:val="24"/>
        </w:rPr>
        <w:t>It is not necessary to incorporate the update</w:t>
      </w:r>
      <w:r w:rsidR="00CF429E">
        <w:rPr>
          <w:sz w:val="24"/>
        </w:rPr>
        <w:t>d estima</w:t>
      </w:r>
      <w:r w:rsidR="00AC46E8">
        <w:rPr>
          <w:sz w:val="24"/>
        </w:rPr>
        <w:t>t</w:t>
      </w:r>
      <w:r w:rsidR="00CF429E">
        <w:rPr>
          <w:sz w:val="24"/>
        </w:rPr>
        <w:t>es</w:t>
      </w:r>
      <w:r w:rsidR="00CE4EB0">
        <w:rPr>
          <w:sz w:val="24"/>
        </w:rPr>
        <w:t xml:space="preserve"> into the revenue requirement because Staff’s revenue requirement already provides for one revenue increase in 2017 that is sufficient to recover Avista’s costs, including power costs, for the entirety of the 18-month rate period.</w:t>
      </w:r>
      <w:r w:rsidR="00CE4EB0">
        <w:rPr>
          <w:rStyle w:val="FootnoteReference"/>
          <w:sz w:val="24"/>
        </w:rPr>
        <w:footnoteReference w:id="19"/>
      </w:r>
    </w:p>
    <w:p w14:paraId="05DA1DAC" w14:textId="77777777" w:rsidR="00DF2C64" w:rsidRPr="00905679" w:rsidRDefault="00A11B6F" w:rsidP="00CA24CD">
      <w:pPr>
        <w:keepNext/>
        <w:widowControl/>
        <w:numPr>
          <w:ilvl w:val="0"/>
          <w:numId w:val="8"/>
        </w:numPr>
        <w:autoSpaceDE/>
        <w:autoSpaceDN/>
        <w:adjustRightInd/>
        <w:spacing w:line="480" w:lineRule="auto"/>
        <w:ind w:left="0" w:hanging="720"/>
        <w:rPr>
          <w:sz w:val="24"/>
        </w:rPr>
      </w:pPr>
      <w:r w:rsidRPr="00905679">
        <w:rPr>
          <w:sz w:val="24"/>
        </w:rPr>
        <w:tab/>
      </w:r>
      <w:r w:rsidR="00CE4EB0" w:rsidRPr="00905679">
        <w:rPr>
          <w:sz w:val="24"/>
        </w:rPr>
        <w:t>Further, using power cost updates to update the ERM baseline twice in 2018, not to mention once now, frustrates the purpose of the ERM.</w:t>
      </w:r>
      <w:r w:rsidR="000439E5" w:rsidRPr="00905679">
        <w:rPr>
          <w:sz w:val="24"/>
        </w:rPr>
        <w:t xml:space="preserve"> </w:t>
      </w:r>
      <w:r w:rsidR="00443416" w:rsidRPr="00905679">
        <w:rPr>
          <w:sz w:val="24"/>
        </w:rPr>
        <w:t>As Mr. Gomez explains, “Avista’s ERM mechanism protects both shareholders and customers from the effects of significant shifts in power costs</w:t>
      </w:r>
      <w:r w:rsidR="006354B9" w:rsidRPr="00905679">
        <w:rPr>
          <w:sz w:val="24"/>
        </w:rPr>
        <w:t>,</w:t>
      </w:r>
      <w:r w:rsidR="00443416" w:rsidRPr="00905679">
        <w:rPr>
          <w:sz w:val="24"/>
        </w:rPr>
        <w:t>”</w:t>
      </w:r>
      <w:r w:rsidR="001C7832" w:rsidRPr="00905679">
        <w:rPr>
          <w:sz w:val="24"/>
        </w:rPr>
        <w:t xml:space="preserve"> and “[f]requent baseline changes erode the protections of the ERM.”</w:t>
      </w:r>
      <w:r w:rsidR="00443416">
        <w:rPr>
          <w:rStyle w:val="FootnoteReference"/>
          <w:sz w:val="24"/>
        </w:rPr>
        <w:footnoteReference w:id="20"/>
      </w:r>
      <w:r w:rsidR="006354B9" w:rsidRPr="00905679">
        <w:rPr>
          <w:sz w:val="24"/>
        </w:rPr>
        <w:t xml:space="preserve"> </w:t>
      </w:r>
      <w:r w:rsidR="00905679">
        <w:rPr>
          <w:sz w:val="24"/>
        </w:rPr>
        <w:t>Making the amount of baseline changes Avista proposes in such a short time frame overrides the function of the ERM.</w:t>
      </w:r>
    </w:p>
    <w:p w14:paraId="7346AC75" w14:textId="77777777" w:rsidR="00B317B6" w:rsidRDefault="000A2C23" w:rsidP="000A2C23">
      <w:pPr>
        <w:keepNext/>
        <w:widowControl/>
        <w:numPr>
          <w:ilvl w:val="0"/>
          <w:numId w:val="8"/>
        </w:numPr>
        <w:autoSpaceDE/>
        <w:autoSpaceDN/>
        <w:adjustRightInd/>
        <w:spacing w:line="480" w:lineRule="auto"/>
        <w:ind w:left="0" w:hanging="720"/>
        <w:rPr>
          <w:sz w:val="24"/>
        </w:rPr>
      </w:pPr>
      <w:r>
        <w:rPr>
          <w:sz w:val="24"/>
        </w:rPr>
        <w:tab/>
      </w:r>
      <w:r w:rsidR="00227E37">
        <w:rPr>
          <w:sz w:val="24"/>
        </w:rPr>
        <w:t xml:space="preserve">Staff did not expect to be confronted with such extensive and multifaceted changes to Avista’s power costs at this point in a rate case. An acceptable power cost update, according to Staff witness </w:t>
      </w:r>
      <w:r w:rsidR="00B317B6">
        <w:rPr>
          <w:sz w:val="24"/>
        </w:rPr>
        <w:t>Mr. Gomez</w:t>
      </w:r>
      <w:r w:rsidR="00227E37">
        <w:rPr>
          <w:sz w:val="24"/>
        </w:rPr>
        <w:t>, would contain the following</w:t>
      </w:r>
      <w:r w:rsidR="00B317B6">
        <w:rPr>
          <w:sz w:val="24"/>
        </w:rPr>
        <w:t>:</w:t>
      </w:r>
    </w:p>
    <w:p w14:paraId="7952E7DB" w14:textId="77777777" w:rsidR="00B317B6" w:rsidRPr="00B317B6" w:rsidRDefault="00B317B6" w:rsidP="00B317B6">
      <w:pPr>
        <w:pStyle w:val="CommentText"/>
        <w:widowControl/>
        <w:numPr>
          <w:ilvl w:val="0"/>
          <w:numId w:val="12"/>
        </w:numPr>
        <w:adjustRightInd/>
        <w:rPr>
          <w:sz w:val="24"/>
          <w:szCs w:val="24"/>
        </w:rPr>
      </w:pPr>
      <w:r w:rsidRPr="00B317B6">
        <w:rPr>
          <w:sz w:val="24"/>
          <w:szCs w:val="24"/>
        </w:rPr>
        <w:t>Material known and measurable updates to power contracts</w:t>
      </w:r>
    </w:p>
    <w:p w14:paraId="7C95B75D" w14:textId="77777777" w:rsidR="00B317B6" w:rsidRPr="00B317B6" w:rsidRDefault="00B317B6" w:rsidP="00B317B6">
      <w:pPr>
        <w:pStyle w:val="CommentText"/>
        <w:widowControl/>
        <w:numPr>
          <w:ilvl w:val="0"/>
          <w:numId w:val="12"/>
        </w:numPr>
        <w:adjustRightInd/>
        <w:rPr>
          <w:sz w:val="24"/>
          <w:szCs w:val="24"/>
        </w:rPr>
      </w:pPr>
      <w:r w:rsidRPr="00B317B6">
        <w:rPr>
          <w:sz w:val="24"/>
          <w:szCs w:val="24"/>
        </w:rPr>
        <w:t>Updates to forward gas and market power prices</w:t>
      </w:r>
    </w:p>
    <w:p w14:paraId="5F67E5B8" w14:textId="77777777" w:rsidR="009C7233" w:rsidRPr="009C7233" w:rsidRDefault="00B317B6" w:rsidP="009C7233">
      <w:pPr>
        <w:pStyle w:val="CommentText"/>
        <w:widowControl/>
        <w:numPr>
          <w:ilvl w:val="0"/>
          <w:numId w:val="12"/>
        </w:numPr>
        <w:adjustRightInd/>
        <w:rPr>
          <w:sz w:val="24"/>
        </w:rPr>
      </w:pPr>
      <w:r w:rsidRPr="00B317B6">
        <w:rPr>
          <w:sz w:val="24"/>
          <w:szCs w:val="24"/>
        </w:rPr>
        <w:t>Aurora model run parameters set identical to Avista’s as-filed case or modified as may be specified in the Commission’s final order.</w:t>
      </w:r>
      <w:r w:rsidR="00A672B1">
        <w:rPr>
          <w:rStyle w:val="FootnoteReference"/>
          <w:sz w:val="24"/>
          <w:szCs w:val="24"/>
        </w:rPr>
        <w:footnoteReference w:id="21"/>
      </w:r>
    </w:p>
    <w:p w14:paraId="7A1DFE91" w14:textId="2FE4A0D5" w:rsidR="00B317B6" w:rsidRDefault="009C7233" w:rsidP="009C7233">
      <w:pPr>
        <w:pStyle w:val="CommentText"/>
        <w:widowControl/>
        <w:adjustRightInd/>
        <w:rPr>
          <w:sz w:val="24"/>
        </w:rPr>
      </w:pPr>
      <w:bookmarkStart w:id="0" w:name="_GoBack"/>
      <w:bookmarkEnd w:id="0"/>
      <w:r>
        <w:rPr>
          <w:sz w:val="24"/>
        </w:rPr>
        <w:t xml:space="preserve"> </w:t>
      </w:r>
    </w:p>
    <w:p w14:paraId="44DCB068" w14:textId="7C122977" w:rsidR="00142A31" w:rsidRDefault="00142A31" w:rsidP="000A2C23">
      <w:pPr>
        <w:keepNext/>
        <w:widowControl/>
        <w:numPr>
          <w:ilvl w:val="0"/>
          <w:numId w:val="8"/>
        </w:numPr>
        <w:autoSpaceDE/>
        <w:autoSpaceDN/>
        <w:adjustRightInd/>
        <w:spacing w:line="480" w:lineRule="auto"/>
        <w:ind w:left="0" w:hanging="720"/>
        <w:rPr>
          <w:sz w:val="24"/>
        </w:rPr>
      </w:pPr>
      <w:r>
        <w:rPr>
          <w:sz w:val="24"/>
        </w:rPr>
        <w:tab/>
      </w:r>
      <w:r w:rsidR="00C30118">
        <w:rPr>
          <w:sz w:val="24"/>
        </w:rPr>
        <w:t xml:space="preserve">Avista’s </w:t>
      </w:r>
      <w:r w:rsidR="006B35CC">
        <w:rPr>
          <w:sz w:val="24"/>
        </w:rPr>
        <w:t xml:space="preserve">as-filed </w:t>
      </w:r>
      <w:r w:rsidR="00C30118">
        <w:rPr>
          <w:sz w:val="24"/>
        </w:rPr>
        <w:t>power cost</w:t>
      </w:r>
      <w:r w:rsidR="006B35CC">
        <w:rPr>
          <w:sz w:val="24"/>
        </w:rPr>
        <w:t xml:space="preserve"> update</w:t>
      </w:r>
      <w:r w:rsidR="00C30118">
        <w:rPr>
          <w:sz w:val="24"/>
        </w:rPr>
        <w:t xml:space="preserve"> </w:t>
      </w:r>
      <w:r w:rsidR="006B35CC">
        <w:rPr>
          <w:sz w:val="24"/>
        </w:rPr>
        <w:t>does not comport with the</w:t>
      </w:r>
      <w:r w:rsidR="00DF3E1D">
        <w:rPr>
          <w:sz w:val="24"/>
        </w:rPr>
        <w:t>se</w:t>
      </w:r>
      <w:r w:rsidR="006B35CC">
        <w:rPr>
          <w:sz w:val="24"/>
        </w:rPr>
        <w:t xml:space="preserve"> contents.</w:t>
      </w:r>
      <w:r w:rsidR="00C30118">
        <w:rPr>
          <w:sz w:val="24"/>
        </w:rPr>
        <w:t xml:space="preserve"> </w:t>
      </w:r>
      <w:r w:rsidR="00DF3E1D">
        <w:rPr>
          <w:sz w:val="24"/>
        </w:rPr>
        <w:t xml:space="preserve">The filing </w:t>
      </w:r>
      <w:r w:rsidR="00C30118">
        <w:rPr>
          <w:sz w:val="24"/>
        </w:rPr>
        <w:t xml:space="preserve">is </w:t>
      </w:r>
      <w:r w:rsidR="006B35CC">
        <w:rPr>
          <w:sz w:val="24"/>
        </w:rPr>
        <w:t>inappropriate</w:t>
      </w:r>
      <w:r w:rsidR="00C30118">
        <w:rPr>
          <w:sz w:val="24"/>
        </w:rPr>
        <w:t xml:space="preserve"> considering that </w:t>
      </w:r>
      <w:r w:rsidR="00DF3E1D">
        <w:rPr>
          <w:sz w:val="24"/>
        </w:rPr>
        <w:t>it is more like a new case rather than just</w:t>
      </w:r>
      <w:r w:rsidR="00C30118">
        <w:rPr>
          <w:sz w:val="24"/>
        </w:rPr>
        <w:t xml:space="preserve"> an update of discrete items and also </w:t>
      </w:r>
      <w:r w:rsidR="00DF3E1D">
        <w:rPr>
          <w:sz w:val="24"/>
        </w:rPr>
        <w:t>considering that</w:t>
      </w:r>
      <w:r w:rsidR="00C30118">
        <w:rPr>
          <w:sz w:val="24"/>
        </w:rPr>
        <w:t xml:space="preserve"> it was submitted after the testimony phase of the proceeding.</w:t>
      </w:r>
    </w:p>
    <w:p w14:paraId="6BBC066C" w14:textId="1F2255F2" w:rsidR="000D259F" w:rsidRPr="000D259F" w:rsidRDefault="00227E37" w:rsidP="000A2C23">
      <w:pPr>
        <w:keepNext/>
        <w:widowControl/>
        <w:numPr>
          <w:ilvl w:val="0"/>
          <w:numId w:val="8"/>
        </w:numPr>
        <w:autoSpaceDE/>
        <w:autoSpaceDN/>
        <w:adjustRightInd/>
        <w:spacing w:line="480" w:lineRule="auto"/>
        <w:ind w:left="0" w:hanging="720"/>
        <w:rPr>
          <w:sz w:val="24"/>
        </w:rPr>
      </w:pPr>
      <w:r>
        <w:rPr>
          <w:sz w:val="24"/>
        </w:rPr>
        <w:tab/>
        <w:t xml:space="preserve">One final concern of Staff’s is that </w:t>
      </w:r>
      <w:r w:rsidR="00B317B6">
        <w:rPr>
          <w:sz w:val="24"/>
        </w:rPr>
        <w:t>Avista’s response to the Commission’s bench request</w:t>
      </w:r>
      <w:r w:rsidR="009C30EB">
        <w:rPr>
          <w:sz w:val="24"/>
        </w:rPr>
        <w:t>s</w:t>
      </w:r>
      <w:r w:rsidR="00B317B6">
        <w:rPr>
          <w:sz w:val="24"/>
        </w:rPr>
        <w:t xml:space="preserve"> regarding updated power costs </w:t>
      </w:r>
      <w:r>
        <w:rPr>
          <w:sz w:val="24"/>
        </w:rPr>
        <w:t xml:space="preserve">inappropriately </w:t>
      </w:r>
      <w:r w:rsidR="00B317B6">
        <w:rPr>
          <w:sz w:val="24"/>
        </w:rPr>
        <w:t xml:space="preserve">contains the same new case proposed in the Motion. Accordingly, Staff recommends that </w:t>
      </w:r>
      <w:r>
        <w:rPr>
          <w:sz w:val="24"/>
        </w:rPr>
        <w:t xml:space="preserve">when the Commission disposes of the Motion that it apply the same </w:t>
      </w:r>
      <w:r w:rsidR="00B317B6">
        <w:rPr>
          <w:sz w:val="24"/>
        </w:rPr>
        <w:t>disposition to Avista’s response to Bench Request No</w:t>
      </w:r>
      <w:r w:rsidR="009C30EB">
        <w:rPr>
          <w:sz w:val="24"/>
        </w:rPr>
        <w:t>s</w:t>
      </w:r>
      <w:r w:rsidR="00B317B6">
        <w:rPr>
          <w:sz w:val="24"/>
        </w:rPr>
        <w:t xml:space="preserve">. </w:t>
      </w:r>
      <w:r w:rsidR="009524D1">
        <w:rPr>
          <w:sz w:val="24"/>
        </w:rPr>
        <w:t xml:space="preserve">10.3 and </w:t>
      </w:r>
      <w:r w:rsidR="00B317B6">
        <w:rPr>
          <w:sz w:val="24"/>
        </w:rPr>
        <w:t>10.4.</w:t>
      </w:r>
    </w:p>
    <w:p w14:paraId="274F3FEB" w14:textId="77777777" w:rsidR="000D259F" w:rsidRPr="006B0EF3" w:rsidRDefault="000D259F" w:rsidP="00E26F64">
      <w:pPr>
        <w:pStyle w:val="ListParagraph"/>
        <w:keepNext/>
        <w:numPr>
          <w:ilvl w:val="0"/>
          <w:numId w:val="9"/>
        </w:numPr>
        <w:spacing w:line="480" w:lineRule="auto"/>
        <w:ind w:left="0" w:firstLine="0"/>
        <w:jc w:val="center"/>
        <w:rPr>
          <w:b/>
          <w:sz w:val="24"/>
        </w:rPr>
      </w:pPr>
      <w:r w:rsidRPr="006B0EF3">
        <w:rPr>
          <w:b/>
          <w:sz w:val="24"/>
        </w:rPr>
        <w:t>CONCLUSION</w:t>
      </w:r>
    </w:p>
    <w:p w14:paraId="2653D664" w14:textId="51BAEF27" w:rsidR="00B317B6" w:rsidRDefault="000D259F" w:rsidP="00142A31">
      <w:pPr>
        <w:keepNext/>
        <w:widowControl/>
        <w:numPr>
          <w:ilvl w:val="0"/>
          <w:numId w:val="8"/>
        </w:numPr>
        <w:autoSpaceDE/>
        <w:autoSpaceDN/>
        <w:adjustRightInd/>
        <w:spacing w:line="480" w:lineRule="auto"/>
        <w:ind w:left="0" w:hanging="720"/>
        <w:rPr>
          <w:sz w:val="24"/>
        </w:rPr>
      </w:pPr>
      <w:r w:rsidRPr="000D259F">
        <w:rPr>
          <w:sz w:val="24"/>
        </w:rPr>
        <w:tab/>
      </w:r>
      <w:r w:rsidR="00C30118">
        <w:rPr>
          <w:sz w:val="24"/>
        </w:rPr>
        <w:t xml:space="preserve">For the reasons discussed above, Staff recommends denying Avista’s Motion. </w:t>
      </w:r>
      <w:r w:rsidR="00B317B6">
        <w:rPr>
          <w:sz w:val="24"/>
        </w:rPr>
        <w:t xml:space="preserve">Staff is not advocating the elimination of power cost updates </w:t>
      </w:r>
      <w:r w:rsidR="00DF3E1D">
        <w:rPr>
          <w:sz w:val="24"/>
        </w:rPr>
        <w:t>but believes that guidance is required regarding the</w:t>
      </w:r>
      <w:r w:rsidR="008A6701">
        <w:rPr>
          <w:sz w:val="24"/>
        </w:rPr>
        <w:t>ir</w:t>
      </w:r>
      <w:r w:rsidR="00DF3E1D">
        <w:rPr>
          <w:sz w:val="24"/>
        </w:rPr>
        <w:t xml:space="preserve"> appropriate contents and timing. </w:t>
      </w:r>
      <w:r w:rsidR="001E501A">
        <w:rPr>
          <w:sz w:val="24"/>
        </w:rPr>
        <w:t xml:space="preserve">Consistent with Staff’s opposition to the Motion, Staff objects to the admission into the record of </w:t>
      </w:r>
      <w:r w:rsidR="00A1177C">
        <w:rPr>
          <w:sz w:val="24"/>
        </w:rPr>
        <w:t>the response</w:t>
      </w:r>
      <w:r w:rsidR="0051323E">
        <w:rPr>
          <w:sz w:val="24"/>
        </w:rPr>
        <w:t>s</w:t>
      </w:r>
      <w:r w:rsidR="00A1177C">
        <w:rPr>
          <w:sz w:val="24"/>
        </w:rPr>
        <w:t xml:space="preserve"> to Bench Request No</w:t>
      </w:r>
      <w:r w:rsidR="009C30EB">
        <w:rPr>
          <w:sz w:val="24"/>
        </w:rPr>
        <w:t>s</w:t>
      </w:r>
      <w:r w:rsidR="00A1177C">
        <w:rPr>
          <w:sz w:val="24"/>
        </w:rPr>
        <w:t xml:space="preserve">. </w:t>
      </w:r>
      <w:r w:rsidR="009524D1">
        <w:rPr>
          <w:sz w:val="24"/>
        </w:rPr>
        <w:t xml:space="preserve">10.3 and </w:t>
      </w:r>
      <w:r w:rsidR="00A1177C">
        <w:rPr>
          <w:sz w:val="24"/>
        </w:rPr>
        <w:t>10.4</w:t>
      </w:r>
      <w:r w:rsidR="003412CF">
        <w:rPr>
          <w:sz w:val="24"/>
        </w:rPr>
        <w:t xml:space="preserve"> as well as the documents contained in the Motion</w:t>
      </w:r>
      <w:r w:rsidR="00A1177C">
        <w:rPr>
          <w:sz w:val="24"/>
        </w:rPr>
        <w:t>.</w:t>
      </w:r>
      <w:r w:rsidR="001E501A">
        <w:rPr>
          <w:sz w:val="24"/>
        </w:rPr>
        <w:t xml:space="preserve"> </w:t>
      </w:r>
    </w:p>
    <w:p w14:paraId="795480C2" w14:textId="77777777" w:rsidR="00F748D8" w:rsidRDefault="00E26F64" w:rsidP="00E26F64">
      <w:pPr>
        <w:rPr>
          <w:sz w:val="24"/>
        </w:rPr>
      </w:pPr>
      <w:r>
        <w:rPr>
          <w:sz w:val="24"/>
        </w:rPr>
        <w:tab/>
      </w:r>
      <w:r w:rsidR="00D940A2">
        <w:rPr>
          <w:sz w:val="24"/>
        </w:rPr>
        <w:t xml:space="preserve">DATED this </w:t>
      </w:r>
      <w:r w:rsidR="000D259F">
        <w:rPr>
          <w:sz w:val="24"/>
        </w:rPr>
        <w:t>10</w:t>
      </w:r>
      <w:r w:rsidR="000D259F" w:rsidRPr="0030586C">
        <w:rPr>
          <w:sz w:val="24"/>
          <w:vertAlign w:val="superscript"/>
        </w:rPr>
        <w:t>th</w:t>
      </w:r>
      <w:r w:rsidR="00F748D8" w:rsidRPr="00F518C4">
        <w:rPr>
          <w:sz w:val="24"/>
        </w:rPr>
        <w:t xml:space="preserve"> day of </w:t>
      </w:r>
      <w:r w:rsidR="00011FDF">
        <w:rPr>
          <w:sz w:val="24"/>
        </w:rPr>
        <w:t>November</w:t>
      </w:r>
      <w:r w:rsidR="00F748D8" w:rsidRPr="00F518C4">
        <w:rPr>
          <w:sz w:val="24"/>
        </w:rPr>
        <w:t xml:space="preserve"> 20</w:t>
      </w:r>
      <w:r w:rsidR="004A26FF" w:rsidRPr="00F518C4">
        <w:rPr>
          <w:sz w:val="24"/>
        </w:rPr>
        <w:t>1</w:t>
      </w:r>
      <w:r w:rsidR="00F518C4">
        <w:rPr>
          <w:sz w:val="24"/>
        </w:rPr>
        <w:t>6</w:t>
      </w:r>
      <w:r w:rsidR="00F748D8" w:rsidRPr="00F518C4">
        <w:rPr>
          <w:sz w:val="24"/>
        </w:rPr>
        <w:t>.</w:t>
      </w:r>
    </w:p>
    <w:p w14:paraId="39DC88CA" w14:textId="77777777" w:rsidR="000D259F" w:rsidRDefault="000D259F" w:rsidP="00E26F64">
      <w:pPr>
        <w:ind w:left="4320"/>
        <w:rPr>
          <w:sz w:val="24"/>
        </w:rPr>
      </w:pPr>
    </w:p>
    <w:p w14:paraId="5C788007" w14:textId="77777777" w:rsidR="00E26F64" w:rsidRDefault="00E26F64" w:rsidP="00E26F64">
      <w:pPr>
        <w:ind w:left="4320"/>
        <w:rPr>
          <w:sz w:val="24"/>
        </w:rPr>
      </w:pPr>
      <w:r>
        <w:rPr>
          <w:sz w:val="24"/>
        </w:rPr>
        <w:t xml:space="preserve">Respectfully submitted, </w:t>
      </w:r>
    </w:p>
    <w:p w14:paraId="15D473CC" w14:textId="77777777" w:rsidR="00E26F64" w:rsidRPr="004A2910" w:rsidRDefault="00E26F64" w:rsidP="00E26F64">
      <w:pPr>
        <w:ind w:left="4320"/>
        <w:rPr>
          <w:sz w:val="24"/>
        </w:rPr>
      </w:pPr>
    </w:p>
    <w:p w14:paraId="126B1821" w14:textId="77777777" w:rsidR="00E26F64" w:rsidRDefault="00E26F64" w:rsidP="00E26F64">
      <w:pPr>
        <w:ind w:left="4320"/>
        <w:jc w:val="both"/>
        <w:rPr>
          <w:sz w:val="24"/>
        </w:rPr>
      </w:pPr>
      <w:r>
        <w:rPr>
          <w:sz w:val="24"/>
        </w:rPr>
        <w:t>R</w:t>
      </w:r>
      <w:r w:rsidRPr="004A2910">
        <w:rPr>
          <w:sz w:val="24"/>
        </w:rPr>
        <w:t>OB</w:t>
      </w:r>
      <w:r>
        <w:rPr>
          <w:sz w:val="24"/>
        </w:rPr>
        <w:t>ERT W. FERGUSON</w:t>
      </w:r>
    </w:p>
    <w:p w14:paraId="31895440" w14:textId="77777777" w:rsidR="00E26F64" w:rsidRDefault="00E26F64" w:rsidP="00E26F64">
      <w:pPr>
        <w:ind w:left="4320"/>
        <w:jc w:val="both"/>
        <w:rPr>
          <w:sz w:val="24"/>
        </w:rPr>
      </w:pPr>
      <w:r w:rsidRPr="004A2910">
        <w:rPr>
          <w:sz w:val="24"/>
        </w:rPr>
        <w:t>Attorney General</w:t>
      </w:r>
    </w:p>
    <w:p w14:paraId="7C71DFCE" w14:textId="77777777" w:rsidR="00E26F64" w:rsidRDefault="00E26F64" w:rsidP="00E26F64">
      <w:pPr>
        <w:ind w:left="4320"/>
        <w:jc w:val="both"/>
        <w:rPr>
          <w:sz w:val="24"/>
        </w:rPr>
      </w:pPr>
    </w:p>
    <w:p w14:paraId="0B99BFEA" w14:textId="77777777" w:rsidR="00AE6CCF" w:rsidRDefault="00AE6CCF" w:rsidP="00E26F64">
      <w:pPr>
        <w:ind w:left="4320"/>
        <w:jc w:val="both"/>
        <w:rPr>
          <w:sz w:val="24"/>
        </w:rPr>
      </w:pPr>
    </w:p>
    <w:p w14:paraId="6A3CD80C" w14:textId="77777777" w:rsidR="00AE6CCF" w:rsidRDefault="00AE6CCF" w:rsidP="00E26F64">
      <w:pPr>
        <w:ind w:left="4320"/>
        <w:jc w:val="both"/>
        <w:rPr>
          <w:sz w:val="24"/>
        </w:rPr>
      </w:pPr>
    </w:p>
    <w:p w14:paraId="2EE986F2" w14:textId="0EEFA06E" w:rsidR="00AE6CCF" w:rsidRDefault="00AE6CCF" w:rsidP="00E26F64">
      <w:pPr>
        <w:ind w:left="4320"/>
        <w:jc w:val="both"/>
        <w:rPr>
          <w:sz w:val="24"/>
        </w:rPr>
      </w:pPr>
      <w:r>
        <w:rPr>
          <w:sz w:val="24"/>
        </w:rPr>
        <w:t>______________________________________</w:t>
      </w:r>
    </w:p>
    <w:p w14:paraId="264B7E23" w14:textId="77777777" w:rsidR="00E26F64" w:rsidRDefault="00E26F64" w:rsidP="00E26F64">
      <w:pPr>
        <w:ind w:left="4320"/>
        <w:jc w:val="both"/>
        <w:rPr>
          <w:sz w:val="24"/>
        </w:rPr>
      </w:pPr>
      <w:r>
        <w:rPr>
          <w:sz w:val="24"/>
        </w:rPr>
        <w:t>JENNIFER CAMERON-RULKOWSKI</w:t>
      </w:r>
    </w:p>
    <w:p w14:paraId="3932C335" w14:textId="77777777" w:rsidR="00E26F64" w:rsidRDefault="00E26F64" w:rsidP="00E26F64">
      <w:pPr>
        <w:ind w:left="4320"/>
        <w:jc w:val="both"/>
        <w:rPr>
          <w:sz w:val="24"/>
        </w:rPr>
      </w:pPr>
      <w:r w:rsidRPr="004A2910">
        <w:rPr>
          <w:sz w:val="24"/>
        </w:rPr>
        <w:t>Assistant Attorney General</w:t>
      </w:r>
    </w:p>
    <w:p w14:paraId="6B778E76" w14:textId="77777777" w:rsidR="00E26F64" w:rsidRDefault="00E26F64" w:rsidP="00E26F64">
      <w:pPr>
        <w:ind w:left="4320"/>
        <w:jc w:val="both"/>
        <w:rPr>
          <w:sz w:val="24"/>
        </w:rPr>
      </w:pPr>
      <w:r w:rsidRPr="004A2910">
        <w:rPr>
          <w:sz w:val="24"/>
        </w:rPr>
        <w:t>Counsel for Washington Utilities and</w:t>
      </w:r>
    </w:p>
    <w:p w14:paraId="64A12646" w14:textId="77777777" w:rsidR="003B7707" w:rsidRDefault="003B7707" w:rsidP="00E26F64">
      <w:pPr>
        <w:ind w:left="4320"/>
        <w:rPr>
          <w:sz w:val="24"/>
        </w:rPr>
      </w:pPr>
    </w:p>
    <w:sectPr w:rsidR="003B7707" w:rsidSect="00472C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C2DF" w14:textId="77777777" w:rsidR="004D3CD6" w:rsidRDefault="004D3CD6">
      <w:r>
        <w:separator/>
      </w:r>
    </w:p>
  </w:endnote>
  <w:endnote w:type="continuationSeparator" w:id="0">
    <w:p w14:paraId="2CD5AC0C" w14:textId="77777777" w:rsidR="004D3CD6" w:rsidRDefault="004D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6BD63" w14:textId="77777777" w:rsidR="00AE6CCF" w:rsidRDefault="00AE6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32B7" w14:textId="77777777" w:rsidR="00DA492F" w:rsidRDefault="00DA492F">
    <w:pPr>
      <w:pStyle w:val="Footer"/>
    </w:pPr>
  </w:p>
  <w:p w14:paraId="3B7E7C75" w14:textId="77777777" w:rsidR="00C128F1" w:rsidRDefault="00C128F1">
    <w:pPr>
      <w:pStyle w:val="Footer"/>
    </w:pPr>
    <w:r>
      <w:t>STAFF RESPONSE TO AVISTA MOTION</w:t>
    </w:r>
  </w:p>
  <w:p w14:paraId="7E797682" w14:textId="77777777" w:rsidR="00DA492F" w:rsidRPr="00737B08" w:rsidRDefault="00C128F1">
    <w:pPr>
      <w:pStyle w:val="Footer"/>
    </w:pPr>
    <w:r>
      <w:t>RE POWER COST UPDATE</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9C7233">
      <w:rPr>
        <w:rStyle w:val="PageNumber"/>
        <w:noProof/>
      </w:rPr>
      <w:t>6</w:t>
    </w:r>
    <w:r w:rsidR="00DA492F"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9CA3" w14:textId="77777777" w:rsidR="00AE6CCF" w:rsidRDefault="00AE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4498C" w14:textId="77777777" w:rsidR="004D3CD6" w:rsidRDefault="004D3CD6">
      <w:r>
        <w:separator/>
      </w:r>
    </w:p>
  </w:footnote>
  <w:footnote w:type="continuationSeparator" w:id="0">
    <w:p w14:paraId="49463E20" w14:textId="77777777" w:rsidR="004D3CD6" w:rsidRDefault="004D3CD6">
      <w:r>
        <w:continuationSeparator/>
      </w:r>
    </w:p>
  </w:footnote>
  <w:footnote w:id="1">
    <w:p w14:paraId="39A17C37" w14:textId="33E8CC98" w:rsidR="00355F29" w:rsidRDefault="00355F29">
      <w:pPr>
        <w:pStyle w:val="FootnoteText"/>
      </w:pPr>
      <w:r>
        <w:rPr>
          <w:rStyle w:val="FootnoteReference"/>
        </w:rPr>
        <w:footnoteRef/>
      </w:r>
      <w:r>
        <w:t xml:space="preserve"> Morris, Exh. No. SLM-1T 4:9-12.</w:t>
      </w:r>
    </w:p>
  </w:footnote>
  <w:footnote w:id="2">
    <w:p w14:paraId="4D43064A" w14:textId="3F5E9ACF" w:rsidR="00355F29" w:rsidRDefault="00355F29">
      <w:pPr>
        <w:pStyle w:val="FootnoteText"/>
      </w:pPr>
      <w:r>
        <w:rPr>
          <w:rStyle w:val="FootnoteReference"/>
        </w:rPr>
        <w:footnoteRef/>
      </w:r>
      <w:r>
        <w:t xml:space="preserve"> Morris, Exh. No. SLM-1T 5:3-4.</w:t>
      </w:r>
    </w:p>
  </w:footnote>
  <w:footnote w:id="3">
    <w:p w14:paraId="25C8484A" w14:textId="0AE2F998" w:rsidR="00BA1E93" w:rsidRPr="00BA1E93" w:rsidRDefault="00BA1E93">
      <w:pPr>
        <w:pStyle w:val="FootnoteText"/>
      </w:pPr>
      <w:r>
        <w:rPr>
          <w:rStyle w:val="FootnoteReference"/>
        </w:rPr>
        <w:footnoteRef/>
      </w:r>
      <w:r>
        <w:t xml:space="preserve"> </w:t>
      </w:r>
      <w:r>
        <w:rPr>
          <w:i/>
        </w:rPr>
        <w:t>E.g.,</w:t>
      </w:r>
      <w:r>
        <w:t xml:space="preserve"> Andrews, Exh. No. EMA-6T 3:18-23.</w:t>
      </w:r>
    </w:p>
  </w:footnote>
  <w:footnote w:id="4">
    <w:p w14:paraId="26CA294B" w14:textId="77777777" w:rsidR="002F2B88" w:rsidRDefault="002F2B88">
      <w:pPr>
        <w:pStyle w:val="FootnoteText"/>
      </w:pPr>
      <w:r>
        <w:rPr>
          <w:rStyle w:val="FootnoteReference"/>
        </w:rPr>
        <w:footnoteRef/>
      </w:r>
      <w:r>
        <w:t xml:space="preserve"> Avista Cover Letter dated November 1, 2016.</w:t>
      </w:r>
    </w:p>
  </w:footnote>
  <w:footnote w:id="5">
    <w:p w14:paraId="349EE9A7" w14:textId="77777777" w:rsidR="00400F68" w:rsidRDefault="00400F68">
      <w:pPr>
        <w:pStyle w:val="FootnoteText"/>
      </w:pPr>
      <w:r>
        <w:rPr>
          <w:rStyle w:val="FootnoteReference"/>
        </w:rPr>
        <w:footnoteRef/>
      </w:r>
      <w:r>
        <w:t xml:space="preserve"> Motion at ¶ 5.</w:t>
      </w:r>
    </w:p>
  </w:footnote>
  <w:footnote w:id="6">
    <w:p w14:paraId="4F76897A" w14:textId="77777777" w:rsidR="00400F68" w:rsidRDefault="00400F68">
      <w:pPr>
        <w:pStyle w:val="FootnoteText"/>
      </w:pPr>
      <w:r>
        <w:rPr>
          <w:rStyle w:val="FootnoteReference"/>
        </w:rPr>
        <w:footnoteRef/>
      </w:r>
      <w:r>
        <w:t xml:space="preserve"> Motion at ¶ 5.</w:t>
      </w:r>
    </w:p>
  </w:footnote>
  <w:footnote w:id="7">
    <w:p w14:paraId="1184F70C" w14:textId="77777777" w:rsidR="00916CF4" w:rsidRDefault="00916CF4">
      <w:pPr>
        <w:pStyle w:val="FootnoteText"/>
      </w:pPr>
      <w:r>
        <w:rPr>
          <w:rStyle w:val="FootnoteReference"/>
        </w:rPr>
        <w:footnoteRef/>
      </w:r>
      <w:r>
        <w:t xml:space="preserve"> Cover Letter at 2-3.</w:t>
      </w:r>
    </w:p>
  </w:footnote>
  <w:footnote w:id="8">
    <w:p w14:paraId="35064626" w14:textId="77777777" w:rsidR="00324019" w:rsidRDefault="00324019">
      <w:pPr>
        <w:pStyle w:val="FootnoteText"/>
      </w:pPr>
      <w:r>
        <w:rPr>
          <w:rStyle w:val="FootnoteReference"/>
        </w:rPr>
        <w:footnoteRef/>
      </w:r>
      <w:r>
        <w:t xml:space="preserve"> Motion at ¶ 5.</w:t>
      </w:r>
    </w:p>
  </w:footnote>
  <w:footnote w:id="9">
    <w:p w14:paraId="4CBE01E3" w14:textId="77777777" w:rsidR="00E704FD" w:rsidRDefault="00E704FD" w:rsidP="00E704FD">
      <w:pPr>
        <w:pStyle w:val="FootnoteText"/>
      </w:pPr>
      <w:r>
        <w:rPr>
          <w:rStyle w:val="FootnoteReference"/>
        </w:rPr>
        <w:footnoteRef/>
      </w:r>
      <w:r>
        <w:t xml:space="preserve"> Declaration at¶ 4.</w:t>
      </w:r>
    </w:p>
  </w:footnote>
  <w:footnote w:id="10">
    <w:p w14:paraId="305B3264" w14:textId="77777777" w:rsidR="00DC5000" w:rsidRDefault="00DC5000">
      <w:pPr>
        <w:pStyle w:val="FootnoteText"/>
      </w:pPr>
      <w:r>
        <w:rPr>
          <w:rStyle w:val="FootnoteReference"/>
        </w:rPr>
        <w:footnoteRef/>
      </w:r>
      <w:r>
        <w:t xml:space="preserve"> </w:t>
      </w:r>
      <w:r w:rsidR="00F16624">
        <w:rPr>
          <w:i/>
        </w:rPr>
        <w:t xml:space="preserve">See </w:t>
      </w:r>
      <w:r>
        <w:t>Declaration of David C. Gomez (Declaration), ¶ 7.a.</w:t>
      </w:r>
    </w:p>
  </w:footnote>
  <w:footnote w:id="11">
    <w:p w14:paraId="35A8E066" w14:textId="77777777" w:rsidR="00202F29" w:rsidRPr="00202F29" w:rsidRDefault="00202F29">
      <w:pPr>
        <w:pStyle w:val="FootnoteText"/>
      </w:pPr>
      <w:r>
        <w:rPr>
          <w:rStyle w:val="FootnoteReference"/>
        </w:rPr>
        <w:footnoteRef/>
      </w:r>
      <w:r>
        <w:t xml:space="preserve"> Declaration at ¶ 7.a.</w:t>
      </w:r>
    </w:p>
  </w:footnote>
  <w:footnote w:id="12">
    <w:p w14:paraId="2AB57A21" w14:textId="77777777" w:rsidR="00202F29" w:rsidRDefault="00202F29">
      <w:pPr>
        <w:pStyle w:val="FootnoteText"/>
      </w:pPr>
      <w:r>
        <w:rPr>
          <w:rStyle w:val="FootnoteReference"/>
        </w:rPr>
        <w:footnoteRef/>
      </w:r>
      <w:r>
        <w:t xml:space="preserve"> Declaration at 7.b.</w:t>
      </w:r>
    </w:p>
  </w:footnote>
  <w:footnote w:id="13">
    <w:p w14:paraId="71FB2A84" w14:textId="11C96E11" w:rsidR="009C30EB" w:rsidRDefault="009C30EB">
      <w:pPr>
        <w:pStyle w:val="FootnoteText"/>
      </w:pPr>
      <w:r>
        <w:rPr>
          <w:rStyle w:val="FootnoteReference"/>
        </w:rPr>
        <w:footnoteRef/>
      </w:r>
      <w:r>
        <w:t xml:space="preserve"> Bench Request 10.3</w:t>
      </w:r>
    </w:p>
    <w:p w14:paraId="038E335A" w14:textId="0154A8CA" w:rsidR="009C30EB" w:rsidRPr="009C30EB" w:rsidRDefault="009C30EB" w:rsidP="00990AD9">
      <w:pPr>
        <w:pStyle w:val="FootnoteText"/>
        <w:ind w:left="720"/>
      </w:pPr>
      <w:r w:rsidRPr="00990AD9">
        <w:t>Please provide an updated response to Staff Data Request 146 if the expenses related to the BPA expected tariff change or contract inflation assumptions have changed due to the November 1, 2016 power cost update.</w:t>
      </w:r>
    </w:p>
    <w:p w14:paraId="416D1B9F" w14:textId="758ED4FF" w:rsidR="009C30EB" w:rsidRDefault="009C30EB">
      <w:pPr>
        <w:pStyle w:val="FootnoteText"/>
      </w:pPr>
      <w:r>
        <w:t>Bench Request 10.4</w:t>
      </w:r>
    </w:p>
    <w:p w14:paraId="77904AB4" w14:textId="25F5019B" w:rsidR="009C30EB" w:rsidRDefault="009C30EB" w:rsidP="00990AD9">
      <w:pPr>
        <w:pStyle w:val="FootnoteText"/>
        <w:ind w:left="720"/>
      </w:pPr>
      <w:r w:rsidRPr="00973B8A">
        <w:t>Please provide workpapers supporting Electric Adjustment 3.00 Pro Forma Power Supply to include amounts aggregated by FERC account and subaccount (i.e., Account 555 Purchased Power, Subaccount WNP-3) adjusted for Nove</w:t>
      </w:r>
      <w:r>
        <w:t>mber 1, 2016 power cost update.</w:t>
      </w:r>
    </w:p>
  </w:footnote>
  <w:footnote w:id="14">
    <w:p w14:paraId="0F1B0BFF" w14:textId="77777777" w:rsidR="00C30118" w:rsidRDefault="00C30118">
      <w:pPr>
        <w:pStyle w:val="FootnoteText"/>
      </w:pPr>
      <w:r>
        <w:rPr>
          <w:rStyle w:val="FootnoteReference"/>
        </w:rPr>
        <w:footnoteRef/>
      </w:r>
      <w:r>
        <w:t xml:space="preserve"> Avista’s Response to Bench Request No. 10, dated November 4, 2016.</w:t>
      </w:r>
    </w:p>
  </w:footnote>
  <w:footnote w:id="15">
    <w:p w14:paraId="1BA7FE78" w14:textId="77777777" w:rsidR="00D42FC8" w:rsidRPr="00D42FC8" w:rsidRDefault="00D42FC8">
      <w:pPr>
        <w:pStyle w:val="FootnoteText"/>
      </w:pPr>
      <w:r>
        <w:rPr>
          <w:rStyle w:val="FootnoteReference"/>
        </w:rPr>
        <w:footnoteRef/>
      </w:r>
      <w:r>
        <w:t xml:space="preserve"> </w:t>
      </w:r>
      <w:r>
        <w:rPr>
          <w:i/>
        </w:rPr>
        <w:t xml:space="preserve">See </w:t>
      </w:r>
      <w:r w:rsidRPr="00D42FC8">
        <w:t xml:space="preserve">Declaration at </w:t>
      </w:r>
      <w:r>
        <w:t>¶ 7.b.</w:t>
      </w:r>
    </w:p>
  </w:footnote>
  <w:footnote w:id="16">
    <w:p w14:paraId="16DA0A5A" w14:textId="77777777" w:rsidR="00C77549" w:rsidRDefault="00C77549">
      <w:pPr>
        <w:pStyle w:val="FootnoteText"/>
      </w:pPr>
      <w:r>
        <w:rPr>
          <w:rStyle w:val="FootnoteReference"/>
        </w:rPr>
        <w:footnoteRef/>
      </w:r>
      <w:r>
        <w:t xml:space="preserve"> Declaration at ¶ 7.c.</w:t>
      </w:r>
    </w:p>
  </w:footnote>
  <w:footnote w:id="17">
    <w:p w14:paraId="45CBE07B" w14:textId="768B5DCF" w:rsidR="00A11B6F" w:rsidRDefault="00A11B6F">
      <w:pPr>
        <w:pStyle w:val="FootnoteText"/>
      </w:pPr>
      <w:r>
        <w:rPr>
          <w:rStyle w:val="FootnoteReference"/>
        </w:rPr>
        <w:footnoteRef/>
      </w:r>
      <w:r>
        <w:t xml:space="preserve"> Declaration at ¶ 7.</w:t>
      </w:r>
      <w:r w:rsidR="00946202">
        <w:t>d</w:t>
      </w:r>
      <w:r>
        <w:t>.</w:t>
      </w:r>
    </w:p>
  </w:footnote>
  <w:footnote w:id="18">
    <w:p w14:paraId="396FBAF5" w14:textId="5B9AB513" w:rsidR="00CE4EB0" w:rsidRPr="00CE4EB0" w:rsidRDefault="00CE4EB0">
      <w:pPr>
        <w:pStyle w:val="FootnoteText"/>
      </w:pPr>
      <w:r>
        <w:rPr>
          <w:rStyle w:val="FootnoteReference"/>
        </w:rPr>
        <w:footnoteRef/>
      </w:r>
      <w:r>
        <w:t xml:space="preserve"> </w:t>
      </w:r>
      <w:r>
        <w:rPr>
          <w:i/>
        </w:rPr>
        <w:t xml:space="preserve">See </w:t>
      </w:r>
      <w:r>
        <w:t>Declaration at ¶ 7.</w:t>
      </w:r>
      <w:r w:rsidR="00946202">
        <w:t>e</w:t>
      </w:r>
      <w:r>
        <w:t>.</w:t>
      </w:r>
    </w:p>
  </w:footnote>
  <w:footnote w:id="19">
    <w:p w14:paraId="0E640E8A" w14:textId="592182E0" w:rsidR="00CE4EB0" w:rsidRDefault="00CE4EB0">
      <w:pPr>
        <w:pStyle w:val="FootnoteText"/>
      </w:pPr>
      <w:r>
        <w:rPr>
          <w:rStyle w:val="FootnoteReference"/>
        </w:rPr>
        <w:footnoteRef/>
      </w:r>
      <w:r>
        <w:t xml:space="preserve"> Declaration at ¶ 7.</w:t>
      </w:r>
      <w:r w:rsidR="00946202">
        <w:t>e</w:t>
      </w:r>
      <w:r>
        <w:t>.</w:t>
      </w:r>
    </w:p>
  </w:footnote>
  <w:footnote w:id="20">
    <w:p w14:paraId="2F8E8D30" w14:textId="75A6B792" w:rsidR="00443416" w:rsidRDefault="00443416">
      <w:pPr>
        <w:pStyle w:val="FootnoteText"/>
      </w:pPr>
      <w:r>
        <w:rPr>
          <w:rStyle w:val="FootnoteReference"/>
        </w:rPr>
        <w:footnoteRef/>
      </w:r>
      <w:r>
        <w:t xml:space="preserve"> Declaration at ¶ 7.</w:t>
      </w:r>
      <w:r w:rsidR="00946202">
        <w:t>f</w:t>
      </w:r>
      <w:r>
        <w:t>.</w:t>
      </w:r>
    </w:p>
  </w:footnote>
  <w:footnote w:id="21">
    <w:p w14:paraId="0ACB481A" w14:textId="77777777" w:rsidR="00A672B1" w:rsidRDefault="00A672B1">
      <w:pPr>
        <w:pStyle w:val="FootnoteText"/>
      </w:pPr>
      <w:r>
        <w:rPr>
          <w:rStyle w:val="FootnoteReference"/>
        </w:rPr>
        <w:footnoteRef/>
      </w:r>
      <w:r>
        <w:t xml:space="preserve"> Declaration at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74819" w14:textId="77777777" w:rsidR="00AE6CCF" w:rsidRDefault="00AE6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C700" w14:textId="77777777" w:rsidR="00AE6CCF" w:rsidRDefault="00AE6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BDC68" w14:textId="77777777" w:rsidR="00AE6CCF" w:rsidRDefault="00AE6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1C35ED"/>
    <w:multiLevelType w:val="hybridMultilevel"/>
    <w:tmpl w:val="1DCED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3A22D8"/>
    <w:multiLevelType w:val="hybridMultilevel"/>
    <w:tmpl w:val="EDB86E80"/>
    <w:lvl w:ilvl="0" w:tplc="04090001">
      <w:start w:val="1"/>
      <w:numFmt w:val="bullet"/>
      <w:lvlText w:val=""/>
      <w:lvlJc w:val="left"/>
      <w:pPr>
        <w:ind w:left="1440" w:hanging="360"/>
      </w:pPr>
      <w:rPr>
        <w:rFonts w:ascii="Symbol" w:hAnsi="Symbol"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6C3BE9"/>
    <w:multiLevelType w:val="hybridMultilevel"/>
    <w:tmpl w:val="B28C38BE"/>
    <w:lvl w:ilvl="0" w:tplc="D1424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FE3256"/>
    <w:multiLevelType w:val="hybridMultilevel"/>
    <w:tmpl w:val="2B1AD33E"/>
    <w:lvl w:ilvl="0" w:tplc="F806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E1828"/>
    <w:multiLevelType w:val="hybridMultilevel"/>
    <w:tmpl w:val="B75A8140"/>
    <w:lvl w:ilvl="0" w:tplc="04090001">
      <w:start w:val="1"/>
      <w:numFmt w:val="bullet"/>
      <w:lvlText w:val=""/>
      <w:lvlJc w:val="left"/>
      <w:pPr>
        <w:ind w:left="1440" w:hanging="360"/>
      </w:pPr>
      <w:rPr>
        <w:rFonts w:ascii="Symbol" w:hAnsi="Symbol"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6F0673"/>
    <w:multiLevelType w:val="hybridMultilevel"/>
    <w:tmpl w:val="136A502A"/>
    <w:lvl w:ilvl="0" w:tplc="E84A0B7A">
      <w:start w:val="1"/>
      <w:numFmt w:val="decimal"/>
      <w:lvlText w:val="%1"/>
      <w:lvlJc w:val="left"/>
      <w:pPr>
        <w:ind w:left="1440" w:hanging="360"/>
      </w:pPr>
      <w:rPr>
        <w:rFonts w:ascii="Times New Roman" w:hAnsi="Times New Roman"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9B1D4B"/>
    <w:multiLevelType w:val="hybridMultilevel"/>
    <w:tmpl w:val="E9A614D6"/>
    <w:lvl w:ilvl="0" w:tplc="BD2A6698">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61F9E"/>
    <w:multiLevelType w:val="hybridMultilevel"/>
    <w:tmpl w:val="323CB1DC"/>
    <w:lvl w:ilvl="0" w:tplc="D1424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46AF4"/>
    <w:multiLevelType w:val="hybridMultilevel"/>
    <w:tmpl w:val="3F224A66"/>
    <w:lvl w:ilvl="0" w:tplc="D1424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7D1390"/>
    <w:multiLevelType w:val="hybridMultilevel"/>
    <w:tmpl w:val="4038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11"/>
  </w:num>
  <w:num w:numId="6">
    <w:abstractNumId w:val="3"/>
  </w:num>
  <w:num w:numId="7">
    <w:abstractNumId w:val="10"/>
  </w:num>
  <w:num w:numId="8">
    <w:abstractNumId w:val="7"/>
  </w:num>
  <w:num w:numId="9">
    <w:abstractNumId w:val="9"/>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2D49"/>
    <w:rsid w:val="00007849"/>
    <w:rsid w:val="00011FDF"/>
    <w:rsid w:val="00025DB8"/>
    <w:rsid w:val="000439E5"/>
    <w:rsid w:val="00061C76"/>
    <w:rsid w:val="00086869"/>
    <w:rsid w:val="000A2C23"/>
    <w:rsid w:val="000A6D23"/>
    <w:rsid w:val="000D259F"/>
    <w:rsid w:val="000F6878"/>
    <w:rsid w:val="001102D1"/>
    <w:rsid w:val="00111B55"/>
    <w:rsid w:val="00116E8A"/>
    <w:rsid w:val="00122952"/>
    <w:rsid w:val="00142A31"/>
    <w:rsid w:val="00154E30"/>
    <w:rsid w:val="001822B5"/>
    <w:rsid w:val="001A3E51"/>
    <w:rsid w:val="001B0EDF"/>
    <w:rsid w:val="001B6B8C"/>
    <w:rsid w:val="001C1789"/>
    <w:rsid w:val="001C7832"/>
    <w:rsid w:val="001E501A"/>
    <w:rsid w:val="001E6A9C"/>
    <w:rsid w:val="001F3EDB"/>
    <w:rsid w:val="00202F29"/>
    <w:rsid w:val="002164F9"/>
    <w:rsid w:val="00220799"/>
    <w:rsid w:val="002215F9"/>
    <w:rsid w:val="00227E37"/>
    <w:rsid w:val="00250CFD"/>
    <w:rsid w:val="002551BF"/>
    <w:rsid w:val="00255923"/>
    <w:rsid w:val="00260550"/>
    <w:rsid w:val="002913B5"/>
    <w:rsid w:val="00297C28"/>
    <w:rsid w:val="002A2B53"/>
    <w:rsid w:val="002B3B31"/>
    <w:rsid w:val="002D38F5"/>
    <w:rsid w:val="002E25C8"/>
    <w:rsid w:val="002F1423"/>
    <w:rsid w:val="002F2B88"/>
    <w:rsid w:val="00301085"/>
    <w:rsid w:val="0030586C"/>
    <w:rsid w:val="00324019"/>
    <w:rsid w:val="00324964"/>
    <w:rsid w:val="003261C1"/>
    <w:rsid w:val="003412CF"/>
    <w:rsid w:val="00355F29"/>
    <w:rsid w:val="003A25D2"/>
    <w:rsid w:val="003B7707"/>
    <w:rsid w:val="003C11FE"/>
    <w:rsid w:val="003C5390"/>
    <w:rsid w:val="003C7B93"/>
    <w:rsid w:val="003E34BE"/>
    <w:rsid w:val="003E3B7E"/>
    <w:rsid w:val="003F1945"/>
    <w:rsid w:val="003F2BA0"/>
    <w:rsid w:val="00400F68"/>
    <w:rsid w:val="0041250C"/>
    <w:rsid w:val="00420F5F"/>
    <w:rsid w:val="004246C8"/>
    <w:rsid w:val="00440656"/>
    <w:rsid w:val="0044219E"/>
    <w:rsid w:val="00443416"/>
    <w:rsid w:val="00472CDF"/>
    <w:rsid w:val="004821A4"/>
    <w:rsid w:val="00486158"/>
    <w:rsid w:val="0049015A"/>
    <w:rsid w:val="004A26FF"/>
    <w:rsid w:val="004A4F64"/>
    <w:rsid w:val="004B2ED5"/>
    <w:rsid w:val="004C3D65"/>
    <w:rsid w:val="004D3CD6"/>
    <w:rsid w:val="004D7A59"/>
    <w:rsid w:val="004E3465"/>
    <w:rsid w:val="004E6FAB"/>
    <w:rsid w:val="004F69A5"/>
    <w:rsid w:val="00501FFC"/>
    <w:rsid w:val="00505548"/>
    <w:rsid w:val="0051323E"/>
    <w:rsid w:val="0055729C"/>
    <w:rsid w:val="005834AF"/>
    <w:rsid w:val="005925E7"/>
    <w:rsid w:val="0059364A"/>
    <w:rsid w:val="00595D41"/>
    <w:rsid w:val="005A6DAC"/>
    <w:rsid w:val="005B3A71"/>
    <w:rsid w:val="005C58A4"/>
    <w:rsid w:val="005C6E69"/>
    <w:rsid w:val="005D0833"/>
    <w:rsid w:val="005E07C2"/>
    <w:rsid w:val="005F2B5B"/>
    <w:rsid w:val="005F41BE"/>
    <w:rsid w:val="00606B53"/>
    <w:rsid w:val="00606C84"/>
    <w:rsid w:val="006131B0"/>
    <w:rsid w:val="00615846"/>
    <w:rsid w:val="006354B9"/>
    <w:rsid w:val="00641F98"/>
    <w:rsid w:val="0065561B"/>
    <w:rsid w:val="0069338E"/>
    <w:rsid w:val="006B0EF3"/>
    <w:rsid w:val="006B1845"/>
    <w:rsid w:val="006B35CC"/>
    <w:rsid w:val="006E4980"/>
    <w:rsid w:val="006F5B0F"/>
    <w:rsid w:val="00732168"/>
    <w:rsid w:val="00734D4E"/>
    <w:rsid w:val="00737B08"/>
    <w:rsid w:val="00741382"/>
    <w:rsid w:val="007464F1"/>
    <w:rsid w:val="0076208F"/>
    <w:rsid w:val="0076699B"/>
    <w:rsid w:val="007A2794"/>
    <w:rsid w:val="007B7A8C"/>
    <w:rsid w:val="007C1BA6"/>
    <w:rsid w:val="007C2EFD"/>
    <w:rsid w:val="007F4412"/>
    <w:rsid w:val="00814D51"/>
    <w:rsid w:val="00821B26"/>
    <w:rsid w:val="008228D6"/>
    <w:rsid w:val="00835284"/>
    <w:rsid w:val="0087185E"/>
    <w:rsid w:val="008755CA"/>
    <w:rsid w:val="00881DC1"/>
    <w:rsid w:val="0089062F"/>
    <w:rsid w:val="008A6701"/>
    <w:rsid w:val="008B016C"/>
    <w:rsid w:val="008E24B7"/>
    <w:rsid w:val="008E5459"/>
    <w:rsid w:val="00905679"/>
    <w:rsid w:val="009068CA"/>
    <w:rsid w:val="009108E7"/>
    <w:rsid w:val="00916CF4"/>
    <w:rsid w:val="00946202"/>
    <w:rsid w:val="009478F5"/>
    <w:rsid w:val="009524D1"/>
    <w:rsid w:val="00957654"/>
    <w:rsid w:val="00973B8A"/>
    <w:rsid w:val="00990AD9"/>
    <w:rsid w:val="009B71B7"/>
    <w:rsid w:val="009C2DB0"/>
    <w:rsid w:val="009C30EB"/>
    <w:rsid w:val="009C4ABD"/>
    <w:rsid w:val="009C5642"/>
    <w:rsid w:val="009C7233"/>
    <w:rsid w:val="009D1CAB"/>
    <w:rsid w:val="009D31A2"/>
    <w:rsid w:val="009D355C"/>
    <w:rsid w:val="009D3E3D"/>
    <w:rsid w:val="009D6057"/>
    <w:rsid w:val="009F03EE"/>
    <w:rsid w:val="00A03002"/>
    <w:rsid w:val="00A07154"/>
    <w:rsid w:val="00A1177C"/>
    <w:rsid w:val="00A11B6F"/>
    <w:rsid w:val="00A30C52"/>
    <w:rsid w:val="00A47BDD"/>
    <w:rsid w:val="00A66328"/>
    <w:rsid w:val="00A672B1"/>
    <w:rsid w:val="00A778A9"/>
    <w:rsid w:val="00A80028"/>
    <w:rsid w:val="00A874EA"/>
    <w:rsid w:val="00A918DE"/>
    <w:rsid w:val="00AB2308"/>
    <w:rsid w:val="00AC41FC"/>
    <w:rsid w:val="00AC46E8"/>
    <w:rsid w:val="00AD4B9A"/>
    <w:rsid w:val="00AD76B2"/>
    <w:rsid w:val="00AE1324"/>
    <w:rsid w:val="00AE6CCF"/>
    <w:rsid w:val="00AE6CD0"/>
    <w:rsid w:val="00AF083D"/>
    <w:rsid w:val="00B20503"/>
    <w:rsid w:val="00B317B6"/>
    <w:rsid w:val="00B6762E"/>
    <w:rsid w:val="00B73973"/>
    <w:rsid w:val="00B741EB"/>
    <w:rsid w:val="00B763CA"/>
    <w:rsid w:val="00BA1E93"/>
    <w:rsid w:val="00BA45F5"/>
    <w:rsid w:val="00BC3872"/>
    <w:rsid w:val="00BD4D7F"/>
    <w:rsid w:val="00BF2F67"/>
    <w:rsid w:val="00BF3CD1"/>
    <w:rsid w:val="00BF7462"/>
    <w:rsid w:val="00C03C27"/>
    <w:rsid w:val="00C07A42"/>
    <w:rsid w:val="00C10266"/>
    <w:rsid w:val="00C128F1"/>
    <w:rsid w:val="00C20039"/>
    <w:rsid w:val="00C30118"/>
    <w:rsid w:val="00C360A4"/>
    <w:rsid w:val="00C50114"/>
    <w:rsid w:val="00C5478B"/>
    <w:rsid w:val="00C77549"/>
    <w:rsid w:val="00C809D8"/>
    <w:rsid w:val="00C82A86"/>
    <w:rsid w:val="00CA14F9"/>
    <w:rsid w:val="00CA77B1"/>
    <w:rsid w:val="00CC017C"/>
    <w:rsid w:val="00CC23FA"/>
    <w:rsid w:val="00CD3811"/>
    <w:rsid w:val="00CD75A6"/>
    <w:rsid w:val="00CE4EB0"/>
    <w:rsid w:val="00CF429E"/>
    <w:rsid w:val="00D22816"/>
    <w:rsid w:val="00D23DBA"/>
    <w:rsid w:val="00D31014"/>
    <w:rsid w:val="00D42FC8"/>
    <w:rsid w:val="00D74E25"/>
    <w:rsid w:val="00D77653"/>
    <w:rsid w:val="00D940A2"/>
    <w:rsid w:val="00D97E0F"/>
    <w:rsid w:val="00DA492F"/>
    <w:rsid w:val="00DA4D8A"/>
    <w:rsid w:val="00DB58DA"/>
    <w:rsid w:val="00DC5000"/>
    <w:rsid w:val="00DF2C64"/>
    <w:rsid w:val="00DF3E1D"/>
    <w:rsid w:val="00E01340"/>
    <w:rsid w:val="00E03DD6"/>
    <w:rsid w:val="00E26F64"/>
    <w:rsid w:val="00E309AD"/>
    <w:rsid w:val="00E3296F"/>
    <w:rsid w:val="00E704FD"/>
    <w:rsid w:val="00EA0E94"/>
    <w:rsid w:val="00EA581E"/>
    <w:rsid w:val="00EC6A6F"/>
    <w:rsid w:val="00F10CE5"/>
    <w:rsid w:val="00F16624"/>
    <w:rsid w:val="00F23AFD"/>
    <w:rsid w:val="00F24974"/>
    <w:rsid w:val="00F268EE"/>
    <w:rsid w:val="00F42B12"/>
    <w:rsid w:val="00F518C4"/>
    <w:rsid w:val="00F52933"/>
    <w:rsid w:val="00F53CB5"/>
    <w:rsid w:val="00F601A5"/>
    <w:rsid w:val="00F60499"/>
    <w:rsid w:val="00F748D8"/>
    <w:rsid w:val="00F77C60"/>
    <w:rsid w:val="00F87AC8"/>
    <w:rsid w:val="00F96C6B"/>
    <w:rsid w:val="00FB5BE7"/>
    <w:rsid w:val="00FB70C8"/>
    <w:rsid w:val="00FD30A8"/>
    <w:rsid w:val="00FE097F"/>
    <w:rsid w:val="00FF15C4"/>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1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1"/>
    <w:basedOn w:val="Normal"/>
    <w:link w:val="FootnoteTextChar"/>
    <w:uiPriority w:val="99"/>
    <w:qFormat/>
    <w:rsid w:val="00F748D8"/>
    <w:rPr>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F518C4"/>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4B2ED5"/>
  </w:style>
  <w:style w:type="character" w:styleId="CommentReference">
    <w:name w:val="annotation reference"/>
    <w:basedOn w:val="DefaultParagraphFont"/>
    <w:semiHidden/>
    <w:unhideWhenUsed/>
    <w:rsid w:val="00AE1324"/>
    <w:rPr>
      <w:sz w:val="16"/>
      <w:szCs w:val="16"/>
    </w:rPr>
  </w:style>
  <w:style w:type="paragraph" w:styleId="CommentText">
    <w:name w:val="annotation text"/>
    <w:basedOn w:val="Normal"/>
    <w:link w:val="CommentTextChar"/>
    <w:uiPriority w:val="99"/>
    <w:unhideWhenUsed/>
    <w:rsid w:val="00AE1324"/>
    <w:rPr>
      <w:szCs w:val="20"/>
    </w:rPr>
  </w:style>
  <w:style w:type="character" w:customStyle="1" w:styleId="CommentTextChar">
    <w:name w:val="Comment Text Char"/>
    <w:basedOn w:val="DefaultParagraphFont"/>
    <w:link w:val="CommentText"/>
    <w:uiPriority w:val="99"/>
    <w:rsid w:val="00AE1324"/>
  </w:style>
  <w:style w:type="paragraph" w:styleId="CommentSubject">
    <w:name w:val="annotation subject"/>
    <w:basedOn w:val="CommentText"/>
    <w:next w:val="CommentText"/>
    <w:link w:val="CommentSubjectChar"/>
    <w:semiHidden/>
    <w:unhideWhenUsed/>
    <w:rsid w:val="00AE1324"/>
    <w:rPr>
      <w:b/>
      <w:bCs/>
    </w:rPr>
  </w:style>
  <w:style w:type="character" w:customStyle="1" w:styleId="CommentSubjectChar">
    <w:name w:val="Comment Subject Char"/>
    <w:basedOn w:val="CommentTextChar"/>
    <w:link w:val="CommentSubject"/>
    <w:semiHidden/>
    <w:rsid w:val="00AE1324"/>
    <w:rPr>
      <w:b/>
      <w:bCs/>
    </w:rPr>
  </w:style>
  <w:style w:type="paragraph" w:styleId="BalloonText">
    <w:name w:val="Balloon Text"/>
    <w:basedOn w:val="Normal"/>
    <w:link w:val="BalloonTextChar"/>
    <w:semiHidden/>
    <w:unhideWhenUsed/>
    <w:rsid w:val="00AE1324"/>
    <w:rPr>
      <w:rFonts w:ascii="Segoe UI" w:hAnsi="Segoe UI" w:cs="Segoe UI"/>
      <w:sz w:val="18"/>
      <w:szCs w:val="18"/>
    </w:rPr>
  </w:style>
  <w:style w:type="character" w:customStyle="1" w:styleId="BalloonTextChar">
    <w:name w:val="Balloon Text Char"/>
    <w:basedOn w:val="DefaultParagraphFont"/>
    <w:link w:val="BalloonText"/>
    <w:semiHidden/>
    <w:rsid w:val="00AE1324"/>
    <w:rPr>
      <w:rFonts w:ascii="Segoe UI" w:hAnsi="Segoe UI" w:cs="Segoe UI"/>
      <w:sz w:val="18"/>
      <w:szCs w:val="18"/>
    </w:rPr>
  </w:style>
  <w:style w:type="character" w:styleId="Emphasis">
    <w:name w:val="Emphasis"/>
    <w:basedOn w:val="DefaultParagraphFont"/>
    <w:uiPriority w:val="20"/>
    <w:qFormat/>
    <w:rsid w:val="006131B0"/>
    <w:rPr>
      <w:i/>
      <w:iCs/>
    </w:rPr>
  </w:style>
  <w:style w:type="paragraph" w:customStyle="1" w:styleId="Default">
    <w:name w:val="Default"/>
    <w:rsid w:val="00973B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409">
      <w:bodyDiv w:val="1"/>
      <w:marLeft w:val="0"/>
      <w:marRight w:val="0"/>
      <w:marTop w:val="0"/>
      <w:marBottom w:val="0"/>
      <w:divBdr>
        <w:top w:val="none" w:sz="0" w:space="0" w:color="auto"/>
        <w:left w:val="none" w:sz="0" w:space="0" w:color="auto"/>
        <w:bottom w:val="none" w:sz="0" w:space="0" w:color="auto"/>
        <w:right w:val="none" w:sz="0" w:space="0" w:color="auto"/>
      </w:divBdr>
      <w:divsChild>
        <w:div w:id="233053102">
          <w:marLeft w:val="0"/>
          <w:marRight w:val="0"/>
          <w:marTop w:val="0"/>
          <w:marBottom w:val="0"/>
          <w:divBdr>
            <w:top w:val="none" w:sz="0" w:space="0" w:color="auto"/>
            <w:left w:val="none" w:sz="0" w:space="0" w:color="auto"/>
            <w:bottom w:val="none" w:sz="0" w:space="0" w:color="auto"/>
            <w:right w:val="none" w:sz="0" w:space="0" w:color="auto"/>
          </w:divBdr>
          <w:divsChild>
            <w:div w:id="1713338730">
              <w:marLeft w:val="0"/>
              <w:marRight w:val="0"/>
              <w:marTop w:val="0"/>
              <w:marBottom w:val="0"/>
              <w:divBdr>
                <w:top w:val="none" w:sz="0" w:space="0" w:color="auto"/>
                <w:left w:val="none" w:sz="0" w:space="0" w:color="auto"/>
                <w:bottom w:val="none" w:sz="0" w:space="0" w:color="auto"/>
                <w:right w:val="none" w:sz="0" w:space="0" w:color="auto"/>
              </w:divBdr>
              <w:divsChild>
                <w:div w:id="1435008131">
                  <w:marLeft w:val="0"/>
                  <w:marRight w:val="0"/>
                  <w:marTop w:val="0"/>
                  <w:marBottom w:val="0"/>
                  <w:divBdr>
                    <w:top w:val="none" w:sz="0" w:space="0" w:color="auto"/>
                    <w:left w:val="none" w:sz="0" w:space="0" w:color="auto"/>
                    <w:bottom w:val="none" w:sz="0" w:space="0" w:color="auto"/>
                    <w:right w:val="none" w:sz="0" w:space="0" w:color="auto"/>
                  </w:divBdr>
                  <w:divsChild>
                    <w:div w:id="2036953318">
                      <w:marLeft w:val="0"/>
                      <w:marRight w:val="0"/>
                      <w:marTop w:val="0"/>
                      <w:marBottom w:val="0"/>
                      <w:divBdr>
                        <w:top w:val="none" w:sz="0" w:space="0" w:color="auto"/>
                        <w:left w:val="none" w:sz="0" w:space="0" w:color="auto"/>
                        <w:bottom w:val="none" w:sz="0" w:space="0" w:color="auto"/>
                        <w:right w:val="none" w:sz="0" w:space="0" w:color="auto"/>
                      </w:divBdr>
                      <w:divsChild>
                        <w:div w:id="189299066">
                          <w:marLeft w:val="0"/>
                          <w:marRight w:val="0"/>
                          <w:marTop w:val="0"/>
                          <w:marBottom w:val="0"/>
                          <w:divBdr>
                            <w:top w:val="none" w:sz="0" w:space="0" w:color="auto"/>
                            <w:left w:val="none" w:sz="0" w:space="0" w:color="auto"/>
                            <w:bottom w:val="none" w:sz="0" w:space="0" w:color="auto"/>
                            <w:right w:val="none" w:sz="0" w:space="0" w:color="auto"/>
                          </w:divBdr>
                          <w:divsChild>
                            <w:div w:id="554707110">
                              <w:marLeft w:val="0"/>
                              <w:marRight w:val="0"/>
                              <w:marTop w:val="0"/>
                              <w:marBottom w:val="0"/>
                              <w:divBdr>
                                <w:top w:val="none" w:sz="0" w:space="0" w:color="auto"/>
                                <w:left w:val="none" w:sz="0" w:space="0" w:color="auto"/>
                                <w:bottom w:val="none" w:sz="0" w:space="0" w:color="auto"/>
                                <w:right w:val="none" w:sz="0" w:space="0" w:color="auto"/>
                              </w:divBdr>
                              <w:divsChild>
                                <w:div w:id="845481608">
                                  <w:marLeft w:val="0"/>
                                  <w:marRight w:val="0"/>
                                  <w:marTop w:val="0"/>
                                  <w:marBottom w:val="0"/>
                                  <w:divBdr>
                                    <w:top w:val="none" w:sz="0" w:space="0" w:color="auto"/>
                                    <w:left w:val="none" w:sz="0" w:space="0" w:color="auto"/>
                                    <w:bottom w:val="none" w:sz="0" w:space="0" w:color="auto"/>
                                    <w:right w:val="none" w:sz="0" w:space="0" w:color="auto"/>
                                  </w:divBdr>
                                  <w:divsChild>
                                    <w:div w:id="1067993424">
                                      <w:marLeft w:val="0"/>
                                      <w:marRight w:val="0"/>
                                      <w:marTop w:val="0"/>
                                      <w:marBottom w:val="0"/>
                                      <w:divBdr>
                                        <w:top w:val="none" w:sz="0" w:space="0" w:color="auto"/>
                                        <w:left w:val="none" w:sz="0" w:space="0" w:color="auto"/>
                                        <w:bottom w:val="none" w:sz="0" w:space="0" w:color="auto"/>
                                        <w:right w:val="none" w:sz="0" w:space="0" w:color="auto"/>
                                      </w:divBdr>
                                      <w:divsChild>
                                        <w:div w:id="325594797">
                                          <w:marLeft w:val="0"/>
                                          <w:marRight w:val="0"/>
                                          <w:marTop w:val="0"/>
                                          <w:marBottom w:val="0"/>
                                          <w:divBdr>
                                            <w:top w:val="none" w:sz="0" w:space="0" w:color="auto"/>
                                            <w:left w:val="none" w:sz="0" w:space="0" w:color="auto"/>
                                            <w:bottom w:val="none" w:sz="0" w:space="0" w:color="auto"/>
                                            <w:right w:val="none" w:sz="0" w:space="0" w:color="auto"/>
                                          </w:divBdr>
                                          <w:divsChild>
                                            <w:div w:id="235289167">
                                              <w:marLeft w:val="0"/>
                                              <w:marRight w:val="0"/>
                                              <w:marTop w:val="0"/>
                                              <w:marBottom w:val="0"/>
                                              <w:divBdr>
                                                <w:top w:val="none" w:sz="0" w:space="0" w:color="auto"/>
                                                <w:left w:val="none" w:sz="0" w:space="0" w:color="auto"/>
                                                <w:bottom w:val="none" w:sz="0" w:space="0" w:color="auto"/>
                                                <w:right w:val="none" w:sz="0" w:space="0" w:color="auto"/>
                                              </w:divBdr>
                                              <w:divsChild>
                                                <w:div w:id="1796677878">
                                                  <w:marLeft w:val="0"/>
                                                  <w:marRight w:val="0"/>
                                                  <w:marTop w:val="0"/>
                                                  <w:marBottom w:val="0"/>
                                                  <w:divBdr>
                                                    <w:top w:val="none" w:sz="0" w:space="0" w:color="auto"/>
                                                    <w:left w:val="none" w:sz="0" w:space="0" w:color="auto"/>
                                                    <w:bottom w:val="none" w:sz="0" w:space="0" w:color="auto"/>
                                                    <w:right w:val="none" w:sz="0" w:space="0" w:color="auto"/>
                                                  </w:divBdr>
                                                  <w:divsChild>
                                                    <w:div w:id="189875184">
                                                      <w:marLeft w:val="0"/>
                                                      <w:marRight w:val="0"/>
                                                      <w:marTop w:val="240"/>
                                                      <w:marBottom w:val="240"/>
                                                      <w:divBdr>
                                                        <w:top w:val="none" w:sz="0" w:space="0" w:color="auto"/>
                                                        <w:left w:val="none" w:sz="0" w:space="0" w:color="auto"/>
                                                        <w:bottom w:val="none" w:sz="0" w:space="0" w:color="auto"/>
                                                        <w:right w:val="none" w:sz="0" w:space="0" w:color="auto"/>
                                                      </w:divBdr>
                                                    </w:div>
                                                    <w:div w:id="1704280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2016-11-10T08:00:00+00:00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320BA7-8F68-4BEB-B86C-19B3C4C414D9}">
  <ds:schemaRefs>
    <ds:schemaRef ds:uri="http://schemas.openxmlformats.org/officeDocument/2006/bibliography"/>
  </ds:schemaRefs>
</ds:datastoreItem>
</file>

<file path=customXml/itemProps2.xml><?xml version="1.0" encoding="utf-8"?>
<ds:datastoreItem xmlns:ds="http://schemas.openxmlformats.org/officeDocument/2006/customXml" ds:itemID="{412F4C3E-E7F6-4F90-974A-33A68D7B6C99}"/>
</file>

<file path=customXml/itemProps3.xml><?xml version="1.0" encoding="utf-8"?>
<ds:datastoreItem xmlns:ds="http://schemas.openxmlformats.org/officeDocument/2006/customXml" ds:itemID="{2AE9F30D-EC1F-486A-8BFD-3CB72B2A36CA}"/>
</file>

<file path=customXml/itemProps4.xml><?xml version="1.0" encoding="utf-8"?>
<ds:datastoreItem xmlns:ds="http://schemas.openxmlformats.org/officeDocument/2006/customXml" ds:itemID="{54359A6F-7887-477B-B79D-13B7E8792E02}"/>
</file>

<file path=customXml/itemProps5.xml><?xml version="1.0" encoding="utf-8"?>
<ds:datastoreItem xmlns:ds="http://schemas.openxmlformats.org/officeDocument/2006/customXml" ds:itemID="{6BEB20BC-6FC2-4952-B6A8-0670F3AACD7A}"/>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2016-11-10T21:31:00Z</dcterms:created>
  <dcterms:modified xsi:type="dcterms:W3CDTF">2016-11-10T21:33:00Z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