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FDC4A" w14:textId="77777777" w:rsidR="008305BF" w:rsidRPr="00481513" w:rsidRDefault="00A05C58" w:rsidP="00A05C58">
      <w:pPr>
        <w:pStyle w:val="Title"/>
        <w:rPr>
          <w:szCs w:val="24"/>
        </w:rPr>
      </w:pPr>
      <w:r w:rsidRPr="00481513">
        <w:rPr>
          <w:szCs w:val="24"/>
        </w:rPr>
        <w:t xml:space="preserve">BEFORE THE </w:t>
      </w:r>
      <w:r w:rsidR="008305BF" w:rsidRPr="00481513">
        <w:rPr>
          <w:szCs w:val="24"/>
        </w:rPr>
        <w:t>WASHINGTON UTILITIES AND</w:t>
      </w:r>
    </w:p>
    <w:p w14:paraId="0732D0F6" w14:textId="77777777" w:rsidR="008305BF" w:rsidRPr="00481513" w:rsidRDefault="008305BF" w:rsidP="00A05C58">
      <w:pPr>
        <w:pStyle w:val="Title"/>
        <w:rPr>
          <w:szCs w:val="24"/>
        </w:rPr>
      </w:pPr>
    </w:p>
    <w:p w14:paraId="43872B2F" w14:textId="77777777" w:rsidR="00A05C58" w:rsidRPr="00481513" w:rsidRDefault="008305BF" w:rsidP="008305BF">
      <w:pPr>
        <w:pStyle w:val="Title"/>
        <w:rPr>
          <w:szCs w:val="24"/>
        </w:rPr>
      </w:pPr>
      <w:r w:rsidRPr="00481513">
        <w:rPr>
          <w:szCs w:val="24"/>
        </w:rPr>
        <w:t xml:space="preserve"> TRANSPORTATION COMMISSION</w:t>
      </w:r>
    </w:p>
    <w:p w14:paraId="33907E4B" w14:textId="77777777" w:rsidR="00A05C58" w:rsidRPr="00481513" w:rsidRDefault="00A05C58" w:rsidP="00A05C58">
      <w:pPr>
        <w:jc w:val="center"/>
        <w:rPr>
          <w:szCs w:val="24"/>
        </w:rPr>
      </w:pPr>
    </w:p>
    <w:p w14:paraId="4949E361" w14:textId="2E4318A2" w:rsidR="00A05C58" w:rsidRPr="00481513" w:rsidRDefault="00206A52" w:rsidP="008305BF">
      <w:pPr>
        <w:pStyle w:val="Heading1"/>
        <w:rPr>
          <w:szCs w:val="24"/>
        </w:rPr>
      </w:pPr>
      <w:r>
        <w:rPr>
          <w:szCs w:val="24"/>
        </w:rPr>
        <w:t>U</w:t>
      </w:r>
      <w:r w:rsidR="008305BF" w:rsidRPr="00481513">
        <w:rPr>
          <w:szCs w:val="24"/>
        </w:rPr>
        <w:t>-161024</w:t>
      </w:r>
    </w:p>
    <w:tbl>
      <w:tblPr>
        <w:tblW w:w="9360" w:type="dxa"/>
        <w:tblLayout w:type="fixed"/>
        <w:tblCellMar>
          <w:left w:w="0" w:type="dxa"/>
          <w:right w:w="0" w:type="dxa"/>
        </w:tblCellMar>
        <w:tblLook w:val="0000" w:firstRow="0" w:lastRow="0" w:firstColumn="0" w:lastColumn="0" w:noHBand="0" w:noVBand="0"/>
      </w:tblPr>
      <w:tblGrid>
        <w:gridCol w:w="4508"/>
        <w:gridCol w:w="310"/>
        <w:gridCol w:w="4542"/>
      </w:tblGrid>
      <w:tr w:rsidR="00A05C58" w:rsidRPr="00481513" w14:paraId="403964BB" w14:textId="77777777" w:rsidTr="007869EA">
        <w:trPr>
          <w:trHeight w:val="2223"/>
        </w:trPr>
        <w:tc>
          <w:tcPr>
            <w:tcW w:w="4508" w:type="dxa"/>
            <w:tcBorders>
              <w:bottom w:val="single" w:sz="4" w:space="0" w:color="auto"/>
            </w:tcBorders>
          </w:tcPr>
          <w:p w14:paraId="32A4DBCD" w14:textId="77777777" w:rsidR="00A05C58" w:rsidRPr="00481513" w:rsidRDefault="00A05C58" w:rsidP="00A05C58">
            <w:pPr>
              <w:tabs>
                <w:tab w:val="left" w:pos="1456"/>
              </w:tabs>
              <w:autoSpaceDE w:val="0"/>
              <w:autoSpaceDN w:val="0"/>
              <w:adjustRightInd w:val="0"/>
            </w:pPr>
          </w:p>
          <w:p w14:paraId="79911FF6" w14:textId="77777777" w:rsidR="00A55146" w:rsidRPr="00481513" w:rsidRDefault="00A55146" w:rsidP="00A55146">
            <w:pPr>
              <w:tabs>
                <w:tab w:val="left" w:pos="1456"/>
              </w:tabs>
              <w:autoSpaceDE w:val="0"/>
              <w:autoSpaceDN w:val="0"/>
              <w:adjustRightInd w:val="0"/>
            </w:pPr>
            <w:r w:rsidRPr="00481513">
              <w:t xml:space="preserve">In the Matter of </w:t>
            </w:r>
          </w:p>
          <w:p w14:paraId="4F840E10" w14:textId="77777777" w:rsidR="00A55146" w:rsidRPr="00481513" w:rsidRDefault="00A55146" w:rsidP="00A55146">
            <w:pPr>
              <w:tabs>
                <w:tab w:val="left" w:pos="1456"/>
              </w:tabs>
              <w:autoSpaceDE w:val="0"/>
              <w:autoSpaceDN w:val="0"/>
              <w:adjustRightInd w:val="0"/>
            </w:pPr>
          </w:p>
          <w:p w14:paraId="119BBE84" w14:textId="557670C8" w:rsidR="00A05C58" w:rsidRPr="00481513" w:rsidRDefault="00130560" w:rsidP="00130560">
            <w:pPr>
              <w:tabs>
                <w:tab w:val="left" w:pos="1456"/>
              </w:tabs>
              <w:autoSpaceDE w:val="0"/>
              <w:autoSpaceDN w:val="0"/>
              <w:adjustRightInd w:val="0"/>
            </w:pPr>
            <w:r w:rsidRPr="00481513">
              <w:t xml:space="preserve">Public Utilities Regulatory Policies Act, </w:t>
            </w:r>
            <w:r w:rsidR="00F21AD0" w:rsidRPr="00481513">
              <w:t>Obligations of the Utility to Qualif</w:t>
            </w:r>
            <w:r w:rsidRPr="00481513">
              <w:t>ying Facilities, WAC 480-107-105</w:t>
            </w:r>
          </w:p>
        </w:tc>
        <w:tc>
          <w:tcPr>
            <w:tcW w:w="310" w:type="dxa"/>
          </w:tcPr>
          <w:p w14:paraId="1EE88C5F" w14:textId="77777777" w:rsidR="00A05C58" w:rsidRPr="00481513" w:rsidRDefault="00A05C58" w:rsidP="00A05C58">
            <w:pPr>
              <w:pStyle w:val="SingleSpacing"/>
              <w:spacing w:line="240" w:lineRule="auto"/>
            </w:pPr>
          </w:p>
          <w:p w14:paraId="5A5DD7C0" w14:textId="77777777" w:rsidR="00A05C58" w:rsidRPr="00481513" w:rsidRDefault="00A05C58" w:rsidP="00A05C58">
            <w:pPr>
              <w:pStyle w:val="SingleSpacing"/>
              <w:spacing w:line="240" w:lineRule="auto"/>
            </w:pPr>
            <w:r w:rsidRPr="00481513">
              <w:t>)</w:t>
            </w:r>
          </w:p>
          <w:p w14:paraId="5D2AC647" w14:textId="77777777" w:rsidR="00A05C58" w:rsidRPr="00481513" w:rsidRDefault="00A05C58" w:rsidP="00A05C58">
            <w:pPr>
              <w:pStyle w:val="SingleSpacing"/>
              <w:spacing w:line="240" w:lineRule="auto"/>
            </w:pPr>
            <w:r w:rsidRPr="00481513">
              <w:t>)</w:t>
            </w:r>
          </w:p>
          <w:p w14:paraId="4D05705A" w14:textId="77777777" w:rsidR="00A05C58" w:rsidRPr="00481513" w:rsidRDefault="00A05C58" w:rsidP="00A05C58">
            <w:pPr>
              <w:pStyle w:val="SingleSpacing"/>
              <w:spacing w:line="240" w:lineRule="auto"/>
            </w:pPr>
            <w:r w:rsidRPr="00481513">
              <w:t>)</w:t>
            </w:r>
          </w:p>
          <w:p w14:paraId="64B40F60" w14:textId="77777777" w:rsidR="00A05C58" w:rsidRPr="00481513" w:rsidRDefault="00A05C58" w:rsidP="00A05C58">
            <w:pPr>
              <w:pStyle w:val="SingleSpacing"/>
              <w:spacing w:line="240" w:lineRule="auto"/>
            </w:pPr>
            <w:r w:rsidRPr="00481513">
              <w:t>)</w:t>
            </w:r>
          </w:p>
          <w:p w14:paraId="6ABEB82E" w14:textId="77777777" w:rsidR="00A05C58" w:rsidRPr="00481513" w:rsidRDefault="00A05C58" w:rsidP="00A05C58">
            <w:pPr>
              <w:pStyle w:val="SingleSpacing"/>
              <w:spacing w:line="240" w:lineRule="auto"/>
            </w:pPr>
            <w:r w:rsidRPr="00481513">
              <w:t>)</w:t>
            </w:r>
          </w:p>
          <w:p w14:paraId="31ACA28A" w14:textId="77777777" w:rsidR="00957C7C" w:rsidRPr="00481513" w:rsidRDefault="003A0C16" w:rsidP="00CA6225">
            <w:pPr>
              <w:pStyle w:val="SingleSpacing"/>
              <w:spacing w:line="240" w:lineRule="auto"/>
            </w:pPr>
            <w:r w:rsidRPr="00481513">
              <w:t>)</w:t>
            </w:r>
          </w:p>
          <w:p w14:paraId="46E45C34" w14:textId="77777777" w:rsidR="00A05C58" w:rsidRPr="00481513" w:rsidRDefault="00A05C58" w:rsidP="00A05C58">
            <w:r w:rsidRPr="00481513">
              <w:t>)</w:t>
            </w:r>
          </w:p>
        </w:tc>
        <w:tc>
          <w:tcPr>
            <w:tcW w:w="4542" w:type="dxa"/>
          </w:tcPr>
          <w:p w14:paraId="41B20916" w14:textId="77777777" w:rsidR="00A05C58" w:rsidRPr="00481513" w:rsidRDefault="00A05C58" w:rsidP="00A05C58">
            <w:pPr>
              <w:pStyle w:val="SingleSpacing"/>
              <w:spacing w:line="240" w:lineRule="auto"/>
            </w:pPr>
            <w:bookmarkStart w:id="0" w:name="CaseNumber"/>
            <w:bookmarkEnd w:id="0"/>
          </w:p>
          <w:p w14:paraId="661374CB" w14:textId="77777777" w:rsidR="00A05C58" w:rsidRPr="00481513" w:rsidRDefault="00A05C58" w:rsidP="00A05C58">
            <w:pPr>
              <w:pStyle w:val="SingleSpacing"/>
              <w:spacing w:line="240" w:lineRule="auto"/>
            </w:pPr>
          </w:p>
          <w:p w14:paraId="13748DDA" w14:textId="6B178CF4" w:rsidR="00A05C58" w:rsidRPr="00481513" w:rsidRDefault="00D80357" w:rsidP="00A05C58">
            <w:pPr>
              <w:pStyle w:val="BodyText2"/>
              <w:ind w:left="410"/>
              <w:rPr>
                <w:b w:val="0"/>
                <w:bCs w:val="0"/>
              </w:rPr>
            </w:pPr>
            <w:r w:rsidRPr="00481513">
              <w:rPr>
                <w:b w:val="0"/>
                <w:bCs w:val="0"/>
              </w:rPr>
              <w:t xml:space="preserve">THE </w:t>
            </w:r>
            <w:r w:rsidR="008305BF" w:rsidRPr="00481513">
              <w:rPr>
                <w:b w:val="0"/>
                <w:bCs w:val="0"/>
              </w:rPr>
              <w:t>NORTHWEST AND INTERMOUNTAIN POWER PRODUCERS COALITION</w:t>
            </w:r>
            <w:r w:rsidR="00130560" w:rsidRPr="00481513">
              <w:rPr>
                <w:b w:val="0"/>
                <w:bCs w:val="0"/>
              </w:rPr>
              <w:t xml:space="preserve"> AND </w:t>
            </w:r>
            <w:r w:rsidRPr="00481513">
              <w:rPr>
                <w:b w:val="0"/>
                <w:bCs w:val="0"/>
              </w:rPr>
              <w:t xml:space="preserve">THE </w:t>
            </w:r>
            <w:r w:rsidR="00130560" w:rsidRPr="00481513">
              <w:rPr>
                <w:b w:val="0"/>
                <w:bCs w:val="0"/>
              </w:rPr>
              <w:t>RENEWABLE ENERGY</w:t>
            </w:r>
            <w:r w:rsidR="008305BF" w:rsidRPr="00481513">
              <w:rPr>
                <w:b w:val="0"/>
                <w:bCs w:val="0"/>
              </w:rPr>
              <w:t xml:space="preserve"> </w:t>
            </w:r>
            <w:r w:rsidRPr="00481513">
              <w:rPr>
                <w:b w:val="0"/>
                <w:bCs w:val="0"/>
              </w:rPr>
              <w:t xml:space="preserve">COALITION </w:t>
            </w:r>
            <w:r w:rsidR="008305BF" w:rsidRPr="00481513">
              <w:rPr>
                <w:b w:val="0"/>
                <w:bCs w:val="0"/>
              </w:rPr>
              <w:t>COMMENTS</w:t>
            </w:r>
          </w:p>
          <w:p w14:paraId="7972B291" w14:textId="77777777" w:rsidR="00A05C58" w:rsidRPr="00481513" w:rsidRDefault="00A05C58" w:rsidP="00A05C58">
            <w:pPr>
              <w:pStyle w:val="BodyText2"/>
              <w:ind w:left="410"/>
              <w:rPr>
                <w:b w:val="0"/>
                <w:bCs w:val="0"/>
              </w:rPr>
            </w:pPr>
          </w:p>
        </w:tc>
      </w:tr>
    </w:tbl>
    <w:p w14:paraId="74DA1DBE" w14:textId="77777777" w:rsidR="00A05C58" w:rsidRPr="00481513" w:rsidRDefault="00A05C58" w:rsidP="00A05C58"/>
    <w:p w14:paraId="6EB3EA9F" w14:textId="77777777" w:rsidR="006A1BC6" w:rsidRPr="00481513" w:rsidRDefault="006A1BC6" w:rsidP="006A1BC6">
      <w:pPr>
        <w:spacing w:line="480" w:lineRule="auto"/>
        <w:jc w:val="center"/>
        <w:rPr>
          <w:b/>
        </w:rPr>
      </w:pPr>
      <w:r w:rsidRPr="00481513">
        <w:rPr>
          <w:b/>
        </w:rPr>
        <w:t>I.</w:t>
      </w:r>
      <w:r w:rsidRPr="00481513">
        <w:rPr>
          <w:b/>
        </w:rPr>
        <w:tab/>
        <w:t>INTRODUCTION</w:t>
      </w:r>
    </w:p>
    <w:p w14:paraId="68EAAB19" w14:textId="64443DB9" w:rsidR="009542C3" w:rsidRPr="00481513" w:rsidRDefault="001C76DC" w:rsidP="001C76DC">
      <w:pPr>
        <w:pStyle w:val="ListParagraph"/>
        <w:numPr>
          <w:ilvl w:val="1"/>
          <w:numId w:val="33"/>
        </w:numPr>
        <w:spacing w:line="480" w:lineRule="auto"/>
        <w:ind w:left="0" w:hanging="540"/>
      </w:pPr>
      <w:r w:rsidRPr="00481513">
        <w:t xml:space="preserve">            </w:t>
      </w:r>
      <w:r w:rsidR="00C03A64" w:rsidRPr="00481513">
        <w:t xml:space="preserve">The Northwest and Intermountain Power Producers Coalition (“NIPPC”) </w:t>
      </w:r>
      <w:r w:rsidR="00D80357" w:rsidRPr="00481513">
        <w:t>and the Renewable Energy Coalition (“REC”) submit</w:t>
      </w:r>
      <w:r w:rsidR="00C03A64" w:rsidRPr="00481513">
        <w:t xml:space="preserve"> these comments regarding the Washington Utilities and Transportation Commission’s </w:t>
      </w:r>
      <w:r w:rsidR="00E451BC" w:rsidRPr="00481513">
        <w:t>(</w:t>
      </w:r>
      <w:r w:rsidR="00474A45" w:rsidRPr="00481513">
        <w:t xml:space="preserve">the “Commission” or </w:t>
      </w:r>
      <w:r w:rsidR="00E451BC" w:rsidRPr="00481513">
        <w:t xml:space="preserve">“WUTC”) </w:t>
      </w:r>
      <w:r w:rsidR="00C03A64" w:rsidRPr="00481513">
        <w:t xml:space="preserve">rulemaking </w:t>
      </w:r>
      <w:r w:rsidR="001C1649" w:rsidRPr="00481513">
        <w:t xml:space="preserve">to </w:t>
      </w:r>
      <w:r w:rsidR="00C03A64" w:rsidRPr="00481513">
        <w:t>examine the Commission’s rules</w:t>
      </w:r>
      <w:r w:rsidR="006A7601" w:rsidRPr="00481513">
        <w:t xml:space="preserve"> and policies</w:t>
      </w:r>
      <w:r w:rsidR="007B5CF6" w:rsidRPr="00481513">
        <w:t xml:space="preserve"> relating to</w:t>
      </w:r>
      <w:r w:rsidR="001C1649" w:rsidRPr="00481513">
        <w:t xml:space="preserve"> </w:t>
      </w:r>
      <w:r w:rsidR="00D80357" w:rsidRPr="00481513">
        <w:t>utility obligations under Public Utili</w:t>
      </w:r>
      <w:r w:rsidR="00A90E5C">
        <w:t>ty</w:t>
      </w:r>
      <w:r w:rsidR="00D80357" w:rsidRPr="00481513">
        <w:t xml:space="preserve"> Regulatory </w:t>
      </w:r>
      <w:r w:rsidR="0082482D">
        <w:t>Policies</w:t>
      </w:r>
      <w:r w:rsidR="006E0B6C">
        <w:t xml:space="preserve"> </w:t>
      </w:r>
      <w:r w:rsidR="00D80357" w:rsidRPr="00481513">
        <w:t>Act (“PURPA”)</w:t>
      </w:r>
      <w:r w:rsidR="00C03A64" w:rsidRPr="00481513">
        <w:t>.</w:t>
      </w:r>
      <w:r w:rsidR="00474A45" w:rsidRPr="00481513">
        <w:t xml:space="preserve">  </w:t>
      </w:r>
      <w:r w:rsidR="006E0B6C">
        <w:t>With specific and narrow</w:t>
      </w:r>
      <w:r w:rsidR="00BB60A8">
        <w:t xml:space="preserve"> improvements, </w:t>
      </w:r>
      <w:r w:rsidR="00893E81">
        <w:rPr>
          <w:rFonts w:eastAsia="MS Mincho"/>
          <w:szCs w:val="24"/>
          <w:lang w:eastAsia="ja-JP"/>
        </w:rPr>
        <w:t>NIPPC and REC</w:t>
      </w:r>
      <w:r w:rsidR="00102E02" w:rsidRPr="00481513">
        <w:rPr>
          <w:rFonts w:eastAsia="MS Mincho"/>
          <w:szCs w:val="24"/>
          <w:lang w:eastAsia="ja-JP"/>
        </w:rPr>
        <w:t xml:space="preserve"> are generally supportive of the overall framework used</w:t>
      </w:r>
      <w:r w:rsidR="00A90E5C">
        <w:rPr>
          <w:rFonts w:eastAsia="MS Mincho"/>
          <w:szCs w:val="24"/>
          <w:lang w:eastAsia="ja-JP"/>
        </w:rPr>
        <w:t xml:space="preserve"> for setting avoided cost prices</w:t>
      </w:r>
      <w:r w:rsidR="0082482D">
        <w:rPr>
          <w:rFonts w:eastAsia="MS Mincho"/>
          <w:szCs w:val="24"/>
          <w:lang w:eastAsia="ja-JP"/>
        </w:rPr>
        <w:t xml:space="preserve"> paid to qualifying facilities (“QF</w:t>
      </w:r>
      <w:r w:rsidR="00AB565B">
        <w:rPr>
          <w:rFonts w:eastAsia="MS Mincho"/>
          <w:szCs w:val="24"/>
          <w:lang w:eastAsia="ja-JP"/>
        </w:rPr>
        <w:t>s</w:t>
      </w:r>
      <w:r w:rsidR="0082482D">
        <w:rPr>
          <w:rFonts w:eastAsia="MS Mincho"/>
          <w:szCs w:val="24"/>
          <w:lang w:eastAsia="ja-JP"/>
        </w:rPr>
        <w:t>”)</w:t>
      </w:r>
      <w:r w:rsidR="00102E02" w:rsidRPr="00481513">
        <w:rPr>
          <w:rFonts w:eastAsia="MS Mincho"/>
          <w:szCs w:val="24"/>
          <w:lang w:eastAsia="ja-JP"/>
        </w:rPr>
        <w:t xml:space="preserve"> in Washington</w:t>
      </w:r>
      <w:r w:rsidR="00BB60A8">
        <w:rPr>
          <w:rFonts w:eastAsia="MS Mincho"/>
          <w:szCs w:val="24"/>
          <w:lang w:eastAsia="ja-JP"/>
        </w:rPr>
        <w:t>.  However,</w:t>
      </w:r>
      <w:r w:rsidR="00102E02" w:rsidRPr="00481513">
        <w:rPr>
          <w:rFonts w:eastAsia="MS Mincho"/>
          <w:szCs w:val="24"/>
          <w:lang w:eastAsia="ja-JP"/>
        </w:rPr>
        <w:t xml:space="preserve"> </w:t>
      </w:r>
      <w:r w:rsidR="007F33D3">
        <w:rPr>
          <w:rFonts w:eastAsia="MS Mincho"/>
          <w:szCs w:val="24"/>
          <w:lang w:eastAsia="ja-JP"/>
        </w:rPr>
        <w:t xml:space="preserve">many </w:t>
      </w:r>
      <w:r w:rsidR="00A90E5C">
        <w:rPr>
          <w:rFonts w:eastAsia="MS Mincho"/>
          <w:szCs w:val="24"/>
          <w:lang w:eastAsia="ja-JP"/>
        </w:rPr>
        <w:t xml:space="preserve">other changes </w:t>
      </w:r>
      <w:r w:rsidR="00BB60A8">
        <w:rPr>
          <w:rFonts w:eastAsia="MS Mincho"/>
          <w:szCs w:val="24"/>
          <w:lang w:eastAsia="ja-JP"/>
        </w:rPr>
        <w:t xml:space="preserve">to the process for setting rates and </w:t>
      </w:r>
      <w:r w:rsidR="001730F8">
        <w:rPr>
          <w:rFonts w:eastAsia="MS Mincho"/>
          <w:szCs w:val="24"/>
          <w:lang w:eastAsia="ja-JP"/>
        </w:rPr>
        <w:t>entering</w:t>
      </w:r>
      <w:r w:rsidR="00BB60A8">
        <w:rPr>
          <w:rFonts w:eastAsia="MS Mincho"/>
          <w:szCs w:val="24"/>
          <w:lang w:eastAsia="ja-JP"/>
        </w:rPr>
        <w:t xml:space="preserve"> into contracts, as well </w:t>
      </w:r>
      <w:r w:rsidR="004736A9">
        <w:rPr>
          <w:rFonts w:eastAsia="MS Mincho"/>
          <w:szCs w:val="24"/>
          <w:lang w:eastAsia="ja-JP"/>
        </w:rPr>
        <w:t>as appropriate contract provisions</w:t>
      </w:r>
      <w:r w:rsidR="00BB60A8">
        <w:rPr>
          <w:rFonts w:eastAsia="MS Mincho"/>
          <w:szCs w:val="24"/>
          <w:lang w:eastAsia="ja-JP"/>
        </w:rPr>
        <w:t xml:space="preserve"> and conditions will be </w:t>
      </w:r>
      <w:r w:rsidR="00A90E5C">
        <w:rPr>
          <w:rFonts w:eastAsia="MS Mincho"/>
          <w:szCs w:val="24"/>
          <w:lang w:eastAsia="ja-JP"/>
        </w:rPr>
        <w:t xml:space="preserve">necessary </w:t>
      </w:r>
      <w:r w:rsidR="00102E02" w:rsidRPr="00481513">
        <w:rPr>
          <w:rFonts w:eastAsia="MS Mincho"/>
          <w:szCs w:val="24"/>
          <w:lang w:eastAsia="ja-JP"/>
        </w:rPr>
        <w:t>to allow for even a modest amount of QF development.</w:t>
      </w:r>
      <w:r w:rsidR="00102E02" w:rsidRPr="00481513">
        <w:t xml:space="preserve">  </w:t>
      </w:r>
      <w:r w:rsidR="00377F8D" w:rsidRPr="00481513">
        <w:t>Above all</w:t>
      </w:r>
      <w:r w:rsidR="0025143E" w:rsidRPr="00481513">
        <w:t xml:space="preserve">, </w:t>
      </w:r>
      <w:r w:rsidR="00893E81">
        <w:t>NIPPC and REC</w:t>
      </w:r>
      <w:r w:rsidR="00D80357" w:rsidRPr="00481513">
        <w:t xml:space="preserve"> </w:t>
      </w:r>
      <w:r w:rsidR="0025143E" w:rsidRPr="00481513">
        <w:t>urge</w:t>
      </w:r>
      <w:r w:rsidR="00474A45" w:rsidRPr="00481513">
        <w:t xml:space="preserve"> the Commission</w:t>
      </w:r>
      <w:r w:rsidR="0025143E" w:rsidRPr="00481513">
        <w:t xml:space="preserve"> to</w:t>
      </w:r>
      <w:r w:rsidR="00474A45" w:rsidRPr="00481513">
        <w:t xml:space="preserve"> </w:t>
      </w:r>
      <w:r w:rsidR="0025143E" w:rsidRPr="00481513">
        <w:t xml:space="preserve">adopt simple </w:t>
      </w:r>
      <w:r w:rsidR="00405B9D">
        <w:t xml:space="preserve">and unambiguous </w:t>
      </w:r>
      <w:r w:rsidR="0025143E" w:rsidRPr="00481513">
        <w:t>QF policies that can be implemented consistently</w:t>
      </w:r>
      <w:r w:rsidR="003C7BAA" w:rsidRPr="00481513">
        <w:t xml:space="preserve"> </w:t>
      </w:r>
      <w:r w:rsidR="0082482D">
        <w:t>between all three utilities,</w:t>
      </w:r>
      <w:r w:rsidR="006E0B6C">
        <w:t xml:space="preserve"> reduc</w:t>
      </w:r>
      <w:r w:rsidR="0082482D">
        <w:t>e the possibility of litigation, and</w:t>
      </w:r>
      <w:r w:rsidR="006E0B6C">
        <w:t xml:space="preserve"> </w:t>
      </w:r>
      <w:r w:rsidR="0082482D">
        <w:t>provide</w:t>
      </w:r>
      <w:r w:rsidR="00377F8D" w:rsidRPr="00481513">
        <w:t xml:space="preserve"> new QF developers</w:t>
      </w:r>
      <w:r w:rsidR="000018C6">
        <w:t xml:space="preserve"> and the few existing QFs</w:t>
      </w:r>
      <w:r w:rsidR="00377F8D" w:rsidRPr="00481513">
        <w:t xml:space="preserve"> </w:t>
      </w:r>
      <w:r w:rsidR="009A42DA">
        <w:t>the ability</w:t>
      </w:r>
      <w:r w:rsidR="00AD10F3">
        <w:t xml:space="preserve"> to sell their net output with </w:t>
      </w:r>
      <w:r w:rsidR="00377F8D" w:rsidRPr="00481513">
        <w:t>as much long-term certainty as possible</w:t>
      </w:r>
      <w:r w:rsidR="0025143E" w:rsidRPr="00481513">
        <w:t>.</w:t>
      </w:r>
      <w:r w:rsidR="003C7BAA" w:rsidRPr="00481513">
        <w:t xml:space="preserve"> </w:t>
      </w:r>
      <w:r w:rsidR="009542C3">
        <w:t xml:space="preserve"> </w:t>
      </w:r>
    </w:p>
    <w:p w14:paraId="47D59925" w14:textId="708F8B5B" w:rsidR="00BA35FD" w:rsidRPr="009542C3" w:rsidRDefault="001C76DC" w:rsidP="00BA35FD">
      <w:pPr>
        <w:pStyle w:val="ListParagraph"/>
        <w:numPr>
          <w:ilvl w:val="1"/>
          <w:numId w:val="33"/>
        </w:numPr>
        <w:spacing w:line="480" w:lineRule="auto"/>
        <w:ind w:left="0" w:hanging="540"/>
        <w:rPr>
          <w:rFonts w:eastAsia="MS Mincho"/>
          <w:b/>
          <w:bCs/>
          <w:szCs w:val="24"/>
          <w:lang w:eastAsia="ja-JP"/>
        </w:rPr>
      </w:pPr>
      <w:r w:rsidRPr="00481513">
        <w:lastRenderedPageBreak/>
        <w:t xml:space="preserve">            </w:t>
      </w:r>
      <w:r w:rsidR="00C31677" w:rsidRPr="00481513">
        <w:t xml:space="preserve">PURPA was enacted to encourage QF development and each state has implemented PURPA with </w:t>
      </w:r>
      <w:r w:rsidR="009F3346" w:rsidRPr="00481513">
        <w:t>widely different approaches</w:t>
      </w:r>
      <w:r w:rsidR="009A42DA">
        <w:t xml:space="preserve"> to determining what the costs of resources that are avoided when a QF sells its net output to the utility</w:t>
      </w:r>
      <w:r w:rsidR="009F3346" w:rsidRPr="00481513">
        <w:t xml:space="preserve">.  </w:t>
      </w:r>
      <w:r w:rsidR="00BF0CD5" w:rsidRPr="00481513">
        <w:rPr>
          <w:rFonts w:eastAsia="MS Mincho"/>
          <w:szCs w:val="24"/>
          <w:lang w:eastAsia="ja-JP"/>
        </w:rPr>
        <w:t>Ideally, avoided cost prices should be set high enough to permit QF development, but without exceeding a utility’s actual incremental costs.  This achieves true custome</w:t>
      </w:r>
      <w:r w:rsidR="00060C0C">
        <w:rPr>
          <w:rFonts w:eastAsia="MS Mincho"/>
          <w:szCs w:val="24"/>
          <w:lang w:eastAsia="ja-JP"/>
        </w:rPr>
        <w:t>r indifference, because</w:t>
      </w:r>
      <w:r w:rsidR="00BF0CD5" w:rsidRPr="00481513">
        <w:rPr>
          <w:rFonts w:eastAsia="MS Mincho"/>
          <w:szCs w:val="24"/>
          <w:lang w:eastAsia="ja-JP"/>
        </w:rPr>
        <w:t xml:space="preserve"> </w:t>
      </w:r>
      <w:r w:rsidR="000018C6">
        <w:rPr>
          <w:rFonts w:eastAsia="MS Mincho"/>
          <w:szCs w:val="24"/>
          <w:lang w:eastAsia="ja-JP"/>
        </w:rPr>
        <w:t xml:space="preserve">while </w:t>
      </w:r>
      <w:r w:rsidR="00BF0CD5" w:rsidRPr="00481513">
        <w:rPr>
          <w:rFonts w:eastAsia="MS Mincho"/>
          <w:szCs w:val="24"/>
          <w:lang w:eastAsia="ja-JP"/>
        </w:rPr>
        <w:t>setting avoided cost prices too high forces customers to pa</w:t>
      </w:r>
      <w:r w:rsidR="000313DB">
        <w:rPr>
          <w:rFonts w:eastAsia="MS Mincho"/>
          <w:szCs w:val="24"/>
          <w:lang w:eastAsia="ja-JP"/>
        </w:rPr>
        <w:t xml:space="preserve">y too much, setting them incorrectly below actual avoided cost </w:t>
      </w:r>
      <w:r w:rsidR="000018C6">
        <w:rPr>
          <w:rFonts w:eastAsia="MS Mincho"/>
          <w:szCs w:val="24"/>
          <w:lang w:eastAsia="ja-JP"/>
        </w:rPr>
        <w:t xml:space="preserve">harms customers by </w:t>
      </w:r>
      <w:r w:rsidR="00EA74D2">
        <w:rPr>
          <w:rFonts w:eastAsia="MS Mincho"/>
          <w:szCs w:val="24"/>
          <w:lang w:eastAsia="ja-JP"/>
        </w:rPr>
        <w:t>prevent</w:t>
      </w:r>
      <w:r w:rsidR="000018C6">
        <w:rPr>
          <w:rFonts w:eastAsia="MS Mincho"/>
          <w:szCs w:val="24"/>
          <w:lang w:eastAsia="ja-JP"/>
        </w:rPr>
        <w:t>ing</w:t>
      </w:r>
      <w:r w:rsidR="00060C0C">
        <w:rPr>
          <w:rFonts w:eastAsia="MS Mincho"/>
          <w:szCs w:val="24"/>
          <w:lang w:eastAsia="ja-JP"/>
        </w:rPr>
        <w:t xml:space="preserve"> lower cost QFs from selling power to the utilities</w:t>
      </w:r>
      <w:r w:rsidR="00EA74D2">
        <w:rPr>
          <w:rFonts w:eastAsia="MS Mincho"/>
          <w:szCs w:val="24"/>
          <w:lang w:eastAsia="ja-JP"/>
        </w:rPr>
        <w:t>.   Failure to properly implement PURPA results in customer rates being higher than necessary as the</w:t>
      </w:r>
      <w:r w:rsidR="00BA35FD" w:rsidRPr="00481513">
        <w:rPr>
          <w:rFonts w:eastAsia="MS Mincho"/>
          <w:lang w:eastAsia="ja-JP"/>
        </w:rPr>
        <w:t xml:space="preserve"> utilities build and rate</w:t>
      </w:r>
      <w:r w:rsidR="000018C6">
        <w:rPr>
          <w:rFonts w:eastAsia="MS Mincho"/>
          <w:lang w:eastAsia="ja-JP"/>
        </w:rPr>
        <w:t xml:space="preserve"> </w:t>
      </w:r>
      <w:r w:rsidR="00BA35FD" w:rsidRPr="00481513">
        <w:rPr>
          <w:rFonts w:eastAsia="MS Mincho"/>
          <w:lang w:eastAsia="ja-JP"/>
        </w:rPr>
        <w:t xml:space="preserve">base </w:t>
      </w:r>
      <w:r w:rsidR="00EA74D2">
        <w:rPr>
          <w:rFonts w:eastAsia="MS Mincho"/>
          <w:lang w:eastAsia="ja-JP"/>
        </w:rPr>
        <w:t>more expensive projects</w:t>
      </w:r>
      <w:r w:rsidR="00BA35FD" w:rsidRPr="00481513">
        <w:rPr>
          <w:rFonts w:eastAsia="MS Mincho"/>
          <w:lang w:eastAsia="ja-JP"/>
        </w:rPr>
        <w:t xml:space="preserve">, </w:t>
      </w:r>
      <w:r w:rsidR="00EA74D2">
        <w:rPr>
          <w:rFonts w:eastAsia="MS Mincho"/>
          <w:lang w:eastAsia="ja-JP"/>
        </w:rPr>
        <w:t xml:space="preserve">and customers are </w:t>
      </w:r>
      <w:r w:rsidR="00BA35FD" w:rsidRPr="00481513">
        <w:rPr>
          <w:rFonts w:eastAsia="MS Mincho"/>
          <w:lang w:eastAsia="ja-JP"/>
        </w:rPr>
        <w:t>expose</w:t>
      </w:r>
      <w:r w:rsidR="00EA74D2">
        <w:rPr>
          <w:rFonts w:eastAsia="MS Mincho"/>
          <w:lang w:eastAsia="ja-JP"/>
        </w:rPr>
        <w:t xml:space="preserve">d </w:t>
      </w:r>
      <w:r w:rsidR="00BA35FD" w:rsidRPr="00481513">
        <w:rPr>
          <w:rFonts w:eastAsia="MS Mincho"/>
          <w:lang w:eastAsia="ja-JP"/>
        </w:rPr>
        <w:t>to sizeable risk</w:t>
      </w:r>
      <w:r w:rsidR="00EA74D2">
        <w:rPr>
          <w:rFonts w:eastAsia="MS Mincho"/>
          <w:lang w:eastAsia="ja-JP"/>
        </w:rPr>
        <w:t>s</w:t>
      </w:r>
      <w:r w:rsidR="00BA35FD" w:rsidRPr="00481513">
        <w:rPr>
          <w:rFonts w:eastAsia="MS Mincho"/>
          <w:lang w:eastAsia="ja-JP"/>
        </w:rPr>
        <w:t xml:space="preserve"> from construction overruns, plant operation, and fuel-cost volatility.</w:t>
      </w:r>
    </w:p>
    <w:p w14:paraId="2E5B28CE" w14:textId="12151D0F" w:rsidR="009542C3" w:rsidRPr="009542C3" w:rsidRDefault="009542C3" w:rsidP="00BA35FD">
      <w:pPr>
        <w:pStyle w:val="ListParagraph"/>
        <w:numPr>
          <w:ilvl w:val="1"/>
          <w:numId w:val="33"/>
        </w:numPr>
        <w:spacing w:line="480" w:lineRule="auto"/>
        <w:ind w:left="0" w:hanging="540"/>
        <w:rPr>
          <w:rFonts w:eastAsia="MS Mincho"/>
          <w:b/>
          <w:bCs/>
          <w:szCs w:val="24"/>
          <w:lang w:eastAsia="ja-JP"/>
        </w:rPr>
      </w:pPr>
      <w:r>
        <w:tab/>
        <w:t xml:space="preserve">The Pacific Northwest and Rocky Mountain states have experienced a “PURPA” war in which PacifiCorp and Idaho Power have sought to administratively repeal PURPA in </w:t>
      </w:r>
      <w:r w:rsidR="006B384B">
        <w:t xml:space="preserve">their </w:t>
      </w:r>
      <w:r w:rsidR="00DA7156">
        <w:t xml:space="preserve">California, </w:t>
      </w:r>
      <w:r>
        <w:t>Idaho, Oregon, Utah and Wyoming</w:t>
      </w:r>
      <w:r w:rsidR="006B384B">
        <w:t xml:space="preserve"> service territories</w:t>
      </w:r>
      <w:r>
        <w:t xml:space="preserve">.  To a lesser degree, PacifiCorp and PSE have also sought to undermine and prevent even a modest degree of QF development in Washington.  </w:t>
      </w:r>
    </w:p>
    <w:p w14:paraId="16B6C1F4" w14:textId="3A41C1A2" w:rsidR="00AB3BDB" w:rsidRPr="00AB3BDB" w:rsidRDefault="009542C3" w:rsidP="00E64968">
      <w:pPr>
        <w:pStyle w:val="ListParagraph"/>
        <w:numPr>
          <w:ilvl w:val="1"/>
          <w:numId w:val="33"/>
        </w:numPr>
        <w:spacing w:line="480" w:lineRule="auto"/>
        <w:ind w:left="0" w:hanging="540"/>
        <w:rPr>
          <w:rFonts w:eastAsia="MS Mincho"/>
          <w:b/>
          <w:bCs/>
          <w:szCs w:val="24"/>
          <w:lang w:eastAsia="ja-JP"/>
        </w:rPr>
      </w:pPr>
      <w:r>
        <w:tab/>
        <w:t>Until recently, the Commission has avoided addressing the myriad of PURPA-related regional disputes.</w:t>
      </w:r>
      <w:r>
        <w:rPr>
          <w:rFonts w:eastAsia="MS Mincho"/>
          <w:b/>
          <w:bCs/>
          <w:szCs w:val="24"/>
          <w:lang w:eastAsia="ja-JP"/>
        </w:rPr>
        <w:t xml:space="preserve">  </w:t>
      </w:r>
      <w:r>
        <w:rPr>
          <w:rFonts w:eastAsia="MS Mincho"/>
          <w:bCs/>
          <w:szCs w:val="24"/>
          <w:lang w:eastAsia="ja-JP"/>
        </w:rPr>
        <w:t xml:space="preserve">This may </w:t>
      </w:r>
      <w:r w:rsidR="0022669E">
        <w:rPr>
          <w:rFonts w:eastAsia="MS Mincho"/>
          <w:bCs/>
          <w:szCs w:val="24"/>
          <w:lang w:eastAsia="ja-JP"/>
        </w:rPr>
        <w:t xml:space="preserve">be </w:t>
      </w:r>
      <w:r>
        <w:rPr>
          <w:rFonts w:eastAsia="MS Mincho"/>
          <w:bCs/>
          <w:szCs w:val="24"/>
          <w:lang w:eastAsia="ja-JP"/>
        </w:rPr>
        <w:t xml:space="preserve">because </w:t>
      </w:r>
      <w:r>
        <w:t>t</w:t>
      </w:r>
      <w:r w:rsidR="00AE5485" w:rsidRPr="00481513">
        <w:t xml:space="preserve">he Commission’s </w:t>
      </w:r>
      <w:r w:rsidR="00377F8D" w:rsidRPr="00481513">
        <w:t>own</w:t>
      </w:r>
      <w:r w:rsidR="00AE5485" w:rsidRPr="00481513">
        <w:t xml:space="preserve"> </w:t>
      </w:r>
      <w:r w:rsidR="00D80357" w:rsidRPr="00481513">
        <w:t>PURPA</w:t>
      </w:r>
      <w:r>
        <w:t xml:space="preserve"> polices</w:t>
      </w:r>
      <w:r w:rsidR="00AE5485" w:rsidRPr="00481513">
        <w:t xml:space="preserve"> </w:t>
      </w:r>
      <w:r>
        <w:t>have</w:t>
      </w:r>
      <w:r w:rsidR="00BF0CD5" w:rsidRPr="00481513">
        <w:t xml:space="preserve"> </w:t>
      </w:r>
      <w:r>
        <w:t>already prevented the development of</w:t>
      </w:r>
      <w:r w:rsidR="00BF0CD5" w:rsidRPr="00481513">
        <w:t xml:space="preserve"> </w:t>
      </w:r>
      <w:r w:rsidR="00EA74D2">
        <w:t xml:space="preserve">cost effective </w:t>
      </w:r>
      <w:r>
        <w:t>QFs that ultimately lower costs and risks for ratepayers</w:t>
      </w:r>
      <w:r w:rsidR="005C4328" w:rsidRPr="00481513">
        <w:t xml:space="preserve">.  </w:t>
      </w:r>
      <w:r w:rsidR="00555082" w:rsidRPr="00481513">
        <w:t>R</w:t>
      </w:r>
      <w:r w:rsidR="007B5CF6" w:rsidRPr="00481513">
        <w:t xml:space="preserve">ecent </w:t>
      </w:r>
      <w:r w:rsidR="000018C6">
        <w:t>avoided cost filings before the Commission</w:t>
      </w:r>
      <w:r w:rsidR="007B5CF6" w:rsidRPr="00481513">
        <w:t xml:space="preserve"> and comments from stakeholders in this integrated resource plannin</w:t>
      </w:r>
      <w:r w:rsidR="000018C6">
        <w:t>g (“IRP”) rulemaking proceeding</w:t>
      </w:r>
      <w:r w:rsidR="007B5CF6" w:rsidRPr="00481513">
        <w:t xml:space="preserve"> have </w:t>
      </w:r>
      <w:r w:rsidR="000018C6">
        <w:t>made it clear that Washington fina</w:t>
      </w:r>
      <w:r w:rsidR="00AB3BDB">
        <w:t>lly needs to set modern PURPA policies that allow low cost QFs to meet the utilities</w:t>
      </w:r>
      <w:r w:rsidR="00AD10F3">
        <w:t>’</w:t>
      </w:r>
      <w:r w:rsidR="00AB3BDB">
        <w:t xml:space="preserve"> energy and capacity needs</w:t>
      </w:r>
      <w:r w:rsidR="007B5CF6" w:rsidRPr="00481513">
        <w:t>.</w:t>
      </w:r>
      <w:r w:rsidR="005D711E">
        <w:t xml:space="preserve">  NIPPC </w:t>
      </w:r>
      <w:r w:rsidR="005D711E">
        <w:lastRenderedPageBreak/>
        <w:t>and REC appreciate the Commission’s willingness to re-consider its existing policies are</w:t>
      </w:r>
      <w:r w:rsidR="0034131D">
        <w:t xml:space="preserve"> ensuring customer rates are just and reasonable while</w:t>
      </w:r>
      <w:r w:rsidR="005D711E">
        <w:t xml:space="preserve"> </w:t>
      </w:r>
      <w:r w:rsidR="0034131D">
        <w:t xml:space="preserve">achieving the goals of PURPA. </w:t>
      </w:r>
      <w:r w:rsidR="005D711E">
        <w:t xml:space="preserve"> </w:t>
      </w:r>
    </w:p>
    <w:p w14:paraId="4FCD16F7" w14:textId="476E40A3" w:rsidR="004F3559" w:rsidRPr="004F3559" w:rsidRDefault="00AB3BDB" w:rsidP="00E64968">
      <w:pPr>
        <w:pStyle w:val="ListParagraph"/>
        <w:numPr>
          <w:ilvl w:val="1"/>
          <w:numId w:val="33"/>
        </w:numPr>
        <w:spacing w:line="480" w:lineRule="auto"/>
        <w:ind w:left="0" w:hanging="540"/>
        <w:rPr>
          <w:rFonts w:eastAsia="MS Mincho"/>
          <w:b/>
          <w:bCs/>
          <w:szCs w:val="24"/>
          <w:lang w:eastAsia="ja-JP"/>
        </w:rPr>
      </w:pPr>
      <w:r>
        <w:tab/>
      </w:r>
      <w:r w:rsidR="00060C0C">
        <w:t xml:space="preserve">While there remain some PURPA disputes ongoing in some other states, the overwhelming number of regional administrative proceedings </w:t>
      </w:r>
      <w:r w:rsidR="0055617D">
        <w:t>h</w:t>
      </w:r>
      <w:r w:rsidR="00060C0C">
        <w:t>as slowed and provide illustrative examples for the WUTC to review when setting policy.</w:t>
      </w:r>
      <w:r w:rsidR="00825DF0">
        <w:t xml:space="preserve"> </w:t>
      </w:r>
      <w:r w:rsidR="00060C0C">
        <w:t xml:space="preserve"> </w:t>
      </w:r>
      <w:r w:rsidR="009A26F9">
        <w:t>Idaho and Oregon provide</w:t>
      </w:r>
      <w:r w:rsidR="00135D0A">
        <w:t xml:space="preserve"> </w:t>
      </w:r>
      <w:r w:rsidR="006D60E4">
        <w:t xml:space="preserve">examples of what not do to, unless this Commission wants to prevent </w:t>
      </w:r>
      <w:r w:rsidR="00405DDC">
        <w:t>new QF development.  T</w:t>
      </w:r>
      <w:r w:rsidR="00060C0C">
        <w:t>he Idaho Public Utilities Commission</w:t>
      </w:r>
      <w:r>
        <w:t xml:space="preserve"> (“IPUC” or “Idaho Commission”)</w:t>
      </w:r>
      <w:r w:rsidR="00060C0C">
        <w:t xml:space="preserve"> resolved its PURPA disputes by adopting policies that effectively prevent the develo</w:t>
      </w:r>
      <w:r w:rsidR="001C5C8E">
        <w:t xml:space="preserve">pment </w:t>
      </w:r>
      <w:r w:rsidR="00AD10F3">
        <w:t xml:space="preserve">of </w:t>
      </w:r>
      <w:r w:rsidR="00405B9D">
        <w:t xml:space="preserve">nearly all </w:t>
      </w:r>
      <w:r w:rsidR="00AD10F3">
        <w:t>new projects, and allow</w:t>
      </w:r>
      <w:r w:rsidR="001C5C8E">
        <w:t xml:space="preserve"> </w:t>
      </w:r>
      <w:r w:rsidR="00F007C6">
        <w:t xml:space="preserve">only </w:t>
      </w:r>
      <w:r w:rsidR="00060C0C">
        <w:t>currently operating cost effective projects an opportunity to continue to sell power</w:t>
      </w:r>
      <w:r w:rsidR="00405B9D">
        <w:t xml:space="preserve"> through an appropriate valuing of capacity</w:t>
      </w:r>
      <w:r w:rsidR="00060C0C">
        <w:t xml:space="preserve">.  While PURPA policies continue to unfold in Oregon, PacifiCorp has </w:t>
      </w:r>
      <w:r w:rsidR="00405B9D">
        <w:t xml:space="preserve">been the most aggressive private utility </w:t>
      </w:r>
      <w:r w:rsidR="00060C0C">
        <w:t>succeed</w:t>
      </w:r>
      <w:r w:rsidR="00405B9D">
        <w:t>ing</w:t>
      </w:r>
      <w:r w:rsidR="00060C0C">
        <w:t xml:space="preserve"> in putting a near complete halt on new pr</w:t>
      </w:r>
      <w:r w:rsidR="00405B9D">
        <w:t>ojects in that state and is causing significant risk that operating projects will not be able to continue when their current power purchase agreements (“PPAs”) expire</w:t>
      </w:r>
      <w:r w:rsidR="00060C0C">
        <w:t xml:space="preserve">.  </w:t>
      </w:r>
    </w:p>
    <w:p w14:paraId="035E4A81" w14:textId="645A5CA3" w:rsidR="007D7D4F" w:rsidRPr="007D7D4F" w:rsidRDefault="004F3559" w:rsidP="00E64968">
      <w:pPr>
        <w:pStyle w:val="ListParagraph"/>
        <w:numPr>
          <w:ilvl w:val="1"/>
          <w:numId w:val="33"/>
        </w:numPr>
        <w:spacing w:line="480" w:lineRule="auto"/>
        <w:ind w:left="0" w:hanging="540"/>
        <w:rPr>
          <w:rFonts w:eastAsia="MS Mincho"/>
          <w:b/>
          <w:bCs/>
          <w:szCs w:val="24"/>
          <w:lang w:eastAsia="ja-JP"/>
        </w:rPr>
      </w:pPr>
      <w:r>
        <w:tab/>
      </w:r>
      <w:r w:rsidR="00AB3BDB">
        <w:t xml:space="preserve">While the Idaho Commission and the Oregon Public Utility Commission (“OPUC” or “Oregon Commission”) have “over corrected” and offer examples of what not to do, PURPA is complex and all the </w:t>
      </w:r>
      <w:r w:rsidR="00641AA6">
        <w:t>regional</w:t>
      </w:r>
      <w:r w:rsidR="00AB3BDB">
        <w:t xml:space="preserve"> states have at least some positive elements that Washington should consider </w:t>
      </w:r>
      <w:r w:rsidR="00540F44">
        <w:t>when adopting a more balanced approach</w:t>
      </w:r>
      <w:r w:rsidR="00AB3BDB">
        <w:t xml:space="preserve">.  </w:t>
      </w:r>
      <w:r w:rsidR="00CF66F4">
        <w:t xml:space="preserve">The </w:t>
      </w:r>
      <w:r w:rsidR="009542C3">
        <w:t xml:space="preserve">Commission should take advantage of the lessons learned to adopt comprehensive policies that allow PURPA to be a tool for the development of lower cost and less risky non-utility generation to help meet Washington’s ambitious energy policy goals and near term energy and capacity needs.  </w:t>
      </w:r>
    </w:p>
    <w:p w14:paraId="775AC0CF" w14:textId="3CB26CCD" w:rsidR="00EE3CBD" w:rsidRPr="007D7D4F" w:rsidRDefault="007D7D4F" w:rsidP="00EE3CBD">
      <w:pPr>
        <w:pStyle w:val="ListParagraph"/>
        <w:numPr>
          <w:ilvl w:val="1"/>
          <w:numId w:val="33"/>
        </w:numPr>
        <w:spacing w:line="480" w:lineRule="auto"/>
        <w:ind w:left="0" w:hanging="540"/>
        <w:rPr>
          <w:rFonts w:eastAsia="MS Mincho"/>
          <w:b/>
          <w:bCs/>
          <w:szCs w:val="24"/>
          <w:lang w:eastAsia="ja-JP"/>
        </w:rPr>
      </w:pPr>
      <w:r>
        <w:lastRenderedPageBreak/>
        <w:tab/>
      </w:r>
      <w:r w:rsidR="007B5CF6" w:rsidRPr="00481513">
        <w:t>These comments focus mainly on</w:t>
      </w:r>
      <w:r w:rsidR="00AB3BDB">
        <w:t xml:space="preserve"> </w:t>
      </w:r>
      <w:r w:rsidR="007B5CF6" w:rsidRPr="00481513">
        <w:t>the issues raised by the Commission in</w:t>
      </w:r>
      <w:r w:rsidR="00E64968" w:rsidRPr="00481513">
        <w:t xml:space="preserve"> its Notice of Workshop and Opportunity to File Writte</w:t>
      </w:r>
      <w:r w:rsidR="00555082" w:rsidRPr="00481513">
        <w:t>n Comments, dated March 16, 2017</w:t>
      </w:r>
      <w:r w:rsidR="00BF0CD5" w:rsidRPr="00481513">
        <w:t>, with minimal additions.</w:t>
      </w:r>
      <w:r>
        <w:rPr>
          <w:rFonts w:eastAsia="MS Mincho"/>
          <w:b/>
          <w:bCs/>
          <w:szCs w:val="24"/>
          <w:lang w:eastAsia="ja-JP"/>
        </w:rPr>
        <w:t xml:space="preserve">  </w:t>
      </w:r>
      <w:r w:rsidR="00893E81">
        <w:t>NIPPC and REC</w:t>
      </w:r>
      <w:r w:rsidR="00BE246B" w:rsidRPr="00481513">
        <w:t xml:space="preserve"> </w:t>
      </w:r>
      <w:r w:rsidR="00555082" w:rsidRPr="00481513">
        <w:t>have</w:t>
      </w:r>
      <w:r w:rsidR="00BE246B" w:rsidRPr="00481513">
        <w:t xml:space="preserve"> several </w:t>
      </w:r>
      <w:r w:rsidR="009F3346" w:rsidRPr="00481513">
        <w:t xml:space="preserve">specific </w:t>
      </w:r>
      <w:r w:rsidR="00BE246B" w:rsidRPr="00481513">
        <w:t>suggestions</w:t>
      </w:r>
      <w:r w:rsidR="00A42D33" w:rsidRPr="00481513">
        <w:t xml:space="preserve"> to revamp</w:t>
      </w:r>
      <w:r w:rsidR="00BF0CD5" w:rsidRPr="00481513">
        <w:t>, rather than overhaul,</w:t>
      </w:r>
      <w:r w:rsidR="00A42D33" w:rsidRPr="00481513">
        <w:t xml:space="preserve"> Washington’s PURPA rules</w:t>
      </w:r>
      <w:r w:rsidR="00AF69C8" w:rsidRPr="00481513">
        <w:t>.</w:t>
      </w:r>
      <w:r w:rsidR="00BF0CD5" w:rsidRPr="00481513">
        <w:t xml:space="preserve"> </w:t>
      </w:r>
      <w:r w:rsidR="00EA74D2" w:rsidRPr="007D7D4F">
        <w:rPr>
          <w:rFonts w:eastAsia="MS Mincho"/>
          <w:bCs/>
          <w:szCs w:val="24"/>
          <w:lang w:eastAsia="ja-JP"/>
        </w:rPr>
        <w:t xml:space="preserve"> The Commission should</w:t>
      </w:r>
      <w:r w:rsidR="003C17CB" w:rsidRPr="007D7D4F">
        <w:rPr>
          <w:rFonts w:eastAsia="MS Mincho"/>
          <w:bCs/>
          <w:szCs w:val="24"/>
          <w:lang w:eastAsia="ja-JP"/>
        </w:rPr>
        <w:t>:</w:t>
      </w:r>
    </w:p>
    <w:p w14:paraId="54933310" w14:textId="07AE414A" w:rsidR="00EE3CBD" w:rsidRDefault="00EA74D2" w:rsidP="00EE3CBD">
      <w:pPr>
        <w:pStyle w:val="ListParagraph"/>
        <w:numPr>
          <w:ilvl w:val="0"/>
          <w:numId w:val="43"/>
        </w:numPr>
        <w:spacing w:line="480" w:lineRule="auto"/>
        <w:rPr>
          <w:rFonts w:eastAsia="MS Mincho"/>
          <w:bCs/>
          <w:szCs w:val="24"/>
          <w:lang w:eastAsia="ja-JP"/>
        </w:rPr>
      </w:pPr>
      <w:r>
        <w:t xml:space="preserve">Ensure that </w:t>
      </w:r>
      <w:r w:rsidR="00682861" w:rsidRPr="00481513">
        <w:t xml:space="preserve">QFs are </w:t>
      </w:r>
      <w:r w:rsidR="00BF0CD5" w:rsidRPr="00481513">
        <w:t xml:space="preserve">fully </w:t>
      </w:r>
      <w:r w:rsidR="00682861" w:rsidRPr="00481513">
        <w:t xml:space="preserve">compensated </w:t>
      </w:r>
      <w:r>
        <w:t xml:space="preserve">for </w:t>
      </w:r>
      <w:r w:rsidR="00703E96">
        <w:t xml:space="preserve">energy and </w:t>
      </w:r>
      <w:r>
        <w:t xml:space="preserve">capacity </w:t>
      </w:r>
      <w:r w:rsidR="00BE246B" w:rsidRPr="00481513">
        <w:t xml:space="preserve">during both </w:t>
      </w:r>
      <w:r w:rsidR="007D7D4F">
        <w:t>“</w:t>
      </w:r>
      <w:r w:rsidR="00BE246B" w:rsidRPr="00481513">
        <w:t>short-run</w:t>
      </w:r>
      <w:r w:rsidR="007D7D4F">
        <w:t>”</w:t>
      </w:r>
      <w:r w:rsidR="00BE246B" w:rsidRPr="00481513">
        <w:t xml:space="preserve"> and </w:t>
      </w:r>
      <w:r w:rsidR="007D7D4F">
        <w:t>“</w:t>
      </w:r>
      <w:r w:rsidR="00BE246B" w:rsidRPr="00481513">
        <w:t>long-run</w:t>
      </w:r>
      <w:r w:rsidR="007D7D4F">
        <w:t>”</w:t>
      </w:r>
      <w:r w:rsidR="00BE246B" w:rsidRPr="00481513">
        <w:t xml:space="preserve"> periods</w:t>
      </w:r>
      <w:r w:rsidR="00682861" w:rsidRPr="00481513">
        <w:t xml:space="preserve">.  </w:t>
      </w:r>
    </w:p>
    <w:p w14:paraId="5487621A" w14:textId="6BB288C6" w:rsidR="00EE3CBD" w:rsidRPr="00EE3CBD" w:rsidRDefault="00EA1266" w:rsidP="00EE3CBD">
      <w:pPr>
        <w:pStyle w:val="ListParagraph"/>
        <w:numPr>
          <w:ilvl w:val="0"/>
          <w:numId w:val="43"/>
        </w:numPr>
        <w:spacing w:line="480" w:lineRule="auto"/>
        <w:rPr>
          <w:rFonts w:eastAsia="MS Mincho"/>
          <w:bCs/>
          <w:szCs w:val="24"/>
          <w:lang w:eastAsia="ja-JP"/>
        </w:rPr>
      </w:pPr>
      <w:r>
        <w:t>E</w:t>
      </w:r>
      <w:r w:rsidR="00682861" w:rsidRPr="00481513">
        <w:t>stablish a new avoided cost price stream to compensate renewable QFs f</w:t>
      </w:r>
      <w:r w:rsidR="00EE3CBD">
        <w:t>or their renewable attributes</w:t>
      </w:r>
      <w:r>
        <w:t xml:space="preserve"> when</w:t>
      </w:r>
      <w:r w:rsidR="001279A9">
        <w:t xml:space="preserve"> they are</w:t>
      </w:r>
      <w:r>
        <w:t xml:space="preserve"> willing to transfer their renewable energy certificates</w:t>
      </w:r>
      <w:r w:rsidR="00405B9D">
        <w:t xml:space="preserve"> purchasing utility</w:t>
      </w:r>
      <w:r w:rsidR="00EE3CBD">
        <w:t xml:space="preserve">. </w:t>
      </w:r>
    </w:p>
    <w:p w14:paraId="46396766" w14:textId="5FF8C1CA" w:rsidR="00EE3CBD" w:rsidRDefault="00EA74D2" w:rsidP="00EE3CBD">
      <w:pPr>
        <w:pStyle w:val="ListParagraph"/>
        <w:numPr>
          <w:ilvl w:val="0"/>
          <w:numId w:val="43"/>
        </w:numPr>
        <w:spacing w:line="480" w:lineRule="auto"/>
        <w:rPr>
          <w:rFonts w:eastAsia="MS Mincho"/>
          <w:bCs/>
          <w:szCs w:val="24"/>
          <w:lang w:eastAsia="ja-JP"/>
        </w:rPr>
      </w:pPr>
      <w:r>
        <w:t>Set t</w:t>
      </w:r>
      <w:r w:rsidR="00682861" w:rsidRPr="00481513">
        <w:t>he maximum size for standard</w:t>
      </w:r>
      <w:r w:rsidR="00703E96">
        <w:t xml:space="preserve"> rates</w:t>
      </w:r>
      <w:r w:rsidR="00682861" w:rsidRPr="00481513">
        <w:t xml:space="preserve"> at 10 MWs</w:t>
      </w:r>
      <w:r w:rsidR="00BE246B" w:rsidRPr="00481513">
        <w:t xml:space="preserve"> for all generation types</w:t>
      </w:r>
      <w:r w:rsidR="00682861" w:rsidRPr="00481513">
        <w:t>.</w:t>
      </w:r>
      <w:r w:rsidR="00BE246B" w:rsidRPr="00481513">
        <w:t xml:space="preserve">  </w:t>
      </w:r>
    </w:p>
    <w:p w14:paraId="1DBBB9EC" w14:textId="263B43AA" w:rsidR="00EE3CBD" w:rsidRDefault="00EA74D2" w:rsidP="00EE3CBD">
      <w:pPr>
        <w:pStyle w:val="ListParagraph"/>
        <w:numPr>
          <w:ilvl w:val="0"/>
          <w:numId w:val="43"/>
        </w:numPr>
        <w:spacing w:line="480" w:lineRule="auto"/>
        <w:rPr>
          <w:rFonts w:eastAsia="MS Mincho"/>
          <w:bCs/>
          <w:szCs w:val="24"/>
          <w:lang w:eastAsia="ja-JP"/>
        </w:rPr>
      </w:pPr>
      <w:r>
        <w:t xml:space="preserve">Adopt </w:t>
      </w:r>
      <w:r w:rsidR="00BE246B" w:rsidRPr="00481513">
        <w:t>FERC’s “o</w:t>
      </w:r>
      <w:r w:rsidR="00F807C3">
        <w:t xml:space="preserve">ne-mile” rule </w:t>
      </w:r>
      <w:r w:rsidR="00BE246B" w:rsidRPr="00481513">
        <w:t xml:space="preserve">to determine the minimum distance between QFs </w:t>
      </w:r>
      <w:r w:rsidR="00555082" w:rsidRPr="00481513">
        <w:t>with the</w:t>
      </w:r>
      <w:r w:rsidR="00BE246B" w:rsidRPr="00481513">
        <w:t xml:space="preserve"> same owner.  </w:t>
      </w:r>
    </w:p>
    <w:p w14:paraId="0B9E4444" w14:textId="7064E2EB" w:rsidR="00EE3CBD" w:rsidRPr="00EE3CBD" w:rsidRDefault="00703E96" w:rsidP="00EE3CBD">
      <w:pPr>
        <w:pStyle w:val="ListParagraph"/>
        <w:numPr>
          <w:ilvl w:val="0"/>
          <w:numId w:val="43"/>
        </w:numPr>
        <w:spacing w:line="480" w:lineRule="auto"/>
        <w:rPr>
          <w:rFonts w:eastAsia="MS Mincho"/>
          <w:bCs/>
          <w:szCs w:val="24"/>
          <w:lang w:eastAsia="ja-JP"/>
        </w:rPr>
      </w:pPr>
      <w:r>
        <w:t xml:space="preserve">Allow the QF to select a standard contract term up to </w:t>
      </w:r>
      <w:r w:rsidR="00F512A5" w:rsidRPr="00481513">
        <w:t>20</w:t>
      </w:r>
      <w:r w:rsidR="00EE3CBD">
        <w:t xml:space="preserve"> years.</w:t>
      </w:r>
    </w:p>
    <w:p w14:paraId="31994153" w14:textId="77777777" w:rsidR="00AB3BDB" w:rsidRPr="00AB3BDB" w:rsidRDefault="00AD2F90" w:rsidP="00EE3CBD">
      <w:pPr>
        <w:pStyle w:val="ListParagraph"/>
        <w:numPr>
          <w:ilvl w:val="0"/>
          <w:numId w:val="43"/>
        </w:numPr>
        <w:spacing w:line="480" w:lineRule="auto"/>
        <w:rPr>
          <w:rFonts w:eastAsia="MS Mincho"/>
          <w:bCs/>
          <w:szCs w:val="24"/>
          <w:lang w:eastAsia="ja-JP"/>
        </w:rPr>
      </w:pPr>
      <w:r>
        <w:t>C</w:t>
      </w:r>
      <w:r w:rsidR="00BE246B" w:rsidRPr="00481513">
        <w:t>larify at what point a legally enforceable obligation (“LEO”) has occurred</w:t>
      </w:r>
      <w:r w:rsidR="00AF69C8" w:rsidRPr="00481513">
        <w:t>, and allow for prompt alternative dispute resolution during contract negotiations</w:t>
      </w:r>
      <w:r w:rsidR="00BE246B" w:rsidRPr="00481513">
        <w:t xml:space="preserve">. </w:t>
      </w:r>
      <w:r w:rsidR="00682861" w:rsidRPr="00481513">
        <w:t xml:space="preserve"> </w:t>
      </w:r>
    </w:p>
    <w:p w14:paraId="25554D74" w14:textId="4BC280A5" w:rsidR="00AB3BDB" w:rsidRPr="00AB3BDB" w:rsidRDefault="009A42DA" w:rsidP="00EE3CBD">
      <w:pPr>
        <w:pStyle w:val="ListParagraph"/>
        <w:numPr>
          <w:ilvl w:val="0"/>
          <w:numId w:val="43"/>
        </w:numPr>
        <w:spacing w:line="480" w:lineRule="auto"/>
        <w:rPr>
          <w:rFonts w:eastAsia="MS Mincho"/>
          <w:bCs/>
          <w:szCs w:val="24"/>
          <w:lang w:eastAsia="ja-JP"/>
        </w:rPr>
      </w:pPr>
      <w:r>
        <w:t xml:space="preserve">Continuing the current approach of annual rate updates, but </w:t>
      </w:r>
      <w:r w:rsidR="00405B9D">
        <w:t>minimizes</w:t>
      </w:r>
      <w:r w:rsidR="00AB3BDB">
        <w:t xml:space="preserve"> the utilities from filing unexpected avoided cost rate changes</w:t>
      </w:r>
      <w:r w:rsidR="00405B9D">
        <w:t xml:space="preserve"> absent extraordinary circumstances and a sufficient notice period</w:t>
      </w:r>
      <w:r w:rsidR="00AB3BDB">
        <w:t>.</w:t>
      </w:r>
    </w:p>
    <w:p w14:paraId="6E771402" w14:textId="42934E76" w:rsidR="0025143E" w:rsidRPr="00EE3CBD" w:rsidRDefault="00AB3BDB" w:rsidP="00EE3CBD">
      <w:pPr>
        <w:pStyle w:val="ListParagraph"/>
        <w:numPr>
          <w:ilvl w:val="0"/>
          <w:numId w:val="43"/>
        </w:numPr>
        <w:spacing w:line="480" w:lineRule="auto"/>
        <w:rPr>
          <w:rFonts w:eastAsia="MS Mincho"/>
          <w:bCs/>
          <w:szCs w:val="24"/>
          <w:lang w:eastAsia="ja-JP"/>
        </w:rPr>
      </w:pPr>
      <w:r>
        <w:t>Ensure that QFs have an opportunity to review and challenge</w:t>
      </w:r>
      <w:r w:rsidR="00405B9D">
        <w:t xml:space="preserve"> the calculation, inputs, assumptions and methodologies to calculate</w:t>
      </w:r>
      <w:r>
        <w:t xml:space="preserve"> avoided cost updates.</w:t>
      </w:r>
      <w:r w:rsidR="00682861" w:rsidRPr="00481513">
        <w:t xml:space="preserve"> </w:t>
      </w:r>
    </w:p>
    <w:p w14:paraId="20727FF0" w14:textId="36FE9681" w:rsidR="00A50471" w:rsidRPr="00481513" w:rsidRDefault="00474BB0" w:rsidP="001C76DC">
      <w:pPr>
        <w:pStyle w:val="ListParagraph"/>
        <w:spacing w:line="480" w:lineRule="auto"/>
        <w:ind w:left="0"/>
        <w:jc w:val="center"/>
        <w:rPr>
          <w:rFonts w:eastAsia="MS Mincho"/>
          <w:b/>
          <w:szCs w:val="24"/>
          <w:lang w:eastAsia="ja-JP"/>
        </w:rPr>
      </w:pPr>
      <w:r w:rsidRPr="00481513">
        <w:rPr>
          <w:rFonts w:eastAsia="MS Mincho"/>
          <w:b/>
          <w:szCs w:val="24"/>
          <w:lang w:eastAsia="ja-JP"/>
        </w:rPr>
        <w:t>II.</w:t>
      </w:r>
      <w:r w:rsidRPr="00481513">
        <w:rPr>
          <w:rFonts w:eastAsia="MS Mincho"/>
          <w:b/>
          <w:szCs w:val="24"/>
          <w:lang w:eastAsia="ja-JP"/>
        </w:rPr>
        <w:tab/>
      </w:r>
      <w:r w:rsidR="001F76CB" w:rsidRPr="00481513">
        <w:rPr>
          <w:rFonts w:eastAsia="MS Mincho"/>
          <w:b/>
          <w:szCs w:val="24"/>
          <w:lang w:eastAsia="ja-JP"/>
        </w:rPr>
        <w:t>BACKGROUND</w:t>
      </w:r>
    </w:p>
    <w:p w14:paraId="2C0F416E" w14:textId="7B00103C" w:rsidR="00BB2E9B" w:rsidRPr="00481513" w:rsidRDefault="009F3346" w:rsidP="00F3257E">
      <w:pPr>
        <w:pStyle w:val="ListParagraph"/>
        <w:numPr>
          <w:ilvl w:val="1"/>
          <w:numId w:val="33"/>
        </w:numPr>
        <w:spacing w:line="480" w:lineRule="auto"/>
        <w:ind w:left="0" w:hanging="540"/>
      </w:pPr>
      <w:r w:rsidRPr="00481513">
        <w:t xml:space="preserve">            </w:t>
      </w:r>
      <w:r w:rsidR="00961A80" w:rsidRPr="00481513">
        <w:t>FERC</w:t>
      </w:r>
      <w:r w:rsidRPr="00481513">
        <w:t xml:space="preserve"> regulations requir</w:t>
      </w:r>
      <w:r w:rsidR="00703E96">
        <w:t>e utilities to purchase QF energy</w:t>
      </w:r>
      <w:r w:rsidRPr="00481513">
        <w:t xml:space="preserve"> and capacity at the utility’s full avoided cost</w:t>
      </w:r>
      <w:r w:rsidR="00D9308D" w:rsidRPr="00481513">
        <w:t>, but have</w:t>
      </w:r>
      <w:r w:rsidR="00BB750C" w:rsidRPr="00481513">
        <w:t xml:space="preserve"> largely</w:t>
      </w:r>
      <w:r w:rsidR="00961A80" w:rsidRPr="00481513">
        <w:t xml:space="preserve"> left it to</w:t>
      </w:r>
      <w:r w:rsidR="00D9308D" w:rsidRPr="00481513">
        <w:t xml:space="preserve"> state commission</w:t>
      </w:r>
      <w:r w:rsidR="00961A80" w:rsidRPr="00481513">
        <w:t>s</w:t>
      </w:r>
      <w:r w:rsidR="00D9308D" w:rsidRPr="00481513">
        <w:t xml:space="preserve"> to decide how to </w:t>
      </w:r>
      <w:r w:rsidR="00D9308D" w:rsidRPr="00481513">
        <w:lastRenderedPageBreak/>
        <w:t>implement PURPA</w:t>
      </w:r>
      <w:r w:rsidRPr="00481513">
        <w:t>.</w:t>
      </w:r>
      <w:r w:rsidR="00961A80" w:rsidRPr="00481513">
        <w:rPr>
          <w:rStyle w:val="FootnoteReference"/>
        </w:rPr>
        <w:footnoteReference w:id="1"/>
      </w:r>
      <w:r w:rsidRPr="00481513">
        <w:t xml:space="preserve"> </w:t>
      </w:r>
      <w:r w:rsidR="007869EA" w:rsidRPr="00481513">
        <w:t xml:space="preserve"> </w:t>
      </w:r>
      <w:r w:rsidR="008D2A45" w:rsidRPr="00481513">
        <w:t>The</w:t>
      </w:r>
      <w:r w:rsidR="00357CAE" w:rsidRPr="00481513">
        <w:t xml:space="preserve"> utility’s avoided cost </w:t>
      </w:r>
      <w:r w:rsidR="008D2A45" w:rsidRPr="00481513">
        <w:t>is</w:t>
      </w:r>
      <w:r w:rsidR="00357CAE" w:rsidRPr="00481513">
        <w:t xml:space="preserve"> the incremental cost</w:t>
      </w:r>
      <w:r w:rsidRPr="00481513">
        <w:t xml:space="preserve"> that, but for the purchase from the QF, the utility would generate itself or pu</w:t>
      </w:r>
      <w:r w:rsidR="00436437" w:rsidRPr="00481513">
        <w:t>rchase from another source.</w:t>
      </w:r>
      <w:r w:rsidR="009D0FFE" w:rsidRPr="00481513">
        <w:rPr>
          <w:rStyle w:val="FootnoteReference"/>
        </w:rPr>
        <w:footnoteReference w:id="2"/>
      </w:r>
      <w:r w:rsidR="00D9308D" w:rsidRPr="00481513">
        <w:t xml:space="preserve">  </w:t>
      </w:r>
      <w:r w:rsidR="00D8086B" w:rsidRPr="00481513">
        <w:t xml:space="preserve">FERC provided comprehensive policy guidance </w:t>
      </w:r>
      <w:r w:rsidR="00F3257E" w:rsidRPr="00481513">
        <w:t>soon after the passage of</w:t>
      </w:r>
      <w:r w:rsidR="00C60E3A">
        <w:t xml:space="preserve"> PURPA, stating that when a QF </w:t>
      </w:r>
      <w:r w:rsidR="00F3257E" w:rsidRPr="00481513">
        <w:t>demonstrate</w:t>
      </w:r>
      <w:r w:rsidR="006867DC">
        <w:t>s that it “</w:t>
      </w:r>
      <w:r w:rsidR="00F3257E" w:rsidRPr="00481513">
        <w:t>would permit the utility to defer or avoid construction of a generation unit or the purchase of firm power from another utility, then the rate from such a purchase should be based on the avoidance of both energy and capacity costs.”</w:t>
      </w:r>
      <w:r w:rsidR="00F3257E" w:rsidRPr="00481513">
        <w:rPr>
          <w:rStyle w:val="FootnoteReference"/>
        </w:rPr>
        <w:footnoteReference w:id="3"/>
      </w:r>
      <w:r w:rsidR="00F3257E" w:rsidRPr="00481513">
        <w:t xml:space="preserve">  FERC</w:t>
      </w:r>
      <w:r w:rsidR="008D2A45" w:rsidRPr="00481513">
        <w:t xml:space="preserve"> has</w:t>
      </w:r>
      <w:r w:rsidR="00D8086B" w:rsidRPr="00481513">
        <w:t xml:space="preserve"> subsequently addressed various policy issues on a case-by-case</w:t>
      </w:r>
      <w:r w:rsidR="002B3884" w:rsidRPr="00481513">
        <w:t xml:space="preserve"> basis</w:t>
      </w:r>
      <w:r w:rsidR="008D2A45" w:rsidRPr="00481513">
        <w:t>—mainly</w:t>
      </w:r>
      <w:r w:rsidR="002B3884" w:rsidRPr="00481513">
        <w:t xml:space="preserve"> when reviewing</w:t>
      </w:r>
      <w:r w:rsidR="00D8086B" w:rsidRPr="00481513">
        <w:t xml:space="preserve"> state utility commission decisions</w:t>
      </w:r>
      <w:r w:rsidR="002B3884" w:rsidRPr="00481513">
        <w:t xml:space="preserve"> implementing policies </w:t>
      </w:r>
      <w:r w:rsidR="008D2A45" w:rsidRPr="00481513">
        <w:t xml:space="preserve">deemed to be </w:t>
      </w:r>
      <w:r w:rsidR="002B3884" w:rsidRPr="00481513">
        <w:t>contrary to PURPA</w:t>
      </w:r>
      <w:r w:rsidR="00D8086B" w:rsidRPr="00481513">
        <w:t>.</w:t>
      </w:r>
      <w:r w:rsidR="00D8086B" w:rsidRPr="00481513">
        <w:rPr>
          <w:rStyle w:val="FootnoteReference"/>
        </w:rPr>
        <w:footnoteReference w:id="4"/>
      </w:r>
      <w:r w:rsidR="00D8086B" w:rsidRPr="00481513">
        <w:t xml:space="preserve">  </w:t>
      </w:r>
    </w:p>
    <w:p w14:paraId="784A7297" w14:textId="5EEE257E" w:rsidR="000601BA" w:rsidRDefault="002B3884" w:rsidP="002B3884">
      <w:pPr>
        <w:pStyle w:val="ListParagraph"/>
        <w:numPr>
          <w:ilvl w:val="1"/>
          <w:numId w:val="33"/>
        </w:numPr>
        <w:spacing w:line="480" w:lineRule="auto"/>
        <w:ind w:left="0" w:hanging="540"/>
      </w:pPr>
      <w:r w:rsidRPr="00481513">
        <w:tab/>
      </w:r>
      <w:r w:rsidR="00105B9E" w:rsidRPr="00481513">
        <w:t xml:space="preserve">The </w:t>
      </w:r>
      <w:r w:rsidR="00020BB6">
        <w:t>historic</w:t>
      </w:r>
      <w:r w:rsidR="00105B9E" w:rsidRPr="00481513">
        <w:t xml:space="preserve"> </w:t>
      </w:r>
      <w:r w:rsidR="00AA3666" w:rsidRPr="00481513">
        <w:t xml:space="preserve">context of PURPA </w:t>
      </w:r>
      <w:r w:rsidR="00A7392E">
        <w:t xml:space="preserve">remains relevant </w:t>
      </w:r>
      <w:r w:rsidR="000601BA">
        <w:t>today</w:t>
      </w:r>
      <w:r w:rsidR="00105B9E" w:rsidRPr="00481513">
        <w:t xml:space="preserve">. </w:t>
      </w:r>
      <w:r w:rsidR="00AA3666" w:rsidRPr="00481513">
        <w:t xml:space="preserve"> </w:t>
      </w:r>
      <w:r w:rsidRPr="00481513">
        <w:t xml:space="preserve">PURPA </w:t>
      </w:r>
      <w:r w:rsidR="008D2A45" w:rsidRPr="00481513">
        <w:t>was established to</w:t>
      </w:r>
      <w:r w:rsidRPr="00481513">
        <w:t xml:space="preserve"> </w:t>
      </w:r>
      <w:r w:rsidR="008D2A45" w:rsidRPr="00481513">
        <w:t>counter the natural bias of regulated utilities for resource</w:t>
      </w:r>
      <w:r w:rsidRPr="00481513">
        <w:t xml:space="preserve"> ownership</w:t>
      </w:r>
      <w:r w:rsidR="00105B9E" w:rsidRPr="00481513">
        <w:t>,</w:t>
      </w:r>
      <w:r w:rsidRPr="00481513">
        <w:t xml:space="preserve"> and </w:t>
      </w:r>
      <w:r w:rsidR="00105B9E" w:rsidRPr="00481513">
        <w:t>their</w:t>
      </w:r>
      <w:r w:rsidR="008D2A45" w:rsidRPr="00481513">
        <w:t xml:space="preserve"> </w:t>
      </w:r>
      <w:r w:rsidRPr="00481513">
        <w:t>reluctance to purchase power</w:t>
      </w:r>
      <w:r w:rsidR="008D2A45" w:rsidRPr="00481513">
        <w:t xml:space="preserve"> from independent power producers</w:t>
      </w:r>
      <w:r w:rsidRPr="00481513">
        <w:t xml:space="preserve">.  </w:t>
      </w:r>
      <w:r w:rsidR="008D2A45" w:rsidRPr="00481513">
        <w:t>PURPA created market</w:t>
      </w:r>
      <w:r w:rsidR="00105B9E" w:rsidRPr="00481513">
        <w:t xml:space="preserve"> opportunities</w:t>
      </w:r>
      <w:r w:rsidR="008D2A45" w:rsidRPr="00481513">
        <w:t xml:space="preserve"> for</w:t>
      </w:r>
      <w:r w:rsidR="00105B9E" w:rsidRPr="00481513">
        <w:t xml:space="preserve"> new</w:t>
      </w:r>
      <w:r w:rsidR="008D2A45" w:rsidRPr="00481513">
        <w:t xml:space="preserve"> QF power</w:t>
      </w:r>
      <w:r w:rsidR="00A71091">
        <w:t xml:space="preserve"> that </w:t>
      </w:r>
      <w:r w:rsidR="00105B9E" w:rsidRPr="00481513">
        <w:t>reduce our dependence on foreign oil, promote al</w:t>
      </w:r>
      <w:r w:rsidR="00A71091">
        <w:t>ternative power generation, and</w:t>
      </w:r>
      <w:r w:rsidR="009F1304">
        <w:t xml:space="preserve"> ensure </w:t>
      </w:r>
      <w:r w:rsidR="00F8227C">
        <w:t xml:space="preserve">a </w:t>
      </w:r>
      <w:r w:rsidR="00105B9E" w:rsidRPr="00481513">
        <w:t>diversif</w:t>
      </w:r>
      <w:r w:rsidR="000601BA">
        <w:t>ied</w:t>
      </w:r>
      <w:r w:rsidR="00105B9E" w:rsidRPr="00481513">
        <w:t xml:space="preserve"> electric power industry</w:t>
      </w:r>
      <w:r w:rsidRPr="00481513">
        <w:t>.</w:t>
      </w:r>
      <w:r w:rsidR="009F1304">
        <w:t xml:space="preserve">  PURPA also birthed </w:t>
      </w:r>
      <w:r w:rsidR="00AD10F3">
        <w:t xml:space="preserve">a </w:t>
      </w:r>
      <w:r w:rsidR="009F1304">
        <w:t>new</w:t>
      </w:r>
      <w:r w:rsidR="003812CB" w:rsidRPr="00481513">
        <w:t xml:space="preserve"> industry of</w:t>
      </w:r>
      <w:r w:rsidR="00A67B69" w:rsidRPr="00481513">
        <w:t xml:space="preserve"> small and</w:t>
      </w:r>
      <w:r w:rsidR="003812CB" w:rsidRPr="00481513">
        <w:t xml:space="preserve"> independent power producers. </w:t>
      </w:r>
      <w:r w:rsidR="00105B9E" w:rsidRPr="00481513">
        <w:t xml:space="preserve"> </w:t>
      </w:r>
    </w:p>
    <w:p w14:paraId="335D42B1" w14:textId="7A95BE21" w:rsidR="002B3884" w:rsidRPr="00481513" w:rsidRDefault="000601BA" w:rsidP="002B3884">
      <w:pPr>
        <w:pStyle w:val="ListParagraph"/>
        <w:numPr>
          <w:ilvl w:val="1"/>
          <w:numId w:val="33"/>
        </w:numPr>
        <w:spacing w:line="480" w:lineRule="auto"/>
        <w:ind w:left="0" w:hanging="540"/>
      </w:pPr>
      <w:r>
        <w:tab/>
      </w:r>
      <w:r w:rsidR="00105B9E" w:rsidRPr="00481513">
        <w:t xml:space="preserve">Nearly 40 years later, PURPA’s purpose </w:t>
      </w:r>
      <w:r w:rsidR="00AA3666" w:rsidRPr="00481513">
        <w:t>in many ways is more vital than ever</w:t>
      </w:r>
      <w:r>
        <w:t xml:space="preserve"> in the Pacific Northwest.  </w:t>
      </w:r>
      <w:r w:rsidR="00AA3666" w:rsidRPr="00481513">
        <w:t xml:space="preserve">Decreasing technology costs have given rise to </w:t>
      </w:r>
      <w:r w:rsidR="00020BB6">
        <w:t xml:space="preserve">new </w:t>
      </w:r>
      <w:r w:rsidR="00AA3666" w:rsidRPr="00481513">
        <w:t xml:space="preserve">PURPA </w:t>
      </w:r>
      <w:r w:rsidR="00AA3666" w:rsidRPr="00481513">
        <w:lastRenderedPageBreak/>
        <w:t>dev</w:t>
      </w:r>
      <w:r w:rsidR="003812CB" w:rsidRPr="00481513">
        <w:t>elopment, but the utility model</w:t>
      </w:r>
      <w:r w:rsidR="00AA3666" w:rsidRPr="00481513">
        <w:t xml:space="preserve"> and regulatory </w:t>
      </w:r>
      <w:r w:rsidR="00020BB6">
        <w:t>environment</w:t>
      </w:r>
      <w:r w:rsidR="00AA3666" w:rsidRPr="00481513">
        <w:t>, in large part</w:t>
      </w:r>
      <w:r w:rsidR="00646A02">
        <w:t>,</w:t>
      </w:r>
      <w:r w:rsidR="00AA3666" w:rsidRPr="00481513">
        <w:t xml:space="preserve"> </w:t>
      </w:r>
      <w:r w:rsidR="00020BB6">
        <w:t xml:space="preserve">have </w:t>
      </w:r>
      <w:r w:rsidR="00AA3666" w:rsidRPr="00481513">
        <w:t>remain</w:t>
      </w:r>
      <w:r w:rsidR="0022669E">
        <w:t>ed</w:t>
      </w:r>
      <w:r w:rsidR="00AA3666" w:rsidRPr="00481513">
        <w:t xml:space="preserve"> </w:t>
      </w:r>
      <w:r w:rsidR="00020BB6">
        <w:t xml:space="preserve">utterly </w:t>
      </w:r>
      <w:r w:rsidR="00AA3666" w:rsidRPr="00481513">
        <w:t>unchanged.</w:t>
      </w:r>
      <w:r w:rsidR="00020BB6">
        <w:t xml:space="preserve">  </w:t>
      </w:r>
      <w:r>
        <w:t>The region remains dominated by incumbent monopoly utilities, does not have a regional transmission organization</w:t>
      </w:r>
      <w:r w:rsidR="00646A02">
        <w:t>,</w:t>
      </w:r>
      <w:r>
        <w:t xml:space="preserve"> and </w:t>
      </w:r>
      <w:r w:rsidR="008C4C39">
        <w:t xml:space="preserve">is </w:t>
      </w:r>
      <w:r>
        <w:t>marked by the absence of organized markets</w:t>
      </w:r>
      <w:r w:rsidR="00703E96">
        <w:t xml:space="preserve"> that are available to all generators</w:t>
      </w:r>
      <w:r w:rsidRPr="00481513">
        <w:t xml:space="preserve">.  </w:t>
      </w:r>
      <w:r w:rsidR="00020BB6">
        <w:t>Thus, the same market barriers continue to thwart QF developers.</w:t>
      </w:r>
      <w:r w:rsidR="008C4C39">
        <w:rPr>
          <w:rStyle w:val="FootnoteReference"/>
        </w:rPr>
        <w:footnoteReference w:id="5"/>
      </w:r>
      <w:r w:rsidR="00AA3666" w:rsidRPr="00481513">
        <w:t xml:space="preserve">  </w:t>
      </w:r>
      <w:r w:rsidR="00105B9E" w:rsidRPr="00481513">
        <w:t xml:space="preserve">  </w:t>
      </w:r>
      <w:r w:rsidR="002B3884" w:rsidRPr="00481513">
        <w:t xml:space="preserve"> </w:t>
      </w:r>
    </w:p>
    <w:p w14:paraId="6FF76332" w14:textId="0EBCB67B" w:rsidR="009F3346" w:rsidRPr="00481513" w:rsidRDefault="00BB2E9B" w:rsidP="00C157ED">
      <w:pPr>
        <w:pStyle w:val="ListParagraph"/>
        <w:numPr>
          <w:ilvl w:val="1"/>
          <w:numId w:val="33"/>
        </w:numPr>
        <w:spacing w:line="480" w:lineRule="auto"/>
        <w:ind w:left="0" w:hanging="540"/>
      </w:pPr>
      <w:r w:rsidRPr="00481513">
        <w:tab/>
      </w:r>
      <w:r w:rsidR="00105B9E" w:rsidRPr="00481513">
        <w:t xml:space="preserve">FERC has long expressed concerns over the utilities’ </w:t>
      </w:r>
      <w:r w:rsidR="00AA3666" w:rsidRPr="00481513">
        <w:t>general</w:t>
      </w:r>
      <w:r w:rsidR="00105B9E" w:rsidRPr="00481513">
        <w:t xml:space="preserve"> inclination to avoid </w:t>
      </w:r>
      <w:r w:rsidR="00AA3666" w:rsidRPr="00481513">
        <w:t>PURPA’s mandatory</w:t>
      </w:r>
      <w:r w:rsidR="00105B9E" w:rsidRPr="00481513">
        <w:t xml:space="preserve"> </w:t>
      </w:r>
      <w:r w:rsidR="00AA3666" w:rsidRPr="00481513">
        <w:t>purchase requirement</w:t>
      </w:r>
      <w:r w:rsidR="00105B9E" w:rsidRPr="00481513">
        <w:t>.</w:t>
      </w:r>
      <w:r w:rsidR="00A67B69" w:rsidRPr="00481513">
        <w:rPr>
          <w:rStyle w:val="FootnoteReference"/>
        </w:rPr>
        <w:footnoteReference w:id="6"/>
      </w:r>
      <w:r w:rsidR="00105B9E" w:rsidRPr="00481513">
        <w:t xml:space="preserve">  And d</w:t>
      </w:r>
      <w:r w:rsidR="002B3884" w:rsidRPr="00481513">
        <w:t>espite</w:t>
      </w:r>
      <w:r w:rsidR="00105B9E" w:rsidRPr="00481513">
        <w:t xml:space="preserve"> consistent</w:t>
      </w:r>
      <w:r w:rsidR="002B3884" w:rsidRPr="00481513">
        <w:t xml:space="preserve"> FERC oversight, t</w:t>
      </w:r>
      <w:r w:rsidR="00AA3666" w:rsidRPr="00481513">
        <w:t>his</w:t>
      </w:r>
      <w:r w:rsidR="009F3346" w:rsidRPr="00481513">
        <w:t xml:space="preserve"> Commission</w:t>
      </w:r>
      <w:r w:rsidR="00AE12B0">
        <w:t xml:space="preserve">’s </w:t>
      </w:r>
      <w:r w:rsidR="00AE12B0" w:rsidRPr="00481513">
        <w:t>authority to review its reg</w:t>
      </w:r>
      <w:r w:rsidR="00AF1E73">
        <w:t>ulated utilities’ avoided costs</w:t>
      </w:r>
      <w:r w:rsidR="004736A9">
        <w:t xml:space="preserve"> and set standard contract provisions</w:t>
      </w:r>
      <w:r w:rsidR="009F3346" w:rsidRPr="00481513">
        <w:t xml:space="preserve"> </w:t>
      </w:r>
      <w:r w:rsidR="00AA3666" w:rsidRPr="00481513">
        <w:t>is far more likely to determine</w:t>
      </w:r>
      <w:r w:rsidR="00377F8D" w:rsidRPr="00481513">
        <w:t xml:space="preserve"> whether</w:t>
      </w:r>
      <w:r w:rsidR="00D9308D" w:rsidRPr="00481513">
        <w:t xml:space="preserve"> there will be</w:t>
      </w:r>
      <w:r w:rsidR="00377F8D" w:rsidRPr="00481513">
        <w:t xml:space="preserve"> </w:t>
      </w:r>
      <w:r w:rsidR="00D9308D" w:rsidRPr="00481513">
        <w:t>any QF development in Washington</w:t>
      </w:r>
      <w:r w:rsidR="00377F8D" w:rsidRPr="00481513">
        <w:t>.</w:t>
      </w:r>
      <w:r w:rsidR="00D9308D" w:rsidRPr="00481513">
        <w:t xml:space="preserve">  </w:t>
      </w:r>
      <w:r w:rsidR="00893E81">
        <w:t>NIPPC and REC</w:t>
      </w:r>
      <w:r w:rsidR="00105B9E" w:rsidRPr="00481513">
        <w:t xml:space="preserve"> are not advocating for </w:t>
      </w:r>
      <w:r w:rsidR="00AA3666" w:rsidRPr="00481513">
        <w:t>the Commission</w:t>
      </w:r>
      <w:r w:rsidR="00105B9E" w:rsidRPr="00481513">
        <w:t xml:space="preserve"> to incentivize </w:t>
      </w:r>
      <w:r w:rsidR="00020BB6">
        <w:t xml:space="preserve">a boom in new </w:t>
      </w:r>
      <w:r w:rsidR="00105B9E" w:rsidRPr="00481513">
        <w:t xml:space="preserve">QF development, </w:t>
      </w:r>
      <w:r w:rsidR="00020BB6">
        <w:t>or otherwise establish policies that c</w:t>
      </w:r>
      <w:r w:rsidR="00AA3666" w:rsidRPr="00481513">
        <w:t xml:space="preserve">ould subject ratepayers to unjust rates.  </w:t>
      </w:r>
      <w:r w:rsidR="000601BA">
        <w:t xml:space="preserve">Instead, </w:t>
      </w:r>
      <w:r w:rsidR="00893E81">
        <w:t>NIPPC and REC</w:t>
      </w:r>
      <w:r w:rsidR="00AA3666" w:rsidRPr="00481513">
        <w:t xml:space="preserve"> </w:t>
      </w:r>
      <w:r w:rsidR="00105B9E" w:rsidRPr="00481513">
        <w:t>are asking the Commission to ensure its QF rules and policies are fair</w:t>
      </w:r>
      <w:r w:rsidR="00893E81">
        <w:t>,</w:t>
      </w:r>
      <w:r w:rsidR="00105B9E" w:rsidRPr="00481513">
        <w:t xml:space="preserve"> </w:t>
      </w:r>
      <w:r w:rsidR="00AA3666" w:rsidRPr="00481513">
        <w:t>do not hinder</w:t>
      </w:r>
      <w:r w:rsidR="00105B9E" w:rsidRPr="00481513">
        <w:t xml:space="preserve"> the broader purpose of PURPA</w:t>
      </w:r>
      <w:r w:rsidR="00893E81">
        <w:t>, and allow non-utility generation a reasonable opportunity to sell their net output to the state’s investor owned utilities</w:t>
      </w:r>
      <w:r w:rsidR="00105B9E" w:rsidRPr="00481513">
        <w:t xml:space="preserve">. </w:t>
      </w:r>
      <w:r w:rsidR="009B78C3">
        <w:t xml:space="preserve"> </w:t>
      </w:r>
      <w:r w:rsidR="00105B9E" w:rsidRPr="00481513">
        <w:t>T</w:t>
      </w:r>
      <w:r w:rsidR="00D9308D" w:rsidRPr="00481513">
        <w:t xml:space="preserve">he policy choices </w:t>
      </w:r>
      <w:r w:rsidR="00C157ED" w:rsidRPr="00481513">
        <w:t>at issue in this proceeding—more than any federal regulations or orders—</w:t>
      </w:r>
      <w:r w:rsidR="00D9308D" w:rsidRPr="00481513">
        <w:t xml:space="preserve">will </w:t>
      </w:r>
      <w:r w:rsidR="009B78C3">
        <w:t>play a key role in whether PURPA will</w:t>
      </w:r>
      <w:r w:rsidR="00AF1E73">
        <w:t xml:space="preserve"> ever</w:t>
      </w:r>
      <w:r w:rsidR="009B78C3">
        <w:t xml:space="preserve"> achieve its intended benefits for ratepayers in Washington. </w:t>
      </w:r>
    </w:p>
    <w:p w14:paraId="351AA38E" w14:textId="4C77D1C5" w:rsidR="002B3884" w:rsidRPr="00481513" w:rsidRDefault="002B3884" w:rsidP="00C157ED">
      <w:pPr>
        <w:pStyle w:val="ListParagraph"/>
        <w:numPr>
          <w:ilvl w:val="1"/>
          <w:numId w:val="33"/>
        </w:numPr>
        <w:spacing w:line="480" w:lineRule="auto"/>
        <w:ind w:left="0" w:hanging="540"/>
      </w:pPr>
      <w:r w:rsidRPr="00481513">
        <w:tab/>
      </w:r>
      <w:r w:rsidR="00425DB7" w:rsidRPr="00481513">
        <w:t xml:space="preserve">Washington’s vertically integrated utilities dominate the electricity market, as they do in the </w:t>
      </w:r>
      <w:r w:rsidR="00AE12B0">
        <w:t>Pacific Northwest and Rocky Mountain states</w:t>
      </w:r>
      <w:r w:rsidR="00425DB7" w:rsidRPr="00481513">
        <w:t xml:space="preserve">.  This is true despite Washington’s constitutional ban on monopolies and the absence of any laws explicitly favoring service territories. </w:t>
      </w:r>
      <w:r w:rsidR="00703E96">
        <w:t xml:space="preserve"> Since the passage of PURPA,</w:t>
      </w:r>
      <w:r w:rsidR="00AF1E73">
        <w:t xml:space="preserve"> </w:t>
      </w:r>
      <w:r w:rsidR="001018DC" w:rsidRPr="00481513">
        <w:t>Oregon and</w:t>
      </w:r>
      <w:r w:rsidR="00F076D1" w:rsidRPr="00481513">
        <w:t xml:space="preserve"> </w:t>
      </w:r>
      <w:r w:rsidR="001018DC" w:rsidRPr="00481513">
        <w:t>Idaho</w:t>
      </w:r>
      <w:r w:rsidR="00703E96">
        <w:t xml:space="preserve"> have been </w:t>
      </w:r>
      <w:r w:rsidR="00703E96">
        <w:lastRenderedPageBreak/>
        <w:t>able to achieve a modest amount of QF development, which underscores the</w:t>
      </w:r>
      <w:r w:rsidR="001018DC" w:rsidRPr="00481513">
        <w:t xml:space="preserve"> relatively bleak </w:t>
      </w:r>
      <w:r w:rsidR="00A7392E">
        <w:t xml:space="preserve">picture in </w:t>
      </w:r>
      <w:r w:rsidR="001018DC" w:rsidRPr="00481513">
        <w:t xml:space="preserve">Washington </w:t>
      </w:r>
      <w:r w:rsidR="00AE12B0">
        <w:t>for non-utility owned</w:t>
      </w:r>
      <w:r w:rsidR="001018DC" w:rsidRPr="00481513">
        <w:t xml:space="preserve"> developers.</w:t>
      </w:r>
      <w:r w:rsidR="00F076D1" w:rsidRPr="00481513">
        <w:t xml:space="preserve"> </w:t>
      </w:r>
    </w:p>
    <w:p w14:paraId="25B33068" w14:textId="47615FEC" w:rsidR="00C97DCF" w:rsidRDefault="002B3884" w:rsidP="00C97DCF">
      <w:pPr>
        <w:pStyle w:val="ListParagraph"/>
        <w:numPr>
          <w:ilvl w:val="1"/>
          <w:numId w:val="33"/>
        </w:numPr>
        <w:spacing w:line="480" w:lineRule="auto"/>
        <w:ind w:left="0" w:hanging="547"/>
        <w:jc w:val="both"/>
      </w:pPr>
      <w:r w:rsidRPr="00481513">
        <w:tab/>
      </w:r>
      <w:r w:rsidR="001018DC" w:rsidRPr="00481513">
        <w:t xml:space="preserve">Still, Washington has </w:t>
      </w:r>
      <w:r w:rsidR="0022669E">
        <w:t xml:space="preserve">an </w:t>
      </w:r>
      <w:r w:rsidR="001018DC" w:rsidRPr="00481513">
        <w:t xml:space="preserve">ambitious </w:t>
      </w:r>
      <w:r w:rsidR="009B78C3">
        <w:t>renewable portfolio standard (“</w:t>
      </w:r>
      <w:r w:rsidRPr="00481513">
        <w:t>RPS</w:t>
      </w:r>
      <w:r w:rsidR="009B78C3">
        <w:t>”)</w:t>
      </w:r>
      <w:r w:rsidRPr="00481513">
        <w:t xml:space="preserve"> and other renewable energy policies</w:t>
      </w:r>
      <w:r w:rsidR="00C97DCF">
        <w:t xml:space="preserve">. As recently </w:t>
      </w:r>
      <w:r w:rsidR="00CA0707">
        <w:t>explained</w:t>
      </w:r>
      <w:r w:rsidR="00C97DCF">
        <w:t xml:space="preserve"> by the Commission:</w:t>
      </w:r>
    </w:p>
    <w:p w14:paraId="0B55FBAD" w14:textId="31AF1E0D" w:rsidR="00C97DCF" w:rsidRDefault="00C97DCF" w:rsidP="00C97DCF">
      <w:pPr>
        <w:ind w:left="720" w:right="720"/>
        <w:jc w:val="both"/>
      </w:pPr>
      <w:r w:rsidRPr="00C97DCF">
        <w:t>Collectively, the energy policies that Washington has enacted in the last 20 years have driven energy diversity and greenhouse gas emission reductions through three general approaches: discouraging the use of fossil-fueled generation resources, encouraging the use of renewable generation resources, and facilitating customer adoption of distributed technologies such as solar photovoltaics and electric vehicles.</w:t>
      </w:r>
      <w:r>
        <w:rPr>
          <w:rStyle w:val="FootnoteReference"/>
        </w:rPr>
        <w:footnoteReference w:id="7"/>
      </w:r>
      <w:r>
        <w:t xml:space="preserve">  </w:t>
      </w:r>
    </w:p>
    <w:p w14:paraId="79C02576" w14:textId="77777777" w:rsidR="00C97DCF" w:rsidRPr="00C97DCF" w:rsidRDefault="00C97DCF" w:rsidP="00C97DCF">
      <w:pPr>
        <w:pStyle w:val="p1"/>
        <w:rPr>
          <w:rFonts w:ascii="Times New Roman" w:hAnsi="Times New Roman"/>
          <w:sz w:val="18"/>
          <w:szCs w:val="18"/>
        </w:rPr>
      </w:pPr>
      <w:r>
        <w:t xml:space="preserve"> </w:t>
      </w:r>
      <w:r>
        <w:tab/>
      </w:r>
      <w:r>
        <w:tab/>
      </w:r>
    </w:p>
    <w:p w14:paraId="4E694DC2" w14:textId="6ADE4FB3" w:rsidR="00E87167" w:rsidRDefault="00C97DCF" w:rsidP="00CA0707">
      <w:pPr>
        <w:spacing w:line="480" w:lineRule="auto"/>
      </w:pPr>
      <w:r>
        <w:t xml:space="preserve">These goals </w:t>
      </w:r>
      <w:r w:rsidR="001018DC" w:rsidRPr="00481513">
        <w:t xml:space="preserve">could be </w:t>
      </w:r>
      <w:r w:rsidR="009B78C3">
        <w:t>more cost effectively achieved if a greater po</w:t>
      </w:r>
      <w:r w:rsidR="00F8227C">
        <w:t>r</w:t>
      </w:r>
      <w:r w:rsidR="009B78C3">
        <w:t>tion of the utilities resource mix included purchases from independent power producers, including QFs</w:t>
      </w:r>
      <w:r w:rsidR="002B3884" w:rsidRPr="00481513">
        <w:t xml:space="preserve">. </w:t>
      </w:r>
      <w:r w:rsidR="009B78C3">
        <w:t xml:space="preserve"> </w:t>
      </w:r>
      <w:r>
        <w:t>As this Commission has recognized, these “clear directives to electric utilities to diversify and decarbonize the state’s energy resource mix” must be done “in a manner that promotes the public interest while minimizing cost and risk.”</w:t>
      </w:r>
      <w:r w:rsidR="00CA0707">
        <w:rPr>
          <w:rStyle w:val="FootnoteReference"/>
        </w:rPr>
        <w:footnoteReference w:id="8"/>
      </w:r>
      <w:r w:rsidR="00CA0707">
        <w:t xml:space="preserve"> </w:t>
      </w:r>
      <w:r>
        <w:t xml:space="preserve"> </w:t>
      </w:r>
      <w:r w:rsidR="00893E81">
        <w:t>Without</w:t>
      </w:r>
      <w:r w:rsidR="001018DC" w:rsidRPr="00481513">
        <w:t xml:space="preserve"> the Commission’s</w:t>
      </w:r>
      <w:r w:rsidR="00893E81">
        <w:t xml:space="preserve"> </w:t>
      </w:r>
      <w:r w:rsidR="001730F8">
        <w:t>effective</w:t>
      </w:r>
      <w:r w:rsidR="001018DC" w:rsidRPr="00481513">
        <w:t xml:space="preserve"> implementation of</w:t>
      </w:r>
      <w:r w:rsidR="002B3884" w:rsidRPr="00481513">
        <w:t xml:space="preserve"> PURPA</w:t>
      </w:r>
      <w:r w:rsidR="001018DC" w:rsidRPr="00481513">
        <w:t xml:space="preserve"> and the </w:t>
      </w:r>
      <w:r w:rsidR="002B3884" w:rsidRPr="00481513">
        <w:t xml:space="preserve">competitive bidding rules, </w:t>
      </w:r>
      <w:r w:rsidR="00AF1E73">
        <w:t xml:space="preserve">customer rates will be higher because </w:t>
      </w:r>
      <w:r w:rsidR="009B78C3">
        <w:t>the vast majority</w:t>
      </w:r>
      <w:r w:rsidR="002B3884" w:rsidRPr="00481513">
        <w:t xml:space="preserve"> of </w:t>
      </w:r>
      <w:r w:rsidR="00CA0707">
        <w:t>the investor owned utilities’</w:t>
      </w:r>
      <w:r w:rsidR="001018DC" w:rsidRPr="00481513">
        <w:t xml:space="preserve"> renewable energy resources</w:t>
      </w:r>
      <w:r w:rsidR="002B3884" w:rsidRPr="00481513">
        <w:t xml:space="preserve"> </w:t>
      </w:r>
      <w:r w:rsidR="009B78C3">
        <w:t xml:space="preserve">that serve the customers </w:t>
      </w:r>
      <w:r w:rsidR="001018DC" w:rsidRPr="00481513">
        <w:t>w</w:t>
      </w:r>
      <w:r w:rsidR="009B78C3">
        <w:t>ill</w:t>
      </w:r>
      <w:r w:rsidR="001018DC" w:rsidRPr="00481513">
        <w:t xml:space="preserve"> </w:t>
      </w:r>
      <w:r w:rsidR="002B3884" w:rsidRPr="00481513">
        <w:t>be owned</w:t>
      </w:r>
      <w:r w:rsidR="001018DC" w:rsidRPr="00481513">
        <w:t xml:space="preserve"> by </w:t>
      </w:r>
      <w:r w:rsidR="009B78C3">
        <w:t>those same utilities and</w:t>
      </w:r>
      <w:r w:rsidR="00AF1E73">
        <w:t xml:space="preserve"> </w:t>
      </w:r>
      <w:r w:rsidR="00703E96">
        <w:t>not subject to competition from the market</w:t>
      </w:r>
      <w:r w:rsidR="00AF1E73">
        <w:t>.</w:t>
      </w:r>
    </w:p>
    <w:p w14:paraId="67B376B8" w14:textId="77777777" w:rsidR="00F613D2" w:rsidRPr="00481513" w:rsidRDefault="00E87167" w:rsidP="00CA0707">
      <w:pPr>
        <w:spacing w:line="480" w:lineRule="auto"/>
      </w:pPr>
      <w:r>
        <w:br w:type="column"/>
      </w:r>
    </w:p>
    <w:p w14:paraId="78CCCE4F" w14:textId="5DB74A04" w:rsidR="005D3357" w:rsidRPr="00481513" w:rsidRDefault="00BB4BF5" w:rsidP="00F8227C">
      <w:pPr>
        <w:pStyle w:val="ListParagraph"/>
        <w:spacing w:line="480" w:lineRule="auto"/>
        <w:jc w:val="center"/>
      </w:pPr>
      <w:r w:rsidRPr="00481513">
        <w:rPr>
          <w:rFonts w:eastAsia="MS Mincho"/>
          <w:b/>
          <w:szCs w:val="24"/>
          <w:lang w:eastAsia="ja-JP"/>
        </w:rPr>
        <w:t>II.</w:t>
      </w:r>
      <w:r w:rsidRPr="00481513">
        <w:rPr>
          <w:rFonts w:eastAsia="MS Mincho"/>
          <w:b/>
          <w:szCs w:val="24"/>
          <w:lang w:eastAsia="ja-JP"/>
        </w:rPr>
        <w:tab/>
        <w:t>COMMENTS</w:t>
      </w:r>
      <w:r w:rsidR="00AF69C8" w:rsidRPr="00481513">
        <w:t xml:space="preserve"> </w:t>
      </w:r>
      <w:r w:rsidR="005D3357" w:rsidRPr="00B40AAD">
        <w:rPr>
          <w:rFonts w:eastAsia="MS Mincho"/>
          <w:szCs w:val="24"/>
          <w:lang w:eastAsia="ja-JP"/>
        </w:rPr>
        <w:t xml:space="preserve"> </w:t>
      </w:r>
    </w:p>
    <w:p w14:paraId="5F7175F9" w14:textId="117F80F1" w:rsidR="007F587F" w:rsidRPr="00481513" w:rsidRDefault="000353CA" w:rsidP="000353CA">
      <w:pPr>
        <w:rPr>
          <w:rFonts w:eastAsia="MS Mincho"/>
          <w:b/>
          <w:szCs w:val="24"/>
          <w:lang w:eastAsia="ja-JP"/>
        </w:rPr>
      </w:pPr>
      <w:r w:rsidRPr="00481513">
        <w:rPr>
          <w:rFonts w:eastAsia="MS Mincho"/>
          <w:b/>
          <w:szCs w:val="24"/>
          <w:lang w:eastAsia="ja-JP"/>
        </w:rPr>
        <w:t xml:space="preserve">A. </w:t>
      </w:r>
      <w:r w:rsidRPr="00481513">
        <w:rPr>
          <w:rFonts w:eastAsia="MS Mincho"/>
          <w:b/>
          <w:szCs w:val="24"/>
          <w:lang w:eastAsia="ja-JP"/>
        </w:rPr>
        <w:tab/>
      </w:r>
      <w:r w:rsidR="00612471" w:rsidRPr="00481513">
        <w:rPr>
          <w:rFonts w:eastAsia="MS Mincho"/>
          <w:b/>
          <w:szCs w:val="24"/>
          <w:lang w:eastAsia="ja-JP"/>
        </w:rPr>
        <w:t xml:space="preserve">ISSUE A. </w:t>
      </w:r>
      <w:r w:rsidR="00612471" w:rsidRPr="00481513">
        <w:rPr>
          <w:rFonts w:eastAsia="MS Mincho"/>
          <w:b/>
          <w:szCs w:val="24"/>
          <w:lang w:eastAsia="ja-JP"/>
        </w:rPr>
        <w:tab/>
        <w:t>AVOIDED COST METHODOLOGIES</w:t>
      </w:r>
    </w:p>
    <w:p w14:paraId="293DE9F8" w14:textId="77777777" w:rsidR="007F587F" w:rsidRDefault="007F587F" w:rsidP="007F587F">
      <w:pPr>
        <w:rPr>
          <w:rFonts w:eastAsia="MS Mincho"/>
          <w:b/>
          <w:szCs w:val="24"/>
          <w:lang w:eastAsia="ja-JP"/>
        </w:rPr>
      </w:pPr>
    </w:p>
    <w:p w14:paraId="4A3ADF27" w14:textId="6B7CAE7E" w:rsidR="00ED3FA9" w:rsidRPr="00ED3FA9" w:rsidRDefault="00CD0792" w:rsidP="00CD0792">
      <w:pPr>
        <w:pStyle w:val="ListParagraph"/>
        <w:numPr>
          <w:ilvl w:val="1"/>
          <w:numId w:val="33"/>
        </w:numPr>
        <w:spacing w:line="480" w:lineRule="auto"/>
        <w:ind w:left="0" w:hanging="540"/>
      </w:pPr>
      <w:r>
        <w:tab/>
        <w:t>A</w:t>
      </w:r>
      <w:r w:rsidRPr="00481513">
        <w:t>v</w:t>
      </w:r>
      <w:r>
        <w:t xml:space="preserve">oided cost rates </w:t>
      </w:r>
      <w:r w:rsidR="00D57046">
        <w:t xml:space="preserve">must </w:t>
      </w:r>
      <w:r>
        <w:t>include a reasonable payment</w:t>
      </w:r>
      <w:r w:rsidRPr="00481513">
        <w:t xml:space="preserve"> for both energy and capacity whenever a QF</w:t>
      </w:r>
      <w:r w:rsidR="00D57046">
        <w:t xml:space="preserve"> reduces a utility’s need for those</w:t>
      </w:r>
      <w:r w:rsidRPr="00481513">
        <w:t xml:space="preserve"> </w:t>
      </w:r>
      <w:r w:rsidR="00703E96">
        <w:t>resources</w:t>
      </w:r>
      <w:r w:rsidRPr="00481513">
        <w:t xml:space="preserve">. </w:t>
      </w:r>
      <w:r w:rsidR="00ED3FA9">
        <w:t xml:space="preserve"> </w:t>
      </w:r>
      <w:r w:rsidRPr="00481513">
        <w:t>FERC</w:t>
      </w:r>
      <w:r w:rsidR="00ED3FA9">
        <w:t xml:space="preserve"> has repeatedly</w:t>
      </w:r>
      <w:r w:rsidRPr="00481513">
        <w:t xml:space="preserve"> confirmed that PURPA established a </w:t>
      </w:r>
      <w:r w:rsidRPr="00481513">
        <w:rPr>
          <w:rFonts w:eastAsia="MS Mincho"/>
          <w:szCs w:val="24"/>
          <w:lang w:eastAsia="ja-JP"/>
        </w:rPr>
        <w:t>legal requirement to purchase QF capacity</w:t>
      </w:r>
      <w:r w:rsidR="00ED3FA9">
        <w:rPr>
          <w:rFonts w:eastAsia="MS Mincho"/>
          <w:szCs w:val="24"/>
          <w:lang w:eastAsia="ja-JP"/>
        </w:rPr>
        <w:t>,</w:t>
      </w:r>
      <w:r w:rsidR="00D57046">
        <w:rPr>
          <w:rFonts w:eastAsia="MS Mincho"/>
          <w:szCs w:val="24"/>
          <w:lang w:eastAsia="ja-JP"/>
        </w:rPr>
        <w:t xml:space="preserve"> if the utility has a capacity need</w:t>
      </w:r>
      <w:r w:rsidRPr="00481513">
        <w:rPr>
          <w:rFonts w:eastAsia="MS Mincho"/>
          <w:szCs w:val="24"/>
          <w:lang w:eastAsia="ja-JP"/>
        </w:rPr>
        <w:t>.</w:t>
      </w:r>
      <w:r w:rsidRPr="00481513">
        <w:rPr>
          <w:rStyle w:val="FootnoteReference"/>
          <w:rFonts w:eastAsia="MS Mincho"/>
          <w:szCs w:val="24"/>
          <w:lang w:eastAsia="ja-JP"/>
        </w:rPr>
        <w:footnoteReference w:id="9"/>
      </w:r>
      <w:r w:rsidR="00D57046">
        <w:rPr>
          <w:rFonts w:eastAsia="MS Mincho"/>
          <w:szCs w:val="24"/>
          <w:lang w:eastAsia="ja-JP"/>
        </w:rPr>
        <w:t xml:space="preserve">  </w:t>
      </w:r>
      <w:r w:rsidR="00ED3FA9" w:rsidRPr="00896E82">
        <w:rPr>
          <w:rFonts w:eastAsia="MS Mincho"/>
          <w:bCs/>
          <w:szCs w:val="24"/>
          <w:lang w:eastAsia="ja-JP"/>
        </w:rPr>
        <w:t xml:space="preserve">FERC rules </w:t>
      </w:r>
      <w:r w:rsidR="00981E69">
        <w:rPr>
          <w:rFonts w:eastAsia="MS Mincho"/>
          <w:bCs/>
          <w:szCs w:val="24"/>
          <w:lang w:eastAsia="ja-JP"/>
        </w:rPr>
        <w:t xml:space="preserve">also </w:t>
      </w:r>
      <w:r w:rsidR="00ED3FA9" w:rsidRPr="00896E82">
        <w:rPr>
          <w:rFonts w:eastAsia="MS Mincho"/>
          <w:bCs/>
          <w:szCs w:val="24"/>
          <w:lang w:eastAsia="ja-JP"/>
        </w:rPr>
        <w:t>require, to the extent practical, that the Commission consider the aggregate capacity value of QFs.</w:t>
      </w:r>
      <w:r w:rsidR="00ED3FA9" w:rsidRPr="00896E82">
        <w:rPr>
          <w:rStyle w:val="FootnoteReference"/>
          <w:rFonts w:eastAsia="MS Mincho"/>
          <w:bCs/>
          <w:szCs w:val="24"/>
          <w:lang w:eastAsia="ja-JP"/>
        </w:rPr>
        <w:footnoteReference w:id="10"/>
      </w:r>
      <w:r w:rsidR="00ED3FA9" w:rsidRPr="00896E82">
        <w:rPr>
          <w:rFonts w:eastAsia="MS Mincho"/>
          <w:bCs/>
          <w:szCs w:val="24"/>
          <w:lang w:eastAsia="ja-JP"/>
        </w:rPr>
        <w:t xml:space="preserve">  FERC has explained that even though small amounts of capacity provided from QFs might not enable a utility to avoid scheduled capacity additions, the aggregate capacity of such purchases allows deferral or avoidance of such a capacity addition.</w:t>
      </w:r>
      <w:r w:rsidR="00ED3FA9" w:rsidRPr="00896E82">
        <w:rPr>
          <w:rStyle w:val="FootnoteReference"/>
          <w:rFonts w:eastAsia="MS Mincho"/>
          <w:bCs/>
          <w:szCs w:val="24"/>
          <w:lang w:eastAsia="ja-JP"/>
        </w:rPr>
        <w:footnoteReference w:id="11"/>
      </w:r>
      <w:r w:rsidR="00ED3FA9" w:rsidRPr="00896E82">
        <w:rPr>
          <w:rFonts w:eastAsia="MS Mincho"/>
          <w:bCs/>
          <w:szCs w:val="24"/>
          <w:lang w:eastAsia="ja-JP"/>
        </w:rPr>
        <w:t xml:space="preserve"> </w:t>
      </w:r>
    </w:p>
    <w:p w14:paraId="207E722E" w14:textId="7188B2EE" w:rsidR="00CD0792" w:rsidRPr="00F8227C" w:rsidRDefault="00ED3FA9" w:rsidP="00F8227C">
      <w:pPr>
        <w:pStyle w:val="ListParagraph"/>
        <w:numPr>
          <w:ilvl w:val="1"/>
          <w:numId w:val="33"/>
        </w:numPr>
        <w:spacing w:line="480" w:lineRule="auto"/>
        <w:ind w:left="0" w:hanging="540"/>
      </w:pPr>
      <w:r>
        <w:rPr>
          <w:rFonts w:eastAsia="MS Mincho"/>
          <w:bCs/>
          <w:szCs w:val="24"/>
          <w:lang w:eastAsia="ja-JP"/>
        </w:rPr>
        <w:tab/>
      </w:r>
      <w:r w:rsidR="00D57046">
        <w:rPr>
          <w:rFonts w:eastAsia="MS Mincho"/>
          <w:szCs w:val="24"/>
          <w:lang w:eastAsia="ja-JP"/>
        </w:rPr>
        <w:t>A</w:t>
      </w:r>
      <w:r w:rsidR="00CD0792" w:rsidRPr="00481513">
        <w:rPr>
          <w:rFonts w:eastAsia="MS Mincho"/>
          <w:szCs w:val="24"/>
          <w:lang w:eastAsia="ja-JP"/>
        </w:rPr>
        <w:t xml:space="preserve"> fundamental questio</w:t>
      </w:r>
      <w:r w:rsidR="00A84367">
        <w:rPr>
          <w:rFonts w:eastAsia="MS Mincho"/>
          <w:szCs w:val="24"/>
          <w:lang w:eastAsia="ja-JP"/>
        </w:rPr>
        <w:t>n at issue in this proceeding should</w:t>
      </w:r>
      <w:r w:rsidR="00CD0792" w:rsidRPr="00481513">
        <w:rPr>
          <w:rFonts w:eastAsia="MS Mincho"/>
          <w:szCs w:val="24"/>
          <w:lang w:eastAsia="ja-JP"/>
        </w:rPr>
        <w:t xml:space="preserve"> not </w:t>
      </w:r>
      <w:r w:rsidR="00A84367">
        <w:rPr>
          <w:rFonts w:eastAsia="MS Mincho"/>
          <w:szCs w:val="24"/>
          <w:lang w:eastAsia="ja-JP"/>
        </w:rPr>
        <w:t xml:space="preserve">be </w:t>
      </w:r>
      <w:r w:rsidR="00CD0792" w:rsidRPr="00481513">
        <w:rPr>
          <w:rFonts w:eastAsia="MS Mincho"/>
          <w:szCs w:val="24"/>
          <w:lang w:eastAsia="ja-JP"/>
        </w:rPr>
        <w:t>whether utilities must pay for capacity, but really how they should do so.</w:t>
      </w:r>
      <w:r w:rsidR="00A84367">
        <w:rPr>
          <w:rStyle w:val="FootnoteReference"/>
          <w:rFonts w:eastAsia="MS Mincho"/>
          <w:szCs w:val="24"/>
          <w:lang w:eastAsia="ja-JP"/>
        </w:rPr>
        <w:footnoteReference w:id="12"/>
      </w:r>
      <w:r w:rsidR="00CD0792" w:rsidRPr="00481513">
        <w:rPr>
          <w:rFonts w:eastAsia="MS Mincho"/>
          <w:szCs w:val="24"/>
          <w:lang w:eastAsia="ja-JP"/>
        </w:rPr>
        <w:t xml:space="preserve"> </w:t>
      </w:r>
      <w:r w:rsidR="0022669E">
        <w:rPr>
          <w:rFonts w:eastAsia="MS Mincho"/>
          <w:szCs w:val="24"/>
          <w:lang w:eastAsia="ja-JP"/>
        </w:rPr>
        <w:t xml:space="preserve"> </w:t>
      </w:r>
      <w:r w:rsidR="00A84367">
        <w:t xml:space="preserve">Absent the unusual situation in which a utility no longer has a capacity need, </w:t>
      </w:r>
      <w:r w:rsidR="00CD0792" w:rsidRPr="00ED3FA9">
        <w:rPr>
          <w:rFonts w:eastAsia="MS Mincho"/>
          <w:szCs w:val="24"/>
          <w:lang w:eastAsia="ja-JP"/>
        </w:rPr>
        <w:t>QFs are always providing a capacity benefit and the utilities’ capac</w:t>
      </w:r>
      <w:r w:rsidR="00981E69">
        <w:rPr>
          <w:rFonts w:eastAsia="MS Mincho"/>
          <w:szCs w:val="24"/>
          <w:lang w:eastAsia="ja-JP"/>
        </w:rPr>
        <w:t>ity payment to QFs should</w:t>
      </w:r>
      <w:r w:rsidR="00CD0792" w:rsidRPr="00ED3FA9">
        <w:rPr>
          <w:rFonts w:eastAsia="MS Mincho"/>
          <w:szCs w:val="24"/>
          <w:lang w:eastAsia="ja-JP"/>
        </w:rPr>
        <w:t xml:space="preserve"> account for the full </w:t>
      </w:r>
      <w:r w:rsidR="00703E96">
        <w:rPr>
          <w:rFonts w:eastAsia="MS Mincho"/>
          <w:szCs w:val="24"/>
          <w:lang w:eastAsia="ja-JP"/>
        </w:rPr>
        <w:t xml:space="preserve">value of the </w:t>
      </w:r>
      <w:r w:rsidR="00CD0792" w:rsidRPr="00ED3FA9">
        <w:rPr>
          <w:rFonts w:eastAsia="MS Mincho"/>
          <w:szCs w:val="24"/>
          <w:lang w:eastAsia="ja-JP"/>
        </w:rPr>
        <w:lastRenderedPageBreak/>
        <w:t xml:space="preserve">capacity </w:t>
      </w:r>
      <w:r w:rsidR="00703E96">
        <w:rPr>
          <w:rFonts w:eastAsia="MS Mincho"/>
          <w:szCs w:val="24"/>
          <w:lang w:eastAsia="ja-JP"/>
        </w:rPr>
        <w:t>provided</w:t>
      </w:r>
      <w:r w:rsidR="00CD0792" w:rsidRPr="00ED3FA9">
        <w:rPr>
          <w:rFonts w:eastAsia="MS Mincho"/>
          <w:szCs w:val="24"/>
          <w:lang w:eastAsia="ja-JP"/>
        </w:rPr>
        <w:t xml:space="preserve">.  Stated another way, </w:t>
      </w:r>
      <w:r w:rsidR="00A61F72">
        <w:rPr>
          <w:rFonts w:eastAsia="MS Mincho"/>
          <w:szCs w:val="24"/>
          <w:lang w:eastAsia="ja-JP"/>
        </w:rPr>
        <w:t>a QF</w:t>
      </w:r>
      <w:r w:rsidR="00CD0792" w:rsidRPr="00ED3FA9">
        <w:rPr>
          <w:rFonts w:eastAsia="MS Mincho"/>
          <w:szCs w:val="24"/>
          <w:lang w:eastAsia="ja-JP"/>
        </w:rPr>
        <w:t xml:space="preserve"> should receive a full capacity payment in all years (and months</w:t>
      </w:r>
      <w:r w:rsidR="00981E69">
        <w:rPr>
          <w:rFonts w:eastAsia="MS Mincho"/>
          <w:szCs w:val="24"/>
          <w:lang w:eastAsia="ja-JP"/>
        </w:rPr>
        <w:t>) of its contract</w:t>
      </w:r>
      <w:r w:rsidR="00CD0792" w:rsidRPr="00ED3FA9">
        <w:rPr>
          <w:rFonts w:eastAsia="MS Mincho"/>
          <w:szCs w:val="24"/>
          <w:lang w:eastAsia="ja-JP"/>
        </w:rPr>
        <w:t>.  The most appropriate avoided cost met</w:t>
      </w:r>
      <w:r w:rsidR="004736A9">
        <w:rPr>
          <w:rFonts w:eastAsia="MS Mincho"/>
          <w:szCs w:val="24"/>
          <w:lang w:eastAsia="ja-JP"/>
        </w:rPr>
        <w:t>hodology and standard contract provisions</w:t>
      </w:r>
      <w:r w:rsidR="00CD0792" w:rsidRPr="00ED3FA9">
        <w:rPr>
          <w:rFonts w:eastAsia="MS Mincho"/>
          <w:szCs w:val="24"/>
          <w:lang w:eastAsia="ja-JP"/>
        </w:rPr>
        <w:t xml:space="preserve"> must work together to this end, because some combinations will</w:t>
      </w:r>
      <w:r w:rsidR="00703E96">
        <w:rPr>
          <w:rFonts w:eastAsia="MS Mincho"/>
          <w:szCs w:val="24"/>
          <w:lang w:eastAsia="ja-JP"/>
        </w:rPr>
        <w:t xml:space="preserve"> undermine the value of QF energy</w:t>
      </w:r>
      <w:r w:rsidR="00CD0792" w:rsidRPr="00ED3FA9">
        <w:rPr>
          <w:rFonts w:eastAsia="MS Mincho"/>
          <w:szCs w:val="24"/>
          <w:lang w:eastAsia="ja-JP"/>
        </w:rPr>
        <w:t xml:space="preserve"> and capacity contributions.  Fo</w:t>
      </w:r>
      <w:r w:rsidR="00A84367" w:rsidRPr="00ED3FA9">
        <w:rPr>
          <w:rFonts w:eastAsia="MS Mincho"/>
          <w:szCs w:val="24"/>
          <w:lang w:eastAsia="ja-JP"/>
        </w:rPr>
        <w:t xml:space="preserve">r example, </w:t>
      </w:r>
      <w:r w:rsidR="00CD0792" w:rsidRPr="00ED3FA9">
        <w:rPr>
          <w:rFonts w:eastAsia="MS Mincho"/>
          <w:szCs w:val="24"/>
          <w:lang w:eastAsia="ja-JP"/>
        </w:rPr>
        <w:t>short</w:t>
      </w:r>
      <w:r w:rsidR="00A84367" w:rsidRPr="00ED3FA9">
        <w:rPr>
          <w:rFonts w:eastAsia="MS Mincho"/>
          <w:szCs w:val="24"/>
          <w:lang w:eastAsia="ja-JP"/>
        </w:rPr>
        <w:t xml:space="preserve"> or even moderate</w:t>
      </w:r>
      <w:r w:rsidR="00CD0792" w:rsidRPr="00ED3FA9">
        <w:rPr>
          <w:rFonts w:eastAsia="MS Mincho"/>
          <w:szCs w:val="24"/>
          <w:lang w:eastAsia="ja-JP"/>
        </w:rPr>
        <w:t xml:space="preserve"> contract periods with market</w:t>
      </w:r>
      <w:r w:rsidR="0045673A">
        <w:rPr>
          <w:rFonts w:eastAsia="MS Mincho"/>
          <w:szCs w:val="24"/>
          <w:lang w:eastAsia="ja-JP"/>
        </w:rPr>
        <w:t xml:space="preserve"> capacity rates in a utility’s short-run</w:t>
      </w:r>
      <w:r w:rsidR="00CD0792" w:rsidRPr="00ED3FA9">
        <w:rPr>
          <w:rFonts w:eastAsia="MS Mincho"/>
          <w:szCs w:val="24"/>
          <w:lang w:eastAsia="ja-JP"/>
        </w:rPr>
        <w:t xml:space="preserve"> period will effectively value capacity at zero.</w:t>
      </w:r>
      <w:r w:rsidR="00A84367" w:rsidRPr="00ED3FA9">
        <w:rPr>
          <w:rFonts w:eastAsia="MS Mincho"/>
          <w:szCs w:val="24"/>
          <w:lang w:eastAsia="ja-JP"/>
        </w:rPr>
        <w:t xml:space="preserve">  Thus, whatever new policies the Commission adopts in this proceeding need to carefully consider their total net effect or risk putting an end to the even very small amount of Washington QF development.  </w:t>
      </w:r>
    </w:p>
    <w:p w14:paraId="2B8AFB72" w14:textId="2445556A" w:rsidR="00CD0792" w:rsidRPr="00F8227C" w:rsidRDefault="00CD0792" w:rsidP="00F8227C">
      <w:pPr>
        <w:pStyle w:val="ListParagraph"/>
        <w:numPr>
          <w:ilvl w:val="1"/>
          <w:numId w:val="33"/>
        </w:numPr>
        <w:spacing w:line="480" w:lineRule="auto"/>
        <w:ind w:left="0" w:hanging="540"/>
      </w:pPr>
      <w:r>
        <w:rPr>
          <w:rFonts w:eastAsia="MS Mincho"/>
          <w:szCs w:val="24"/>
          <w:lang w:eastAsia="ja-JP"/>
        </w:rPr>
        <w:tab/>
      </w:r>
      <w:r w:rsidR="00215911">
        <w:rPr>
          <w:rFonts w:eastAsia="MS Mincho"/>
          <w:szCs w:val="24"/>
          <w:lang w:eastAsia="ja-JP"/>
        </w:rPr>
        <w:t>NIPPC and REC propose one major avoided cost rate</w:t>
      </w:r>
      <w:r w:rsidR="006E3B52">
        <w:rPr>
          <w:rFonts w:eastAsia="MS Mincho"/>
          <w:szCs w:val="24"/>
          <w:lang w:eastAsia="ja-JP"/>
        </w:rPr>
        <w:t xml:space="preserve"> change</w:t>
      </w:r>
      <w:r w:rsidR="00215911">
        <w:rPr>
          <w:rFonts w:eastAsia="MS Mincho"/>
          <w:szCs w:val="24"/>
          <w:lang w:eastAsia="ja-JP"/>
        </w:rPr>
        <w:t xml:space="preserve"> and recommend that the Commission </w:t>
      </w:r>
      <w:r w:rsidRPr="00CD0792">
        <w:rPr>
          <w:rFonts w:eastAsia="MS Mincho"/>
          <w:szCs w:val="24"/>
          <w:lang w:eastAsia="ja-JP"/>
        </w:rPr>
        <w:t>establish a separate renewable avoided cost price stream</w:t>
      </w:r>
      <w:r w:rsidR="00A84367">
        <w:rPr>
          <w:rFonts w:eastAsia="MS Mincho"/>
          <w:szCs w:val="24"/>
          <w:lang w:eastAsia="ja-JP"/>
        </w:rPr>
        <w:t xml:space="preserve"> to more fully compensate </w:t>
      </w:r>
      <w:r w:rsidR="00AD10F3">
        <w:rPr>
          <w:rFonts w:eastAsia="MS Mincho"/>
          <w:szCs w:val="24"/>
          <w:lang w:eastAsia="ja-JP"/>
        </w:rPr>
        <w:t xml:space="preserve">for </w:t>
      </w:r>
      <w:r w:rsidR="00A84367">
        <w:rPr>
          <w:rFonts w:eastAsia="MS Mincho"/>
          <w:szCs w:val="24"/>
          <w:lang w:eastAsia="ja-JP"/>
        </w:rPr>
        <w:t>the value provided by QFs that are willing to transfer their renewable energy certificates to the utility</w:t>
      </w:r>
      <w:r w:rsidRPr="00CD0792">
        <w:rPr>
          <w:rFonts w:eastAsia="MS Mincho"/>
          <w:szCs w:val="24"/>
          <w:lang w:eastAsia="ja-JP"/>
        </w:rPr>
        <w:t xml:space="preserve">.  Renewable QFs allow utilities to achieve their state mandated RPS requirements, and help defer </w:t>
      </w:r>
      <w:r w:rsidR="00703E96">
        <w:rPr>
          <w:rFonts w:eastAsia="MS Mincho"/>
          <w:szCs w:val="24"/>
          <w:lang w:eastAsia="ja-JP"/>
        </w:rPr>
        <w:t xml:space="preserve">incremental </w:t>
      </w:r>
      <w:r w:rsidRPr="00CD0792">
        <w:rPr>
          <w:rFonts w:eastAsia="MS Mincho"/>
          <w:szCs w:val="24"/>
          <w:lang w:eastAsia="ja-JP"/>
        </w:rPr>
        <w:t>renewable resource acquisition.  This is important because the utilities are likely to acquire significant amounts of renewables in the future, which will be the next avoidable resource.</w:t>
      </w:r>
      <w:r w:rsidRPr="00481513">
        <w:rPr>
          <w:rStyle w:val="FootnoteReference"/>
          <w:rFonts w:eastAsia="MS Mincho"/>
          <w:szCs w:val="24"/>
          <w:lang w:eastAsia="ja-JP"/>
        </w:rPr>
        <w:footnoteReference w:id="13"/>
      </w:r>
      <w:r w:rsidRPr="00CD0792">
        <w:rPr>
          <w:rFonts w:eastAsia="MS Mincho"/>
          <w:szCs w:val="24"/>
          <w:lang w:eastAsia="ja-JP"/>
        </w:rPr>
        <w:t xml:space="preserve">  Thus, a separate renewable avoided cost rate should be expeditiously implemented.</w:t>
      </w:r>
    </w:p>
    <w:p w14:paraId="44BBDBDB" w14:textId="77777777" w:rsidR="00E87167" w:rsidRDefault="00E87167">
      <w:pPr>
        <w:rPr>
          <w:rFonts w:eastAsia="MS Mincho"/>
          <w:b/>
          <w:i/>
          <w:szCs w:val="24"/>
          <w:lang w:eastAsia="ja-JP"/>
        </w:rPr>
      </w:pPr>
      <w:r>
        <w:rPr>
          <w:rFonts w:eastAsia="MS Mincho"/>
          <w:b/>
          <w:i/>
          <w:szCs w:val="24"/>
          <w:lang w:eastAsia="ja-JP"/>
        </w:rPr>
        <w:br w:type="page"/>
      </w:r>
    </w:p>
    <w:p w14:paraId="74203EDC" w14:textId="550BE778" w:rsidR="00ED3FA9" w:rsidRDefault="00612471" w:rsidP="00ED3FA9">
      <w:pPr>
        <w:pStyle w:val="ListParagraph"/>
        <w:rPr>
          <w:rFonts w:eastAsia="MS Mincho"/>
          <w:b/>
          <w:i/>
          <w:szCs w:val="24"/>
          <w:lang w:eastAsia="ja-JP"/>
        </w:rPr>
      </w:pPr>
      <w:r w:rsidRPr="00481513">
        <w:rPr>
          <w:rFonts w:eastAsia="MS Mincho"/>
          <w:b/>
          <w:i/>
          <w:szCs w:val="24"/>
          <w:lang w:eastAsia="ja-JP"/>
        </w:rPr>
        <w:lastRenderedPageBreak/>
        <w:t>Issue A. 1. What is the appropriate avoided cost methodology for calculating QF energy and capacity rates? A brief review of commonly cited literature identifies five methodologies: Proxy Unit, Peaker Method, Differences in Revenue Requirement, Market-Based Pricing, and Competitive Bidding.</w:t>
      </w:r>
      <w:r w:rsidR="00ED3FA9">
        <w:rPr>
          <w:rFonts w:eastAsia="MS Mincho"/>
          <w:b/>
          <w:i/>
          <w:szCs w:val="24"/>
          <w:lang w:eastAsia="ja-JP"/>
        </w:rPr>
        <w:t xml:space="preserve"> </w:t>
      </w:r>
    </w:p>
    <w:p w14:paraId="0DC843B0" w14:textId="4CCAE6F8" w:rsidR="00612471" w:rsidRPr="00481513" w:rsidRDefault="00ED3FA9" w:rsidP="00ED3FA9">
      <w:pPr>
        <w:pStyle w:val="ListParagraph"/>
        <w:rPr>
          <w:rFonts w:eastAsia="MS Mincho"/>
          <w:b/>
          <w:i/>
          <w:szCs w:val="24"/>
          <w:lang w:eastAsia="ja-JP"/>
        </w:rPr>
      </w:pPr>
      <w:r>
        <w:rPr>
          <w:rFonts w:eastAsia="MS Mincho"/>
          <w:b/>
          <w:i/>
          <w:szCs w:val="24"/>
          <w:lang w:eastAsia="ja-JP"/>
        </w:rPr>
        <w:t xml:space="preserve">Issue </w:t>
      </w:r>
      <w:r w:rsidRPr="00896E82">
        <w:rPr>
          <w:rFonts w:eastAsia="MS Mincho"/>
          <w:b/>
          <w:i/>
          <w:szCs w:val="24"/>
          <w:lang w:eastAsia="ja-JP"/>
        </w:rPr>
        <w:t xml:space="preserve">A. 3. Is it appropriate for a utility to calculate separate avoided capacity rates based on short-run and long-run resource requirements?  </w:t>
      </w:r>
    </w:p>
    <w:p w14:paraId="4706A379" w14:textId="77777777" w:rsidR="007F587F" w:rsidRPr="00481513" w:rsidRDefault="007F587F" w:rsidP="007F587F">
      <w:pPr>
        <w:rPr>
          <w:rFonts w:eastAsia="MS Mincho"/>
          <w:b/>
          <w:szCs w:val="24"/>
          <w:lang w:eastAsia="ja-JP"/>
        </w:rPr>
      </w:pPr>
    </w:p>
    <w:p w14:paraId="01790A05" w14:textId="4B631B40" w:rsidR="00C611A5" w:rsidRPr="00481513" w:rsidRDefault="007F587F" w:rsidP="007F587F">
      <w:pPr>
        <w:pStyle w:val="ListParagraph"/>
        <w:numPr>
          <w:ilvl w:val="1"/>
          <w:numId w:val="33"/>
        </w:numPr>
        <w:spacing w:line="480" w:lineRule="auto"/>
        <w:ind w:left="0" w:hanging="540"/>
        <w:rPr>
          <w:rFonts w:eastAsia="MS Mincho"/>
          <w:b/>
          <w:bCs/>
          <w:szCs w:val="24"/>
          <w:lang w:eastAsia="ja-JP"/>
        </w:rPr>
      </w:pPr>
      <w:r w:rsidRPr="00481513">
        <w:t xml:space="preserve">            With respect to different avoided cost methodologies</w:t>
      </w:r>
      <w:r w:rsidR="009A42DA">
        <w:t xml:space="preserve"> for fixed price QFs</w:t>
      </w:r>
      <w:r w:rsidRPr="00481513">
        <w:t xml:space="preserve">, the Commission </w:t>
      </w:r>
      <w:r w:rsidR="00893E81">
        <w:t>should</w:t>
      </w:r>
      <w:r w:rsidR="008A1709">
        <w:t xml:space="preserve"> </w:t>
      </w:r>
      <w:r w:rsidRPr="00481513">
        <w:t>consider how</w:t>
      </w:r>
      <w:r w:rsidR="00AF69C8" w:rsidRPr="00481513">
        <w:t xml:space="preserve"> each of</w:t>
      </w:r>
      <w:r w:rsidRPr="00481513">
        <w:t xml:space="preserve"> these differ</w:t>
      </w:r>
      <w:r w:rsidR="00A84367">
        <w:t>ent methods balance PURPA’s goal</w:t>
      </w:r>
      <w:r w:rsidRPr="00481513">
        <w:t xml:space="preserve"> of </w:t>
      </w:r>
      <w:r w:rsidR="00E067BC" w:rsidRPr="00481513">
        <w:t>setting accurate avoided cost rates</w:t>
      </w:r>
      <w:r w:rsidRPr="00481513">
        <w:t xml:space="preserve">. </w:t>
      </w:r>
      <w:r w:rsidR="00893E81">
        <w:t xml:space="preserve"> B</w:t>
      </w:r>
      <w:r w:rsidRPr="00481513">
        <w:t>oth of these goals are served by simplicity.  Overly complex methodologies obscure the utilities</w:t>
      </w:r>
      <w:r w:rsidR="00E067BC" w:rsidRPr="00481513">
        <w:t>’</w:t>
      </w:r>
      <w:r w:rsidRPr="00481513">
        <w:t xml:space="preserve"> true avoided costs and are subject to m</w:t>
      </w:r>
      <w:r w:rsidR="008A1709">
        <w:t>anipulation, as well as lengthy and</w:t>
      </w:r>
      <w:r w:rsidRPr="00481513">
        <w:t xml:space="preserve"> costly litigation.  </w:t>
      </w:r>
      <w:r w:rsidR="00CD0792">
        <w:t>Thus</w:t>
      </w:r>
      <w:r w:rsidRPr="00481513">
        <w:t>, the</w:t>
      </w:r>
      <w:r w:rsidR="00CD0792">
        <w:t xml:space="preserve"> Commission should strive to adopt</w:t>
      </w:r>
      <w:r w:rsidR="00C611A5" w:rsidRPr="00481513">
        <w:t xml:space="preserve"> </w:t>
      </w:r>
      <w:r w:rsidR="001D7645" w:rsidRPr="00481513">
        <w:t>simple methodologies</w:t>
      </w:r>
      <w:r w:rsidR="00CD0792">
        <w:t xml:space="preserve"> that generally apply to all three utilities and are consistent with other resource planning and decisions</w:t>
      </w:r>
      <w:r w:rsidR="001D7645" w:rsidRPr="00481513">
        <w:t xml:space="preserve">. </w:t>
      </w:r>
    </w:p>
    <w:p w14:paraId="5344363D" w14:textId="4C5CB20F" w:rsidR="008C6103" w:rsidRPr="008C6103" w:rsidRDefault="00C611A5" w:rsidP="002C6086">
      <w:pPr>
        <w:pStyle w:val="ListParagraph"/>
        <w:numPr>
          <w:ilvl w:val="1"/>
          <w:numId w:val="33"/>
        </w:numPr>
        <w:spacing w:line="480" w:lineRule="auto"/>
        <w:ind w:left="0" w:hanging="540"/>
        <w:rPr>
          <w:rFonts w:eastAsia="MS Mincho"/>
          <w:b/>
          <w:bCs/>
          <w:szCs w:val="24"/>
          <w:lang w:eastAsia="ja-JP"/>
        </w:rPr>
      </w:pPr>
      <w:r w:rsidRPr="00481513">
        <w:t xml:space="preserve">           For capacity payments,</w:t>
      </w:r>
      <w:r w:rsidR="002C6086">
        <w:t xml:space="preserve"> </w:t>
      </w:r>
      <w:r w:rsidR="002C6086" w:rsidRPr="00481513">
        <w:t>the</w:t>
      </w:r>
      <w:r w:rsidR="002C6086">
        <w:t xml:space="preserve"> Commission</w:t>
      </w:r>
      <w:r w:rsidR="00893E81">
        <w:t xml:space="preserve"> should</w:t>
      </w:r>
      <w:r w:rsidR="00776203">
        <w:t xml:space="preserve"> </w:t>
      </w:r>
      <w:r w:rsidR="002D6FC8">
        <w:t>require</w:t>
      </w:r>
      <w:r w:rsidR="002C6086">
        <w:t xml:space="preserve"> the</w:t>
      </w:r>
      <w:r w:rsidR="002C6086" w:rsidRPr="00481513">
        <w:t xml:space="preserve"> utilities </w:t>
      </w:r>
      <w:r w:rsidR="002C6086">
        <w:t>to use</w:t>
      </w:r>
      <w:r w:rsidR="002C6086" w:rsidRPr="00481513">
        <w:t xml:space="preserve"> </w:t>
      </w:r>
      <w:r w:rsidR="00E11A58">
        <w:t xml:space="preserve">the highest cost </w:t>
      </w:r>
      <w:r w:rsidR="00703E96">
        <w:t xml:space="preserve">incremental </w:t>
      </w:r>
      <w:r w:rsidR="00E11A58">
        <w:t>capacity resource</w:t>
      </w:r>
      <w:r w:rsidR="006E3B52">
        <w:t>s</w:t>
      </w:r>
      <w:r w:rsidR="00C702C8">
        <w:t xml:space="preserve"> </w:t>
      </w:r>
      <w:r w:rsidR="002D6FC8">
        <w:t xml:space="preserve">in their IRP or actual resource acquisition plans.  </w:t>
      </w:r>
      <w:r w:rsidR="00776203">
        <w:t xml:space="preserve">The highest cost capacity resources </w:t>
      </w:r>
      <w:r w:rsidR="00FE1489">
        <w:t>should be used</w:t>
      </w:r>
      <w:r w:rsidR="00C93446">
        <w:t xml:space="preserve"> to value capacity</w:t>
      </w:r>
      <w:r w:rsidR="00F27E45">
        <w:t xml:space="preserve"> because those</w:t>
      </w:r>
      <w:r w:rsidR="00FE1489">
        <w:t xml:space="preserve"> i</w:t>
      </w:r>
      <w:r w:rsidR="00F27E45">
        <w:t>s the most likely to be avoided</w:t>
      </w:r>
      <w:r w:rsidR="001B1B49">
        <w:t xml:space="preserve">. </w:t>
      </w:r>
      <w:r w:rsidR="00215911">
        <w:t xml:space="preserve"> For example,</w:t>
      </w:r>
      <w:r w:rsidR="001B1B49">
        <w:t xml:space="preserve"> </w:t>
      </w:r>
      <w:r w:rsidR="002C6086" w:rsidRPr="00481513">
        <w:t xml:space="preserve">PSE’s previous approach of basing </w:t>
      </w:r>
      <w:r w:rsidR="00215911">
        <w:t xml:space="preserve">the short-run </w:t>
      </w:r>
      <w:r w:rsidR="002C6086" w:rsidRPr="00481513">
        <w:t xml:space="preserve">capacity value on </w:t>
      </w:r>
      <w:r w:rsidR="008C6103">
        <w:t>demand response</w:t>
      </w:r>
      <w:r w:rsidR="002C6086" w:rsidRPr="00481513">
        <w:t xml:space="preserve"> measures </w:t>
      </w:r>
      <w:r w:rsidR="001B1B49">
        <w:t xml:space="preserve">was an appropriate methodology </w:t>
      </w:r>
      <w:r w:rsidR="00A84367">
        <w:t>because it has been proven to set</w:t>
      </w:r>
      <w:r w:rsidR="00E40CF7">
        <w:t xml:space="preserve"> </w:t>
      </w:r>
      <w:r w:rsidR="002C6086">
        <w:t>reasonable avoided cost rates</w:t>
      </w:r>
      <w:r w:rsidR="00776203">
        <w:t>,</w:t>
      </w:r>
      <w:r w:rsidR="001B1B49">
        <w:t xml:space="preserve"> deferred actual capacity investments, and</w:t>
      </w:r>
      <w:r w:rsidR="00A84367">
        <w:t xml:space="preserve"> treat</w:t>
      </w:r>
      <w:r w:rsidR="001B1B49">
        <w:t>ed</w:t>
      </w:r>
      <w:r w:rsidR="00A84367">
        <w:t xml:space="preserve"> conservation</w:t>
      </w:r>
      <w:r w:rsidR="00215911">
        <w:t>, demand side management</w:t>
      </w:r>
      <w:r w:rsidR="00A84367">
        <w:t xml:space="preserve"> and </w:t>
      </w:r>
      <w:r w:rsidR="001B1B49">
        <w:t xml:space="preserve">QFs equally.  </w:t>
      </w:r>
    </w:p>
    <w:p w14:paraId="724D1BED" w14:textId="04FCBAC9" w:rsidR="002C6086" w:rsidRPr="008C6103" w:rsidRDefault="008C6103" w:rsidP="008A1709">
      <w:pPr>
        <w:pStyle w:val="ListParagraph"/>
        <w:numPr>
          <w:ilvl w:val="1"/>
          <w:numId w:val="33"/>
        </w:numPr>
        <w:spacing w:line="480" w:lineRule="auto"/>
        <w:ind w:left="0" w:hanging="540"/>
        <w:rPr>
          <w:rFonts w:eastAsia="MS Mincho"/>
          <w:b/>
          <w:bCs/>
          <w:szCs w:val="24"/>
          <w:lang w:eastAsia="ja-JP"/>
        </w:rPr>
      </w:pPr>
      <w:r>
        <w:tab/>
      </w:r>
      <w:r w:rsidR="001B1B49">
        <w:t>If the Commission does not use the capacity</w:t>
      </w:r>
      <w:r>
        <w:t xml:space="preserve"> value of demand response</w:t>
      </w:r>
      <w:r w:rsidR="002C6086" w:rsidRPr="00481513">
        <w:t xml:space="preserve">, </w:t>
      </w:r>
      <w:r w:rsidR="001B1B49">
        <w:t xml:space="preserve">then </w:t>
      </w:r>
      <w:r w:rsidR="002C6086">
        <w:t xml:space="preserve">the </w:t>
      </w:r>
      <w:r w:rsidR="00D66F3A">
        <w:t>Commission should</w:t>
      </w:r>
      <w:r w:rsidR="002C6086" w:rsidRPr="00481513">
        <w:t xml:space="preserve"> maintain the status quo by allowing </w:t>
      </w:r>
      <w:r w:rsidR="002C6086">
        <w:t xml:space="preserve">the </w:t>
      </w:r>
      <w:r w:rsidR="002C6086" w:rsidRPr="00481513">
        <w:t>utilities to base capacity value on th</w:t>
      </w:r>
      <w:r w:rsidR="001B1B49">
        <w:t>e next peaking resource</w:t>
      </w:r>
      <w:r w:rsidR="002C6086" w:rsidRPr="00481513">
        <w:t xml:space="preserve"> identified in the utilities’ IRP.  </w:t>
      </w:r>
      <w:r>
        <w:rPr>
          <w:rFonts w:eastAsia="MS Mincho"/>
          <w:bCs/>
          <w:szCs w:val="24"/>
          <w:lang w:eastAsia="ja-JP"/>
        </w:rPr>
        <w:t>The Commission, however, should not use</w:t>
      </w:r>
      <w:r w:rsidR="002C6086">
        <w:t xml:space="preserve"> PacifiCorp’s practice of dividing </w:t>
      </w:r>
      <w:r w:rsidR="0036002C">
        <w:t xml:space="preserve">its short-run </w:t>
      </w:r>
      <w:r w:rsidR="002C6086">
        <w:t xml:space="preserve">capital costs by </w:t>
      </w:r>
      <w:r w:rsidR="002C6086">
        <w:lastRenderedPageBreak/>
        <w:t xml:space="preserve">four to account for </w:t>
      </w:r>
      <w:r>
        <w:t xml:space="preserve">only </w:t>
      </w:r>
      <w:r w:rsidR="002C6086">
        <w:t xml:space="preserve">its peak </w:t>
      </w:r>
      <w:r w:rsidR="007A7821">
        <w:t>season</w:t>
      </w:r>
      <w:r w:rsidR="002C6086">
        <w:t>.  PacifiCorp, like the other utilities, should make</w:t>
      </w:r>
      <w:r w:rsidR="008A1709">
        <w:t xml:space="preserve"> full</w:t>
      </w:r>
      <w:r w:rsidR="002C6086">
        <w:t xml:space="preserve"> capacity payments </w:t>
      </w:r>
      <w:r w:rsidR="00CB4B94">
        <w:t xml:space="preserve">to QFs </w:t>
      </w:r>
      <w:r w:rsidR="002C6086">
        <w:t xml:space="preserve">for the entire term of their PPAs with QFs.  </w:t>
      </w:r>
      <w:r w:rsidR="00F27E45">
        <w:t>After all, if PacifiCorp built the peaker its ratepayers would be paying rates based on rate base, and that peaker would be in the rate base all year long.</w:t>
      </w:r>
    </w:p>
    <w:p w14:paraId="64BA3857" w14:textId="6E966252" w:rsidR="007F587F" w:rsidRPr="00726E13" w:rsidRDefault="002C6086" w:rsidP="007F587F">
      <w:pPr>
        <w:pStyle w:val="ListParagraph"/>
        <w:numPr>
          <w:ilvl w:val="1"/>
          <w:numId w:val="33"/>
        </w:numPr>
        <w:spacing w:line="480" w:lineRule="auto"/>
        <w:ind w:left="0" w:hanging="540"/>
        <w:rPr>
          <w:rFonts w:eastAsia="MS Mincho"/>
          <w:b/>
          <w:bCs/>
          <w:szCs w:val="24"/>
          <w:lang w:eastAsia="ja-JP"/>
        </w:rPr>
      </w:pPr>
      <w:r w:rsidRPr="00481513">
        <w:t xml:space="preserve">           </w:t>
      </w:r>
      <w:r>
        <w:t>Finally, m</w:t>
      </w:r>
      <w:r w:rsidR="00C611A5" w:rsidRPr="00481513">
        <w:t>arket approaches</w:t>
      </w:r>
      <w:r w:rsidR="003A67DA">
        <w:t xml:space="preserve"> to valuing capacity</w:t>
      </w:r>
      <w:r w:rsidR="00C611A5" w:rsidRPr="00481513">
        <w:t>, which have recently been suggested by both PacifiCorp and PSE</w:t>
      </w:r>
      <w:r w:rsidR="001D7645" w:rsidRPr="00481513">
        <w:t>,</w:t>
      </w:r>
      <w:r w:rsidR="00C611A5" w:rsidRPr="00481513">
        <w:t xml:space="preserve"> are not appropriate</w:t>
      </w:r>
      <w:r w:rsidR="00DA71AC">
        <w:t xml:space="preserve"> and should be rejected outright</w:t>
      </w:r>
      <w:r w:rsidR="00726E13">
        <w:t xml:space="preserve"> because they essentially provide zero capacity value to the QF</w:t>
      </w:r>
      <w:r w:rsidR="00C611A5" w:rsidRPr="00481513">
        <w:t>.</w:t>
      </w:r>
      <w:r w:rsidR="00726E13" w:rsidRPr="00896E82">
        <w:rPr>
          <w:rStyle w:val="FootnoteReference"/>
          <w:rFonts w:eastAsia="MS Mincho"/>
          <w:szCs w:val="24"/>
          <w:lang w:eastAsia="ja-JP"/>
        </w:rPr>
        <w:footnoteReference w:id="14"/>
      </w:r>
      <w:r w:rsidR="00C611A5" w:rsidRPr="00481513">
        <w:t xml:space="preserve">  The Commission </w:t>
      </w:r>
      <w:r w:rsidR="001D7645" w:rsidRPr="00481513">
        <w:t xml:space="preserve">has </w:t>
      </w:r>
      <w:r w:rsidR="008C6103">
        <w:t>rejected</w:t>
      </w:r>
      <w:r w:rsidR="001D7645" w:rsidRPr="00481513">
        <w:t xml:space="preserve"> these proposals in the past and should continue to do so</w:t>
      </w:r>
      <w:r w:rsidR="00DA71AC">
        <w:t>,</w:t>
      </w:r>
      <w:r w:rsidR="001D7645" w:rsidRPr="00481513">
        <w:t xml:space="preserve"> because </w:t>
      </w:r>
      <w:r w:rsidR="00DA71AC">
        <w:t>the</w:t>
      </w:r>
      <w:r w:rsidR="001D7645" w:rsidRPr="00481513">
        <w:t xml:space="preserve"> </w:t>
      </w:r>
      <w:r w:rsidR="0082382B">
        <w:t>utilities</w:t>
      </w:r>
      <w:r w:rsidR="00AD10F3">
        <w:t>’</w:t>
      </w:r>
      <w:r w:rsidR="0082382B">
        <w:t xml:space="preserve"> version </w:t>
      </w:r>
      <w:r w:rsidR="00DA71AC">
        <w:t>of a market avoided cost capacity rate</w:t>
      </w:r>
      <w:r w:rsidR="008C6103">
        <w:t xml:space="preserve"> essentially</w:t>
      </w:r>
      <w:r w:rsidR="0082382B">
        <w:t xml:space="preserve"> pays zero or near zero for </w:t>
      </w:r>
      <w:r w:rsidR="00F27E45">
        <w:t xml:space="preserve">valuable </w:t>
      </w:r>
      <w:r w:rsidR="0082382B">
        <w:t>capacity</w:t>
      </w:r>
      <w:r w:rsidR="00C611A5" w:rsidRPr="00481513">
        <w:t>.</w:t>
      </w:r>
      <w:r w:rsidR="00ED3FA9">
        <w:t xml:space="preserve">  The Commission has specifically asked for comments regarding various proposed methods to calculate capacity, and NIPPC and REC’s comments address each in turn below.  </w:t>
      </w:r>
      <w:r w:rsidR="00C611A5" w:rsidRPr="00481513">
        <w:t xml:space="preserve">  </w:t>
      </w:r>
      <w:r w:rsidR="007F587F" w:rsidRPr="00481513">
        <w:t xml:space="preserve"> </w:t>
      </w:r>
    </w:p>
    <w:p w14:paraId="57104436" w14:textId="5B353B9C" w:rsidR="007F587F" w:rsidRPr="00481513" w:rsidRDefault="007F587F" w:rsidP="007F587F">
      <w:pPr>
        <w:ind w:left="720" w:firstLine="720"/>
        <w:rPr>
          <w:rFonts w:eastAsia="MS Mincho"/>
          <w:b/>
          <w:szCs w:val="24"/>
          <w:lang w:eastAsia="ja-JP"/>
        </w:rPr>
      </w:pPr>
      <w:r w:rsidRPr="00481513">
        <w:rPr>
          <w:rFonts w:eastAsia="MS Mincho"/>
          <w:b/>
          <w:szCs w:val="24"/>
          <w:lang w:eastAsia="ja-JP"/>
        </w:rPr>
        <w:t xml:space="preserve">i. </w:t>
      </w:r>
      <w:r w:rsidRPr="00481513">
        <w:rPr>
          <w:rFonts w:eastAsia="MS Mincho"/>
          <w:b/>
          <w:szCs w:val="24"/>
          <w:lang w:eastAsia="ja-JP"/>
        </w:rPr>
        <w:tab/>
        <w:t xml:space="preserve">The Proxy Unit </w:t>
      </w:r>
    </w:p>
    <w:p w14:paraId="2615A6F5" w14:textId="77777777" w:rsidR="007F587F" w:rsidRPr="00481513" w:rsidRDefault="007F587F" w:rsidP="007F587F">
      <w:pPr>
        <w:rPr>
          <w:rFonts w:eastAsia="MS Mincho"/>
          <w:b/>
          <w:szCs w:val="24"/>
          <w:lang w:eastAsia="ja-JP"/>
        </w:rPr>
      </w:pPr>
    </w:p>
    <w:p w14:paraId="76E1A11B" w14:textId="1A7AED58" w:rsidR="000A31B0" w:rsidRPr="000A31B0" w:rsidRDefault="007F587F" w:rsidP="007F587F">
      <w:pPr>
        <w:pStyle w:val="ListParagraph"/>
        <w:numPr>
          <w:ilvl w:val="1"/>
          <w:numId w:val="33"/>
        </w:numPr>
        <w:spacing w:line="480" w:lineRule="auto"/>
        <w:ind w:left="0" w:hanging="540"/>
        <w:rPr>
          <w:rFonts w:eastAsia="MS Mincho"/>
          <w:b/>
          <w:bCs/>
          <w:szCs w:val="24"/>
          <w:lang w:eastAsia="ja-JP"/>
        </w:rPr>
      </w:pPr>
      <w:r w:rsidRPr="00481513">
        <w:t xml:space="preserve">            </w:t>
      </w:r>
      <w:r w:rsidRPr="00481513">
        <w:rPr>
          <w:rFonts w:eastAsia="MS Mincho"/>
          <w:szCs w:val="24"/>
          <w:lang w:eastAsia="ja-JP"/>
        </w:rPr>
        <w:t xml:space="preserve">The Proxy Unit Methodology is </w:t>
      </w:r>
      <w:r w:rsidR="00DA71AC">
        <w:rPr>
          <w:rFonts w:eastAsia="MS Mincho"/>
          <w:szCs w:val="24"/>
          <w:lang w:eastAsia="ja-JP"/>
        </w:rPr>
        <w:t xml:space="preserve">a </w:t>
      </w:r>
      <w:r w:rsidRPr="00481513">
        <w:rPr>
          <w:rFonts w:eastAsia="MS Mincho"/>
          <w:szCs w:val="24"/>
          <w:lang w:eastAsia="ja-JP"/>
        </w:rPr>
        <w:t>simple and transparent</w:t>
      </w:r>
      <w:r w:rsidR="00DA71AC">
        <w:rPr>
          <w:rFonts w:eastAsia="MS Mincho"/>
          <w:szCs w:val="24"/>
          <w:lang w:eastAsia="ja-JP"/>
        </w:rPr>
        <w:t xml:space="preserve"> method</w:t>
      </w:r>
      <w:r w:rsidRPr="00481513">
        <w:rPr>
          <w:rFonts w:eastAsia="MS Mincho"/>
          <w:szCs w:val="24"/>
          <w:lang w:eastAsia="ja-JP"/>
        </w:rPr>
        <w:t xml:space="preserve">, but heavily dependent upon selecting an appropriate proxy.  </w:t>
      </w:r>
      <w:r w:rsidR="00481C12">
        <w:rPr>
          <w:rFonts w:eastAsia="MS Mincho"/>
          <w:szCs w:val="24"/>
          <w:lang w:eastAsia="ja-JP"/>
        </w:rPr>
        <w:t>This</w:t>
      </w:r>
      <w:r w:rsidR="00DA71AC">
        <w:rPr>
          <w:rFonts w:eastAsia="MS Mincho"/>
          <w:szCs w:val="24"/>
          <w:lang w:eastAsia="ja-JP"/>
        </w:rPr>
        <w:t xml:space="preserve"> method</w:t>
      </w:r>
      <w:r w:rsidRPr="00481513">
        <w:rPr>
          <w:rFonts w:eastAsia="MS Mincho"/>
          <w:szCs w:val="24"/>
          <w:lang w:eastAsia="ja-JP"/>
        </w:rPr>
        <w:t xml:space="preserve"> use</w:t>
      </w:r>
      <w:r w:rsidR="00F8073F">
        <w:rPr>
          <w:rFonts w:eastAsia="MS Mincho"/>
          <w:szCs w:val="24"/>
          <w:lang w:eastAsia="ja-JP"/>
        </w:rPr>
        <w:t>s the next planned generation—o</w:t>
      </w:r>
      <w:r w:rsidRPr="00481513">
        <w:rPr>
          <w:rFonts w:eastAsia="MS Mincho"/>
          <w:szCs w:val="24"/>
          <w:lang w:eastAsia="ja-JP"/>
        </w:rPr>
        <w:t xml:space="preserve">ften a gas powered </w:t>
      </w:r>
      <w:r w:rsidR="00CB0732" w:rsidRPr="00481513">
        <w:rPr>
          <w:rFonts w:eastAsia="MS Mincho"/>
          <w:szCs w:val="24"/>
          <w:lang w:eastAsia="ja-JP"/>
        </w:rPr>
        <w:t>combined cycle combustion turbine (“CCCT”)</w:t>
      </w:r>
      <w:r w:rsidRPr="00481513">
        <w:rPr>
          <w:rFonts w:eastAsia="MS Mincho"/>
          <w:szCs w:val="24"/>
          <w:lang w:eastAsia="ja-JP"/>
        </w:rPr>
        <w:t xml:space="preserve">, but could also be the </w:t>
      </w:r>
      <w:r w:rsidR="00481C12">
        <w:rPr>
          <w:rFonts w:eastAsia="MS Mincho"/>
          <w:szCs w:val="24"/>
          <w:lang w:eastAsia="ja-JP"/>
        </w:rPr>
        <w:t xml:space="preserve">next planned renewable resource.  </w:t>
      </w:r>
      <w:r w:rsidRPr="00481513">
        <w:rPr>
          <w:rFonts w:eastAsia="MS Mincho"/>
          <w:szCs w:val="24"/>
          <w:lang w:eastAsia="ja-JP"/>
        </w:rPr>
        <w:t>The proxy resource is identified in the utility’s</w:t>
      </w:r>
      <w:r w:rsidR="008A1709">
        <w:rPr>
          <w:rFonts w:eastAsia="MS Mincho"/>
          <w:szCs w:val="24"/>
          <w:lang w:eastAsia="ja-JP"/>
        </w:rPr>
        <w:t xml:space="preserve"> most recent</w:t>
      </w:r>
      <w:r w:rsidRPr="00481513">
        <w:rPr>
          <w:rFonts w:eastAsia="MS Mincho"/>
          <w:szCs w:val="24"/>
          <w:lang w:eastAsia="ja-JP"/>
        </w:rPr>
        <w:t xml:space="preserve"> IRP</w:t>
      </w:r>
      <w:r w:rsidR="00481C12">
        <w:rPr>
          <w:rFonts w:eastAsia="MS Mincho"/>
          <w:szCs w:val="24"/>
          <w:lang w:eastAsia="ja-JP"/>
        </w:rPr>
        <w:t xml:space="preserve"> or actual operational plans</w:t>
      </w:r>
      <w:r w:rsidRPr="00481513">
        <w:rPr>
          <w:rFonts w:eastAsia="MS Mincho"/>
          <w:szCs w:val="24"/>
          <w:lang w:eastAsia="ja-JP"/>
        </w:rPr>
        <w:t xml:space="preserve">.  This is a simple method because </w:t>
      </w:r>
      <w:r w:rsidRPr="00481513">
        <w:rPr>
          <w:rFonts w:eastAsia="MS Mincho"/>
          <w:szCs w:val="24"/>
          <w:lang w:eastAsia="ja-JP"/>
        </w:rPr>
        <w:lastRenderedPageBreak/>
        <w:t xml:space="preserve">the avoided costs are simply the fixed and variable costs of the deferred plant.  In the case of a fueled plant, avoided fuel costs are derived from a gas forecast and a plant heat rate. </w:t>
      </w:r>
    </w:p>
    <w:p w14:paraId="6AD33DC5" w14:textId="33E66589" w:rsidR="00A8619F" w:rsidRPr="00481513" w:rsidRDefault="007F587F" w:rsidP="007F587F">
      <w:pPr>
        <w:pStyle w:val="ListParagraph"/>
        <w:numPr>
          <w:ilvl w:val="1"/>
          <w:numId w:val="33"/>
        </w:numPr>
        <w:spacing w:line="480" w:lineRule="auto"/>
        <w:ind w:left="0" w:hanging="540"/>
        <w:rPr>
          <w:rFonts w:eastAsia="MS Mincho"/>
          <w:b/>
          <w:bCs/>
          <w:szCs w:val="24"/>
          <w:lang w:eastAsia="ja-JP"/>
        </w:rPr>
      </w:pPr>
      <w:r w:rsidRPr="00481513">
        <w:t xml:space="preserve">            </w:t>
      </w:r>
      <w:r w:rsidRPr="00481513">
        <w:rPr>
          <w:rFonts w:eastAsia="MS Mincho"/>
          <w:szCs w:val="24"/>
          <w:lang w:eastAsia="ja-JP"/>
        </w:rPr>
        <w:t xml:space="preserve">Although the Proxy </w:t>
      </w:r>
      <w:r w:rsidR="000A31B0">
        <w:rPr>
          <w:rFonts w:eastAsia="MS Mincho"/>
          <w:szCs w:val="24"/>
          <w:lang w:eastAsia="ja-JP"/>
        </w:rPr>
        <w:t>is</w:t>
      </w:r>
      <w:r w:rsidR="00A8619F" w:rsidRPr="00481513">
        <w:rPr>
          <w:rFonts w:eastAsia="MS Mincho"/>
          <w:szCs w:val="24"/>
          <w:lang w:eastAsia="ja-JP"/>
        </w:rPr>
        <w:t xml:space="preserve"> a workable</w:t>
      </w:r>
      <w:r w:rsidRPr="00481513">
        <w:rPr>
          <w:rFonts w:eastAsia="MS Mincho"/>
          <w:szCs w:val="24"/>
          <w:lang w:eastAsia="ja-JP"/>
        </w:rPr>
        <w:t xml:space="preserve"> methodology for the Commission, diligent review of the utilities’ IRP and avoided cost filings may be required to correctly implement this method.  </w:t>
      </w:r>
      <w:r w:rsidR="000A31B0">
        <w:rPr>
          <w:rFonts w:eastAsia="MS Mincho"/>
          <w:szCs w:val="24"/>
          <w:lang w:eastAsia="ja-JP"/>
        </w:rPr>
        <w:t xml:space="preserve">For example, </w:t>
      </w:r>
      <w:r w:rsidR="00E10BEB" w:rsidRPr="00481513">
        <w:rPr>
          <w:rFonts w:eastAsia="MS Mincho"/>
          <w:szCs w:val="24"/>
          <w:lang w:eastAsia="ja-JP"/>
        </w:rPr>
        <w:t xml:space="preserve">PacifiCorp uses this method </w:t>
      </w:r>
      <w:r w:rsidR="00E10BEB">
        <w:rPr>
          <w:rFonts w:eastAsia="MS Mincho"/>
          <w:szCs w:val="24"/>
          <w:lang w:eastAsia="ja-JP"/>
        </w:rPr>
        <w:t>for the time period in which it has identified a major thermal resource need</w:t>
      </w:r>
      <w:r w:rsidR="0082382B">
        <w:rPr>
          <w:rFonts w:eastAsia="MS Mincho"/>
          <w:szCs w:val="24"/>
          <w:lang w:eastAsia="ja-JP"/>
        </w:rPr>
        <w:t xml:space="preserve"> (which the Commission calls the “long-run” period)</w:t>
      </w:r>
      <w:r w:rsidR="00E10BEB" w:rsidRPr="00481513">
        <w:rPr>
          <w:rFonts w:eastAsia="MS Mincho"/>
          <w:szCs w:val="24"/>
          <w:lang w:eastAsia="ja-JP"/>
        </w:rPr>
        <w:t xml:space="preserve">, using a CCCT from its IRP as a proxy to estimate the avoided energy and capacity costs from QFs. </w:t>
      </w:r>
      <w:r w:rsidR="00E10BEB">
        <w:rPr>
          <w:rFonts w:eastAsia="MS Mincho"/>
          <w:szCs w:val="24"/>
          <w:lang w:eastAsia="ja-JP"/>
        </w:rPr>
        <w:t xml:space="preserve"> </w:t>
      </w:r>
      <w:r w:rsidR="000A31B0">
        <w:rPr>
          <w:rFonts w:eastAsia="MS Mincho"/>
          <w:szCs w:val="24"/>
          <w:lang w:eastAsia="ja-JP"/>
        </w:rPr>
        <w:t>PacifiCorp</w:t>
      </w:r>
      <w:r w:rsidR="00E10BEB">
        <w:rPr>
          <w:rFonts w:eastAsia="MS Mincho"/>
          <w:szCs w:val="24"/>
          <w:lang w:eastAsia="ja-JP"/>
        </w:rPr>
        <w:t xml:space="preserve">, however, combined this approach with attempting to pay </w:t>
      </w:r>
      <w:r w:rsidR="0045673A">
        <w:rPr>
          <w:rFonts w:eastAsia="MS Mincho"/>
          <w:szCs w:val="24"/>
          <w:lang w:eastAsia="ja-JP"/>
        </w:rPr>
        <w:t xml:space="preserve">only market prices for its </w:t>
      </w:r>
      <w:r w:rsidR="000A31B0">
        <w:rPr>
          <w:rFonts w:eastAsia="MS Mincho"/>
          <w:szCs w:val="24"/>
          <w:lang w:eastAsia="ja-JP"/>
        </w:rPr>
        <w:t>sh</w:t>
      </w:r>
      <w:r w:rsidR="0045673A">
        <w:rPr>
          <w:rFonts w:eastAsia="MS Mincho"/>
          <w:szCs w:val="24"/>
          <w:lang w:eastAsia="ja-JP"/>
        </w:rPr>
        <w:t>ort-run</w:t>
      </w:r>
      <w:r w:rsidR="000A31B0">
        <w:rPr>
          <w:rFonts w:eastAsia="MS Mincho"/>
          <w:szCs w:val="24"/>
          <w:lang w:eastAsia="ja-JP"/>
        </w:rPr>
        <w:t xml:space="preserve"> capacity costs</w:t>
      </w:r>
      <w:r w:rsidR="0082382B">
        <w:rPr>
          <w:rFonts w:eastAsia="MS Mincho"/>
          <w:szCs w:val="24"/>
          <w:lang w:eastAsia="ja-JP"/>
        </w:rPr>
        <w:t xml:space="preserve">.  Given that PacifiCorp </w:t>
      </w:r>
      <w:r w:rsidR="00F0004F">
        <w:rPr>
          <w:rFonts w:eastAsia="MS Mincho"/>
          <w:szCs w:val="24"/>
          <w:lang w:eastAsia="ja-JP"/>
        </w:rPr>
        <w:t>claims that it is not planning on a new baseload project until 2029,</w:t>
      </w:r>
      <w:r w:rsidR="00F0004F">
        <w:rPr>
          <w:rStyle w:val="FootnoteReference"/>
          <w:rFonts w:eastAsia="MS Mincho"/>
          <w:szCs w:val="24"/>
          <w:lang w:eastAsia="ja-JP"/>
        </w:rPr>
        <w:footnoteReference w:id="15"/>
      </w:r>
      <w:r w:rsidR="00F0004F">
        <w:rPr>
          <w:rFonts w:eastAsia="MS Mincho"/>
          <w:szCs w:val="24"/>
          <w:lang w:eastAsia="ja-JP"/>
        </w:rPr>
        <w:t xml:space="preserve"> this would result in eliminating capacity payments for the first twelve years of a PPA (assuming that the QF was able to overcome PacifiCorp’s refusal to enter into Washington contracts for more than five years). </w:t>
      </w:r>
    </w:p>
    <w:p w14:paraId="1B4222F1" w14:textId="243CBC9F" w:rsidR="007F587F" w:rsidRPr="00481513" w:rsidRDefault="007F587F" w:rsidP="007F587F">
      <w:pPr>
        <w:ind w:left="720" w:firstLine="720"/>
        <w:rPr>
          <w:rFonts w:eastAsia="MS Mincho"/>
          <w:b/>
          <w:szCs w:val="24"/>
          <w:lang w:eastAsia="ja-JP"/>
        </w:rPr>
      </w:pPr>
      <w:r w:rsidRPr="00481513">
        <w:rPr>
          <w:rFonts w:eastAsia="MS Mincho"/>
          <w:b/>
          <w:szCs w:val="24"/>
          <w:lang w:eastAsia="ja-JP"/>
        </w:rPr>
        <w:t xml:space="preserve">ii. </w:t>
      </w:r>
      <w:r w:rsidRPr="00481513">
        <w:rPr>
          <w:rFonts w:eastAsia="MS Mincho"/>
          <w:b/>
          <w:szCs w:val="24"/>
          <w:lang w:eastAsia="ja-JP"/>
        </w:rPr>
        <w:tab/>
        <w:t>Peaker Method</w:t>
      </w:r>
    </w:p>
    <w:p w14:paraId="53434999" w14:textId="77777777" w:rsidR="007F587F" w:rsidRPr="00481513" w:rsidRDefault="007F587F" w:rsidP="007F587F">
      <w:pPr>
        <w:rPr>
          <w:rFonts w:eastAsia="MS Mincho"/>
          <w:b/>
          <w:szCs w:val="24"/>
          <w:lang w:eastAsia="ja-JP"/>
        </w:rPr>
      </w:pPr>
    </w:p>
    <w:p w14:paraId="57C76257" w14:textId="6CD6A7DA" w:rsidR="00463E42" w:rsidRPr="00EE12D9" w:rsidRDefault="007F587F" w:rsidP="007F587F">
      <w:pPr>
        <w:pStyle w:val="ListParagraph"/>
        <w:numPr>
          <w:ilvl w:val="1"/>
          <w:numId w:val="33"/>
        </w:numPr>
        <w:spacing w:line="480" w:lineRule="auto"/>
        <w:ind w:left="0" w:hanging="540"/>
        <w:rPr>
          <w:rFonts w:eastAsia="MS Mincho"/>
          <w:b/>
          <w:bCs/>
          <w:szCs w:val="24"/>
          <w:lang w:eastAsia="ja-JP"/>
        </w:rPr>
      </w:pPr>
      <w:r w:rsidRPr="00481513">
        <w:t xml:space="preserve">            </w:t>
      </w:r>
      <w:r w:rsidRPr="00481513">
        <w:rPr>
          <w:rFonts w:eastAsia="MS Mincho"/>
          <w:szCs w:val="24"/>
          <w:lang w:eastAsia="ja-JP"/>
        </w:rPr>
        <w:t>The Peaker Method recognizes that capacity provided by QFs can defer a peaking unit (often a SCCT) instead of a base load plant (most often a CCCT)</w:t>
      </w:r>
      <w:r w:rsidR="008A1709">
        <w:rPr>
          <w:rFonts w:eastAsia="MS Mincho"/>
          <w:szCs w:val="24"/>
          <w:lang w:eastAsia="ja-JP"/>
        </w:rPr>
        <w:t>, which is most likely the next planned resource acquisition</w:t>
      </w:r>
      <w:r w:rsidRPr="00481513">
        <w:rPr>
          <w:rFonts w:eastAsia="MS Mincho"/>
          <w:szCs w:val="24"/>
          <w:lang w:eastAsia="ja-JP"/>
        </w:rPr>
        <w:t xml:space="preserve">.  The avoided capacity costs are therefore costs of a SCCT while the avoided energy costs are derived from other production model simulations. </w:t>
      </w:r>
    </w:p>
    <w:p w14:paraId="2EE09064" w14:textId="1D7A8648" w:rsidR="007F587F" w:rsidRPr="00481513" w:rsidRDefault="007F587F" w:rsidP="00DA71AC">
      <w:pPr>
        <w:pStyle w:val="ListParagraph"/>
        <w:spacing w:line="480" w:lineRule="auto"/>
        <w:ind w:firstLine="720"/>
        <w:rPr>
          <w:rFonts w:eastAsia="MS Mincho"/>
          <w:b/>
          <w:szCs w:val="24"/>
          <w:lang w:eastAsia="ja-JP"/>
        </w:rPr>
      </w:pPr>
      <w:r w:rsidRPr="00481513">
        <w:rPr>
          <w:rFonts w:eastAsia="MS Mincho"/>
          <w:b/>
          <w:szCs w:val="24"/>
          <w:lang w:eastAsia="ja-JP"/>
        </w:rPr>
        <w:t xml:space="preserve">iii. </w:t>
      </w:r>
      <w:r w:rsidRPr="00481513">
        <w:rPr>
          <w:rFonts w:eastAsia="MS Mincho"/>
          <w:b/>
          <w:szCs w:val="24"/>
          <w:lang w:eastAsia="ja-JP"/>
        </w:rPr>
        <w:tab/>
        <w:t xml:space="preserve">Difference in Revenue Requirement </w:t>
      </w:r>
    </w:p>
    <w:p w14:paraId="38CDB97F" w14:textId="59DB8014" w:rsidR="002E4610" w:rsidRDefault="007F587F" w:rsidP="007F587F">
      <w:pPr>
        <w:pStyle w:val="ListParagraph"/>
        <w:numPr>
          <w:ilvl w:val="1"/>
          <w:numId w:val="33"/>
        </w:numPr>
        <w:spacing w:line="480" w:lineRule="auto"/>
        <w:ind w:left="0" w:hanging="540"/>
        <w:rPr>
          <w:rFonts w:eastAsia="MS Mincho"/>
          <w:b/>
          <w:bCs/>
          <w:szCs w:val="24"/>
          <w:lang w:eastAsia="ja-JP"/>
        </w:rPr>
      </w:pPr>
      <w:r w:rsidRPr="00481513">
        <w:rPr>
          <w:rFonts w:eastAsia="MS Mincho"/>
          <w:szCs w:val="24"/>
          <w:lang w:eastAsia="ja-JP"/>
        </w:rPr>
        <w:tab/>
        <w:t>The Difference in Revenue Requirement Methodology theoretically could produce the most accurate results, but is</w:t>
      </w:r>
      <w:r w:rsidR="00B52EAD">
        <w:rPr>
          <w:rFonts w:eastAsia="MS Mincho"/>
          <w:szCs w:val="24"/>
          <w:lang w:eastAsia="ja-JP"/>
        </w:rPr>
        <w:t xml:space="preserve"> generally</w:t>
      </w:r>
      <w:r w:rsidRPr="00481513">
        <w:rPr>
          <w:rFonts w:eastAsia="MS Mincho"/>
          <w:szCs w:val="24"/>
          <w:lang w:eastAsia="ja-JP"/>
        </w:rPr>
        <w:t xml:space="preserve"> overly complex, lacking in </w:t>
      </w:r>
      <w:r w:rsidRPr="00481513">
        <w:rPr>
          <w:rFonts w:eastAsia="MS Mincho"/>
          <w:szCs w:val="24"/>
          <w:lang w:eastAsia="ja-JP"/>
        </w:rPr>
        <w:lastRenderedPageBreak/>
        <w:t xml:space="preserve">transparency, and therefore does not present a workable solution.  This method derives the present value cost differential between a planned portfolio of resources (generally from the utility’s IRP) with and without QFs. </w:t>
      </w:r>
      <w:r w:rsidR="002E4610">
        <w:rPr>
          <w:rFonts w:eastAsia="MS Mincho"/>
          <w:b/>
          <w:bCs/>
          <w:szCs w:val="24"/>
          <w:lang w:eastAsia="ja-JP"/>
        </w:rPr>
        <w:t xml:space="preserve"> </w:t>
      </w:r>
    </w:p>
    <w:p w14:paraId="07F2CBA6" w14:textId="66AB3412" w:rsidR="00B52EAD" w:rsidRPr="00B52EAD" w:rsidRDefault="002E4610" w:rsidP="007F587F">
      <w:pPr>
        <w:pStyle w:val="ListParagraph"/>
        <w:numPr>
          <w:ilvl w:val="1"/>
          <w:numId w:val="33"/>
        </w:numPr>
        <w:spacing w:line="480" w:lineRule="auto"/>
        <w:ind w:left="0" w:hanging="540"/>
        <w:rPr>
          <w:rFonts w:eastAsia="MS Mincho"/>
          <w:b/>
          <w:bCs/>
          <w:szCs w:val="24"/>
          <w:lang w:eastAsia="ja-JP"/>
        </w:rPr>
      </w:pPr>
      <w:r>
        <w:rPr>
          <w:rFonts w:eastAsia="MS Mincho"/>
          <w:b/>
          <w:bCs/>
          <w:szCs w:val="24"/>
          <w:lang w:eastAsia="ja-JP"/>
        </w:rPr>
        <w:tab/>
      </w:r>
      <w:r w:rsidR="00B52EAD">
        <w:rPr>
          <w:rFonts w:eastAsia="MS Mincho"/>
          <w:szCs w:val="24"/>
          <w:lang w:eastAsia="ja-JP"/>
        </w:rPr>
        <w:t>The</w:t>
      </w:r>
      <w:r w:rsidR="007F587F" w:rsidRPr="002E4610">
        <w:rPr>
          <w:rFonts w:eastAsia="MS Mincho"/>
          <w:szCs w:val="24"/>
          <w:lang w:eastAsia="ja-JP"/>
        </w:rPr>
        <w:t xml:space="preserve"> Difference in Revenue Requirement Methodology </w:t>
      </w:r>
      <w:r>
        <w:rPr>
          <w:rFonts w:eastAsia="MS Mincho"/>
          <w:szCs w:val="24"/>
          <w:lang w:eastAsia="ja-JP"/>
        </w:rPr>
        <w:t>is opaque, costly,</w:t>
      </w:r>
      <w:r w:rsidR="007F587F" w:rsidRPr="002E4610">
        <w:rPr>
          <w:rFonts w:eastAsia="MS Mincho"/>
          <w:szCs w:val="24"/>
          <w:lang w:eastAsia="ja-JP"/>
        </w:rPr>
        <w:t xml:space="preserve"> requires sophisticated power cost</w:t>
      </w:r>
      <w:r w:rsidR="00F27E45">
        <w:rPr>
          <w:rFonts w:eastAsia="MS Mincho"/>
          <w:szCs w:val="24"/>
          <w:lang w:eastAsia="ja-JP"/>
        </w:rPr>
        <w:t xml:space="preserve"> and financial</w:t>
      </w:r>
      <w:r w:rsidR="007F587F" w:rsidRPr="002E4610">
        <w:rPr>
          <w:rFonts w:eastAsia="MS Mincho"/>
          <w:szCs w:val="24"/>
          <w:lang w:eastAsia="ja-JP"/>
        </w:rPr>
        <w:t xml:space="preserve"> modeling, </w:t>
      </w:r>
      <w:r w:rsidR="000D581B" w:rsidRPr="002E4610">
        <w:rPr>
          <w:rFonts w:eastAsia="MS Mincho"/>
          <w:szCs w:val="24"/>
          <w:lang w:eastAsia="ja-JP"/>
        </w:rPr>
        <w:t>and</w:t>
      </w:r>
      <w:r w:rsidR="007F587F" w:rsidRPr="002E4610">
        <w:rPr>
          <w:rFonts w:eastAsia="MS Mincho"/>
          <w:szCs w:val="24"/>
          <w:lang w:eastAsia="ja-JP"/>
        </w:rPr>
        <w:t xml:space="preserve"> can be manipulated to result in overly low price estimates.</w:t>
      </w:r>
      <w:r>
        <w:rPr>
          <w:rFonts w:eastAsia="MS Mincho"/>
          <w:szCs w:val="24"/>
          <w:lang w:eastAsia="ja-JP"/>
        </w:rPr>
        <w:t xml:space="preserve"> </w:t>
      </w:r>
      <w:r w:rsidR="007F587F" w:rsidRPr="002E4610">
        <w:rPr>
          <w:rFonts w:eastAsia="MS Mincho"/>
          <w:szCs w:val="24"/>
          <w:lang w:eastAsia="ja-JP"/>
        </w:rPr>
        <w:t xml:space="preserve"> </w:t>
      </w:r>
      <w:r>
        <w:rPr>
          <w:rFonts w:eastAsia="MS Mincho"/>
          <w:szCs w:val="24"/>
          <w:lang w:eastAsia="ja-JP"/>
        </w:rPr>
        <w:t xml:space="preserve">It essentially allows the utility, which has an economic incentive to set rates low, too much discretion when calculating avoided cost prices.  </w:t>
      </w:r>
      <w:r w:rsidR="000D581B" w:rsidRPr="002E4610">
        <w:rPr>
          <w:rFonts w:eastAsia="MS Mincho"/>
          <w:szCs w:val="24"/>
          <w:lang w:eastAsia="ja-JP"/>
        </w:rPr>
        <w:t>In Washington’s regulatory situation</w:t>
      </w:r>
      <w:r w:rsidR="00B52EAD">
        <w:rPr>
          <w:rFonts w:eastAsia="MS Mincho"/>
          <w:szCs w:val="24"/>
          <w:lang w:eastAsia="ja-JP"/>
        </w:rPr>
        <w:t xml:space="preserve"> in which there are already too many hurdles to overcome</w:t>
      </w:r>
      <w:r w:rsidR="000D581B" w:rsidRPr="002E4610">
        <w:rPr>
          <w:rFonts w:eastAsia="MS Mincho"/>
          <w:szCs w:val="24"/>
          <w:lang w:eastAsia="ja-JP"/>
        </w:rPr>
        <w:t>, this kind o</w:t>
      </w:r>
      <w:r w:rsidR="00F27E45">
        <w:rPr>
          <w:rFonts w:eastAsia="MS Mincho"/>
          <w:szCs w:val="24"/>
          <w:lang w:eastAsia="ja-JP"/>
        </w:rPr>
        <w:t>f modeling is a solution in search of</w:t>
      </w:r>
      <w:r w:rsidR="000D581B" w:rsidRPr="002E4610">
        <w:rPr>
          <w:rFonts w:eastAsia="MS Mincho"/>
          <w:szCs w:val="24"/>
          <w:lang w:eastAsia="ja-JP"/>
        </w:rPr>
        <w:t xml:space="preserve"> a problem.  </w:t>
      </w:r>
      <w:r>
        <w:rPr>
          <w:rFonts w:eastAsia="MS Mincho"/>
          <w:szCs w:val="24"/>
          <w:lang w:eastAsia="ja-JP"/>
        </w:rPr>
        <w:t>While it is unclear whether this approach is ever appropriate, t</w:t>
      </w:r>
      <w:r w:rsidR="00910A92" w:rsidRPr="002E4610">
        <w:rPr>
          <w:rFonts w:eastAsia="MS Mincho"/>
          <w:szCs w:val="24"/>
          <w:lang w:eastAsia="ja-JP"/>
        </w:rPr>
        <w:t>here is not enough QF activity in Washington to necessitate this level of computation</w:t>
      </w:r>
      <w:r>
        <w:rPr>
          <w:rFonts w:eastAsia="MS Mincho"/>
          <w:szCs w:val="24"/>
          <w:lang w:eastAsia="ja-JP"/>
        </w:rPr>
        <w:t xml:space="preserve"> or invite constant litigation over avoided cost rates</w:t>
      </w:r>
      <w:r w:rsidR="00910A92" w:rsidRPr="002E4610">
        <w:rPr>
          <w:rFonts w:eastAsia="MS Mincho"/>
          <w:szCs w:val="24"/>
          <w:lang w:eastAsia="ja-JP"/>
        </w:rPr>
        <w:t xml:space="preserve">.  </w:t>
      </w:r>
    </w:p>
    <w:p w14:paraId="1A7BE080" w14:textId="5A63DC88" w:rsidR="007F587F" w:rsidRPr="002E4610" w:rsidRDefault="00B52EAD" w:rsidP="007F587F">
      <w:pPr>
        <w:pStyle w:val="ListParagraph"/>
        <w:numPr>
          <w:ilvl w:val="1"/>
          <w:numId w:val="33"/>
        </w:numPr>
        <w:spacing w:line="480" w:lineRule="auto"/>
        <w:ind w:left="0" w:hanging="540"/>
        <w:rPr>
          <w:rFonts w:eastAsia="MS Mincho"/>
          <w:b/>
          <w:bCs/>
          <w:szCs w:val="24"/>
          <w:lang w:eastAsia="ja-JP"/>
        </w:rPr>
      </w:pPr>
      <w:r>
        <w:rPr>
          <w:rFonts w:eastAsia="MS Mincho"/>
          <w:szCs w:val="24"/>
          <w:lang w:eastAsia="ja-JP"/>
        </w:rPr>
        <w:tab/>
      </w:r>
      <w:r w:rsidR="007F587F" w:rsidRPr="002E4610">
        <w:rPr>
          <w:rFonts w:eastAsia="MS Mincho"/>
          <w:szCs w:val="24"/>
          <w:lang w:eastAsia="ja-JP"/>
        </w:rPr>
        <w:t>PacifiCorp</w:t>
      </w:r>
      <w:r w:rsidR="0094440C" w:rsidRPr="002E4610">
        <w:rPr>
          <w:rFonts w:eastAsia="MS Mincho"/>
          <w:szCs w:val="24"/>
          <w:lang w:eastAsia="ja-JP"/>
        </w:rPr>
        <w:t xml:space="preserve"> was recently allowed to use </w:t>
      </w:r>
      <w:r w:rsidR="007F587F" w:rsidRPr="002E4610">
        <w:rPr>
          <w:rFonts w:eastAsia="MS Mincho"/>
          <w:szCs w:val="24"/>
          <w:lang w:eastAsia="ja-JP"/>
        </w:rPr>
        <w:t>a similar method</w:t>
      </w:r>
      <w:r w:rsidR="0094440C" w:rsidRPr="002E4610">
        <w:rPr>
          <w:rFonts w:eastAsia="MS Mincho"/>
          <w:szCs w:val="24"/>
          <w:lang w:eastAsia="ja-JP"/>
        </w:rPr>
        <w:t xml:space="preserve"> in Oreg</w:t>
      </w:r>
      <w:r w:rsidR="00B40AAD" w:rsidRPr="002E4610">
        <w:rPr>
          <w:rFonts w:eastAsia="MS Mincho"/>
          <w:szCs w:val="24"/>
          <w:lang w:eastAsia="ja-JP"/>
        </w:rPr>
        <w:t>o</w:t>
      </w:r>
      <w:r w:rsidR="0094440C" w:rsidRPr="002E4610">
        <w:rPr>
          <w:rFonts w:eastAsia="MS Mincho"/>
          <w:szCs w:val="24"/>
          <w:lang w:eastAsia="ja-JP"/>
        </w:rPr>
        <w:t>n</w:t>
      </w:r>
      <w:r w:rsidR="007F587F" w:rsidRPr="002E4610">
        <w:rPr>
          <w:rFonts w:eastAsia="MS Mincho"/>
          <w:szCs w:val="24"/>
          <w:lang w:eastAsia="ja-JP"/>
        </w:rPr>
        <w:t>, which it calls its Partial Displacement Differential Revenue Requirement</w:t>
      </w:r>
      <w:r w:rsidR="003D3D73" w:rsidRPr="002E4610">
        <w:rPr>
          <w:rFonts w:eastAsia="MS Mincho"/>
          <w:szCs w:val="24"/>
          <w:lang w:eastAsia="ja-JP"/>
        </w:rPr>
        <w:t xml:space="preserve"> (“PDDRR”)</w:t>
      </w:r>
      <w:r w:rsidR="007F587F" w:rsidRPr="002E4610">
        <w:rPr>
          <w:rFonts w:eastAsia="MS Mincho"/>
          <w:szCs w:val="24"/>
          <w:lang w:eastAsia="ja-JP"/>
        </w:rPr>
        <w:t xml:space="preserve"> method</w:t>
      </w:r>
      <w:r>
        <w:rPr>
          <w:rFonts w:eastAsia="MS Mincho"/>
          <w:szCs w:val="24"/>
          <w:lang w:eastAsia="ja-JP"/>
        </w:rPr>
        <w:t xml:space="preserve"> for QFs above the size threshold for standard rates</w:t>
      </w:r>
      <w:r w:rsidR="00911565">
        <w:rPr>
          <w:rFonts w:eastAsia="MS Mincho"/>
          <w:szCs w:val="24"/>
          <w:lang w:eastAsia="ja-JP"/>
        </w:rPr>
        <w:t>.  This methodology</w:t>
      </w:r>
      <w:r w:rsidR="007F587F" w:rsidRPr="002E4610">
        <w:rPr>
          <w:rFonts w:eastAsia="MS Mincho"/>
          <w:szCs w:val="24"/>
          <w:lang w:eastAsia="ja-JP"/>
        </w:rPr>
        <w:t xml:space="preserve"> has already resulted in multiple areas of litigation</w:t>
      </w:r>
      <w:r w:rsidR="00911565">
        <w:rPr>
          <w:rFonts w:eastAsia="MS Mincho"/>
          <w:szCs w:val="24"/>
          <w:lang w:eastAsia="ja-JP"/>
        </w:rPr>
        <w:t xml:space="preserve"> in Oregon and other states</w:t>
      </w:r>
      <w:r w:rsidR="007F587F" w:rsidRPr="002E4610">
        <w:rPr>
          <w:rFonts w:eastAsia="MS Mincho"/>
          <w:szCs w:val="24"/>
          <w:lang w:eastAsia="ja-JP"/>
        </w:rPr>
        <w:t>.</w:t>
      </w:r>
      <w:r w:rsidR="007F587F" w:rsidRPr="00481513">
        <w:rPr>
          <w:rStyle w:val="FootnoteReference"/>
          <w:rFonts w:eastAsia="MS Mincho"/>
          <w:szCs w:val="24"/>
          <w:lang w:eastAsia="ja-JP"/>
        </w:rPr>
        <w:footnoteReference w:id="16"/>
      </w:r>
      <w:r w:rsidR="007F587F" w:rsidRPr="002E4610">
        <w:rPr>
          <w:rFonts w:eastAsia="MS Mincho"/>
          <w:szCs w:val="24"/>
          <w:lang w:eastAsia="ja-JP"/>
        </w:rPr>
        <w:t xml:space="preserve"> </w:t>
      </w:r>
      <w:r w:rsidR="0094439F">
        <w:rPr>
          <w:rFonts w:eastAsia="MS Mincho"/>
          <w:szCs w:val="24"/>
          <w:lang w:eastAsia="ja-JP"/>
        </w:rPr>
        <w:t xml:space="preserve"> </w:t>
      </w:r>
      <w:r w:rsidR="003D3D73" w:rsidRPr="002E4610">
        <w:rPr>
          <w:rFonts w:eastAsia="MS Mincho"/>
          <w:szCs w:val="24"/>
          <w:lang w:eastAsia="ja-JP"/>
        </w:rPr>
        <w:t>PacifiCor</w:t>
      </w:r>
      <w:r w:rsidR="000D581B" w:rsidRPr="002E4610">
        <w:rPr>
          <w:rFonts w:eastAsia="MS Mincho"/>
          <w:szCs w:val="24"/>
          <w:lang w:eastAsia="ja-JP"/>
        </w:rPr>
        <w:t>p has even</w:t>
      </w:r>
      <w:r w:rsidR="003D3D73" w:rsidRPr="002E4610">
        <w:rPr>
          <w:rFonts w:eastAsia="MS Mincho"/>
          <w:szCs w:val="24"/>
          <w:lang w:eastAsia="ja-JP"/>
        </w:rPr>
        <w:t xml:space="preserve"> admitted in </w:t>
      </w:r>
      <w:r w:rsidR="003D3D73" w:rsidRPr="002E4610">
        <w:rPr>
          <w:rFonts w:eastAsia="MS Mincho"/>
          <w:szCs w:val="24"/>
          <w:lang w:eastAsia="ja-JP"/>
        </w:rPr>
        <w:lastRenderedPageBreak/>
        <w:t>other state commission proceedings that its computer modeling consistently under forecasted net power costs, which can under-estimate avoided cost as well.</w:t>
      </w:r>
      <w:r w:rsidR="00910A92" w:rsidRPr="00481513">
        <w:rPr>
          <w:rStyle w:val="FootnoteReference"/>
          <w:rFonts w:eastAsia="MS Mincho"/>
          <w:szCs w:val="24"/>
          <w:lang w:eastAsia="ja-JP"/>
        </w:rPr>
        <w:footnoteReference w:id="17"/>
      </w:r>
      <w:r w:rsidR="003D3D73" w:rsidRPr="002E4610">
        <w:rPr>
          <w:rFonts w:eastAsia="MS Mincho"/>
          <w:szCs w:val="24"/>
          <w:lang w:eastAsia="ja-JP"/>
        </w:rPr>
        <w:t xml:space="preserve">  </w:t>
      </w:r>
      <w:r w:rsidR="00893E81" w:rsidRPr="002E4610">
        <w:rPr>
          <w:rFonts w:eastAsia="MS Mincho"/>
          <w:szCs w:val="24"/>
          <w:lang w:eastAsia="ja-JP"/>
        </w:rPr>
        <w:t>This</w:t>
      </w:r>
      <w:r w:rsidR="003D3D73" w:rsidRPr="002E4610">
        <w:rPr>
          <w:rFonts w:eastAsia="MS Mincho"/>
          <w:szCs w:val="24"/>
          <w:lang w:eastAsia="ja-JP"/>
        </w:rPr>
        <w:t xml:space="preserve"> kind of modeling provides too much discretion to unilaterally manipulate</w:t>
      </w:r>
      <w:r w:rsidR="00910A92" w:rsidRPr="002E4610">
        <w:rPr>
          <w:rFonts w:eastAsia="MS Mincho"/>
          <w:szCs w:val="24"/>
          <w:lang w:eastAsia="ja-JP"/>
        </w:rPr>
        <w:t xml:space="preserve"> or</w:t>
      </w:r>
      <w:r w:rsidR="003D3D73" w:rsidRPr="002E4610">
        <w:rPr>
          <w:rFonts w:eastAsia="MS Mincho"/>
          <w:szCs w:val="24"/>
          <w:lang w:eastAsia="ja-JP"/>
        </w:rPr>
        <w:t xml:space="preserve"> lower rate</w:t>
      </w:r>
      <w:r w:rsidR="002E4610">
        <w:rPr>
          <w:rFonts w:eastAsia="MS Mincho"/>
          <w:szCs w:val="24"/>
          <w:lang w:eastAsia="ja-JP"/>
        </w:rPr>
        <w:t>s, and will subject the Commission to significant litigation related costs</w:t>
      </w:r>
      <w:r w:rsidR="000D581B" w:rsidRPr="002E4610">
        <w:rPr>
          <w:rFonts w:eastAsia="MS Mincho"/>
          <w:szCs w:val="24"/>
          <w:lang w:eastAsia="ja-JP"/>
        </w:rPr>
        <w:t>.</w:t>
      </w:r>
    </w:p>
    <w:p w14:paraId="1D60499F" w14:textId="727BD5D8" w:rsidR="007F587F" w:rsidRPr="00481513" w:rsidRDefault="007F587F" w:rsidP="007F587F">
      <w:pPr>
        <w:ind w:left="720" w:firstLine="720"/>
        <w:rPr>
          <w:rFonts w:eastAsia="MS Mincho"/>
          <w:b/>
          <w:szCs w:val="24"/>
          <w:lang w:eastAsia="ja-JP"/>
        </w:rPr>
      </w:pPr>
      <w:r w:rsidRPr="00481513">
        <w:rPr>
          <w:rFonts w:eastAsia="MS Mincho"/>
          <w:b/>
          <w:szCs w:val="24"/>
          <w:lang w:eastAsia="ja-JP"/>
        </w:rPr>
        <w:t>iv.</w:t>
      </w:r>
      <w:r w:rsidRPr="00481513">
        <w:rPr>
          <w:rFonts w:eastAsia="MS Mincho"/>
          <w:b/>
          <w:szCs w:val="24"/>
          <w:lang w:eastAsia="ja-JP"/>
        </w:rPr>
        <w:tab/>
        <w:t xml:space="preserve">Market-Based Pricing </w:t>
      </w:r>
    </w:p>
    <w:p w14:paraId="11F5184E" w14:textId="77777777" w:rsidR="007F587F" w:rsidRPr="00481513" w:rsidRDefault="007F587F" w:rsidP="007F587F">
      <w:pPr>
        <w:rPr>
          <w:rFonts w:eastAsia="MS Mincho"/>
          <w:b/>
          <w:szCs w:val="24"/>
          <w:lang w:eastAsia="ja-JP"/>
        </w:rPr>
      </w:pPr>
    </w:p>
    <w:p w14:paraId="460A847B" w14:textId="27C64895" w:rsidR="00012C2F" w:rsidRPr="006230A5" w:rsidRDefault="007F587F" w:rsidP="007F587F">
      <w:pPr>
        <w:pStyle w:val="ListParagraph"/>
        <w:numPr>
          <w:ilvl w:val="1"/>
          <w:numId w:val="33"/>
        </w:numPr>
        <w:spacing w:line="480" w:lineRule="auto"/>
        <w:ind w:left="0" w:hanging="540"/>
        <w:rPr>
          <w:rFonts w:eastAsia="MS Mincho"/>
          <w:b/>
          <w:bCs/>
          <w:szCs w:val="24"/>
          <w:lang w:eastAsia="ja-JP"/>
        </w:rPr>
      </w:pPr>
      <w:r w:rsidRPr="00481513">
        <w:rPr>
          <w:rFonts w:eastAsia="MS Mincho"/>
          <w:szCs w:val="24"/>
          <w:lang w:eastAsia="ja-JP"/>
        </w:rPr>
        <w:tab/>
        <w:t>The Market-Based Pricing Methodology is a</w:t>
      </w:r>
      <w:r w:rsidR="00E067BC" w:rsidRPr="00481513">
        <w:rPr>
          <w:rFonts w:eastAsia="MS Mincho"/>
          <w:szCs w:val="24"/>
          <w:lang w:eastAsia="ja-JP"/>
        </w:rPr>
        <w:t>lso a</w:t>
      </w:r>
      <w:r w:rsidR="002E4610">
        <w:rPr>
          <w:rFonts w:eastAsia="MS Mincho"/>
          <w:szCs w:val="24"/>
          <w:lang w:eastAsia="ja-JP"/>
        </w:rPr>
        <w:t xml:space="preserve"> simple option, but it</w:t>
      </w:r>
      <w:r w:rsidRPr="00481513">
        <w:rPr>
          <w:rFonts w:eastAsia="MS Mincho"/>
          <w:szCs w:val="24"/>
          <w:lang w:eastAsia="ja-JP"/>
        </w:rPr>
        <w:t xml:space="preserve"> return</w:t>
      </w:r>
      <w:r w:rsidR="002E4610">
        <w:rPr>
          <w:rFonts w:eastAsia="MS Mincho"/>
          <w:szCs w:val="24"/>
          <w:lang w:eastAsia="ja-JP"/>
        </w:rPr>
        <w:t>s</w:t>
      </w:r>
      <w:r w:rsidRPr="00481513">
        <w:rPr>
          <w:rFonts w:eastAsia="MS Mincho"/>
          <w:szCs w:val="24"/>
          <w:lang w:eastAsia="ja-JP"/>
        </w:rPr>
        <w:t xml:space="preserve"> prices that do not accurately reflect the utility’s avoided costs, </w:t>
      </w:r>
      <w:r w:rsidR="002E4610">
        <w:rPr>
          <w:rFonts w:eastAsia="MS Mincho"/>
          <w:szCs w:val="24"/>
          <w:lang w:eastAsia="ja-JP"/>
        </w:rPr>
        <w:t xml:space="preserve">especially </w:t>
      </w:r>
      <w:r w:rsidRPr="00481513">
        <w:rPr>
          <w:rFonts w:eastAsia="MS Mincho"/>
          <w:szCs w:val="24"/>
          <w:lang w:eastAsia="ja-JP"/>
        </w:rPr>
        <w:t>given the curre</w:t>
      </w:r>
      <w:r w:rsidR="002E4610">
        <w:rPr>
          <w:rFonts w:eastAsia="MS Mincho"/>
          <w:szCs w:val="24"/>
          <w:lang w:eastAsia="ja-JP"/>
        </w:rPr>
        <w:t>nt effect very low gas prices are</w:t>
      </w:r>
      <w:r w:rsidR="002166D1">
        <w:rPr>
          <w:rFonts w:eastAsia="MS Mincho"/>
          <w:szCs w:val="24"/>
          <w:lang w:eastAsia="ja-JP"/>
        </w:rPr>
        <w:t xml:space="preserve"> having on the energy market</w:t>
      </w:r>
      <w:r w:rsidR="000D581B" w:rsidRPr="00481513">
        <w:rPr>
          <w:rFonts w:eastAsia="MS Mincho"/>
          <w:szCs w:val="24"/>
          <w:lang w:eastAsia="ja-JP"/>
        </w:rPr>
        <w:t>.</w:t>
      </w:r>
      <w:r w:rsidR="00AA6F6B">
        <w:rPr>
          <w:rFonts w:eastAsia="MS Mincho"/>
          <w:szCs w:val="24"/>
          <w:lang w:eastAsia="ja-JP"/>
        </w:rPr>
        <w:t xml:space="preserve">  For example, when PSE proposed this approach in its most recent avoided cost update, it resulted in </w:t>
      </w:r>
      <w:r w:rsidR="00D95C8C">
        <w:rPr>
          <w:rFonts w:eastAsia="MS Mincho"/>
          <w:szCs w:val="24"/>
          <w:lang w:eastAsia="ja-JP"/>
        </w:rPr>
        <w:t xml:space="preserve">a proposed “payment” of $0.08 </w:t>
      </w:r>
      <w:r w:rsidR="00AD10F3">
        <w:rPr>
          <w:rFonts w:eastAsia="MS Mincho"/>
          <w:szCs w:val="24"/>
          <w:lang w:eastAsia="ja-JP"/>
        </w:rPr>
        <w:t xml:space="preserve">per </w:t>
      </w:r>
      <w:r w:rsidR="00D95C8C">
        <w:rPr>
          <w:rFonts w:eastAsia="MS Mincho"/>
          <w:szCs w:val="24"/>
          <w:lang w:eastAsia="ja-JP"/>
        </w:rPr>
        <w:t>kilowatt year.</w:t>
      </w:r>
      <w:r w:rsidR="0094439F">
        <w:rPr>
          <w:rStyle w:val="FootnoteReference"/>
          <w:rFonts w:eastAsia="MS Mincho"/>
          <w:szCs w:val="24"/>
          <w:lang w:eastAsia="ja-JP"/>
        </w:rPr>
        <w:footnoteReference w:id="18"/>
      </w:r>
      <w:r w:rsidR="000D581B" w:rsidRPr="00481513">
        <w:rPr>
          <w:rFonts w:eastAsia="MS Mincho"/>
          <w:szCs w:val="24"/>
          <w:lang w:eastAsia="ja-JP"/>
        </w:rPr>
        <w:t xml:space="preserve">  This kind of methodology</w:t>
      </w:r>
      <w:r w:rsidRPr="00481513">
        <w:rPr>
          <w:rFonts w:eastAsia="MS Mincho"/>
          <w:szCs w:val="24"/>
          <w:lang w:eastAsia="ja-JP"/>
        </w:rPr>
        <w:t xml:space="preserve"> </w:t>
      </w:r>
      <w:r w:rsidR="00D95C8C">
        <w:rPr>
          <w:rFonts w:eastAsia="MS Mincho"/>
          <w:szCs w:val="24"/>
          <w:lang w:eastAsia="ja-JP"/>
        </w:rPr>
        <w:t xml:space="preserve">ascribes little to no value to capacity </w:t>
      </w:r>
      <w:r w:rsidR="000D581B" w:rsidRPr="00481513">
        <w:rPr>
          <w:rFonts w:eastAsia="MS Mincho"/>
          <w:szCs w:val="24"/>
          <w:lang w:eastAsia="ja-JP"/>
        </w:rPr>
        <w:t xml:space="preserve">and </w:t>
      </w:r>
      <w:r w:rsidRPr="00481513">
        <w:rPr>
          <w:rFonts w:eastAsia="MS Mincho"/>
          <w:szCs w:val="24"/>
          <w:lang w:eastAsia="ja-JP"/>
        </w:rPr>
        <w:t>will</w:t>
      </w:r>
      <w:r w:rsidR="002E4610">
        <w:rPr>
          <w:rFonts w:eastAsia="MS Mincho"/>
          <w:szCs w:val="24"/>
          <w:lang w:eastAsia="ja-JP"/>
        </w:rPr>
        <w:t xml:space="preserve"> prevent otherwise low cost QFs from becoming</w:t>
      </w:r>
      <w:r w:rsidRPr="00481513">
        <w:rPr>
          <w:rFonts w:eastAsia="MS Mincho"/>
          <w:szCs w:val="24"/>
          <w:lang w:eastAsia="ja-JP"/>
        </w:rPr>
        <w:t xml:space="preserve"> economic. </w:t>
      </w:r>
    </w:p>
    <w:p w14:paraId="527EF01A" w14:textId="0AD19805" w:rsidR="00012C2F" w:rsidRPr="006230A5" w:rsidRDefault="00012C2F" w:rsidP="007F587F">
      <w:pPr>
        <w:pStyle w:val="ListParagraph"/>
        <w:numPr>
          <w:ilvl w:val="1"/>
          <w:numId w:val="33"/>
        </w:numPr>
        <w:spacing w:line="480" w:lineRule="auto"/>
        <w:ind w:left="0" w:hanging="540"/>
        <w:rPr>
          <w:rFonts w:eastAsia="MS Mincho"/>
          <w:b/>
          <w:bCs/>
          <w:szCs w:val="24"/>
          <w:lang w:eastAsia="ja-JP"/>
        </w:rPr>
      </w:pPr>
      <w:r>
        <w:rPr>
          <w:rFonts w:eastAsia="MS Mincho"/>
          <w:szCs w:val="24"/>
          <w:lang w:eastAsia="ja-JP"/>
        </w:rPr>
        <w:tab/>
      </w:r>
      <w:r w:rsidR="006E5ADD">
        <w:t>Market pricing fails to reflect that u</w:t>
      </w:r>
      <w:r w:rsidR="006E5ADD" w:rsidRPr="00FE1489">
        <w:t>tilities</w:t>
      </w:r>
      <w:r w:rsidR="00F007C6">
        <w:t>’ IRP show that they</w:t>
      </w:r>
      <w:r w:rsidR="006E5ADD" w:rsidRPr="00FE1489">
        <w:t xml:space="preserve"> are always in need of additional capacity, </w:t>
      </w:r>
      <w:r>
        <w:t xml:space="preserve">even though utilities do not purchase their next major resource until </w:t>
      </w:r>
      <w:r>
        <w:rPr>
          <w:rFonts w:eastAsia="MS Mincho"/>
          <w:bCs/>
          <w:szCs w:val="24"/>
          <w:lang w:eastAsia="ja-JP"/>
        </w:rPr>
        <w:t xml:space="preserve">the </w:t>
      </w:r>
      <w:r w:rsidR="0038601B">
        <w:t>need f</w:t>
      </w:r>
      <w:r w:rsidR="00FE1489" w:rsidRPr="00FE1489">
        <w:t>o</w:t>
      </w:r>
      <w:r w:rsidR="0038601B">
        <w:t>r energy and</w:t>
      </w:r>
      <w:r w:rsidR="00FE1489" w:rsidRPr="00FE1489">
        <w:t xml:space="preserve"> capacity h</w:t>
      </w:r>
      <w:r w:rsidR="00701F86">
        <w:t>as grown to be significant</w:t>
      </w:r>
      <w:r>
        <w:t xml:space="preserve"> to </w:t>
      </w:r>
      <w:r w:rsidR="00701F86">
        <w:t xml:space="preserve">purchase a gas plant.  </w:t>
      </w:r>
      <w:r w:rsidR="002D52D4">
        <w:t xml:space="preserve">For example, PacifiCorp’s West Control Area’s capacity deficit is growing, but it is </w:t>
      </w:r>
      <w:r w:rsidR="002D52D4">
        <w:lastRenderedPageBreak/>
        <w:t>allegedly not planning on a new gas plant for a decade.</w:t>
      </w:r>
      <w:r w:rsidR="002D52D4">
        <w:rPr>
          <w:rStyle w:val="FootnoteReference"/>
        </w:rPr>
        <w:footnoteReference w:id="19"/>
      </w:r>
      <w:r w:rsidR="002D52D4">
        <w:t xml:space="preserve"> </w:t>
      </w:r>
      <w:r w:rsidR="002A1BE0">
        <w:t xml:space="preserve"> T</w:t>
      </w:r>
      <w:r w:rsidR="00701F86">
        <w:t>he reason that PURPA projects sh</w:t>
      </w:r>
      <w:r w:rsidR="002A1BE0">
        <w:t xml:space="preserve">ould be paid for this capacity </w:t>
      </w:r>
      <w:r w:rsidR="00701F86">
        <w:t xml:space="preserve">is that this </w:t>
      </w:r>
      <w:r w:rsidR="00FE1489" w:rsidRPr="00FE1489">
        <w:t xml:space="preserve">capacity </w:t>
      </w:r>
      <w:r w:rsidR="00701F86">
        <w:t>need</w:t>
      </w:r>
      <w:r w:rsidR="00FE1489" w:rsidRPr="00FE1489">
        <w:t xml:space="preserve"> can be delayed and the cost of the new gas plant deferred. </w:t>
      </w:r>
      <w:r w:rsidR="002A1BE0">
        <w:t xml:space="preserve"> For example, PacifiCorp’s IRP includes over 1,000 MW of non-owned hydro, solar, and wind capacity that would cause a significant and immediate capacity need if it did not exist.</w:t>
      </w:r>
      <w:r w:rsidR="002A1BE0">
        <w:rPr>
          <w:rStyle w:val="FootnoteReference"/>
        </w:rPr>
        <w:footnoteReference w:id="20"/>
      </w:r>
      <w:r w:rsidR="002A1BE0">
        <w:t xml:space="preserve">  </w:t>
      </w:r>
      <w:r w:rsidR="00FE1489" w:rsidRPr="00FE1489">
        <w:t xml:space="preserve"> The aggregate effect of existing and planned QF projects helps utilities avoid (and delay) the next planned major resource.</w:t>
      </w:r>
      <w:r w:rsidR="00275192">
        <w:t xml:space="preserve">  Thus,</w:t>
      </w:r>
      <w:r w:rsidR="002166D1">
        <w:t xml:space="preserve"> QFs </w:t>
      </w:r>
      <w:r w:rsidR="00275192">
        <w:t xml:space="preserve">should be paid </w:t>
      </w:r>
      <w:r w:rsidR="002166D1">
        <w:t xml:space="preserve">in the near term for capacity benefits based on the concept that they </w:t>
      </w:r>
      <w:r w:rsidR="00275192">
        <w:t xml:space="preserve">will help avoid </w:t>
      </w:r>
      <w:r w:rsidR="0094439F">
        <w:t>both the short and long-</w:t>
      </w:r>
      <w:r w:rsidR="002166D1">
        <w:t>term</w:t>
      </w:r>
      <w:r w:rsidR="00275192">
        <w:t xml:space="preserve"> capacity needs that they help defer. </w:t>
      </w:r>
    </w:p>
    <w:p w14:paraId="060FCA2B" w14:textId="13C7C6DE" w:rsidR="007F587F" w:rsidRPr="00481513" w:rsidRDefault="007F587F" w:rsidP="007F587F">
      <w:pPr>
        <w:ind w:left="720" w:firstLine="720"/>
        <w:rPr>
          <w:rFonts w:eastAsia="MS Mincho"/>
          <w:b/>
          <w:szCs w:val="24"/>
          <w:lang w:eastAsia="ja-JP"/>
        </w:rPr>
      </w:pPr>
      <w:r w:rsidRPr="00481513">
        <w:rPr>
          <w:rFonts w:eastAsia="MS Mincho"/>
          <w:b/>
          <w:szCs w:val="24"/>
          <w:lang w:eastAsia="ja-JP"/>
        </w:rPr>
        <w:t xml:space="preserve">v. </w:t>
      </w:r>
      <w:r w:rsidRPr="00481513">
        <w:rPr>
          <w:rFonts w:eastAsia="MS Mincho"/>
          <w:b/>
          <w:szCs w:val="24"/>
          <w:lang w:eastAsia="ja-JP"/>
        </w:rPr>
        <w:tab/>
        <w:t xml:space="preserve">Competitive Bidding </w:t>
      </w:r>
    </w:p>
    <w:p w14:paraId="26CB9171" w14:textId="77777777" w:rsidR="007F587F" w:rsidRPr="00481513" w:rsidRDefault="007F587F" w:rsidP="007F587F">
      <w:pPr>
        <w:pStyle w:val="ListParagraph"/>
        <w:ind w:left="2070"/>
        <w:rPr>
          <w:rFonts w:eastAsia="MS Mincho"/>
          <w:b/>
          <w:szCs w:val="24"/>
          <w:lang w:eastAsia="ja-JP"/>
        </w:rPr>
      </w:pPr>
    </w:p>
    <w:p w14:paraId="40979CBB" w14:textId="0B7331D6" w:rsidR="00A8619F" w:rsidRPr="00481513" w:rsidRDefault="007F587F" w:rsidP="00A8619F">
      <w:pPr>
        <w:pStyle w:val="ListParagraph"/>
        <w:numPr>
          <w:ilvl w:val="1"/>
          <w:numId w:val="33"/>
        </w:numPr>
        <w:spacing w:line="480" w:lineRule="auto"/>
        <w:ind w:left="0" w:hanging="540"/>
        <w:rPr>
          <w:rFonts w:eastAsia="MS Mincho"/>
          <w:b/>
          <w:bCs/>
          <w:szCs w:val="24"/>
          <w:lang w:eastAsia="ja-JP"/>
        </w:rPr>
      </w:pPr>
      <w:r w:rsidRPr="00481513">
        <w:rPr>
          <w:rFonts w:eastAsia="MS Mincho"/>
          <w:szCs w:val="24"/>
          <w:lang w:eastAsia="ja-JP"/>
        </w:rPr>
        <w:tab/>
        <w:t xml:space="preserve">The Competitive Bidding Methodology is similarly unworkable, and especially in </w:t>
      </w:r>
      <w:r w:rsidR="008A1709">
        <w:rPr>
          <w:rFonts w:eastAsia="MS Mincho"/>
          <w:szCs w:val="24"/>
          <w:lang w:eastAsia="ja-JP"/>
        </w:rPr>
        <w:t>Washington’s current</w:t>
      </w:r>
      <w:r w:rsidRPr="00481513">
        <w:rPr>
          <w:rFonts w:eastAsia="MS Mincho"/>
          <w:szCs w:val="24"/>
          <w:lang w:eastAsia="ja-JP"/>
        </w:rPr>
        <w:t xml:space="preserve"> market</w:t>
      </w:r>
      <w:r w:rsidR="0094439F">
        <w:rPr>
          <w:rFonts w:eastAsia="MS Mincho"/>
          <w:szCs w:val="24"/>
          <w:lang w:eastAsia="ja-JP"/>
        </w:rPr>
        <w:t xml:space="preserve"> and irregular utility requests for proposals</w:t>
      </w:r>
      <w:r w:rsidRPr="00481513">
        <w:rPr>
          <w:rFonts w:eastAsia="MS Mincho"/>
          <w:szCs w:val="24"/>
          <w:lang w:eastAsia="ja-JP"/>
        </w:rPr>
        <w:t>.  This method allows states to utilize open bidding processes to determine the avoided cost rates</w:t>
      </w:r>
      <w:r w:rsidR="00C45286">
        <w:rPr>
          <w:rFonts w:eastAsia="MS Mincho"/>
          <w:szCs w:val="24"/>
          <w:lang w:eastAsia="ja-JP"/>
        </w:rPr>
        <w:t>;</w:t>
      </w:r>
      <w:r w:rsidR="00D15840">
        <w:rPr>
          <w:rStyle w:val="FootnoteReference"/>
          <w:rFonts w:eastAsia="MS Mincho"/>
          <w:szCs w:val="24"/>
          <w:lang w:eastAsia="ja-JP"/>
        </w:rPr>
        <w:footnoteReference w:id="21"/>
      </w:r>
      <w:r w:rsidR="00D15840">
        <w:rPr>
          <w:rFonts w:eastAsia="MS Mincho"/>
          <w:szCs w:val="24"/>
          <w:lang w:eastAsia="ja-JP"/>
        </w:rPr>
        <w:t xml:space="preserve"> </w:t>
      </w:r>
      <w:r w:rsidR="00C45286">
        <w:rPr>
          <w:rFonts w:eastAsia="MS Mincho"/>
          <w:szCs w:val="24"/>
          <w:lang w:eastAsia="ja-JP"/>
        </w:rPr>
        <w:t>however, a state cannot require a QF to win a competitive solicitation as a condition to selling its net output to a utility</w:t>
      </w:r>
      <w:r w:rsidRPr="00481513">
        <w:rPr>
          <w:rFonts w:eastAsia="MS Mincho"/>
          <w:szCs w:val="24"/>
          <w:lang w:eastAsia="ja-JP"/>
        </w:rPr>
        <w:t>.</w:t>
      </w:r>
      <w:r w:rsidR="00C45286">
        <w:rPr>
          <w:rStyle w:val="FootnoteReference"/>
        </w:rPr>
        <w:footnoteReference w:id="22"/>
      </w:r>
      <w:r w:rsidRPr="00481513">
        <w:rPr>
          <w:rFonts w:eastAsia="MS Mincho"/>
          <w:szCs w:val="24"/>
          <w:lang w:eastAsia="ja-JP"/>
        </w:rPr>
        <w:t xml:space="preserve">  The winning bids are regarded as equivalent to the utility’s avoided cost.  </w:t>
      </w:r>
      <w:r w:rsidR="0094439F">
        <w:rPr>
          <w:rFonts w:eastAsia="MS Mincho"/>
          <w:szCs w:val="24"/>
          <w:lang w:eastAsia="ja-JP"/>
        </w:rPr>
        <w:t>This approach is a poor fit for Washington because, while</w:t>
      </w:r>
      <w:r w:rsidR="007840A3" w:rsidRPr="00481513">
        <w:rPr>
          <w:rFonts w:eastAsia="MS Mincho"/>
          <w:szCs w:val="24"/>
          <w:lang w:eastAsia="ja-JP"/>
        </w:rPr>
        <w:t xml:space="preserve"> </w:t>
      </w:r>
      <w:r w:rsidR="003E4EEB">
        <w:rPr>
          <w:rFonts w:eastAsia="MS Mincho"/>
          <w:szCs w:val="24"/>
          <w:lang w:eastAsia="ja-JP"/>
        </w:rPr>
        <w:t xml:space="preserve">the </w:t>
      </w:r>
      <w:r w:rsidR="007840A3" w:rsidRPr="00481513">
        <w:rPr>
          <w:rFonts w:eastAsia="MS Mincho"/>
          <w:szCs w:val="24"/>
          <w:lang w:eastAsia="ja-JP"/>
        </w:rPr>
        <w:lastRenderedPageBreak/>
        <w:t>Commiss</w:t>
      </w:r>
      <w:r w:rsidR="0094439F">
        <w:rPr>
          <w:rFonts w:eastAsia="MS Mincho"/>
          <w:szCs w:val="24"/>
          <w:lang w:eastAsia="ja-JP"/>
        </w:rPr>
        <w:t>ion’s own rules require utilities</w:t>
      </w:r>
      <w:r w:rsidR="007840A3" w:rsidRPr="00481513">
        <w:rPr>
          <w:rFonts w:eastAsia="MS Mincho"/>
          <w:szCs w:val="24"/>
          <w:lang w:eastAsia="ja-JP"/>
        </w:rPr>
        <w:t xml:space="preserve"> to undergo an RFP a</w:t>
      </w:r>
      <w:r w:rsidR="0094439F">
        <w:rPr>
          <w:rFonts w:eastAsia="MS Mincho"/>
          <w:szCs w:val="24"/>
          <w:lang w:eastAsia="ja-JP"/>
        </w:rPr>
        <w:t>s part of their IRP process,</w:t>
      </w:r>
      <w:r w:rsidR="007840A3" w:rsidRPr="00481513">
        <w:rPr>
          <w:rFonts w:eastAsia="MS Mincho"/>
          <w:szCs w:val="24"/>
          <w:lang w:eastAsia="ja-JP"/>
        </w:rPr>
        <w:t xml:space="preserve"> the requirement is </w:t>
      </w:r>
      <w:r w:rsidR="0094439F">
        <w:rPr>
          <w:rFonts w:eastAsia="MS Mincho"/>
          <w:szCs w:val="24"/>
          <w:lang w:eastAsia="ja-JP"/>
        </w:rPr>
        <w:t>often waived and does not occur.  This</w:t>
      </w:r>
      <w:r w:rsidR="007840A3" w:rsidRPr="00481513">
        <w:rPr>
          <w:rFonts w:eastAsia="MS Mincho"/>
          <w:szCs w:val="24"/>
          <w:lang w:eastAsia="ja-JP"/>
        </w:rPr>
        <w:t xml:space="preserve"> could mak</w:t>
      </w:r>
      <w:r w:rsidR="00AD10F3">
        <w:rPr>
          <w:rFonts w:eastAsia="MS Mincho"/>
          <w:szCs w:val="24"/>
          <w:lang w:eastAsia="ja-JP"/>
        </w:rPr>
        <w:t>e it difficult to obtain</w:t>
      </w:r>
      <w:r w:rsidR="007840A3" w:rsidRPr="00481513">
        <w:rPr>
          <w:rFonts w:eastAsia="MS Mincho"/>
          <w:szCs w:val="24"/>
          <w:lang w:eastAsia="ja-JP"/>
        </w:rPr>
        <w:t xml:space="preserve"> accurate and current prices</w:t>
      </w:r>
      <w:r w:rsidR="00F27E45">
        <w:rPr>
          <w:rFonts w:eastAsia="MS Mincho"/>
          <w:szCs w:val="24"/>
          <w:lang w:eastAsia="ja-JP"/>
        </w:rPr>
        <w:t xml:space="preserve"> given the infrequent Washington competitive bids</w:t>
      </w:r>
      <w:r w:rsidR="007840A3" w:rsidRPr="00481513">
        <w:rPr>
          <w:rFonts w:eastAsia="MS Mincho"/>
          <w:szCs w:val="24"/>
          <w:lang w:eastAsia="ja-JP"/>
        </w:rPr>
        <w:t xml:space="preserve">. </w:t>
      </w:r>
    </w:p>
    <w:p w14:paraId="4C6D45BC" w14:textId="0DEA9C4C" w:rsidR="007F587F" w:rsidRPr="00481513" w:rsidRDefault="007F587F" w:rsidP="007F587F">
      <w:pPr>
        <w:pStyle w:val="ListParagraph"/>
        <w:spacing w:line="480" w:lineRule="auto"/>
        <w:ind w:left="1440"/>
        <w:rPr>
          <w:rFonts w:eastAsia="MS Mincho"/>
          <w:b/>
          <w:bCs/>
          <w:szCs w:val="24"/>
          <w:lang w:eastAsia="ja-JP"/>
        </w:rPr>
      </w:pPr>
      <w:r w:rsidRPr="00481513">
        <w:rPr>
          <w:rFonts w:eastAsia="MS Mincho"/>
          <w:b/>
          <w:bCs/>
          <w:szCs w:val="24"/>
          <w:lang w:eastAsia="ja-JP"/>
        </w:rPr>
        <w:t xml:space="preserve">vi. </w:t>
      </w:r>
      <w:r w:rsidRPr="00481513">
        <w:rPr>
          <w:rFonts w:eastAsia="MS Mincho"/>
          <w:b/>
          <w:bCs/>
          <w:szCs w:val="24"/>
          <w:lang w:eastAsia="ja-JP"/>
        </w:rPr>
        <w:tab/>
        <w:t xml:space="preserve">Energy Efficiency </w:t>
      </w:r>
      <w:r w:rsidR="00A8619F" w:rsidRPr="00481513">
        <w:rPr>
          <w:rFonts w:eastAsia="MS Mincho"/>
          <w:b/>
          <w:bCs/>
          <w:szCs w:val="24"/>
          <w:lang w:eastAsia="ja-JP"/>
        </w:rPr>
        <w:t>Method</w:t>
      </w:r>
    </w:p>
    <w:p w14:paraId="4B0E4541" w14:textId="3D6A8EC8" w:rsidR="00F3257E" w:rsidRDefault="007F587F" w:rsidP="008A1709">
      <w:pPr>
        <w:pStyle w:val="ListParagraph"/>
        <w:numPr>
          <w:ilvl w:val="1"/>
          <w:numId w:val="33"/>
        </w:numPr>
        <w:spacing w:line="480" w:lineRule="auto"/>
        <w:ind w:left="0" w:hanging="540"/>
        <w:rPr>
          <w:rFonts w:eastAsia="MS Mincho"/>
          <w:b/>
          <w:bCs/>
          <w:szCs w:val="24"/>
          <w:lang w:eastAsia="ja-JP"/>
        </w:rPr>
      </w:pPr>
      <w:r w:rsidRPr="00481513">
        <w:t xml:space="preserve">            </w:t>
      </w:r>
      <w:r w:rsidRPr="00481513">
        <w:rPr>
          <w:rFonts w:eastAsia="MS Mincho"/>
          <w:szCs w:val="24"/>
          <w:lang w:eastAsia="ja-JP"/>
        </w:rPr>
        <w:t>Up until recently, PSE used another avoided cost methodology</w:t>
      </w:r>
      <w:r w:rsidR="00ED5C2B">
        <w:rPr>
          <w:rFonts w:eastAsia="MS Mincho"/>
          <w:szCs w:val="24"/>
          <w:lang w:eastAsia="ja-JP"/>
        </w:rPr>
        <w:t>, which could</w:t>
      </w:r>
      <w:r w:rsidR="00A8619F" w:rsidRPr="00481513">
        <w:rPr>
          <w:rFonts w:eastAsia="MS Mincho"/>
          <w:szCs w:val="24"/>
          <w:lang w:eastAsia="ja-JP"/>
        </w:rPr>
        <w:t xml:space="preserve"> </w:t>
      </w:r>
      <w:r w:rsidR="008A1709">
        <w:rPr>
          <w:rFonts w:eastAsia="MS Mincho"/>
          <w:szCs w:val="24"/>
          <w:lang w:eastAsia="ja-JP"/>
        </w:rPr>
        <w:t xml:space="preserve">also </w:t>
      </w:r>
      <w:r w:rsidR="00ED5C2B">
        <w:rPr>
          <w:rFonts w:eastAsia="MS Mincho"/>
          <w:szCs w:val="24"/>
          <w:lang w:eastAsia="ja-JP"/>
        </w:rPr>
        <w:t xml:space="preserve">be </w:t>
      </w:r>
      <w:r w:rsidR="00A8619F" w:rsidRPr="00481513">
        <w:rPr>
          <w:rFonts w:eastAsia="MS Mincho"/>
          <w:szCs w:val="24"/>
          <w:lang w:eastAsia="ja-JP"/>
        </w:rPr>
        <w:t>a workable option</w:t>
      </w:r>
      <w:r w:rsidRPr="00481513">
        <w:rPr>
          <w:rFonts w:eastAsia="MS Mincho"/>
          <w:szCs w:val="24"/>
          <w:lang w:eastAsia="ja-JP"/>
        </w:rPr>
        <w:t xml:space="preserve">. </w:t>
      </w:r>
      <w:r w:rsidR="00F40093">
        <w:rPr>
          <w:rFonts w:eastAsia="MS Mincho"/>
          <w:szCs w:val="24"/>
          <w:lang w:eastAsia="ja-JP"/>
        </w:rPr>
        <w:t xml:space="preserve"> </w:t>
      </w:r>
      <w:r w:rsidRPr="00481513">
        <w:rPr>
          <w:rFonts w:eastAsia="MS Mincho"/>
          <w:szCs w:val="24"/>
          <w:lang w:eastAsia="ja-JP"/>
        </w:rPr>
        <w:t>PSE has valued its s</w:t>
      </w:r>
      <w:r w:rsidR="00F40093">
        <w:rPr>
          <w:rFonts w:eastAsia="MS Mincho"/>
          <w:szCs w:val="24"/>
          <w:lang w:eastAsia="ja-JP"/>
        </w:rPr>
        <w:t>mall renewable projects based on</w:t>
      </w:r>
      <w:r w:rsidRPr="00481513">
        <w:rPr>
          <w:rFonts w:eastAsia="MS Mincho"/>
          <w:szCs w:val="24"/>
          <w:lang w:eastAsia="ja-JP"/>
        </w:rPr>
        <w:t xml:space="preserve"> </w:t>
      </w:r>
      <w:r w:rsidR="00ED5C2B">
        <w:rPr>
          <w:rFonts w:eastAsia="MS Mincho"/>
          <w:szCs w:val="24"/>
          <w:lang w:eastAsia="ja-JP"/>
        </w:rPr>
        <w:t>demand response costs</w:t>
      </w:r>
      <w:r w:rsidRPr="00481513">
        <w:rPr>
          <w:rFonts w:eastAsia="MS Mincho"/>
          <w:szCs w:val="24"/>
          <w:lang w:eastAsia="ja-JP"/>
        </w:rPr>
        <w:t xml:space="preserve">.  It used the same levelized cost effectiveness of energy and capacity of 15 years of demand side response measures to evaluate the costs avoided by QFs.  PSE switched to using the avoided costs of a </w:t>
      </w:r>
      <w:r w:rsidR="00ED5C2B">
        <w:rPr>
          <w:rFonts w:eastAsia="MS Mincho"/>
          <w:szCs w:val="24"/>
          <w:lang w:eastAsia="ja-JP"/>
        </w:rPr>
        <w:t>peaking resource in its last avoided cost update</w:t>
      </w:r>
      <w:r w:rsidRPr="00481513">
        <w:rPr>
          <w:rFonts w:eastAsia="MS Mincho"/>
          <w:szCs w:val="24"/>
          <w:lang w:eastAsia="ja-JP"/>
        </w:rPr>
        <w:t>, which resulted a significant reduction in its avoided cost rates.</w:t>
      </w:r>
      <w:r w:rsidRPr="00481513">
        <w:rPr>
          <w:rStyle w:val="FootnoteReference"/>
          <w:rFonts w:eastAsia="MS Mincho"/>
          <w:szCs w:val="24"/>
          <w:lang w:eastAsia="ja-JP"/>
        </w:rPr>
        <w:footnoteReference w:id="23"/>
      </w:r>
      <w:r w:rsidR="00ED5C2B">
        <w:rPr>
          <w:rFonts w:eastAsia="MS Mincho"/>
          <w:szCs w:val="24"/>
          <w:lang w:eastAsia="ja-JP"/>
        </w:rPr>
        <w:t xml:space="preserve">  When it is the marginal cost resource, t</w:t>
      </w:r>
      <w:r w:rsidRPr="00481513">
        <w:rPr>
          <w:rFonts w:eastAsia="MS Mincho"/>
          <w:szCs w:val="24"/>
          <w:lang w:eastAsia="ja-JP"/>
        </w:rPr>
        <w:t xml:space="preserve">he use of energy efficiency and demand response may be more accurate and produce consistent methodologies across all utility programs.  </w:t>
      </w:r>
    </w:p>
    <w:p w14:paraId="12D3D117" w14:textId="7235538C" w:rsidR="00726E13" w:rsidRPr="00481513" w:rsidRDefault="00726E13" w:rsidP="00726E13">
      <w:pPr>
        <w:pStyle w:val="ListParagraph"/>
        <w:spacing w:line="480" w:lineRule="auto"/>
        <w:ind w:left="1440"/>
        <w:rPr>
          <w:rFonts w:eastAsia="MS Mincho"/>
          <w:b/>
          <w:bCs/>
          <w:szCs w:val="24"/>
          <w:lang w:eastAsia="ja-JP"/>
        </w:rPr>
      </w:pPr>
      <w:r>
        <w:rPr>
          <w:rFonts w:eastAsia="MS Mincho"/>
          <w:b/>
          <w:bCs/>
          <w:szCs w:val="24"/>
          <w:lang w:eastAsia="ja-JP"/>
        </w:rPr>
        <w:t xml:space="preserve">  </w:t>
      </w:r>
      <w:r w:rsidRPr="00481513">
        <w:rPr>
          <w:rFonts w:eastAsia="MS Mincho"/>
          <w:b/>
          <w:bCs/>
          <w:szCs w:val="24"/>
          <w:lang w:eastAsia="ja-JP"/>
        </w:rPr>
        <w:t>vi</w:t>
      </w:r>
      <w:r>
        <w:rPr>
          <w:rFonts w:eastAsia="MS Mincho"/>
          <w:b/>
          <w:bCs/>
          <w:szCs w:val="24"/>
          <w:lang w:eastAsia="ja-JP"/>
        </w:rPr>
        <w:t>i</w:t>
      </w:r>
      <w:r w:rsidRPr="00481513">
        <w:rPr>
          <w:rFonts w:eastAsia="MS Mincho"/>
          <w:b/>
          <w:bCs/>
          <w:szCs w:val="24"/>
          <w:lang w:eastAsia="ja-JP"/>
        </w:rPr>
        <w:t xml:space="preserve">. </w:t>
      </w:r>
      <w:r w:rsidRPr="00481513">
        <w:rPr>
          <w:rFonts w:eastAsia="MS Mincho"/>
          <w:b/>
          <w:bCs/>
          <w:szCs w:val="24"/>
          <w:lang w:eastAsia="ja-JP"/>
        </w:rPr>
        <w:tab/>
      </w:r>
      <w:r>
        <w:rPr>
          <w:rFonts w:eastAsia="MS Mincho"/>
          <w:b/>
          <w:bCs/>
          <w:szCs w:val="24"/>
          <w:lang w:eastAsia="ja-JP"/>
        </w:rPr>
        <w:t>NIPPC and REC Recommendations</w:t>
      </w:r>
    </w:p>
    <w:p w14:paraId="62EFACB7" w14:textId="275122EA" w:rsidR="007A7821" w:rsidRPr="00726E13" w:rsidRDefault="00726E13" w:rsidP="007077B6">
      <w:pPr>
        <w:pStyle w:val="ListParagraph"/>
        <w:numPr>
          <w:ilvl w:val="1"/>
          <w:numId w:val="33"/>
        </w:numPr>
        <w:spacing w:line="480" w:lineRule="auto"/>
        <w:ind w:left="0" w:hanging="540"/>
        <w:rPr>
          <w:rFonts w:eastAsia="MS Mincho"/>
          <w:b/>
          <w:bCs/>
          <w:szCs w:val="24"/>
          <w:lang w:eastAsia="ja-JP"/>
        </w:rPr>
      </w:pPr>
      <w:r>
        <w:rPr>
          <w:rFonts w:eastAsia="MS Mincho"/>
          <w:b/>
          <w:bCs/>
          <w:szCs w:val="24"/>
          <w:lang w:eastAsia="ja-JP"/>
        </w:rPr>
        <w:tab/>
      </w:r>
      <w:r w:rsidR="001D1660" w:rsidRPr="00726E13">
        <w:rPr>
          <w:rFonts w:eastAsia="MS Mincho"/>
          <w:szCs w:val="24"/>
          <w:lang w:eastAsia="ja-JP"/>
        </w:rPr>
        <w:t xml:space="preserve">In short, there are a number of methodologies that can be used to derive avoided cost prices and the different methods vary greatly in levels of complexity and transparency.  The Commission </w:t>
      </w:r>
      <w:r w:rsidR="00893E81" w:rsidRPr="00726E13">
        <w:rPr>
          <w:rFonts w:eastAsia="MS Mincho"/>
          <w:szCs w:val="24"/>
          <w:lang w:eastAsia="ja-JP"/>
        </w:rPr>
        <w:t xml:space="preserve">should </w:t>
      </w:r>
      <w:r w:rsidR="001D1660" w:rsidRPr="00726E13">
        <w:rPr>
          <w:rFonts w:eastAsia="MS Mincho"/>
          <w:szCs w:val="24"/>
          <w:lang w:eastAsia="ja-JP"/>
        </w:rPr>
        <w:t xml:space="preserve">require the utilities to use simple, </w:t>
      </w:r>
      <w:r w:rsidR="00AD10F3">
        <w:rPr>
          <w:rFonts w:eastAsia="MS Mincho"/>
          <w:szCs w:val="24"/>
          <w:lang w:eastAsia="ja-JP"/>
        </w:rPr>
        <w:t xml:space="preserve">transparent, </w:t>
      </w:r>
      <w:r w:rsidR="001D1660" w:rsidRPr="00726E13">
        <w:rPr>
          <w:rFonts w:eastAsia="MS Mincho"/>
          <w:szCs w:val="24"/>
          <w:lang w:eastAsia="ja-JP"/>
        </w:rPr>
        <w:t>and predictable methods for c</w:t>
      </w:r>
      <w:r w:rsidR="007A7821" w:rsidRPr="00726E13">
        <w:rPr>
          <w:rFonts w:eastAsia="MS Mincho"/>
          <w:szCs w:val="24"/>
          <w:lang w:eastAsia="ja-JP"/>
        </w:rPr>
        <w:t>alculating avoided cost prices</w:t>
      </w:r>
      <w:r w:rsidR="00C0738A">
        <w:rPr>
          <w:rFonts w:eastAsia="MS Mincho"/>
          <w:szCs w:val="24"/>
          <w:lang w:eastAsia="ja-JP"/>
        </w:rPr>
        <w:t xml:space="preserve">. </w:t>
      </w:r>
      <w:r w:rsidR="007A7821" w:rsidRPr="00726E13">
        <w:rPr>
          <w:rFonts w:eastAsia="MS Mincho"/>
          <w:szCs w:val="24"/>
          <w:lang w:eastAsia="ja-JP"/>
        </w:rPr>
        <w:t xml:space="preserve"> </w:t>
      </w:r>
      <w:r w:rsidR="00C0738A">
        <w:rPr>
          <w:rFonts w:eastAsia="MS Mincho"/>
          <w:szCs w:val="24"/>
          <w:lang w:eastAsia="ja-JP"/>
        </w:rPr>
        <w:t>The</w:t>
      </w:r>
      <w:r w:rsidR="00C0738A" w:rsidRPr="00726E13">
        <w:rPr>
          <w:rFonts w:eastAsia="MS Mincho"/>
          <w:szCs w:val="24"/>
          <w:lang w:eastAsia="ja-JP"/>
        </w:rPr>
        <w:t xml:space="preserve"> Energy Efficiency Method</w:t>
      </w:r>
      <w:r w:rsidR="00C0738A">
        <w:rPr>
          <w:rFonts w:eastAsia="MS Mincho"/>
          <w:szCs w:val="24"/>
          <w:lang w:eastAsia="ja-JP"/>
        </w:rPr>
        <w:t xml:space="preserve"> is appropriate when QF projects will defer high cost demand response resources, but </w:t>
      </w:r>
      <w:r w:rsidR="001D1660" w:rsidRPr="00726E13">
        <w:rPr>
          <w:rFonts w:eastAsia="MS Mincho"/>
          <w:szCs w:val="24"/>
          <w:lang w:eastAsia="ja-JP"/>
        </w:rPr>
        <w:t xml:space="preserve">the Proxy </w:t>
      </w:r>
      <w:r w:rsidR="00DA71AC" w:rsidRPr="00726E13">
        <w:rPr>
          <w:rFonts w:eastAsia="MS Mincho"/>
          <w:szCs w:val="24"/>
          <w:lang w:eastAsia="ja-JP"/>
        </w:rPr>
        <w:t xml:space="preserve">and Peaker </w:t>
      </w:r>
      <w:r w:rsidR="001D1660" w:rsidRPr="00726E13">
        <w:rPr>
          <w:rFonts w:eastAsia="MS Mincho"/>
          <w:szCs w:val="24"/>
          <w:lang w:eastAsia="ja-JP"/>
        </w:rPr>
        <w:t>Method</w:t>
      </w:r>
      <w:r w:rsidR="00DA71AC" w:rsidRPr="00726E13">
        <w:rPr>
          <w:rFonts w:eastAsia="MS Mincho"/>
          <w:szCs w:val="24"/>
          <w:lang w:eastAsia="ja-JP"/>
        </w:rPr>
        <w:t>s</w:t>
      </w:r>
      <w:r w:rsidR="007A7821" w:rsidRPr="00726E13">
        <w:rPr>
          <w:rFonts w:eastAsia="MS Mincho"/>
          <w:szCs w:val="24"/>
          <w:lang w:eastAsia="ja-JP"/>
        </w:rPr>
        <w:t xml:space="preserve"> also provide workable options</w:t>
      </w:r>
      <w:r w:rsidR="00ED5C2B" w:rsidRPr="00726E13">
        <w:rPr>
          <w:rFonts w:eastAsia="MS Mincho"/>
          <w:szCs w:val="24"/>
          <w:lang w:eastAsia="ja-JP"/>
        </w:rPr>
        <w:t>.</w:t>
      </w:r>
    </w:p>
    <w:p w14:paraId="582F93D0" w14:textId="3BF45251" w:rsidR="00102E02" w:rsidRPr="002C6086" w:rsidRDefault="007A7821" w:rsidP="00770206">
      <w:pPr>
        <w:pStyle w:val="ListParagraph"/>
        <w:numPr>
          <w:ilvl w:val="1"/>
          <w:numId w:val="33"/>
        </w:numPr>
        <w:spacing w:line="480" w:lineRule="auto"/>
        <w:ind w:left="0" w:hanging="540"/>
        <w:rPr>
          <w:rFonts w:eastAsia="MS Mincho"/>
          <w:b/>
          <w:bCs/>
          <w:szCs w:val="24"/>
          <w:lang w:eastAsia="ja-JP"/>
        </w:rPr>
      </w:pPr>
      <w:r w:rsidRPr="00481513">
        <w:lastRenderedPageBreak/>
        <w:t xml:space="preserve">            </w:t>
      </w:r>
      <w:r w:rsidR="00DA71AC" w:rsidRPr="007077B6">
        <w:rPr>
          <w:rFonts w:eastAsia="MS Mincho"/>
          <w:szCs w:val="24"/>
          <w:lang w:eastAsia="ja-JP"/>
        </w:rPr>
        <w:t xml:space="preserve">With respect to </w:t>
      </w:r>
      <w:r w:rsidR="00ED5C2B">
        <w:rPr>
          <w:rFonts w:eastAsia="MS Mincho"/>
          <w:szCs w:val="24"/>
          <w:lang w:eastAsia="ja-JP"/>
        </w:rPr>
        <w:t xml:space="preserve">at least </w:t>
      </w:r>
      <w:r w:rsidR="00DA71AC" w:rsidRPr="007077B6">
        <w:rPr>
          <w:rFonts w:eastAsia="MS Mincho"/>
          <w:szCs w:val="24"/>
          <w:lang w:eastAsia="ja-JP"/>
        </w:rPr>
        <w:t xml:space="preserve">PSE, </w:t>
      </w:r>
      <w:r w:rsidR="00D66F3A">
        <w:rPr>
          <w:rFonts w:eastAsia="MS Mincho"/>
          <w:szCs w:val="24"/>
          <w:lang w:eastAsia="ja-JP"/>
        </w:rPr>
        <w:t>the utility</w:t>
      </w:r>
      <w:r w:rsidR="00DA71AC" w:rsidRPr="007077B6">
        <w:rPr>
          <w:rFonts w:eastAsia="MS Mincho"/>
          <w:szCs w:val="24"/>
          <w:lang w:eastAsia="ja-JP"/>
        </w:rPr>
        <w:t xml:space="preserve"> </w:t>
      </w:r>
      <w:r w:rsidR="00D66F3A">
        <w:rPr>
          <w:rFonts w:eastAsia="MS Mincho"/>
          <w:szCs w:val="24"/>
          <w:lang w:eastAsia="ja-JP"/>
        </w:rPr>
        <w:t>should</w:t>
      </w:r>
      <w:r w:rsidR="00D66F3A" w:rsidRPr="007077B6">
        <w:rPr>
          <w:rFonts w:eastAsia="MS Mincho"/>
          <w:szCs w:val="24"/>
          <w:lang w:eastAsia="ja-JP"/>
        </w:rPr>
        <w:t xml:space="preserve"> </w:t>
      </w:r>
      <w:r w:rsidR="00DA71AC" w:rsidRPr="007077B6">
        <w:rPr>
          <w:rFonts w:eastAsia="MS Mincho"/>
          <w:szCs w:val="24"/>
          <w:lang w:eastAsia="ja-JP"/>
        </w:rPr>
        <w:t>revert to its historic approach of using demand side response measures</w:t>
      </w:r>
      <w:r>
        <w:rPr>
          <w:rFonts w:eastAsia="MS Mincho"/>
          <w:szCs w:val="24"/>
          <w:lang w:eastAsia="ja-JP"/>
        </w:rPr>
        <w:t>, i.e.</w:t>
      </w:r>
      <w:r w:rsidR="00893E81">
        <w:rPr>
          <w:rFonts w:eastAsia="MS Mincho"/>
          <w:szCs w:val="24"/>
          <w:lang w:eastAsia="ja-JP"/>
        </w:rPr>
        <w:t>,</w:t>
      </w:r>
      <w:r>
        <w:rPr>
          <w:rFonts w:eastAsia="MS Mincho"/>
          <w:szCs w:val="24"/>
          <w:lang w:eastAsia="ja-JP"/>
        </w:rPr>
        <w:t xml:space="preserve"> the Energy Efficiency Method,</w:t>
      </w:r>
      <w:r w:rsidR="00DA71AC" w:rsidRPr="007077B6">
        <w:rPr>
          <w:rFonts w:eastAsia="MS Mincho"/>
          <w:szCs w:val="24"/>
          <w:lang w:eastAsia="ja-JP"/>
        </w:rPr>
        <w:t xml:space="preserve"> as </w:t>
      </w:r>
      <w:r w:rsidR="007077B6">
        <w:rPr>
          <w:rFonts w:eastAsia="MS Mincho"/>
          <w:szCs w:val="24"/>
          <w:lang w:eastAsia="ja-JP"/>
        </w:rPr>
        <w:t xml:space="preserve">a proxy for </w:t>
      </w:r>
      <w:r w:rsidR="00770206">
        <w:rPr>
          <w:rFonts w:eastAsia="MS Mincho"/>
          <w:szCs w:val="24"/>
          <w:lang w:eastAsia="ja-JP"/>
        </w:rPr>
        <w:t>the short run capacity costs</w:t>
      </w:r>
      <w:r w:rsidR="007077B6">
        <w:rPr>
          <w:rFonts w:eastAsia="MS Mincho"/>
          <w:szCs w:val="24"/>
          <w:lang w:eastAsia="ja-JP"/>
        </w:rPr>
        <w:t xml:space="preserve">. </w:t>
      </w:r>
      <w:r w:rsidR="00770206">
        <w:rPr>
          <w:rFonts w:eastAsia="MS Mincho"/>
          <w:b/>
          <w:bCs/>
          <w:szCs w:val="24"/>
          <w:lang w:eastAsia="ja-JP"/>
        </w:rPr>
        <w:t xml:space="preserve"> </w:t>
      </w:r>
      <w:r w:rsidR="007077B6">
        <w:t xml:space="preserve">In the alternative, </w:t>
      </w:r>
      <w:r w:rsidR="00ED5C2B">
        <w:t xml:space="preserve">the Commission should require the utilities to use </w:t>
      </w:r>
      <w:r w:rsidR="00ED5C2B">
        <w:rPr>
          <w:rFonts w:eastAsia="MS Mincho"/>
          <w:szCs w:val="24"/>
          <w:lang w:eastAsia="ja-JP"/>
        </w:rPr>
        <w:t>the</w:t>
      </w:r>
      <w:r w:rsidR="00A3766C">
        <w:rPr>
          <w:rFonts w:eastAsia="MS Mincho"/>
          <w:szCs w:val="24"/>
          <w:lang w:eastAsia="ja-JP"/>
        </w:rPr>
        <w:t xml:space="preserve"> </w:t>
      </w:r>
      <w:r w:rsidR="00102E02" w:rsidRPr="00481513">
        <w:rPr>
          <w:rFonts w:eastAsia="MS Mincho"/>
          <w:szCs w:val="24"/>
          <w:lang w:eastAsia="ja-JP"/>
        </w:rPr>
        <w:t>Peaker Method</w:t>
      </w:r>
      <w:r w:rsidR="00ED5C2B">
        <w:rPr>
          <w:rFonts w:eastAsia="MS Mincho"/>
          <w:szCs w:val="24"/>
          <w:lang w:eastAsia="ja-JP"/>
        </w:rPr>
        <w:t xml:space="preserve"> to value capacity</w:t>
      </w:r>
      <w:r w:rsidR="00102E02" w:rsidRPr="00481513">
        <w:rPr>
          <w:rFonts w:eastAsia="MS Mincho"/>
          <w:szCs w:val="24"/>
          <w:lang w:eastAsia="ja-JP"/>
        </w:rPr>
        <w:t xml:space="preserve"> during its </w:t>
      </w:r>
      <w:r w:rsidR="00770206">
        <w:rPr>
          <w:rFonts w:eastAsia="MS Mincho"/>
          <w:szCs w:val="24"/>
          <w:lang w:eastAsia="ja-JP"/>
        </w:rPr>
        <w:t>short-run</w:t>
      </w:r>
      <w:r w:rsidR="00102E02" w:rsidRPr="00481513">
        <w:rPr>
          <w:rFonts w:eastAsia="MS Mincho"/>
          <w:szCs w:val="24"/>
          <w:lang w:eastAsia="ja-JP"/>
        </w:rPr>
        <w:t xml:space="preserve"> period</w:t>
      </w:r>
      <w:r w:rsidR="00ED5C2B">
        <w:rPr>
          <w:rFonts w:eastAsia="MS Mincho"/>
          <w:szCs w:val="24"/>
          <w:lang w:eastAsia="ja-JP"/>
        </w:rPr>
        <w:t xml:space="preserve"> before the next planned major baseload capacity addition.</w:t>
      </w:r>
      <w:r w:rsidR="00ED5C2B">
        <w:rPr>
          <w:rStyle w:val="FootnoteReference"/>
          <w:rFonts w:eastAsia="MS Mincho"/>
          <w:szCs w:val="24"/>
          <w:lang w:eastAsia="ja-JP"/>
        </w:rPr>
        <w:footnoteReference w:id="24"/>
      </w:r>
      <w:r w:rsidR="00ED5C2B">
        <w:rPr>
          <w:rFonts w:eastAsia="MS Mincho"/>
          <w:szCs w:val="24"/>
          <w:lang w:eastAsia="ja-JP"/>
        </w:rPr>
        <w:t xml:space="preserve"> </w:t>
      </w:r>
      <w:r w:rsidR="00675EC8">
        <w:rPr>
          <w:rFonts w:eastAsia="MS Mincho"/>
          <w:szCs w:val="24"/>
          <w:lang w:eastAsia="ja-JP"/>
        </w:rPr>
        <w:t xml:space="preserve">  </w:t>
      </w:r>
      <w:r w:rsidR="00ED5C2B">
        <w:rPr>
          <w:rFonts w:eastAsia="MS Mincho"/>
          <w:szCs w:val="24"/>
          <w:lang w:eastAsia="ja-JP"/>
        </w:rPr>
        <w:t>The utilities</w:t>
      </w:r>
      <w:r w:rsidR="00A3766C">
        <w:rPr>
          <w:rFonts w:eastAsia="MS Mincho"/>
          <w:szCs w:val="24"/>
          <w:lang w:eastAsia="ja-JP"/>
        </w:rPr>
        <w:t xml:space="preserve"> should </w:t>
      </w:r>
      <w:r w:rsidR="00ED5C2B">
        <w:rPr>
          <w:rFonts w:eastAsia="MS Mincho"/>
          <w:szCs w:val="24"/>
          <w:lang w:eastAsia="ja-JP"/>
        </w:rPr>
        <w:t>then continue the</w:t>
      </w:r>
      <w:r w:rsidR="00A3766C">
        <w:rPr>
          <w:rFonts w:eastAsia="MS Mincho"/>
          <w:szCs w:val="24"/>
          <w:lang w:eastAsia="ja-JP"/>
        </w:rPr>
        <w:t xml:space="preserve"> current </w:t>
      </w:r>
      <w:r w:rsidR="00102E02" w:rsidRPr="00481513">
        <w:rPr>
          <w:rFonts w:eastAsia="MS Mincho"/>
          <w:szCs w:val="24"/>
          <w:lang w:eastAsia="ja-JP"/>
        </w:rPr>
        <w:t xml:space="preserve">Proxy Method during its </w:t>
      </w:r>
      <w:r w:rsidR="00770206">
        <w:rPr>
          <w:rFonts w:eastAsia="MS Mincho"/>
          <w:szCs w:val="24"/>
          <w:lang w:eastAsia="ja-JP"/>
        </w:rPr>
        <w:t>long-run</w:t>
      </w:r>
      <w:r w:rsidR="007077B6">
        <w:rPr>
          <w:rFonts w:eastAsia="MS Mincho"/>
          <w:szCs w:val="24"/>
          <w:lang w:eastAsia="ja-JP"/>
        </w:rPr>
        <w:t xml:space="preserve"> period</w:t>
      </w:r>
      <w:r w:rsidR="00A3766C">
        <w:rPr>
          <w:rFonts w:eastAsia="MS Mincho"/>
          <w:szCs w:val="24"/>
          <w:lang w:eastAsia="ja-JP"/>
        </w:rPr>
        <w:t xml:space="preserve"> in which</w:t>
      </w:r>
      <w:r w:rsidR="007077B6">
        <w:rPr>
          <w:rFonts w:eastAsia="MS Mincho"/>
          <w:szCs w:val="24"/>
          <w:lang w:eastAsia="ja-JP"/>
        </w:rPr>
        <w:t xml:space="preserve"> </w:t>
      </w:r>
      <w:r w:rsidR="00770206">
        <w:rPr>
          <w:rFonts w:eastAsia="MS Mincho"/>
          <w:szCs w:val="24"/>
          <w:lang w:eastAsia="ja-JP"/>
        </w:rPr>
        <w:t>the utilities’</w:t>
      </w:r>
      <w:r w:rsidR="00893E81">
        <w:rPr>
          <w:rFonts w:eastAsia="MS Mincho"/>
          <w:szCs w:val="24"/>
          <w:lang w:eastAsia="ja-JP"/>
        </w:rPr>
        <w:t xml:space="preserve"> avoided cost</w:t>
      </w:r>
      <w:r w:rsidR="00A3766C">
        <w:rPr>
          <w:rFonts w:eastAsia="MS Mincho"/>
          <w:szCs w:val="24"/>
          <w:lang w:eastAsia="ja-JP"/>
        </w:rPr>
        <w:t>s</w:t>
      </w:r>
      <w:r w:rsidR="00102E02" w:rsidRPr="00481513">
        <w:rPr>
          <w:rFonts w:eastAsia="MS Mincho"/>
          <w:szCs w:val="24"/>
          <w:lang w:eastAsia="ja-JP"/>
        </w:rPr>
        <w:t xml:space="preserve"> </w:t>
      </w:r>
      <w:r w:rsidR="00A3766C">
        <w:rPr>
          <w:rFonts w:eastAsia="MS Mincho"/>
          <w:szCs w:val="24"/>
          <w:lang w:eastAsia="ja-JP"/>
        </w:rPr>
        <w:t>are based</w:t>
      </w:r>
      <w:r w:rsidR="00DA71AC">
        <w:rPr>
          <w:rFonts w:eastAsia="MS Mincho"/>
          <w:szCs w:val="24"/>
          <w:lang w:eastAsia="ja-JP"/>
        </w:rPr>
        <w:t xml:space="preserve"> on the full costs of a CCCT (or renewable plant from its most recent IRP).</w:t>
      </w:r>
    </w:p>
    <w:p w14:paraId="19124660" w14:textId="7013A347" w:rsidR="00675EC8" w:rsidRPr="00675EC8" w:rsidRDefault="002C6086" w:rsidP="002C6086">
      <w:pPr>
        <w:pStyle w:val="ListParagraph"/>
        <w:numPr>
          <w:ilvl w:val="1"/>
          <w:numId w:val="33"/>
        </w:numPr>
        <w:spacing w:line="480" w:lineRule="auto"/>
        <w:ind w:left="0" w:hanging="540"/>
        <w:rPr>
          <w:rFonts w:eastAsia="MS Mincho"/>
          <w:b/>
          <w:bCs/>
          <w:szCs w:val="24"/>
          <w:lang w:eastAsia="ja-JP"/>
        </w:rPr>
      </w:pPr>
      <w:r w:rsidRPr="00481513">
        <w:t xml:space="preserve">            </w:t>
      </w:r>
      <w:r w:rsidR="007077B6">
        <w:t>Should t</w:t>
      </w:r>
      <w:r>
        <w:t xml:space="preserve">he </w:t>
      </w:r>
      <w:r w:rsidR="00DA71AC">
        <w:t>Commission</w:t>
      </w:r>
      <w:r w:rsidR="007077B6">
        <w:t xml:space="preserve"> maintain the status quo, </w:t>
      </w:r>
      <w:r w:rsidR="00675EC8">
        <w:rPr>
          <w:rFonts w:eastAsia="MS Mincho"/>
          <w:szCs w:val="24"/>
          <w:lang w:eastAsia="ja-JP"/>
        </w:rPr>
        <w:t>the utilities should</w:t>
      </w:r>
      <w:r w:rsidR="00675EC8" w:rsidRPr="00481513">
        <w:rPr>
          <w:rFonts w:eastAsia="MS Mincho"/>
          <w:szCs w:val="24"/>
          <w:lang w:eastAsia="ja-JP"/>
        </w:rPr>
        <w:t xml:space="preserve"> </w:t>
      </w:r>
      <w:r w:rsidR="00675EC8">
        <w:rPr>
          <w:rFonts w:eastAsia="MS Mincho"/>
          <w:szCs w:val="24"/>
          <w:lang w:eastAsia="ja-JP"/>
        </w:rPr>
        <w:t xml:space="preserve">not be permitted to </w:t>
      </w:r>
      <w:r w:rsidR="00675EC8" w:rsidRPr="00481513">
        <w:rPr>
          <w:rFonts w:eastAsia="MS Mincho"/>
          <w:szCs w:val="24"/>
          <w:lang w:eastAsia="ja-JP"/>
        </w:rPr>
        <w:t xml:space="preserve">continue basing </w:t>
      </w:r>
      <w:r w:rsidR="00AD10F3">
        <w:rPr>
          <w:rFonts w:eastAsia="MS Mincho"/>
          <w:szCs w:val="24"/>
          <w:lang w:eastAsia="ja-JP"/>
        </w:rPr>
        <w:t>their</w:t>
      </w:r>
      <w:r w:rsidR="00675EC8" w:rsidRPr="00481513">
        <w:rPr>
          <w:rFonts w:eastAsia="MS Mincho"/>
          <w:szCs w:val="24"/>
          <w:lang w:eastAsia="ja-JP"/>
        </w:rPr>
        <w:t xml:space="preserve"> capacity value on </w:t>
      </w:r>
      <w:r w:rsidR="00675EC8">
        <w:rPr>
          <w:rFonts w:eastAsia="MS Mincho"/>
          <w:szCs w:val="24"/>
          <w:lang w:eastAsia="ja-JP"/>
        </w:rPr>
        <w:t xml:space="preserve">only one quarter </w:t>
      </w:r>
      <w:r w:rsidR="00675EC8" w:rsidRPr="00481513">
        <w:rPr>
          <w:rFonts w:eastAsia="MS Mincho"/>
          <w:szCs w:val="24"/>
          <w:lang w:eastAsia="ja-JP"/>
        </w:rPr>
        <w:t xml:space="preserve">of the </w:t>
      </w:r>
      <w:r w:rsidR="00675EC8">
        <w:rPr>
          <w:rFonts w:eastAsia="MS Mincho"/>
          <w:szCs w:val="24"/>
          <w:lang w:eastAsia="ja-JP"/>
        </w:rPr>
        <w:t>capital</w:t>
      </w:r>
      <w:r w:rsidR="00675EC8" w:rsidRPr="00481513">
        <w:rPr>
          <w:rFonts w:eastAsia="MS Mincho"/>
          <w:szCs w:val="24"/>
          <w:lang w:eastAsia="ja-JP"/>
        </w:rPr>
        <w:t xml:space="preserve"> costs of a SCCT</w:t>
      </w:r>
      <w:r w:rsidR="00675EC8">
        <w:rPr>
          <w:rFonts w:eastAsia="MS Mincho"/>
          <w:szCs w:val="24"/>
          <w:lang w:eastAsia="ja-JP"/>
        </w:rPr>
        <w:t xml:space="preserve">.  </w:t>
      </w:r>
      <w:r w:rsidR="00675EC8">
        <w:t>Specifically,</w:t>
      </w:r>
      <w:r>
        <w:t xml:space="preserve"> PacifiCorp</w:t>
      </w:r>
      <w:r w:rsidR="00675EC8">
        <w:t xml:space="preserve"> should</w:t>
      </w:r>
      <w:r>
        <w:t xml:space="preserve"> </w:t>
      </w:r>
      <w:r w:rsidR="007A7821">
        <w:t>modify its method to provide</w:t>
      </w:r>
      <w:r>
        <w:t xml:space="preserve"> full capacity payments that represent each month rather </w:t>
      </w:r>
      <w:r w:rsidR="00675EC8">
        <w:t>than focusing only on its winter</w:t>
      </w:r>
      <w:r>
        <w:t xml:space="preserve"> peak.</w:t>
      </w:r>
      <w:r w:rsidRPr="00481513">
        <w:t xml:space="preserve"> </w:t>
      </w:r>
      <w:r w:rsidR="007077B6">
        <w:t xml:space="preserve">The </w:t>
      </w:r>
      <w:r w:rsidR="007A7821">
        <w:t>Commission</w:t>
      </w:r>
      <w:r w:rsidR="007077B6">
        <w:t xml:space="preserve"> </w:t>
      </w:r>
      <w:r w:rsidR="007A7821">
        <w:t>currently allows</w:t>
      </w:r>
      <w:r w:rsidR="007077B6">
        <w:t xml:space="preserve"> </w:t>
      </w:r>
      <w:r w:rsidRPr="00481513">
        <w:rPr>
          <w:rFonts w:eastAsia="MS Mincho"/>
          <w:szCs w:val="24"/>
          <w:lang w:eastAsia="ja-JP"/>
        </w:rPr>
        <w:t>PacifiCorp</w:t>
      </w:r>
      <w:r w:rsidR="00675EC8">
        <w:rPr>
          <w:rFonts w:eastAsia="MS Mincho"/>
          <w:szCs w:val="24"/>
          <w:lang w:eastAsia="ja-JP"/>
        </w:rPr>
        <w:t xml:space="preserve"> (but not PSE)</w:t>
      </w:r>
      <w:r w:rsidRPr="00481513">
        <w:rPr>
          <w:rFonts w:eastAsia="MS Mincho"/>
          <w:szCs w:val="24"/>
          <w:lang w:eastAsia="ja-JP"/>
        </w:rPr>
        <w:t xml:space="preserve"> </w:t>
      </w:r>
      <w:r w:rsidR="007077B6">
        <w:rPr>
          <w:rFonts w:eastAsia="MS Mincho"/>
          <w:szCs w:val="24"/>
          <w:lang w:eastAsia="ja-JP"/>
        </w:rPr>
        <w:t>to modify</w:t>
      </w:r>
      <w:r w:rsidRPr="00481513">
        <w:rPr>
          <w:rFonts w:eastAsia="MS Mincho"/>
          <w:szCs w:val="24"/>
          <w:lang w:eastAsia="ja-JP"/>
        </w:rPr>
        <w:t xml:space="preserve"> the Peaker Method during its period of </w:t>
      </w:r>
      <w:r w:rsidR="00675EC8">
        <w:rPr>
          <w:rFonts w:eastAsia="MS Mincho"/>
          <w:szCs w:val="24"/>
          <w:lang w:eastAsia="ja-JP"/>
        </w:rPr>
        <w:t>short-term resource need</w:t>
      </w:r>
      <w:r w:rsidRPr="00481513">
        <w:rPr>
          <w:rFonts w:eastAsia="MS Mincho"/>
          <w:szCs w:val="24"/>
          <w:lang w:eastAsia="ja-JP"/>
        </w:rPr>
        <w:t xml:space="preserve"> to estimate avoided energy costs, </w:t>
      </w:r>
      <w:r w:rsidR="007077B6">
        <w:rPr>
          <w:rFonts w:eastAsia="MS Mincho"/>
          <w:szCs w:val="24"/>
          <w:lang w:eastAsia="ja-JP"/>
        </w:rPr>
        <w:t>by only allowing</w:t>
      </w:r>
      <w:r w:rsidRPr="00481513">
        <w:rPr>
          <w:rFonts w:eastAsia="MS Mincho"/>
          <w:szCs w:val="24"/>
          <w:lang w:eastAsia="ja-JP"/>
        </w:rPr>
        <w:t xml:space="preserve"> one forth the</w:t>
      </w:r>
      <w:r w:rsidR="007077B6">
        <w:rPr>
          <w:rFonts w:eastAsia="MS Mincho"/>
          <w:szCs w:val="24"/>
          <w:lang w:eastAsia="ja-JP"/>
        </w:rPr>
        <w:t xml:space="preserve"> capital</w:t>
      </w:r>
      <w:r w:rsidRPr="00481513">
        <w:rPr>
          <w:rFonts w:eastAsia="MS Mincho"/>
          <w:szCs w:val="24"/>
          <w:lang w:eastAsia="ja-JP"/>
        </w:rPr>
        <w:t xml:space="preserve"> costs of a SCCT.</w:t>
      </w:r>
      <w:r w:rsidR="00701F86">
        <w:rPr>
          <w:rFonts w:eastAsia="MS Mincho"/>
          <w:szCs w:val="24"/>
          <w:lang w:eastAsia="ja-JP"/>
        </w:rPr>
        <w:t xml:space="preserve">  PacifiCorp </w:t>
      </w:r>
      <w:r w:rsidR="006230A5">
        <w:rPr>
          <w:rFonts w:eastAsia="MS Mincho"/>
          <w:szCs w:val="24"/>
          <w:lang w:eastAsia="ja-JP"/>
        </w:rPr>
        <w:t>has not proposed</w:t>
      </w:r>
      <w:r w:rsidR="00701F86">
        <w:rPr>
          <w:rFonts w:eastAsia="MS Mincho"/>
          <w:szCs w:val="24"/>
          <w:lang w:eastAsia="ja-JP"/>
        </w:rPr>
        <w:t xml:space="preserve"> that only one quarter of its peaking plans be included for recovery in rate base.</w:t>
      </w:r>
      <w:r w:rsidR="006230A5">
        <w:rPr>
          <w:rFonts w:eastAsia="MS Mincho"/>
          <w:szCs w:val="24"/>
          <w:lang w:eastAsia="ja-JP"/>
        </w:rPr>
        <w:t xml:space="preserve">  Peaking plants and QF resources are</w:t>
      </w:r>
      <w:r w:rsidR="006230A5">
        <w:t xml:space="preserve"> available for more than just</w:t>
      </w:r>
      <w:r w:rsidR="006230A5" w:rsidRPr="00FE1489">
        <w:t xml:space="preserve"> the </w:t>
      </w:r>
      <w:r w:rsidR="006230A5">
        <w:t xml:space="preserve">few </w:t>
      </w:r>
      <w:r w:rsidR="006230A5" w:rsidRPr="00FE1489">
        <w:t>hours</w:t>
      </w:r>
      <w:r w:rsidR="006230A5">
        <w:t xml:space="preserve"> of the year that capacity may be needed</w:t>
      </w:r>
      <w:r w:rsidR="006230A5" w:rsidRPr="00FE1489">
        <w:t xml:space="preserve">.  </w:t>
      </w:r>
      <w:r w:rsidR="006230A5">
        <w:rPr>
          <w:rFonts w:eastAsia="MS Mincho"/>
          <w:szCs w:val="24"/>
          <w:lang w:eastAsia="ja-JP"/>
        </w:rPr>
        <w:t xml:space="preserve"> </w:t>
      </w:r>
      <w:r w:rsidRPr="00481513">
        <w:rPr>
          <w:rFonts w:eastAsia="MS Mincho"/>
          <w:szCs w:val="24"/>
          <w:lang w:eastAsia="ja-JP"/>
        </w:rPr>
        <w:t xml:space="preserve">  </w:t>
      </w:r>
    </w:p>
    <w:p w14:paraId="3B2AD438" w14:textId="36B35680" w:rsidR="002C6086" w:rsidRPr="000A7F54" w:rsidRDefault="00675EC8" w:rsidP="00DA71AC">
      <w:pPr>
        <w:pStyle w:val="ListParagraph"/>
        <w:numPr>
          <w:ilvl w:val="1"/>
          <w:numId w:val="33"/>
        </w:numPr>
        <w:spacing w:line="480" w:lineRule="auto"/>
        <w:ind w:left="0" w:hanging="540"/>
        <w:rPr>
          <w:rFonts w:eastAsia="MS Mincho"/>
          <w:b/>
          <w:bCs/>
          <w:szCs w:val="24"/>
          <w:lang w:eastAsia="ja-JP"/>
        </w:rPr>
      </w:pPr>
      <w:r>
        <w:rPr>
          <w:rFonts w:eastAsia="MS Mincho"/>
          <w:szCs w:val="24"/>
          <w:lang w:eastAsia="ja-JP"/>
        </w:rPr>
        <w:tab/>
        <w:t>In a recent proceeding, PacifiCorp attempted to set capacity costs at zero, but in the alternative</w:t>
      </w:r>
      <w:r w:rsidR="002C6086">
        <w:rPr>
          <w:rFonts w:eastAsia="MS Mincho"/>
          <w:szCs w:val="24"/>
          <w:lang w:eastAsia="ja-JP"/>
        </w:rPr>
        <w:t xml:space="preserve"> </w:t>
      </w:r>
      <w:r>
        <w:rPr>
          <w:rFonts w:eastAsia="MS Mincho"/>
          <w:szCs w:val="24"/>
          <w:lang w:eastAsia="ja-JP"/>
        </w:rPr>
        <w:t>argued that</w:t>
      </w:r>
      <w:r w:rsidR="002C6086">
        <w:rPr>
          <w:rFonts w:eastAsia="MS Mincho"/>
          <w:szCs w:val="24"/>
          <w:lang w:eastAsia="ja-JP"/>
        </w:rPr>
        <w:t xml:space="preserve"> </w:t>
      </w:r>
      <w:r>
        <w:rPr>
          <w:rFonts w:eastAsia="MS Mincho"/>
          <w:szCs w:val="24"/>
          <w:lang w:eastAsia="ja-JP"/>
        </w:rPr>
        <w:t>one fourth of the capital costs</w:t>
      </w:r>
      <w:r w:rsidR="002C6086">
        <w:rPr>
          <w:rFonts w:eastAsia="MS Mincho"/>
          <w:szCs w:val="24"/>
          <w:lang w:eastAsia="ja-JP"/>
        </w:rPr>
        <w:t xml:space="preserve"> </w:t>
      </w:r>
      <w:r>
        <w:rPr>
          <w:rFonts w:eastAsia="MS Mincho"/>
          <w:szCs w:val="24"/>
          <w:lang w:eastAsia="ja-JP"/>
        </w:rPr>
        <w:t xml:space="preserve">of a SCCT was appropriate </w:t>
      </w:r>
      <w:r>
        <w:rPr>
          <w:rFonts w:eastAsia="MS Mincho"/>
          <w:szCs w:val="24"/>
          <w:lang w:eastAsia="ja-JP"/>
        </w:rPr>
        <w:lastRenderedPageBreak/>
        <w:t xml:space="preserve">based on the claim that it </w:t>
      </w:r>
      <w:r w:rsidR="002C6086">
        <w:rPr>
          <w:rFonts w:eastAsia="MS Mincho"/>
          <w:szCs w:val="24"/>
          <w:lang w:eastAsia="ja-JP"/>
        </w:rPr>
        <w:t>represent</w:t>
      </w:r>
      <w:r>
        <w:rPr>
          <w:rFonts w:eastAsia="MS Mincho"/>
          <w:szCs w:val="24"/>
          <w:lang w:eastAsia="ja-JP"/>
        </w:rPr>
        <w:t>ed</w:t>
      </w:r>
      <w:r w:rsidR="002C6086">
        <w:rPr>
          <w:rFonts w:eastAsia="MS Mincho"/>
          <w:szCs w:val="24"/>
          <w:lang w:eastAsia="ja-JP"/>
        </w:rPr>
        <w:t xml:space="preserve"> </w:t>
      </w:r>
      <w:r w:rsidR="007A7821">
        <w:rPr>
          <w:rFonts w:eastAsia="MS Mincho"/>
          <w:szCs w:val="24"/>
          <w:lang w:eastAsia="ja-JP"/>
        </w:rPr>
        <w:t xml:space="preserve">the capacity contribution during </w:t>
      </w:r>
      <w:r w:rsidR="002C6086">
        <w:rPr>
          <w:rFonts w:eastAsia="MS Mincho"/>
          <w:szCs w:val="24"/>
          <w:lang w:eastAsia="ja-JP"/>
        </w:rPr>
        <w:t>its winter peaking months.</w:t>
      </w:r>
      <w:r w:rsidRPr="00675EC8">
        <w:rPr>
          <w:rStyle w:val="FootnoteReference"/>
          <w:rFonts w:eastAsia="MS Mincho"/>
          <w:szCs w:val="24"/>
          <w:lang w:eastAsia="ja-JP"/>
        </w:rPr>
        <w:t xml:space="preserve"> </w:t>
      </w:r>
      <w:r w:rsidRPr="00481513">
        <w:rPr>
          <w:rStyle w:val="FootnoteReference"/>
          <w:rFonts w:eastAsia="MS Mincho"/>
          <w:szCs w:val="24"/>
          <w:lang w:eastAsia="ja-JP"/>
        </w:rPr>
        <w:footnoteReference w:id="25"/>
      </w:r>
      <w:r w:rsidR="002C6086">
        <w:rPr>
          <w:rFonts w:eastAsia="MS Mincho"/>
          <w:szCs w:val="24"/>
          <w:lang w:eastAsia="ja-JP"/>
        </w:rPr>
        <w:t xml:space="preserve"> </w:t>
      </w:r>
      <w:r w:rsidR="006230A5">
        <w:rPr>
          <w:rFonts w:eastAsia="MS Mincho"/>
          <w:szCs w:val="24"/>
          <w:lang w:eastAsia="ja-JP"/>
        </w:rPr>
        <w:t xml:space="preserve"> </w:t>
      </w:r>
      <w:r w:rsidR="002C6086">
        <w:rPr>
          <w:rFonts w:eastAsia="MS Mincho"/>
          <w:szCs w:val="24"/>
          <w:lang w:eastAsia="ja-JP"/>
        </w:rPr>
        <w:t xml:space="preserve">The Commission expressed concerns about </w:t>
      </w:r>
      <w:r w:rsidR="007077B6">
        <w:rPr>
          <w:rFonts w:eastAsia="MS Mincho"/>
          <w:szCs w:val="24"/>
          <w:lang w:eastAsia="ja-JP"/>
        </w:rPr>
        <w:t>PacifiCorp’s</w:t>
      </w:r>
      <w:r w:rsidR="002C6086">
        <w:rPr>
          <w:rFonts w:eastAsia="MS Mincho"/>
          <w:szCs w:val="24"/>
          <w:lang w:eastAsia="ja-JP"/>
        </w:rPr>
        <w:t xml:space="preserve"> one</w:t>
      </w:r>
      <w:r w:rsidR="003E4EEB">
        <w:rPr>
          <w:rFonts w:eastAsia="MS Mincho"/>
          <w:szCs w:val="24"/>
          <w:lang w:eastAsia="ja-JP"/>
        </w:rPr>
        <w:t>-</w:t>
      </w:r>
      <w:r w:rsidR="002C6086">
        <w:rPr>
          <w:rFonts w:eastAsia="MS Mincho"/>
          <w:szCs w:val="24"/>
          <w:lang w:eastAsia="ja-JP"/>
        </w:rPr>
        <w:t>fourth method, but ultimately allowed PacifiCorp to use the calculation</w:t>
      </w:r>
      <w:r>
        <w:rPr>
          <w:rFonts w:eastAsia="MS Mincho"/>
          <w:szCs w:val="24"/>
          <w:lang w:eastAsia="ja-JP"/>
        </w:rPr>
        <w:t xml:space="preserve"> on an interim basis pending resolution of this broader PURPA proceeding</w:t>
      </w:r>
      <w:r w:rsidR="002C6086">
        <w:rPr>
          <w:rFonts w:eastAsia="MS Mincho"/>
          <w:szCs w:val="24"/>
          <w:lang w:eastAsia="ja-JP"/>
        </w:rPr>
        <w:t xml:space="preserve">.  </w:t>
      </w:r>
      <w:r>
        <w:rPr>
          <w:rFonts w:eastAsia="MS Mincho"/>
          <w:szCs w:val="24"/>
          <w:lang w:eastAsia="ja-JP"/>
        </w:rPr>
        <w:t>Thus, PacifiCorp has n</w:t>
      </w:r>
      <w:r w:rsidR="002C6086">
        <w:rPr>
          <w:rFonts w:eastAsia="MS Mincho"/>
          <w:szCs w:val="24"/>
          <w:lang w:eastAsia="ja-JP"/>
        </w:rPr>
        <w:t xml:space="preserve">ever adequately justified whether using only one fourth of the costs of a SCCT accurately represent </w:t>
      </w:r>
      <w:r w:rsidR="007A7821">
        <w:rPr>
          <w:rFonts w:eastAsia="MS Mincho"/>
          <w:szCs w:val="24"/>
          <w:lang w:eastAsia="ja-JP"/>
        </w:rPr>
        <w:t>its capacity needs</w:t>
      </w:r>
      <w:r w:rsidR="000A7F54">
        <w:rPr>
          <w:rFonts w:eastAsia="MS Mincho"/>
          <w:szCs w:val="24"/>
          <w:lang w:eastAsia="ja-JP"/>
        </w:rPr>
        <w:t xml:space="preserve"> and costs</w:t>
      </w:r>
      <w:r w:rsidR="002C6086" w:rsidRPr="00481513">
        <w:rPr>
          <w:rFonts w:eastAsia="MS Mincho"/>
          <w:szCs w:val="24"/>
          <w:lang w:eastAsia="ja-JP"/>
        </w:rPr>
        <w:t>.</w:t>
      </w:r>
      <w:r w:rsidR="000A7F54">
        <w:rPr>
          <w:rFonts w:eastAsia="MS Mincho"/>
          <w:b/>
          <w:bCs/>
          <w:szCs w:val="24"/>
          <w:lang w:eastAsia="ja-JP"/>
        </w:rPr>
        <w:t xml:space="preserve">  </w:t>
      </w:r>
      <w:r w:rsidRPr="000A7F54">
        <w:rPr>
          <w:rFonts w:eastAsia="MS Mincho"/>
          <w:szCs w:val="24"/>
          <w:lang w:eastAsia="ja-JP"/>
        </w:rPr>
        <w:t>Only a</w:t>
      </w:r>
      <w:r w:rsidR="002C6086" w:rsidRPr="000A7F54">
        <w:rPr>
          <w:rFonts w:eastAsia="MS Mincho"/>
          <w:szCs w:val="24"/>
          <w:lang w:eastAsia="ja-JP"/>
        </w:rPr>
        <w:t xml:space="preserve"> fo</w:t>
      </w:r>
      <w:r w:rsidR="007A7821" w:rsidRPr="000A7F54">
        <w:rPr>
          <w:rFonts w:eastAsia="MS Mincho"/>
          <w:szCs w:val="24"/>
          <w:lang w:eastAsia="ja-JP"/>
        </w:rPr>
        <w:t>u</w:t>
      </w:r>
      <w:r w:rsidR="002C6086" w:rsidRPr="000A7F54">
        <w:rPr>
          <w:rFonts w:eastAsia="MS Mincho"/>
          <w:szCs w:val="24"/>
          <w:lang w:eastAsia="ja-JP"/>
        </w:rPr>
        <w:t xml:space="preserve">rth </w:t>
      </w:r>
      <w:r w:rsidR="007A7821" w:rsidRPr="000A7F54">
        <w:rPr>
          <w:rFonts w:eastAsia="MS Mincho"/>
          <w:szCs w:val="24"/>
          <w:lang w:eastAsia="ja-JP"/>
        </w:rPr>
        <w:t xml:space="preserve">of the </w:t>
      </w:r>
      <w:r w:rsidR="002C6086" w:rsidRPr="000A7F54">
        <w:rPr>
          <w:rFonts w:eastAsia="MS Mincho"/>
          <w:szCs w:val="24"/>
          <w:lang w:eastAsia="ja-JP"/>
        </w:rPr>
        <w:t xml:space="preserve">capital costs </w:t>
      </w:r>
      <w:r w:rsidRPr="000A7F54">
        <w:rPr>
          <w:rFonts w:eastAsia="MS Mincho"/>
          <w:szCs w:val="24"/>
          <w:lang w:eastAsia="ja-JP"/>
        </w:rPr>
        <w:t xml:space="preserve">do not accurately </w:t>
      </w:r>
      <w:r w:rsidR="007A7821" w:rsidRPr="000A7F54">
        <w:rPr>
          <w:rFonts w:eastAsia="MS Mincho"/>
          <w:szCs w:val="24"/>
          <w:lang w:eastAsia="ja-JP"/>
        </w:rPr>
        <w:t>represent</w:t>
      </w:r>
      <w:r w:rsidRPr="000A7F54">
        <w:rPr>
          <w:rFonts w:eastAsia="MS Mincho"/>
          <w:szCs w:val="24"/>
          <w:lang w:eastAsia="ja-JP"/>
        </w:rPr>
        <w:t xml:space="preserve"> the </w:t>
      </w:r>
      <w:r w:rsidR="002C6086" w:rsidRPr="000A7F54">
        <w:rPr>
          <w:rFonts w:eastAsia="MS Mincho"/>
          <w:szCs w:val="24"/>
          <w:lang w:eastAsia="ja-JP"/>
        </w:rPr>
        <w:t>value of capacity</w:t>
      </w:r>
      <w:r w:rsidRPr="000A7F54">
        <w:rPr>
          <w:rFonts w:eastAsia="MS Mincho"/>
          <w:szCs w:val="24"/>
          <w:lang w:eastAsia="ja-JP"/>
        </w:rPr>
        <w:t xml:space="preserve"> provided by QFs.</w:t>
      </w:r>
      <w:r w:rsidR="002C6086" w:rsidRPr="000A7F54">
        <w:rPr>
          <w:rFonts w:eastAsia="MS Mincho"/>
          <w:szCs w:val="24"/>
          <w:lang w:eastAsia="ja-JP"/>
        </w:rPr>
        <w:t xml:space="preserve"> </w:t>
      </w:r>
    </w:p>
    <w:p w14:paraId="773A7A32" w14:textId="6769BF8A" w:rsidR="00B34F5E" w:rsidRDefault="00B34F5E" w:rsidP="00B34F5E">
      <w:pPr>
        <w:pStyle w:val="ListParagraph"/>
        <w:ind w:left="2160" w:hanging="720"/>
        <w:rPr>
          <w:rFonts w:eastAsia="MS Mincho"/>
          <w:b/>
          <w:bCs/>
          <w:szCs w:val="24"/>
          <w:lang w:eastAsia="ja-JP"/>
        </w:rPr>
      </w:pPr>
      <w:r w:rsidRPr="00481513">
        <w:rPr>
          <w:rFonts w:eastAsia="MS Mincho"/>
          <w:b/>
          <w:bCs/>
          <w:szCs w:val="24"/>
          <w:lang w:eastAsia="ja-JP"/>
        </w:rPr>
        <w:t>vi</w:t>
      </w:r>
      <w:r>
        <w:rPr>
          <w:rFonts w:eastAsia="MS Mincho"/>
          <w:b/>
          <w:bCs/>
          <w:szCs w:val="24"/>
          <w:lang w:eastAsia="ja-JP"/>
        </w:rPr>
        <w:t>i</w:t>
      </w:r>
      <w:r w:rsidR="00F85E4D">
        <w:rPr>
          <w:rFonts w:eastAsia="MS Mincho"/>
          <w:b/>
          <w:bCs/>
          <w:szCs w:val="24"/>
          <w:lang w:eastAsia="ja-JP"/>
        </w:rPr>
        <w:t>i</w:t>
      </w:r>
      <w:r w:rsidRPr="00481513">
        <w:rPr>
          <w:rFonts w:eastAsia="MS Mincho"/>
          <w:b/>
          <w:bCs/>
          <w:szCs w:val="24"/>
          <w:lang w:eastAsia="ja-JP"/>
        </w:rPr>
        <w:t xml:space="preserve">. </w:t>
      </w:r>
      <w:r w:rsidRPr="00481513">
        <w:rPr>
          <w:rFonts w:eastAsia="MS Mincho"/>
          <w:b/>
          <w:bCs/>
          <w:szCs w:val="24"/>
          <w:lang w:eastAsia="ja-JP"/>
        </w:rPr>
        <w:tab/>
      </w:r>
      <w:r>
        <w:rPr>
          <w:rFonts w:eastAsia="MS Mincho"/>
          <w:b/>
          <w:bCs/>
          <w:szCs w:val="24"/>
          <w:lang w:eastAsia="ja-JP"/>
        </w:rPr>
        <w:t>Washington Utilities Should Be Required to Pay a Renewable Avoided Cost Rate to Renewable QFs tha</w:t>
      </w:r>
      <w:r w:rsidR="00B3798A">
        <w:rPr>
          <w:rFonts w:eastAsia="MS Mincho"/>
          <w:b/>
          <w:bCs/>
          <w:szCs w:val="24"/>
          <w:lang w:eastAsia="ja-JP"/>
        </w:rPr>
        <w:t>t Are Willing to Sell Both Net Electrical Output</w:t>
      </w:r>
      <w:r>
        <w:rPr>
          <w:rFonts w:eastAsia="MS Mincho"/>
          <w:b/>
          <w:bCs/>
          <w:szCs w:val="24"/>
          <w:lang w:eastAsia="ja-JP"/>
        </w:rPr>
        <w:t xml:space="preserve"> and Renewable Energy Certificates</w:t>
      </w:r>
    </w:p>
    <w:p w14:paraId="2892972F" w14:textId="196EC834" w:rsidR="00B34F5E" w:rsidRDefault="00B34F5E" w:rsidP="00B34F5E">
      <w:pPr>
        <w:pStyle w:val="ListParagraph"/>
        <w:ind w:left="1440"/>
        <w:rPr>
          <w:rFonts w:eastAsia="MS Mincho"/>
          <w:b/>
          <w:bCs/>
          <w:szCs w:val="24"/>
          <w:lang w:eastAsia="ja-JP"/>
        </w:rPr>
      </w:pPr>
      <w:r>
        <w:rPr>
          <w:rFonts w:eastAsia="MS Mincho"/>
          <w:b/>
          <w:bCs/>
          <w:szCs w:val="24"/>
          <w:lang w:eastAsia="ja-JP"/>
        </w:rPr>
        <w:t xml:space="preserve"> </w:t>
      </w:r>
    </w:p>
    <w:p w14:paraId="2BC16AE0" w14:textId="168754BA" w:rsidR="00B34F5E" w:rsidRPr="00481513" w:rsidRDefault="00B34F5E" w:rsidP="00B34F5E">
      <w:pPr>
        <w:pStyle w:val="ListParagraph"/>
        <w:numPr>
          <w:ilvl w:val="1"/>
          <w:numId w:val="33"/>
        </w:numPr>
        <w:spacing w:line="480" w:lineRule="auto"/>
        <w:ind w:left="0" w:hanging="540"/>
        <w:rPr>
          <w:rFonts w:eastAsia="MS Mincho"/>
          <w:lang w:eastAsia="ja-JP"/>
        </w:rPr>
      </w:pPr>
      <w:r>
        <w:rPr>
          <w:rFonts w:eastAsia="MS Mincho"/>
          <w:szCs w:val="24"/>
          <w:lang w:eastAsia="ja-JP"/>
        </w:rPr>
        <w:tab/>
        <w:t>State regulatory commissions</w:t>
      </w:r>
      <w:r w:rsidRPr="00481513">
        <w:rPr>
          <w:rFonts w:eastAsia="MS Mincho"/>
          <w:szCs w:val="24"/>
          <w:lang w:eastAsia="ja-JP"/>
        </w:rPr>
        <w:t xml:space="preserve"> can require utilities to offer a separate avoided cost prices stream </w:t>
      </w:r>
      <w:r w:rsidR="006F096E">
        <w:rPr>
          <w:rFonts w:eastAsia="MS Mincho"/>
          <w:szCs w:val="24"/>
          <w:lang w:eastAsia="ja-JP"/>
        </w:rPr>
        <w:t>for renewable QFs under a similar</w:t>
      </w:r>
      <w:r w:rsidRPr="00481513">
        <w:rPr>
          <w:rFonts w:eastAsia="MS Mincho"/>
          <w:szCs w:val="24"/>
          <w:lang w:eastAsia="ja-JP"/>
        </w:rPr>
        <w:t xml:space="preserve"> methodology for non-renewable rates.</w:t>
      </w:r>
      <w:r w:rsidRPr="00EE12D9">
        <w:rPr>
          <w:rStyle w:val="FootnoteReference"/>
          <w:rFonts w:eastAsia="MS Mincho"/>
          <w:szCs w:val="24"/>
          <w:lang w:eastAsia="ja-JP"/>
        </w:rPr>
        <w:footnoteReference w:id="26"/>
      </w:r>
      <w:r w:rsidRPr="00481513">
        <w:rPr>
          <w:rFonts w:eastAsia="MS Mincho"/>
          <w:szCs w:val="24"/>
          <w:lang w:eastAsia="ja-JP"/>
        </w:rPr>
        <w:t xml:space="preserve">  Renewable QFs </w:t>
      </w:r>
      <w:r>
        <w:rPr>
          <w:rFonts w:eastAsia="MS Mincho"/>
          <w:szCs w:val="24"/>
          <w:lang w:eastAsia="ja-JP"/>
        </w:rPr>
        <w:t xml:space="preserve">that transfer their renewable energy certificates </w:t>
      </w:r>
      <w:r w:rsidRPr="00481513">
        <w:rPr>
          <w:rFonts w:eastAsia="MS Mincho"/>
          <w:szCs w:val="24"/>
          <w:lang w:eastAsia="ja-JP"/>
        </w:rPr>
        <w:t>allow utilities to achieve their state mandated RPS requirements, and help defer renewable resource acquisition, which is why separate prices are warranted.  This is important because the utilities are likely to acquire significant amounts of rene</w:t>
      </w:r>
      <w:r w:rsidR="00AF63EF">
        <w:rPr>
          <w:rFonts w:eastAsia="MS Mincho"/>
          <w:szCs w:val="24"/>
          <w:lang w:eastAsia="ja-JP"/>
        </w:rPr>
        <w:t>wables in the future, which could</w:t>
      </w:r>
      <w:r w:rsidRPr="00481513">
        <w:rPr>
          <w:rFonts w:eastAsia="MS Mincho"/>
          <w:szCs w:val="24"/>
          <w:lang w:eastAsia="ja-JP"/>
        </w:rPr>
        <w:t xml:space="preserve"> be the next avoidable resource.</w:t>
      </w:r>
      <w:r w:rsidRPr="00481513">
        <w:rPr>
          <w:rStyle w:val="FootnoteReference"/>
          <w:rFonts w:eastAsia="MS Mincho"/>
          <w:szCs w:val="24"/>
          <w:lang w:eastAsia="ja-JP"/>
        </w:rPr>
        <w:footnoteReference w:id="27"/>
      </w:r>
      <w:r w:rsidRPr="00481513">
        <w:rPr>
          <w:rFonts w:eastAsia="MS Mincho"/>
          <w:szCs w:val="24"/>
          <w:lang w:eastAsia="ja-JP"/>
        </w:rPr>
        <w:t xml:space="preserve"> </w:t>
      </w:r>
    </w:p>
    <w:p w14:paraId="362DCBB9" w14:textId="6872EB25" w:rsidR="00B34F5E" w:rsidRPr="0060351B" w:rsidRDefault="00B34F5E" w:rsidP="00B34F5E">
      <w:pPr>
        <w:pStyle w:val="ListParagraph"/>
        <w:numPr>
          <w:ilvl w:val="1"/>
          <w:numId w:val="33"/>
        </w:numPr>
        <w:spacing w:line="480" w:lineRule="auto"/>
        <w:ind w:left="0" w:hanging="540"/>
        <w:rPr>
          <w:rFonts w:eastAsia="MS Mincho"/>
          <w:b/>
          <w:bCs/>
          <w:szCs w:val="24"/>
          <w:lang w:eastAsia="ja-JP"/>
        </w:rPr>
      </w:pPr>
      <w:r>
        <w:tab/>
      </w:r>
      <w:r w:rsidRPr="00481513">
        <w:t>The heart of this issue is the distinction</w:t>
      </w:r>
      <w:r>
        <w:t xml:space="preserve"> that renewable resources not only meet a utility’s </w:t>
      </w:r>
      <w:r w:rsidRPr="00481513">
        <w:t>load requirement</w:t>
      </w:r>
      <w:r>
        <w:t xml:space="preserve">s, but also </w:t>
      </w:r>
      <w:r w:rsidRPr="00481513">
        <w:t xml:space="preserve">other state required mandates.  In 2010, FERC reversed </w:t>
      </w:r>
      <w:r w:rsidR="00AD10F3">
        <w:t xml:space="preserve">a </w:t>
      </w:r>
      <w:r w:rsidRPr="00481513">
        <w:t xml:space="preserve">long-standing precedent that severely restricted states’ ability to set rates that </w:t>
      </w:r>
      <w:r w:rsidRPr="00481513">
        <w:lastRenderedPageBreak/>
        <w:t>that</w:t>
      </w:r>
      <w:r w:rsidR="00AF63EF">
        <w:t xml:space="preserve"> reflected the unique value of </w:t>
      </w:r>
      <w:r w:rsidRPr="00481513">
        <w:t>renewables.</w:t>
      </w:r>
      <w:r w:rsidRPr="00481513">
        <w:rPr>
          <w:rStyle w:val="FootnoteReference"/>
        </w:rPr>
        <w:footnoteReference w:id="28"/>
      </w:r>
      <w:r w:rsidRPr="00481513">
        <w:t xml:space="preserve">  FERC explained that states may take into account procurement requirements, and resulting costs, w</w:t>
      </w:r>
      <w:r w:rsidR="00AC6FB0">
        <w:t xml:space="preserve">hen setting avoided cost prices, and </w:t>
      </w:r>
      <w:r w:rsidR="00AC6FB0" w:rsidRPr="00481513">
        <w:t>to determine the avoided costs associated with utility purchases of energy “from generators with certain char</w:t>
      </w:r>
      <w:r w:rsidR="00AC6FB0">
        <w:t>acteristics</w:t>
      </w:r>
      <w:r w:rsidR="00AC6FB0" w:rsidRPr="00481513">
        <w:t>”</w:t>
      </w:r>
      <w:r w:rsidR="00AC6FB0" w:rsidRPr="00481513">
        <w:rPr>
          <w:rStyle w:val="FootnoteReference"/>
        </w:rPr>
        <w:footnoteReference w:id="29"/>
      </w:r>
      <w:r w:rsidR="00AC6FB0" w:rsidRPr="00481513">
        <w:t xml:space="preserve"> </w:t>
      </w:r>
      <w:r w:rsidRPr="00481513">
        <w:t xml:space="preserve">  As such, states have broad discretion to use their PURPA policies to help utilities achieve their RPS requirements</w:t>
      </w:r>
      <w:r>
        <w:t>,</w:t>
      </w:r>
      <w:r w:rsidRPr="00481513">
        <w:t xml:space="preserve"> as well as other procurement mandates</w:t>
      </w:r>
      <w:r>
        <w:t>,</w:t>
      </w:r>
      <w:r w:rsidRPr="00481513">
        <w:t xml:space="preserve"> by creating separate avoided costs price streams.  </w:t>
      </w:r>
    </w:p>
    <w:p w14:paraId="15ED4277" w14:textId="5E4C43FC" w:rsidR="00B34F5E" w:rsidRPr="0060351B" w:rsidRDefault="00B34F5E" w:rsidP="00B34F5E">
      <w:pPr>
        <w:pStyle w:val="ListParagraph"/>
        <w:numPr>
          <w:ilvl w:val="1"/>
          <w:numId w:val="33"/>
        </w:numPr>
        <w:spacing w:line="480" w:lineRule="auto"/>
        <w:ind w:left="0" w:hanging="540"/>
        <w:rPr>
          <w:rFonts w:eastAsia="MS Mincho"/>
          <w:b/>
          <w:bCs/>
          <w:szCs w:val="24"/>
          <w:lang w:eastAsia="ja-JP"/>
        </w:rPr>
      </w:pPr>
      <w:r w:rsidRPr="00481513">
        <w:t xml:space="preserve">            </w:t>
      </w:r>
      <w:r w:rsidRPr="00481513">
        <w:rPr>
          <w:rFonts w:eastAsia="MS Mincho"/>
          <w:szCs w:val="24"/>
          <w:lang w:eastAsia="ja-JP"/>
        </w:rPr>
        <w:t xml:space="preserve">The Commission’s current rules do not distinguish between renewable and non-renewable avoided cost pricing, </w:t>
      </w:r>
      <w:r>
        <w:rPr>
          <w:rFonts w:eastAsia="MS Mincho"/>
          <w:szCs w:val="24"/>
          <w:lang w:eastAsia="ja-JP"/>
        </w:rPr>
        <w:t>and</w:t>
      </w:r>
      <w:r w:rsidRPr="00481513">
        <w:rPr>
          <w:rFonts w:eastAsia="MS Mincho"/>
          <w:szCs w:val="24"/>
          <w:lang w:eastAsia="ja-JP"/>
        </w:rPr>
        <w:t xml:space="preserve"> only compensate QFs based on the avoided capacity costs of the utility’s next thermal generation resources.  Washington utilities need new renewable resources to comply with </w:t>
      </w:r>
      <w:r>
        <w:rPr>
          <w:rFonts w:eastAsia="MS Mincho"/>
          <w:szCs w:val="24"/>
          <w:lang w:eastAsia="ja-JP"/>
        </w:rPr>
        <w:t>Washington’s RPS</w:t>
      </w:r>
      <w:r w:rsidRPr="00481513">
        <w:rPr>
          <w:rFonts w:eastAsia="MS Mincho"/>
          <w:szCs w:val="24"/>
          <w:lang w:eastAsia="ja-JP"/>
        </w:rPr>
        <w:t xml:space="preserve"> requirements and</w:t>
      </w:r>
      <w:r w:rsidR="00AF63EF">
        <w:rPr>
          <w:rFonts w:eastAsia="MS Mincho"/>
          <w:szCs w:val="24"/>
          <w:lang w:eastAsia="ja-JP"/>
        </w:rPr>
        <w:t xml:space="preserve"> meet their future energy needs.  Therefore, </w:t>
      </w:r>
      <w:r w:rsidR="00AD10F3">
        <w:rPr>
          <w:rFonts w:eastAsia="MS Mincho"/>
          <w:szCs w:val="24"/>
          <w:lang w:eastAsia="ja-JP"/>
        </w:rPr>
        <w:t xml:space="preserve">the Commission should adopt </w:t>
      </w:r>
      <w:r w:rsidRPr="00481513">
        <w:rPr>
          <w:rFonts w:eastAsia="MS Mincho"/>
          <w:szCs w:val="24"/>
          <w:lang w:eastAsia="ja-JP"/>
        </w:rPr>
        <w:t>properly designed renewable avoided cost rates for renewable QFs that sell both their power and renewable ener</w:t>
      </w:r>
      <w:r>
        <w:rPr>
          <w:rFonts w:eastAsia="MS Mincho"/>
          <w:szCs w:val="24"/>
          <w:lang w:eastAsia="ja-JP"/>
        </w:rPr>
        <w:t>gy certificates</w:t>
      </w:r>
      <w:r w:rsidRPr="00481513">
        <w:rPr>
          <w:rFonts w:eastAsia="MS Mincho"/>
          <w:szCs w:val="24"/>
          <w:lang w:eastAsia="ja-JP"/>
        </w:rPr>
        <w:t xml:space="preserve">. </w:t>
      </w:r>
    </w:p>
    <w:p w14:paraId="4A1B82EE" w14:textId="0DF737E0" w:rsidR="00B34F5E" w:rsidRPr="00481513" w:rsidRDefault="00B34F5E" w:rsidP="00B34F5E">
      <w:pPr>
        <w:pStyle w:val="ListParagraph"/>
        <w:numPr>
          <w:ilvl w:val="1"/>
          <w:numId w:val="33"/>
        </w:numPr>
        <w:spacing w:line="480" w:lineRule="auto"/>
        <w:ind w:left="0" w:hanging="540"/>
      </w:pPr>
      <w:r w:rsidRPr="00481513">
        <w:t xml:space="preserve">            Here, the Commission could benefit from the experience of its neighbor directly to the south.  In 2011, the Oregon Commission established separate avoided cost price streams for renewable and non-renewable QFs to account for the value of the renewable attributes of renewable energy.</w:t>
      </w:r>
      <w:r w:rsidR="00EF6362">
        <w:rPr>
          <w:rStyle w:val="FootnoteReference"/>
        </w:rPr>
        <w:footnoteReference w:id="30"/>
      </w:r>
      <w:r w:rsidRPr="00481513">
        <w:t xml:space="preserve">  The </w:t>
      </w:r>
      <w:r>
        <w:t>Oregon Commission</w:t>
      </w:r>
      <w:r w:rsidRPr="00481513">
        <w:t xml:space="preserve"> </w:t>
      </w:r>
      <w:r>
        <w:t>explained</w:t>
      </w:r>
      <w:r w:rsidRPr="00481513">
        <w:t xml:space="preserve"> that when QFs are willing to </w:t>
      </w:r>
      <w:r>
        <w:t>sell power and cede their renewable energy certificate</w:t>
      </w:r>
      <w:r w:rsidRPr="00481513">
        <w:t xml:space="preserve">s, they should be </w:t>
      </w:r>
      <w:r w:rsidRPr="00481513">
        <w:lastRenderedPageBreak/>
        <w:t>compensated for the value of green power.</w:t>
      </w:r>
      <w:r w:rsidRPr="00481513">
        <w:rPr>
          <w:rStyle w:val="FootnoteReference"/>
        </w:rPr>
        <w:footnoteReference w:id="31"/>
      </w:r>
      <w:r w:rsidRPr="00481513">
        <w:t xml:space="preserve">  Put simply, when renewable QFs help the utilities meet their RPS requirements, they should be compensated accordingly. </w:t>
      </w:r>
      <w:r>
        <w:t xml:space="preserve"> </w:t>
      </w:r>
    </w:p>
    <w:p w14:paraId="1C7ACB0A" w14:textId="6E294789" w:rsidR="00B34F5E" w:rsidRPr="00481513" w:rsidRDefault="00B34F5E" w:rsidP="00B34F5E">
      <w:pPr>
        <w:pStyle w:val="ListParagraph"/>
        <w:numPr>
          <w:ilvl w:val="1"/>
          <w:numId w:val="33"/>
        </w:numPr>
        <w:spacing w:line="480" w:lineRule="auto"/>
        <w:ind w:left="0" w:hanging="540"/>
      </w:pPr>
      <w:r w:rsidRPr="00481513">
        <w:t xml:space="preserve">            More specifically, Oregon QFs sell their power and keep their RECs until the date upon which the utility needs new renewable resources, which is established during that utility’s IRP</w:t>
      </w:r>
      <w:r w:rsidR="00AF63EF">
        <w:t xml:space="preserve"> or actual resource plans</w:t>
      </w:r>
      <w:r w:rsidRPr="00481513">
        <w:t xml:space="preserve">. </w:t>
      </w:r>
      <w:r w:rsidR="00AF63EF">
        <w:t xml:space="preserve"> </w:t>
      </w:r>
      <w:r w:rsidRPr="00481513">
        <w:t>QFs sell their power at the r</w:t>
      </w:r>
      <w:r w:rsidR="00AF63EF">
        <w:t>enewable rate and cede their renewable energy certificate</w:t>
      </w:r>
      <w:r w:rsidRPr="00481513">
        <w:t xml:space="preserve">s to the utility </w:t>
      </w:r>
      <w:r>
        <w:t>starting with the date that the utility</w:t>
      </w:r>
      <w:r w:rsidRPr="00481513">
        <w:t xml:space="preserve"> plans to acquire new physical renewable resources.  Thus, the utility’s date of next resource acquisition effectively determines whether utilities purchase green power (energy plus </w:t>
      </w:r>
      <w:r>
        <w:t>renewable energy certificate</w:t>
      </w:r>
      <w:r w:rsidRPr="00481513">
        <w:t>s) or brown power (just energy)</w:t>
      </w:r>
      <w:r>
        <w:t xml:space="preserve"> under the renewable avoided cost rate stream</w:t>
      </w:r>
      <w:r w:rsidRPr="00481513">
        <w:t xml:space="preserve">.  </w:t>
      </w:r>
    </w:p>
    <w:p w14:paraId="714E586E" w14:textId="3965592F" w:rsidR="00B34F5E" w:rsidRPr="00B34F5E" w:rsidRDefault="00B34F5E" w:rsidP="00B34F5E">
      <w:pPr>
        <w:pStyle w:val="ListParagraph"/>
        <w:numPr>
          <w:ilvl w:val="1"/>
          <w:numId w:val="33"/>
        </w:numPr>
        <w:spacing w:line="480" w:lineRule="auto"/>
        <w:ind w:left="0" w:hanging="540"/>
        <w:rPr>
          <w:rFonts w:eastAsia="MS Mincho"/>
          <w:b/>
          <w:bCs/>
          <w:szCs w:val="24"/>
          <w:lang w:eastAsia="ja-JP"/>
        </w:rPr>
      </w:pPr>
      <w:r w:rsidRPr="00481513">
        <w:t xml:space="preserve">             </w:t>
      </w:r>
      <w:r w:rsidR="00AC6FB0">
        <w:t xml:space="preserve">Similar to Oregon, Washington should allow </w:t>
      </w:r>
      <w:r>
        <w:t>renewable QFs</w:t>
      </w:r>
      <w:r w:rsidR="00AC6FB0">
        <w:t xml:space="preserve"> the option between renewable and non-renewable avoided cost rates.  A QF should be able to</w:t>
      </w:r>
      <w:r>
        <w:t xml:space="preserve"> elect to keep their renewable energy certificates during all years,</w:t>
      </w:r>
      <w:r w:rsidR="00AC6FB0">
        <w:t xml:space="preserve"> but then only</w:t>
      </w:r>
      <w:r w:rsidR="003E4EEB">
        <w:t xml:space="preserve"> be</w:t>
      </w:r>
      <w:r>
        <w:t xml:space="preserve"> paid the non-renewable avoided cost rate </w:t>
      </w:r>
      <w:r w:rsidR="00AC6FB0">
        <w:t>that defers the utilities</w:t>
      </w:r>
      <w:r>
        <w:t xml:space="preserve"> non-renewable energy and capacity needs.  </w:t>
      </w:r>
      <w:r w:rsidRPr="00481513">
        <w:t>This is important to account for different types of renewable generation</w:t>
      </w:r>
      <w:r>
        <w:t xml:space="preserve"> and QF business models, including the fact that some QFs may have already sold their renewable energy certificates</w:t>
      </w:r>
      <w:r w:rsidR="003E193E">
        <w:t xml:space="preserve">, or need to keep them </w:t>
      </w:r>
      <w:r>
        <w:t xml:space="preserve">to obtain financing. </w:t>
      </w:r>
      <w:r w:rsidR="00AC6FB0">
        <w:t xml:space="preserve"> Allowing these QFs to retain their renewable energy certificates is also consistent with</w:t>
      </w:r>
      <w:r>
        <w:t xml:space="preserve"> FERC’s requirement that a QF which has previously sold its renewable energy certificates under a separate contract still has the right to sell its net output under PURPA.</w:t>
      </w:r>
      <w:r>
        <w:rPr>
          <w:rStyle w:val="FootnoteReference"/>
        </w:rPr>
        <w:footnoteReference w:id="32"/>
      </w:r>
      <w:r>
        <w:t xml:space="preserve"> </w:t>
      </w:r>
    </w:p>
    <w:p w14:paraId="50CCFB02" w14:textId="77777777" w:rsidR="00E87167" w:rsidRDefault="00E87167">
      <w:r>
        <w:br w:type="page"/>
      </w:r>
    </w:p>
    <w:p w14:paraId="4A032611" w14:textId="75EE44A9" w:rsidR="00B34F5E" w:rsidRDefault="00B34F5E" w:rsidP="000E1070">
      <w:pPr>
        <w:pStyle w:val="ListParagraph"/>
        <w:ind w:left="2160" w:hanging="720"/>
        <w:rPr>
          <w:rFonts w:eastAsia="MS Mincho"/>
          <w:b/>
          <w:bCs/>
          <w:szCs w:val="24"/>
          <w:lang w:eastAsia="ja-JP"/>
        </w:rPr>
      </w:pPr>
      <w:r>
        <w:lastRenderedPageBreak/>
        <w:t xml:space="preserve"> </w:t>
      </w:r>
      <w:r>
        <w:rPr>
          <w:rFonts w:eastAsia="MS Mincho"/>
          <w:b/>
          <w:bCs/>
          <w:szCs w:val="24"/>
          <w:lang w:eastAsia="ja-JP"/>
        </w:rPr>
        <w:t>i</w:t>
      </w:r>
      <w:r w:rsidR="00F85E4D">
        <w:rPr>
          <w:rFonts w:eastAsia="MS Mincho"/>
          <w:b/>
          <w:bCs/>
          <w:szCs w:val="24"/>
          <w:lang w:eastAsia="ja-JP"/>
        </w:rPr>
        <w:t>x</w:t>
      </w:r>
      <w:r w:rsidRPr="00481513">
        <w:rPr>
          <w:rFonts w:eastAsia="MS Mincho"/>
          <w:b/>
          <w:bCs/>
          <w:szCs w:val="24"/>
          <w:lang w:eastAsia="ja-JP"/>
        </w:rPr>
        <w:t xml:space="preserve">. </w:t>
      </w:r>
      <w:r w:rsidRPr="00481513">
        <w:rPr>
          <w:rFonts w:eastAsia="MS Mincho"/>
          <w:b/>
          <w:bCs/>
          <w:szCs w:val="24"/>
          <w:lang w:eastAsia="ja-JP"/>
        </w:rPr>
        <w:tab/>
      </w:r>
      <w:r w:rsidR="00F50DDE">
        <w:rPr>
          <w:rFonts w:eastAsia="MS Mincho"/>
          <w:b/>
          <w:bCs/>
          <w:szCs w:val="24"/>
          <w:lang w:eastAsia="ja-JP"/>
        </w:rPr>
        <w:t xml:space="preserve">Existing and Operating QFs Provide Unique Capacity Value </w:t>
      </w:r>
    </w:p>
    <w:p w14:paraId="066C650B" w14:textId="77777777" w:rsidR="000E1070" w:rsidRPr="00B34F5E" w:rsidRDefault="000E1070" w:rsidP="000E1070">
      <w:pPr>
        <w:pStyle w:val="ListParagraph"/>
        <w:ind w:left="2160" w:hanging="720"/>
        <w:rPr>
          <w:rFonts w:eastAsia="MS Mincho"/>
          <w:b/>
          <w:bCs/>
          <w:szCs w:val="24"/>
          <w:lang w:eastAsia="ja-JP"/>
        </w:rPr>
      </w:pPr>
    </w:p>
    <w:p w14:paraId="06E9EFAA" w14:textId="5EE5FFA7" w:rsidR="000E1070" w:rsidRPr="00896E82" w:rsidRDefault="000E1070" w:rsidP="000E1070">
      <w:pPr>
        <w:pStyle w:val="ListParagraph"/>
        <w:numPr>
          <w:ilvl w:val="1"/>
          <w:numId w:val="33"/>
        </w:numPr>
        <w:spacing w:line="480" w:lineRule="auto"/>
        <w:ind w:left="0" w:hanging="540"/>
        <w:rPr>
          <w:rFonts w:eastAsia="MS Mincho"/>
          <w:b/>
          <w:bCs/>
          <w:szCs w:val="24"/>
          <w:lang w:eastAsia="ja-JP"/>
        </w:rPr>
      </w:pPr>
      <w:r w:rsidRPr="00896E82">
        <w:rPr>
          <w:rFonts w:eastAsia="MS Mincho"/>
          <w:szCs w:val="24"/>
          <w:lang w:eastAsia="ja-JP"/>
        </w:rPr>
        <w:t xml:space="preserve"> </w:t>
      </w:r>
      <w:r w:rsidRPr="00896E82">
        <w:t xml:space="preserve">            Existing QFs should be paid for capacity</w:t>
      </w:r>
      <w:r w:rsidR="0088075C">
        <w:t xml:space="preserve"> during all years</w:t>
      </w:r>
      <w:r w:rsidRPr="00896E82">
        <w:t xml:space="preserve"> when they renew their </w:t>
      </w:r>
      <w:r w:rsidR="00B3798A">
        <w:t xml:space="preserve">or enter into new </w:t>
      </w:r>
      <w:r w:rsidRPr="00896E82">
        <w:t>contracts, even if the Commission determines that new QFs should be paid otherwise.  Paying existing QFs for capacity is consistent with how utilities plan their operations and more equitably recognizes the unique long-term benefits that existin</w:t>
      </w:r>
      <w:r w:rsidR="006A2A20">
        <w:t xml:space="preserve">g QFs provide to the utilities.  </w:t>
      </w:r>
      <w:r w:rsidR="006A2A20" w:rsidRPr="00896E82">
        <w:t>QF</w:t>
      </w:r>
      <w:r w:rsidR="006A2A20">
        <w:t>s already operating and under contract allow utilities</w:t>
      </w:r>
      <w:r w:rsidR="006A2A20" w:rsidRPr="00896E82">
        <w:t xml:space="preserve"> to defer </w:t>
      </w:r>
      <w:r w:rsidR="006A2A20">
        <w:t>their new resource acquisitions, which generally lowers</w:t>
      </w:r>
      <w:r w:rsidR="006A2A20" w:rsidRPr="00896E82">
        <w:t xml:space="preserve"> avoided cost rates for QF projects</w:t>
      </w:r>
      <w:r w:rsidR="0088075C">
        <w:t xml:space="preserve"> by pushing off the need for both short and long-run</w:t>
      </w:r>
      <w:r w:rsidR="006A2A20">
        <w:t xml:space="preserve"> capacity</w:t>
      </w:r>
      <w:r w:rsidR="006A2A20" w:rsidRPr="00896E82">
        <w:t xml:space="preserve">. </w:t>
      </w:r>
      <w:r w:rsidR="006A2A20">
        <w:t xml:space="preserve"> Therefore, while </w:t>
      </w:r>
      <w:r w:rsidR="00F85E4D">
        <w:t xml:space="preserve">NIPPC and REC </w:t>
      </w:r>
      <w:r w:rsidR="006A2A20">
        <w:t>support paying all QFs full capacity payments in all contract years, if the Commission adopts a policy that provides no or a minimal capacity payment</w:t>
      </w:r>
      <w:r w:rsidR="0088075C">
        <w:t xml:space="preserve"> for new QFs</w:t>
      </w:r>
      <w:r w:rsidR="006A2A20">
        <w:t>, then at least existing QFs should be paid a full capacity payment in all years.</w:t>
      </w:r>
    </w:p>
    <w:p w14:paraId="14634AC2" w14:textId="46576249" w:rsidR="000E1070" w:rsidRPr="006A2A20" w:rsidRDefault="000E1070" w:rsidP="000E1070">
      <w:pPr>
        <w:pStyle w:val="ListParagraph"/>
        <w:numPr>
          <w:ilvl w:val="1"/>
          <w:numId w:val="33"/>
        </w:numPr>
        <w:spacing w:line="480" w:lineRule="auto"/>
        <w:ind w:left="0" w:hanging="540"/>
        <w:rPr>
          <w:rFonts w:eastAsia="MS Mincho"/>
          <w:b/>
          <w:bCs/>
          <w:szCs w:val="24"/>
          <w:lang w:eastAsia="ja-JP"/>
        </w:rPr>
      </w:pPr>
      <w:r w:rsidRPr="00896E82">
        <w:rPr>
          <w:rFonts w:eastAsia="MS Mincho"/>
          <w:szCs w:val="24"/>
          <w:lang w:eastAsia="ja-JP"/>
        </w:rPr>
        <w:t xml:space="preserve"> </w:t>
      </w:r>
      <w:r w:rsidRPr="00896E82">
        <w:t xml:space="preserve">            When utilities engage in long-term resource planning they compare their load forecasts to their existing resources, and </w:t>
      </w:r>
      <w:r>
        <w:t xml:space="preserve">typically </w:t>
      </w:r>
      <w:r w:rsidRPr="00896E82">
        <w:t xml:space="preserve">include </w:t>
      </w:r>
      <w:r>
        <w:t xml:space="preserve">their </w:t>
      </w:r>
      <w:r w:rsidR="006A2A20">
        <w:t xml:space="preserve">existing and expected </w:t>
      </w:r>
      <w:r w:rsidRPr="00896E82">
        <w:t xml:space="preserve">QF contracts.  PacifiCorp, for example, </w:t>
      </w:r>
      <w:r w:rsidR="006A2A20">
        <w:t xml:space="preserve">has historically </w:t>
      </w:r>
      <w:r w:rsidRPr="00896E82">
        <w:t>assume</w:t>
      </w:r>
      <w:r w:rsidR="006A2A20">
        <w:t>d</w:t>
      </w:r>
      <w:r w:rsidRPr="00896E82">
        <w:t xml:space="preserve"> that all of its</w:t>
      </w:r>
      <w:r w:rsidR="0088075C">
        <w:t xml:space="preserve"> small</w:t>
      </w:r>
      <w:r w:rsidRPr="00896E82">
        <w:t xml:space="preserve"> QF contracts will renew in its resource modeling, which naturally defers a certain amount of capacity need.  This assumption exemplifies the concept that QFs in the aggregate defer new resources, even where they do not fully replace the need for a new resource.  </w:t>
      </w:r>
    </w:p>
    <w:p w14:paraId="4037C10E" w14:textId="34EF78C5" w:rsidR="000E1070" w:rsidRPr="00896E82" w:rsidRDefault="000E1070" w:rsidP="000E1070">
      <w:pPr>
        <w:pStyle w:val="ListParagraph"/>
        <w:numPr>
          <w:ilvl w:val="1"/>
          <w:numId w:val="33"/>
        </w:numPr>
        <w:spacing w:line="480" w:lineRule="auto"/>
        <w:ind w:left="0" w:hanging="540"/>
        <w:rPr>
          <w:rFonts w:eastAsia="MS Mincho"/>
          <w:b/>
          <w:bCs/>
          <w:szCs w:val="24"/>
          <w:lang w:eastAsia="ja-JP"/>
        </w:rPr>
      </w:pPr>
      <w:r w:rsidRPr="00896E82">
        <w:rPr>
          <w:rFonts w:eastAsia="MS Mincho"/>
          <w:szCs w:val="24"/>
          <w:lang w:eastAsia="ja-JP"/>
        </w:rPr>
        <w:t xml:space="preserve"> </w:t>
      </w:r>
      <w:r w:rsidRPr="00896E82">
        <w:t xml:space="preserve">            Paying existing QFs that chose to renew their contracts is especially important when considering the potential for</w:t>
      </w:r>
      <w:r>
        <w:t xml:space="preserve"> </w:t>
      </w:r>
      <w:r w:rsidR="004736A9">
        <w:t>shorter contract terms</w:t>
      </w:r>
      <w:r w:rsidRPr="00896E82">
        <w:t>.  For example, the Idaho Commissio</w:t>
      </w:r>
      <w:r w:rsidR="0095113C">
        <w:t>n recently decreased the</w:t>
      </w:r>
      <w:r w:rsidRPr="00896E82">
        <w:t xml:space="preserve"> contract length </w:t>
      </w:r>
      <w:r w:rsidR="0095113C">
        <w:t xml:space="preserve">a QF can select </w:t>
      </w:r>
      <w:r w:rsidRPr="00896E82">
        <w:t xml:space="preserve">to two years for wind </w:t>
      </w:r>
      <w:r w:rsidRPr="00896E82">
        <w:lastRenderedPageBreak/>
        <w:t>and solar QFs.</w:t>
      </w:r>
      <w:r w:rsidRPr="00896E82">
        <w:rPr>
          <w:rStyle w:val="FootnoteReference"/>
        </w:rPr>
        <w:footnoteReference w:id="33"/>
      </w:r>
      <w:r w:rsidRPr="00896E82">
        <w:t xml:space="preserve">  PacifiCorp </w:t>
      </w:r>
      <w:r w:rsidR="006A2A20">
        <w:t xml:space="preserve">unsuccessfully </w:t>
      </w:r>
      <w:r w:rsidRPr="00896E82">
        <w:t>advocated for similar term lengths in other states as well.</w:t>
      </w:r>
      <w:r>
        <w:rPr>
          <w:rStyle w:val="FootnoteReference"/>
        </w:rPr>
        <w:footnoteReference w:id="34"/>
      </w:r>
      <w:r w:rsidRPr="00896E82">
        <w:t xml:space="preserve">  Reducing contract terms to such a short period could theoretically create a regulatory environment where QFs are never paid for</w:t>
      </w:r>
      <w:r w:rsidR="0088075C">
        <w:t xml:space="preserve"> long-run</w:t>
      </w:r>
      <w:r w:rsidRPr="00896E82">
        <w:t xml:space="preserve"> capacity contributions.  </w:t>
      </w:r>
    </w:p>
    <w:p w14:paraId="387F2AB3" w14:textId="24FAAD73" w:rsidR="00B34F5E" w:rsidRPr="00510F38" w:rsidRDefault="000E1070" w:rsidP="00B34F5E">
      <w:pPr>
        <w:pStyle w:val="ListParagraph"/>
        <w:numPr>
          <w:ilvl w:val="1"/>
          <w:numId w:val="33"/>
        </w:numPr>
        <w:spacing w:line="480" w:lineRule="auto"/>
        <w:ind w:left="0" w:hanging="540"/>
        <w:rPr>
          <w:rFonts w:eastAsia="MS Mincho"/>
          <w:b/>
          <w:bCs/>
          <w:szCs w:val="24"/>
          <w:lang w:eastAsia="ja-JP"/>
        </w:rPr>
      </w:pPr>
      <w:r w:rsidRPr="00896E82">
        <w:rPr>
          <w:rFonts w:eastAsia="MS Mincho"/>
          <w:szCs w:val="24"/>
          <w:lang w:eastAsia="ja-JP"/>
        </w:rPr>
        <w:t xml:space="preserve"> </w:t>
      </w:r>
      <w:r w:rsidRPr="00896E82">
        <w:t xml:space="preserve">            </w:t>
      </w:r>
      <w:r w:rsidR="006A2A20">
        <w:t>While NIPPC and REC disagree with the</w:t>
      </w:r>
      <w:r w:rsidRPr="00896E82">
        <w:t xml:space="preserve"> Idaho Commission</w:t>
      </w:r>
      <w:r w:rsidR="006A2A20">
        <w:t xml:space="preserve">’s adoption of two year contract terms, the Idaho Commission at least softened the blow for operating projects because it </w:t>
      </w:r>
      <w:r w:rsidRPr="00896E82">
        <w:t>required currently existing QFs to be paid for capacity during the full term of any contract renewals.</w:t>
      </w:r>
      <w:r w:rsidRPr="00896E82">
        <w:rPr>
          <w:rStyle w:val="FootnoteReference"/>
        </w:rPr>
        <w:footnoteReference w:id="35"/>
      </w:r>
      <w:r w:rsidR="00510F38">
        <w:t xml:space="preserve">  If the Commission adopts policies that prevent new QF development through either short contract terms or not paying the full value of capacity, t</w:t>
      </w:r>
      <w:r w:rsidRPr="00896E82">
        <w:t xml:space="preserve">he Commission </w:t>
      </w:r>
      <w:r>
        <w:t xml:space="preserve">should </w:t>
      </w:r>
      <w:r w:rsidR="00510F38">
        <w:t>at least allow</w:t>
      </w:r>
      <w:r w:rsidRPr="00896E82">
        <w:t xml:space="preserve"> existing QFs to renew contracts with full capacity payments</w:t>
      </w:r>
      <w:r w:rsidR="0088075C">
        <w:t xml:space="preserve"> to reflect their unique capacity contributions</w:t>
      </w:r>
      <w:r w:rsidRPr="00896E82">
        <w:t xml:space="preserve">.     </w:t>
      </w:r>
    </w:p>
    <w:p w14:paraId="3E3DA9BB" w14:textId="539164AA" w:rsidR="00612471" w:rsidRPr="00481513" w:rsidRDefault="00612471" w:rsidP="00612471">
      <w:pPr>
        <w:ind w:left="720"/>
        <w:rPr>
          <w:rFonts w:eastAsia="MS Mincho"/>
          <w:b/>
          <w:i/>
          <w:szCs w:val="24"/>
          <w:lang w:eastAsia="ja-JP"/>
        </w:rPr>
      </w:pPr>
      <w:r w:rsidRPr="00481513">
        <w:rPr>
          <w:rFonts w:eastAsia="MS Mincho"/>
          <w:b/>
          <w:i/>
          <w:szCs w:val="24"/>
          <w:lang w:eastAsia="ja-JP"/>
        </w:rPr>
        <w:t xml:space="preserve">Issue A. 2. Are there multiple methodologies that may be appropriate for calculating the energy and capacity payments, depending on its circumstances? If so, what criteria should the Commission use to identify the most appropriate methodology for a specific utility, at a specific point in time? </w:t>
      </w:r>
    </w:p>
    <w:p w14:paraId="7C89ECF2" w14:textId="77777777" w:rsidR="00A50471" w:rsidRPr="00481513" w:rsidRDefault="00A50471" w:rsidP="001C76DC">
      <w:pPr>
        <w:ind w:hanging="540"/>
        <w:rPr>
          <w:rFonts w:eastAsia="MS Mincho"/>
          <w:szCs w:val="24"/>
          <w:lang w:eastAsia="ja-JP"/>
        </w:rPr>
      </w:pPr>
    </w:p>
    <w:p w14:paraId="7C348D98" w14:textId="7743E677" w:rsidR="00B34F5E" w:rsidRPr="00B34F5E" w:rsidRDefault="00102E02" w:rsidP="002969FE">
      <w:pPr>
        <w:pStyle w:val="ListParagraph"/>
        <w:numPr>
          <w:ilvl w:val="1"/>
          <w:numId w:val="33"/>
        </w:numPr>
        <w:spacing w:line="480" w:lineRule="auto"/>
        <w:ind w:left="0" w:hanging="540"/>
        <w:rPr>
          <w:rFonts w:eastAsia="MS Mincho"/>
          <w:lang w:eastAsia="ja-JP"/>
        </w:rPr>
      </w:pPr>
      <w:r w:rsidRPr="00481513">
        <w:t xml:space="preserve">            </w:t>
      </w:r>
      <w:r w:rsidR="007077B6">
        <w:rPr>
          <w:rFonts w:eastAsia="MS Mincho"/>
          <w:szCs w:val="24"/>
          <w:lang w:eastAsia="ja-JP"/>
        </w:rPr>
        <w:t>T</w:t>
      </w:r>
      <w:r w:rsidR="001B26B5" w:rsidRPr="00481513">
        <w:rPr>
          <w:rFonts w:eastAsia="MS Mincho"/>
          <w:szCs w:val="24"/>
          <w:lang w:eastAsia="ja-JP"/>
        </w:rPr>
        <w:t>he Commission should require all three utilities to use consistent methodologies when determining their energy and capacity payments</w:t>
      </w:r>
      <w:r w:rsidR="00215911">
        <w:rPr>
          <w:rFonts w:eastAsia="MS Mincho"/>
          <w:szCs w:val="24"/>
          <w:lang w:eastAsia="ja-JP"/>
        </w:rPr>
        <w:t xml:space="preserve"> under published, standard rates</w:t>
      </w:r>
      <w:r w:rsidR="00AD10F3">
        <w:rPr>
          <w:rFonts w:eastAsia="MS Mincho"/>
          <w:szCs w:val="24"/>
          <w:lang w:eastAsia="ja-JP"/>
        </w:rPr>
        <w:t>.  These</w:t>
      </w:r>
      <w:r w:rsidR="001B26B5" w:rsidRPr="00481513">
        <w:rPr>
          <w:rFonts w:eastAsia="MS Mincho"/>
          <w:szCs w:val="24"/>
          <w:lang w:eastAsia="ja-JP"/>
        </w:rPr>
        <w:t xml:space="preserve"> utilities</w:t>
      </w:r>
      <w:r w:rsidR="007A67DE">
        <w:rPr>
          <w:rFonts w:eastAsia="MS Mincho"/>
          <w:szCs w:val="24"/>
          <w:lang w:eastAsia="ja-JP"/>
        </w:rPr>
        <w:t>’</w:t>
      </w:r>
      <w:r w:rsidR="00675EC8">
        <w:rPr>
          <w:rFonts w:eastAsia="MS Mincho"/>
          <w:szCs w:val="24"/>
          <w:lang w:eastAsia="ja-JP"/>
        </w:rPr>
        <w:t xml:space="preserve"> different </w:t>
      </w:r>
      <w:r w:rsidR="000E29FE">
        <w:rPr>
          <w:rFonts w:eastAsia="MS Mincho"/>
          <w:szCs w:val="24"/>
          <w:lang w:eastAsia="ja-JP"/>
        </w:rPr>
        <w:t>operational characteristics can be reflected in the dates of their next major resources, as well as the types and costs of resources</w:t>
      </w:r>
      <w:r w:rsidR="001B26B5" w:rsidRPr="00481513">
        <w:rPr>
          <w:rFonts w:eastAsia="MS Mincho"/>
          <w:szCs w:val="24"/>
          <w:lang w:eastAsia="ja-JP"/>
        </w:rPr>
        <w:t xml:space="preserve">, but the </w:t>
      </w:r>
      <w:r w:rsidR="000E29FE">
        <w:rPr>
          <w:rFonts w:eastAsia="MS Mincho"/>
          <w:szCs w:val="24"/>
          <w:lang w:eastAsia="ja-JP"/>
        </w:rPr>
        <w:t xml:space="preserve">underlying </w:t>
      </w:r>
      <w:r w:rsidR="000E29FE">
        <w:rPr>
          <w:rFonts w:eastAsia="MS Mincho"/>
          <w:szCs w:val="24"/>
          <w:lang w:eastAsia="ja-JP"/>
        </w:rPr>
        <w:lastRenderedPageBreak/>
        <w:t xml:space="preserve">policies should be the same. </w:t>
      </w:r>
      <w:r w:rsidR="008E04E6">
        <w:rPr>
          <w:rFonts w:eastAsia="MS Mincho"/>
          <w:szCs w:val="24"/>
          <w:lang w:eastAsia="ja-JP"/>
        </w:rPr>
        <w:t xml:space="preserve"> The other regional states that have multiple investor owned utilities (Oregon and Idaho) all require</w:t>
      </w:r>
      <w:r w:rsidR="00951636">
        <w:rPr>
          <w:rFonts w:eastAsia="MS Mincho"/>
          <w:szCs w:val="24"/>
          <w:lang w:eastAsia="ja-JP"/>
        </w:rPr>
        <w:t xml:space="preserve"> their utilities to use</w:t>
      </w:r>
      <w:r w:rsidR="000E29FE">
        <w:rPr>
          <w:rFonts w:eastAsia="MS Mincho"/>
          <w:szCs w:val="24"/>
          <w:lang w:eastAsia="ja-JP"/>
        </w:rPr>
        <w:t xml:space="preserve"> the same underlying methodology for setting published avoided cost rates</w:t>
      </w:r>
      <w:r w:rsidR="001B26B5" w:rsidRPr="00481513">
        <w:rPr>
          <w:rFonts w:eastAsia="MS Mincho"/>
          <w:szCs w:val="24"/>
          <w:lang w:eastAsia="ja-JP"/>
        </w:rPr>
        <w:t>.</w:t>
      </w:r>
      <w:r w:rsidR="00BF0CD5" w:rsidRPr="00481513">
        <w:rPr>
          <w:rFonts w:eastAsia="MS Mincho"/>
          <w:szCs w:val="24"/>
          <w:lang w:eastAsia="ja-JP"/>
        </w:rPr>
        <w:t xml:space="preserve"> </w:t>
      </w:r>
      <w:r w:rsidR="00B34F5E">
        <w:rPr>
          <w:rFonts w:eastAsia="MS Mincho"/>
          <w:lang w:eastAsia="ja-JP"/>
        </w:rPr>
        <w:t xml:space="preserve"> </w:t>
      </w:r>
      <w:r w:rsidR="000E29FE" w:rsidRPr="00B34F5E">
        <w:rPr>
          <w:rFonts w:eastAsia="MS Mincho"/>
          <w:szCs w:val="24"/>
          <w:lang w:eastAsia="ja-JP"/>
        </w:rPr>
        <w:t>The only</w:t>
      </w:r>
      <w:r w:rsidR="008E04E6">
        <w:rPr>
          <w:rFonts w:eastAsia="MS Mincho"/>
          <w:szCs w:val="24"/>
          <w:lang w:eastAsia="ja-JP"/>
        </w:rPr>
        <w:t xml:space="preserve"> partial</w:t>
      </w:r>
      <w:r w:rsidR="000E29FE" w:rsidRPr="00B34F5E">
        <w:rPr>
          <w:rFonts w:eastAsia="MS Mincho"/>
          <w:szCs w:val="24"/>
          <w:lang w:eastAsia="ja-JP"/>
        </w:rPr>
        <w:t xml:space="preserve"> exception is that Oregon requires PacifiCorp and PGE to offer both</w:t>
      </w:r>
      <w:r w:rsidR="00AF69C8" w:rsidRPr="00B34F5E">
        <w:rPr>
          <w:rFonts w:eastAsia="MS Mincho"/>
          <w:szCs w:val="24"/>
          <w:lang w:eastAsia="ja-JP"/>
        </w:rPr>
        <w:t xml:space="preserve"> renewable </w:t>
      </w:r>
      <w:r w:rsidR="000E29FE" w:rsidRPr="00B34F5E">
        <w:rPr>
          <w:rFonts w:eastAsia="MS Mincho"/>
          <w:szCs w:val="24"/>
          <w:lang w:eastAsia="ja-JP"/>
        </w:rPr>
        <w:t xml:space="preserve">and non-renewable </w:t>
      </w:r>
      <w:r w:rsidRPr="00B34F5E">
        <w:rPr>
          <w:rFonts w:eastAsia="MS Mincho"/>
          <w:szCs w:val="24"/>
          <w:lang w:eastAsia="ja-JP"/>
        </w:rPr>
        <w:t xml:space="preserve">avoided cost </w:t>
      </w:r>
      <w:r w:rsidR="00AF69C8" w:rsidRPr="00B34F5E">
        <w:rPr>
          <w:rFonts w:eastAsia="MS Mincho"/>
          <w:szCs w:val="24"/>
          <w:lang w:eastAsia="ja-JP"/>
        </w:rPr>
        <w:t>rates</w:t>
      </w:r>
      <w:r w:rsidR="000E29FE" w:rsidRPr="00B34F5E">
        <w:rPr>
          <w:rFonts w:eastAsia="MS Mincho"/>
          <w:szCs w:val="24"/>
          <w:lang w:eastAsia="ja-JP"/>
        </w:rPr>
        <w:t xml:space="preserve"> to accurately reflect that utilities</w:t>
      </w:r>
      <w:r w:rsidR="007A67DE">
        <w:rPr>
          <w:rFonts w:eastAsia="MS Mincho"/>
          <w:szCs w:val="24"/>
          <w:lang w:eastAsia="ja-JP"/>
        </w:rPr>
        <w:t>,</w:t>
      </w:r>
      <w:r w:rsidR="000E29FE" w:rsidRPr="00B34F5E">
        <w:rPr>
          <w:rFonts w:eastAsia="MS Mincho"/>
          <w:szCs w:val="24"/>
          <w:lang w:eastAsia="ja-JP"/>
        </w:rPr>
        <w:t xml:space="preserve"> subject to renewable portfolio standards</w:t>
      </w:r>
      <w:r w:rsidR="007A67DE">
        <w:rPr>
          <w:rFonts w:eastAsia="MS Mincho"/>
          <w:szCs w:val="24"/>
          <w:lang w:eastAsia="ja-JP"/>
        </w:rPr>
        <w:t>,</w:t>
      </w:r>
      <w:r w:rsidR="000E29FE" w:rsidRPr="00B34F5E">
        <w:rPr>
          <w:rFonts w:eastAsia="MS Mincho"/>
          <w:szCs w:val="24"/>
          <w:lang w:eastAsia="ja-JP"/>
        </w:rPr>
        <w:t xml:space="preserve"> have different needs for renewable and thermal resources</w:t>
      </w:r>
      <w:r w:rsidR="00AF69C8" w:rsidRPr="00B34F5E">
        <w:rPr>
          <w:rFonts w:eastAsia="MS Mincho"/>
          <w:szCs w:val="24"/>
          <w:lang w:eastAsia="ja-JP"/>
        </w:rPr>
        <w:t xml:space="preserve">.  </w:t>
      </w:r>
      <w:r w:rsidR="00B34F5E" w:rsidRPr="00B34F5E">
        <w:rPr>
          <w:rFonts w:eastAsia="MS Mincho"/>
          <w:szCs w:val="24"/>
          <w:lang w:eastAsia="ja-JP"/>
        </w:rPr>
        <w:t xml:space="preserve">Idaho Power is not required to offer renewable avoided cost rates, but only because it is exempt from Oregon’s renewable portfolio standard.  </w:t>
      </w:r>
      <w:r w:rsidR="00B34F5E">
        <w:rPr>
          <w:rFonts w:eastAsia="MS Mincho"/>
          <w:szCs w:val="24"/>
          <w:lang w:eastAsia="ja-JP"/>
        </w:rPr>
        <w:t>Absent other similar unique circumstances, there is no reason to allow</w:t>
      </w:r>
      <w:r w:rsidR="00D67BBE">
        <w:rPr>
          <w:rFonts w:eastAsia="MS Mincho"/>
          <w:szCs w:val="24"/>
          <w:lang w:eastAsia="ja-JP"/>
        </w:rPr>
        <w:t xml:space="preserve"> any</w:t>
      </w:r>
      <w:r w:rsidR="00B34F5E">
        <w:rPr>
          <w:rFonts w:eastAsia="MS Mincho"/>
          <w:szCs w:val="24"/>
          <w:lang w:eastAsia="ja-JP"/>
        </w:rPr>
        <w:t xml:space="preserve"> </w:t>
      </w:r>
      <w:r w:rsidR="007A67DE">
        <w:rPr>
          <w:rFonts w:eastAsia="MS Mincho"/>
          <w:szCs w:val="24"/>
          <w:lang w:eastAsia="ja-JP"/>
        </w:rPr>
        <w:t xml:space="preserve">of </w:t>
      </w:r>
      <w:r w:rsidR="00B34F5E">
        <w:rPr>
          <w:rFonts w:eastAsia="MS Mincho"/>
          <w:szCs w:val="24"/>
          <w:lang w:eastAsia="ja-JP"/>
        </w:rPr>
        <w:t>the three Washington u</w:t>
      </w:r>
      <w:r w:rsidR="00D77DDB">
        <w:rPr>
          <w:rFonts w:eastAsia="MS Mincho"/>
          <w:szCs w:val="24"/>
          <w:lang w:eastAsia="ja-JP"/>
        </w:rPr>
        <w:t>tilities</w:t>
      </w:r>
      <w:r w:rsidR="00B34F5E">
        <w:rPr>
          <w:rFonts w:eastAsia="MS Mincho"/>
          <w:szCs w:val="24"/>
          <w:lang w:eastAsia="ja-JP"/>
        </w:rPr>
        <w:t xml:space="preserve"> to utilize different methodologies.</w:t>
      </w:r>
    </w:p>
    <w:p w14:paraId="06D8BF36" w14:textId="7468A493" w:rsidR="00612471" w:rsidRPr="00481513" w:rsidRDefault="00612471" w:rsidP="00612471">
      <w:pPr>
        <w:pStyle w:val="ListParagraph"/>
        <w:rPr>
          <w:rFonts w:eastAsia="MS Mincho"/>
          <w:b/>
          <w:i/>
          <w:szCs w:val="24"/>
          <w:lang w:eastAsia="ja-JP"/>
        </w:rPr>
      </w:pPr>
      <w:r w:rsidRPr="00481513">
        <w:rPr>
          <w:rFonts w:eastAsia="MS Mincho"/>
          <w:b/>
          <w:i/>
          <w:szCs w:val="24"/>
          <w:lang w:eastAsia="ja-JP"/>
        </w:rPr>
        <w:t xml:space="preserve">Issue A. 4. Should avoided costs be separated to reflect each type of resource capacity value through a peak credit, Effective Load Carrying Capability, or some other calculation?   </w:t>
      </w:r>
    </w:p>
    <w:p w14:paraId="5A21BD9D" w14:textId="77777777" w:rsidR="00C00DE6" w:rsidRPr="00481513" w:rsidRDefault="00C00DE6" w:rsidP="00251BCA">
      <w:pPr>
        <w:pStyle w:val="ListParagraph"/>
        <w:ind w:left="1440" w:hanging="720"/>
        <w:rPr>
          <w:rFonts w:eastAsia="MS Mincho"/>
          <w:b/>
          <w:bCs/>
          <w:szCs w:val="24"/>
          <w:lang w:eastAsia="ja-JP"/>
        </w:rPr>
      </w:pPr>
    </w:p>
    <w:p w14:paraId="4F47F3C4" w14:textId="77777777" w:rsidR="00CF1B3A" w:rsidRPr="00CF1B3A" w:rsidRDefault="0010046D" w:rsidP="003E5306">
      <w:pPr>
        <w:pStyle w:val="ListParagraph"/>
        <w:numPr>
          <w:ilvl w:val="1"/>
          <w:numId w:val="33"/>
        </w:numPr>
        <w:spacing w:line="480" w:lineRule="auto"/>
        <w:ind w:left="0" w:hanging="540"/>
        <w:rPr>
          <w:rFonts w:eastAsia="MS Mincho"/>
          <w:b/>
          <w:bCs/>
          <w:szCs w:val="24"/>
          <w:lang w:eastAsia="ja-JP"/>
        </w:rPr>
      </w:pPr>
      <w:r w:rsidRPr="00481513">
        <w:t xml:space="preserve">           </w:t>
      </w:r>
      <w:r w:rsidR="00296498" w:rsidRPr="00481513">
        <w:t xml:space="preserve">Capacity contributions from renewable QFs </w:t>
      </w:r>
      <w:r w:rsidR="0060476A" w:rsidRPr="00481513">
        <w:t>are</w:t>
      </w:r>
      <w:r w:rsidR="00296498" w:rsidRPr="00481513">
        <w:t xml:space="preserve"> complicated, because </w:t>
      </w:r>
      <w:r w:rsidR="00C22C9C">
        <w:t xml:space="preserve">there are different ways to estimate the </w:t>
      </w:r>
      <w:r w:rsidR="00296498" w:rsidRPr="00481513">
        <w:t xml:space="preserve">amount of capacity a renewable resource </w:t>
      </w:r>
      <w:r w:rsidR="00102E02" w:rsidRPr="00481513">
        <w:t>can</w:t>
      </w:r>
      <w:r w:rsidR="00B11EFA" w:rsidRPr="00481513">
        <w:t xml:space="preserve"> actually</w:t>
      </w:r>
      <w:r w:rsidR="00296498" w:rsidRPr="00481513">
        <w:t xml:space="preserve"> deliver during a</w:t>
      </w:r>
      <w:r w:rsidR="00E563FD" w:rsidRPr="00481513">
        <w:t xml:space="preserve"> particular</w:t>
      </w:r>
      <w:r w:rsidR="00296498" w:rsidRPr="00481513">
        <w:t xml:space="preserve"> utility’s peak or when the grid is otherwise stressed.  </w:t>
      </w:r>
      <w:r w:rsidR="00C22C9C">
        <w:t xml:space="preserve">The </w:t>
      </w:r>
      <w:r w:rsidR="00296498" w:rsidRPr="00481513">
        <w:t>contribution</w:t>
      </w:r>
      <w:r w:rsidR="00B11EFA" w:rsidRPr="00481513">
        <w:t xml:space="preserve"> from renewable generation</w:t>
      </w:r>
      <w:r w:rsidR="00296498" w:rsidRPr="00481513">
        <w:t xml:space="preserve"> to its capacity need is </w:t>
      </w:r>
      <w:r w:rsidR="0060476A" w:rsidRPr="00481513">
        <w:t xml:space="preserve">often </w:t>
      </w:r>
      <w:r w:rsidR="00296498" w:rsidRPr="00481513">
        <w:t>determined in a utility’</w:t>
      </w:r>
      <w:r w:rsidR="00E563FD" w:rsidRPr="00481513">
        <w:t>s long-term resource planning</w:t>
      </w:r>
      <w:r w:rsidR="00102E02" w:rsidRPr="00481513">
        <w:t xml:space="preserve">, and </w:t>
      </w:r>
      <w:r w:rsidR="00BF0F70">
        <w:t xml:space="preserve">historically been </w:t>
      </w:r>
      <w:r w:rsidR="00102E02" w:rsidRPr="00481513">
        <w:t>contested</w:t>
      </w:r>
      <w:r w:rsidR="00E563FD" w:rsidRPr="00481513">
        <w:t>.</w:t>
      </w:r>
      <w:r w:rsidR="00102E02" w:rsidRPr="00481513">
        <w:t xml:space="preserve">  The Commission’s approach here should balance </w:t>
      </w:r>
      <w:r w:rsidR="003E5306" w:rsidRPr="00481513">
        <w:t xml:space="preserve">the need for </w:t>
      </w:r>
      <w:r w:rsidR="00102E02" w:rsidRPr="00481513">
        <w:t xml:space="preserve">accuracy </w:t>
      </w:r>
      <w:r w:rsidR="003E5306" w:rsidRPr="00481513">
        <w:t>against the need for</w:t>
      </w:r>
      <w:r w:rsidR="00102E02" w:rsidRPr="00481513">
        <w:t xml:space="preserve"> </w:t>
      </w:r>
      <w:r w:rsidR="003E5306" w:rsidRPr="00481513">
        <w:t>transparency.</w:t>
      </w:r>
      <w:r w:rsidR="00E563FD" w:rsidRPr="00481513">
        <w:t xml:space="preserve">  </w:t>
      </w:r>
      <w:r w:rsidR="003E5306" w:rsidRPr="00481513">
        <w:t>Because t</w:t>
      </w:r>
      <w:r w:rsidR="00296498" w:rsidRPr="00481513">
        <w:t>he different methodologies</w:t>
      </w:r>
      <w:r w:rsidR="003E5306" w:rsidRPr="00481513">
        <w:t xml:space="preserve"> that separate capacity value based on resource type</w:t>
      </w:r>
      <w:r w:rsidR="005D1CBA">
        <w:t>, and including</w:t>
      </w:r>
      <w:r w:rsidR="00296498" w:rsidRPr="00481513">
        <w:t xml:space="preserve"> the Effective Load Carrying Capability</w:t>
      </w:r>
      <w:r w:rsidR="00E563FD" w:rsidRPr="00481513">
        <w:t xml:space="preserve"> (“ELCC”)</w:t>
      </w:r>
      <w:r w:rsidR="00296498" w:rsidRPr="00481513">
        <w:t>, can have drastic differ</w:t>
      </w:r>
      <w:r w:rsidR="003E5306" w:rsidRPr="00481513">
        <w:t xml:space="preserve">ences on the value of capacity, </w:t>
      </w:r>
      <w:r w:rsidR="00296498" w:rsidRPr="00481513">
        <w:t xml:space="preserve">the Commission </w:t>
      </w:r>
      <w:r w:rsidR="007A67DE">
        <w:t>should</w:t>
      </w:r>
      <w:r w:rsidR="007A67DE" w:rsidRPr="00481513">
        <w:t xml:space="preserve"> </w:t>
      </w:r>
      <w:r w:rsidR="00296498" w:rsidRPr="00481513">
        <w:t xml:space="preserve">consider these </w:t>
      </w:r>
      <w:r w:rsidR="00296498" w:rsidRPr="00481513">
        <w:lastRenderedPageBreak/>
        <w:t>methodologies not just academically, but to also understand their real-world implications</w:t>
      </w:r>
      <w:r w:rsidR="004F537B" w:rsidRPr="00481513">
        <w:t xml:space="preserve"> to the avoided cost rates in Washington</w:t>
      </w:r>
      <w:r w:rsidR="00296498" w:rsidRPr="00481513">
        <w:t>.</w:t>
      </w:r>
      <w:r w:rsidR="00296498" w:rsidRPr="00481513">
        <w:rPr>
          <w:rStyle w:val="FootnoteReference"/>
        </w:rPr>
        <w:footnoteReference w:id="36"/>
      </w:r>
      <w:r w:rsidR="00BF0F70">
        <w:t xml:space="preserve">  </w:t>
      </w:r>
    </w:p>
    <w:p w14:paraId="116689F0" w14:textId="3A7423F9" w:rsidR="006F39BE" w:rsidRPr="00481513" w:rsidRDefault="00CF1B3A" w:rsidP="003E5306">
      <w:pPr>
        <w:pStyle w:val="ListParagraph"/>
        <w:numPr>
          <w:ilvl w:val="1"/>
          <w:numId w:val="33"/>
        </w:numPr>
        <w:spacing w:line="480" w:lineRule="auto"/>
        <w:ind w:left="0" w:hanging="540"/>
        <w:rPr>
          <w:rFonts w:eastAsia="MS Mincho"/>
          <w:b/>
          <w:bCs/>
          <w:szCs w:val="24"/>
          <w:lang w:eastAsia="ja-JP"/>
        </w:rPr>
      </w:pPr>
      <w:r>
        <w:tab/>
      </w:r>
      <w:r w:rsidR="00BF0F70">
        <w:t>Specifically, NIPPC and REC support use of more granular methodologies like the ELCC in the IRP process, but recommend that published standard avoided cost rates not distinguish between different types of QF technologies.</w:t>
      </w:r>
      <w:r>
        <w:t xml:space="preserve">  Standard avoided cost rates should be simple to calculate and can reflect the aggregate capacity value provided by all QFs that will sell power to the utility.  </w:t>
      </w:r>
      <w:r w:rsidR="00B85ED6">
        <w:t>Oregon is the only regional state that includes full capacity adjustments based on resource type, and the process has been subject to considerable litigation.</w:t>
      </w:r>
      <w:r w:rsidR="00B85ED6">
        <w:rPr>
          <w:rStyle w:val="FootnoteReference"/>
        </w:rPr>
        <w:footnoteReference w:id="37"/>
      </w:r>
      <w:r w:rsidR="00B85ED6">
        <w:t xml:space="preserve">  </w:t>
      </w:r>
      <w:r>
        <w:t>There is no need</w:t>
      </w:r>
      <w:r w:rsidR="003507AF">
        <w:t xml:space="preserve"> </w:t>
      </w:r>
      <w:r>
        <w:t xml:space="preserve">to set </w:t>
      </w:r>
      <w:r w:rsidR="003507AF">
        <w:t xml:space="preserve">resource specific standard rates given the amount of PURPA development and the potential for litigation that would be brought about by incorporating this additional complexity.   </w:t>
      </w:r>
      <w:r>
        <w:t xml:space="preserve"> </w:t>
      </w:r>
      <w:r w:rsidR="00BF0F70">
        <w:t xml:space="preserve">  </w:t>
      </w:r>
      <w:r w:rsidR="00296498" w:rsidRPr="00481513">
        <w:t xml:space="preserve"> </w:t>
      </w:r>
    </w:p>
    <w:p w14:paraId="438550CF" w14:textId="5D6DCF5E" w:rsidR="00693E9F" w:rsidRPr="00481513" w:rsidRDefault="006F39BE" w:rsidP="00E563FD">
      <w:pPr>
        <w:pStyle w:val="ListParagraph"/>
        <w:numPr>
          <w:ilvl w:val="1"/>
          <w:numId w:val="33"/>
        </w:numPr>
        <w:spacing w:line="480" w:lineRule="auto"/>
        <w:ind w:left="0" w:hanging="540"/>
        <w:rPr>
          <w:rFonts w:eastAsia="MS Mincho"/>
          <w:b/>
          <w:bCs/>
          <w:szCs w:val="24"/>
          <w:lang w:eastAsia="ja-JP"/>
        </w:rPr>
      </w:pPr>
      <w:r w:rsidRPr="00481513">
        <w:lastRenderedPageBreak/>
        <w:t xml:space="preserve">             </w:t>
      </w:r>
      <w:r w:rsidR="003E5306" w:rsidRPr="00481513">
        <w:t>Theoretically</w:t>
      </w:r>
      <w:r w:rsidR="00E563FD" w:rsidRPr="00481513">
        <w:t>, a more robust calculation</w:t>
      </w:r>
      <w:r w:rsidR="00B11EFA" w:rsidRPr="00481513">
        <w:t xml:space="preserve"> that takes into account all hours in a year</w:t>
      </w:r>
      <w:r w:rsidR="00E563FD" w:rsidRPr="00481513">
        <w:t xml:space="preserve"> should</w:t>
      </w:r>
      <w:r w:rsidR="00B11EFA" w:rsidRPr="00481513">
        <w:t xml:space="preserve"> return a more equitable result</w:t>
      </w:r>
      <w:r w:rsidR="006E34A5">
        <w:t xml:space="preserve"> than one that takes into account smaller windows of time</w:t>
      </w:r>
      <w:r w:rsidR="00B11EFA" w:rsidRPr="00481513">
        <w:t>,</w:t>
      </w:r>
      <w:r w:rsidR="00E563FD" w:rsidRPr="00481513">
        <w:t xml:space="preserve"> but </w:t>
      </w:r>
      <w:r w:rsidR="00693E9F" w:rsidRPr="00481513">
        <w:t xml:space="preserve">this </w:t>
      </w:r>
      <w:r w:rsidR="00577CB5" w:rsidRPr="00481513">
        <w:t xml:space="preserve">topic misses the forest from the trees.  Simply put, there is not enough QF activity in Washington to bother allocating capacity values by resource type. </w:t>
      </w:r>
      <w:r w:rsidR="0093461B">
        <w:t xml:space="preserve"> Unless and until it becomes worth the trouble, avoided cost rates should ignore</w:t>
      </w:r>
      <w:r w:rsidR="003E5306" w:rsidRPr="00481513">
        <w:t xml:space="preserve"> resource type</w:t>
      </w:r>
      <w:r w:rsidR="0093461B">
        <w:t>, which</w:t>
      </w:r>
      <w:r w:rsidR="003E5306" w:rsidRPr="00481513">
        <w:t xml:space="preserve"> is consistent with the general principle that </w:t>
      </w:r>
      <w:r w:rsidR="00577CB5" w:rsidRPr="00481513">
        <w:t>QFs should be considered in the</w:t>
      </w:r>
      <w:r w:rsidR="003E5306" w:rsidRPr="00481513">
        <w:t xml:space="preserve"> aggregate</w:t>
      </w:r>
      <w:r w:rsidR="00577CB5" w:rsidRPr="00481513">
        <w:t xml:space="preserve"> rather than individually, </w:t>
      </w:r>
      <w:r w:rsidR="003E5306" w:rsidRPr="00481513">
        <w:t>and provides a much</w:t>
      </w:r>
      <w:r w:rsidR="00577CB5" w:rsidRPr="00481513">
        <w:t xml:space="preserve"> simple</w:t>
      </w:r>
      <w:r w:rsidR="003E5306" w:rsidRPr="00481513">
        <w:t>r</w:t>
      </w:r>
      <w:r w:rsidR="00577CB5" w:rsidRPr="00481513">
        <w:t xml:space="preserve"> </w:t>
      </w:r>
      <w:r w:rsidR="003E5306" w:rsidRPr="00481513">
        <w:t>method</w:t>
      </w:r>
      <w:r w:rsidR="00577CB5" w:rsidRPr="00481513">
        <w:t>.</w:t>
      </w:r>
      <w:r w:rsidR="00E563FD" w:rsidRPr="00481513">
        <w:t xml:space="preserve"> </w:t>
      </w:r>
    </w:p>
    <w:p w14:paraId="26177375" w14:textId="15B523F7" w:rsidR="005D1CBA" w:rsidRPr="00CF1B3A" w:rsidRDefault="00577CB5" w:rsidP="00E563FD">
      <w:pPr>
        <w:pStyle w:val="ListParagraph"/>
        <w:numPr>
          <w:ilvl w:val="1"/>
          <w:numId w:val="33"/>
        </w:numPr>
        <w:spacing w:line="480" w:lineRule="auto"/>
        <w:ind w:left="0" w:hanging="540"/>
        <w:rPr>
          <w:rFonts w:eastAsia="MS Mincho"/>
          <w:b/>
          <w:bCs/>
          <w:szCs w:val="24"/>
          <w:lang w:eastAsia="ja-JP"/>
        </w:rPr>
      </w:pPr>
      <w:r w:rsidRPr="00481513">
        <w:t xml:space="preserve"> </w:t>
      </w:r>
      <w:r w:rsidR="006C07F7">
        <w:tab/>
        <w:t>I</w:t>
      </w:r>
      <w:r w:rsidRPr="00481513">
        <w:t xml:space="preserve">ntroducing </w:t>
      </w:r>
      <w:r w:rsidR="00B11EFA" w:rsidRPr="00481513">
        <w:t xml:space="preserve">complex modeling </w:t>
      </w:r>
      <w:r w:rsidRPr="00481513">
        <w:t>will</w:t>
      </w:r>
      <w:r w:rsidR="00B11EFA" w:rsidRPr="00481513">
        <w:t xml:space="preserve"> </w:t>
      </w:r>
      <w:r w:rsidRPr="00481513">
        <w:t>create</w:t>
      </w:r>
      <w:r w:rsidR="00B11EFA" w:rsidRPr="00481513">
        <w:t xml:space="preserve"> opportunities to manipulate the data, so that the application of the model may need some kind of third-party auditing or verification.  Increasing complexity on this front also increases the likelihood that some utilities may not be able to participate, if they do not have the level of load and generation data required to do the more complex calculations with.</w:t>
      </w:r>
      <w:r w:rsidR="00B11EFA" w:rsidRPr="00481513">
        <w:rPr>
          <w:rStyle w:val="FootnoteReference"/>
        </w:rPr>
        <w:footnoteReference w:id="38"/>
      </w:r>
      <w:r w:rsidR="0093461B">
        <w:t xml:space="preserve">  And </w:t>
      </w:r>
      <w:r w:rsidRPr="00481513">
        <w:t xml:space="preserve">these different modeling systems may ultimately result in capacity rates that undervalue certain resource types despite their actual contribution to the utility’s capacity need.  </w:t>
      </w:r>
    </w:p>
    <w:p w14:paraId="7604EC0C" w14:textId="359B6AD5" w:rsidR="00B6092F" w:rsidRPr="00CF1B3A" w:rsidRDefault="005D1CBA" w:rsidP="00AA59CD">
      <w:pPr>
        <w:pStyle w:val="ListParagraph"/>
        <w:numPr>
          <w:ilvl w:val="1"/>
          <w:numId w:val="33"/>
        </w:numPr>
        <w:spacing w:line="480" w:lineRule="auto"/>
        <w:ind w:left="0" w:hanging="540"/>
        <w:rPr>
          <w:rFonts w:eastAsia="MS Mincho"/>
          <w:b/>
          <w:bCs/>
          <w:szCs w:val="24"/>
          <w:lang w:eastAsia="ja-JP"/>
        </w:rPr>
      </w:pPr>
      <w:r>
        <w:tab/>
      </w:r>
      <w:r w:rsidR="006C07F7">
        <w:t>In theory,</w:t>
      </w:r>
      <w:r w:rsidR="00B11EFA" w:rsidRPr="00481513">
        <w:t xml:space="preserve"> capacity estimates </w:t>
      </w:r>
      <w:r w:rsidR="006C07F7">
        <w:t xml:space="preserve">could be </w:t>
      </w:r>
      <w:r w:rsidR="00B11EFA" w:rsidRPr="00481513">
        <w:t xml:space="preserve">based on all hours in a year, but </w:t>
      </w:r>
      <w:r w:rsidR="006C07F7">
        <w:t xml:space="preserve">this </w:t>
      </w:r>
      <w:r w:rsidR="00AD10F3">
        <w:t xml:space="preserve">is </w:t>
      </w:r>
      <w:r w:rsidR="006F39BE" w:rsidRPr="00481513">
        <w:t>modeling that requires expensive consultants to understand or verify</w:t>
      </w:r>
      <w:r w:rsidR="006C07F7">
        <w:t xml:space="preserve">, </w:t>
      </w:r>
      <w:r w:rsidR="00AD10F3">
        <w:t>and</w:t>
      </w:r>
      <w:r w:rsidR="006C07F7">
        <w:t xml:space="preserve"> is outside of the ability of the vast majority of QFs to access</w:t>
      </w:r>
      <w:r w:rsidR="006F39BE" w:rsidRPr="00481513">
        <w:t xml:space="preserve">. </w:t>
      </w:r>
      <w:r w:rsidR="00CF1B3A">
        <w:t xml:space="preserve"> </w:t>
      </w:r>
      <w:r w:rsidR="00CF1B3A" w:rsidRPr="00481513">
        <w:t xml:space="preserve">For example, ELCC </w:t>
      </w:r>
      <w:r w:rsidR="00CF1B3A">
        <w:t>more accurately estimates the capacity value provided by renewables in peak and non-peak hours, but this</w:t>
      </w:r>
      <w:r w:rsidR="00CF1B3A" w:rsidRPr="00481513">
        <w:t xml:space="preserve"> generality assumes that extremely detailed data crunching, </w:t>
      </w:r>
      <w:r w:rsidR="00CF1B3A">
        <w:t>and</w:t>
      </w:r>
      <w:r w:rsidR="00CF1B3A" w:rsidRPr="00481513">
        <w:t xml:space="preserve"> necessarily involves a c</w:t>
      </w:r>
      <w:r w:rsidR="00CF1B3A">
        <w:t>umbersome multi-step process to be</w:t>
      </w:r>
      <w:r w:rsidR="00CF1B3A" w:rsidRPr="00481513">
        <w:t xml:space="preserve"> done correctly.  To hedge against the challenges of </w:t>
      </w:r>
      <w:r w:rsidR="00CF1B3A" w:rsidRPr="00481513">
        <w:lastRenderedPageBreak/>
        <w:t>using a “black box” to calculate capacity value, a separate benchmark or approximation method may even be necessary.</w:t>
      </w:r>
      <w:r w:rsidR="00CF1B3A">
        <w:t xml:space="preserve">  </w:t>
      </w:r>
      <w:r w:rsidR="0060476A" w:rsidRPr="00481513">
        <w:t xml:space="preserve"> </w:t>
      </w:r>
    </w:p>
    <w:p w14:paraId="5240D38E" w14:textId="0CD50912" w:rsidR="00BF0F70" w:rsidRPr="005D1CBA" w:rsidRDefault="00BF0F70" w:rsidP="00AA59CD">
      <w:pPr>
        <w:pStyle w:val="ListParagraph"/>
        <w:numPr>
          <w:ilvl w:val="1"/>
          <w:numId w:val="33"/>
        </w:numPr>
        <w:spacing w:line="480" w:lineRule="auto"/>
        <w:ind w:left="0" w:hanging="540"/>
        <w:rPr>
          <w:rFonts w:eastAsia="MS Mincho"/>
          <w:b/>
          <w:bCs/>
          <w:szCs w:val="24"/>
          <w:lang w:eastAsia="ja-JP"/>
        </w:rPr>
      </w:pPr>
      <w:r>
        <w:tab/>
        <w:t>In the end, this type of complex modeling is appropriate for the time intensive and critically important resource planning process, but QFs and their representatives simply do not have the resources to participate to verify that the results are appropriate for setting PURPA rates.</w:t>
      </w:r>
      <w:r w:rsidRPr="00481513">
        <w:t xml:space="preserve">  </w:t>
      </w:r>
      <w:r>
        <w:t xml:space="preserve">Therefore, for the purposes of setting avoided cost rates, </w:t>
      </w:r>
      <w:r w:rsidRPr="00481513">
        <w:t>the Commission</w:t>
      </w:r>
      <w:r>
        <w:t xml:space="preserve"> should</w:t>
      </w:r>
      <w:r w:rsidRPr="00481513">
        <w:t xml:space="preserve"> adopt </w:t>
      </w:r>
      <w:r>
        <w:t xml:space="preserve">a simple, </w:t>
      </w:r>
      <w:r w:rsidRPr="00481513">
        <w:t xml:space="preserve">transparent capacity calculation that </w:t>
      </w:r>
      <w:r>
        <w:t xml:space="preserve">values capacity equally for </w:t>
      </w:r>
      <w:r w:rsidRPr="00481513">
        <w:t xml:space="preserve">all </w:t>
      </w:r>
      <w:r>
        <w:t>QFs</w:t>
      </w:r>
      <w:r w:rsidRPr="00481513">
        <w:t>.</w:t>
      </w:r>
    </w:p>
    <w:p w14:paraId="66B034E0" w14:textId="0AA9ED76" w:rsidR="00AA59CD" w:rsidRDefault="00AA59CD" w:rsidP="00473871">
      <w:pPr>
        <w:rPr>
          <w:rFonts w:eastAsia="MS Mincho"/>
          <w:b/>
          <w:szCs w:val="24"/>
          <w:lang w:eastAsia="ja-JP"/>
        </w:rPr>
      </w:pPr>
      <w:r w:rsidRPr="00481513">
        <w:rPr>
          <w:rFonts w:eastAsia="MS Mincho"/>
          <w:b/>
          <w:szCs w:val="24"/>
          <w:lang w:eastAsia="ja-JP"/>
        </w:rPr>
        <w:t xml:space="preserve">B. </w:t>
      </w:r>
      <w:r w:rsidRPr="00481513">
        <w:rPr>
          <w:rFonts w:eastAsia="MS Mincho"/>
          <w:b/>
          <w:szCs w:val="24"/>
          <w:lang w:eastAsia="ja-JP"/>
        </w:rPr>
        <w:tab/>
        <w:t xml:space="preserve">ISSUE B. </w:t>
      </w:r>
      <w:r w:rsidRPr="00481513">
        <w:rPr>
          <w:rFonts w:eastAsia="MS Mincho"/>
          <w:b/>
          <w:szCs w:val="24"/>
          <w:lang w:eastAsia="ja-JP"/>
        </w:rPr>
        <w:tab/>
        <w:t>STANDARD PRACTICES</w:t>
      </w:r>
      <w:r w:rsidR="00473871">
        <w:rPr>
          <w:rFonts w:eastAsia="MS Mincho"/>
          <w:b/>
          <w:szCs w:val="24"/>
          <w:lang w:eastAsia="ja-JP"/>
        </w:rPr>
        <w:br/>
      </w:r>
    </w:p>
    <w:p w14:paraId="02D372A2" w14:textId="2C992764" w:rsidR="00B40AAD" w:rsidRPr="00F8227C" w:rsidRDefault="00B40AAD" w:rsidP="00F8227C">
      <w:pPr>
        <w:pStyle w:val="ListParagraph"/>
        <w:numPr>
          <w:ilvl w:val="1"/>
          <w:numId w:val="33"/>
        </w:numPr>
        <w:spacing w:line="480" w:lineRule="auto"/>
        <w:ind w:left="0" w:hanging="540"/>
        <w:rPr>
          <w:rFonts w:eastAsia="MS Mincho"/>
          <w:b/>
          <w:bCs/>
          <w:szCs w:val="24"/>
          <w:lang w:eastAsia="ja-JP"/>
        </w:rPr>
      </w:pPr>
      <w:r>
        <w:tab/>
      </w:r>
      <w:r w:rsidR="001730F8" w:rsidRPr="00F8227C">
        <w:rPr>
          <w:rFonts w:eastAsia="MS Mincho"/>
          <w:szCs w:val="24"/>
          <w:lang w:eastAsia="ja-JP"/>
        </w:rPr>
        <w:t>Policies on standard contract size, term length, site disagg</w:t>
      </w:r>
      <w:r w:rsidR="00454353">
        <w:rPr>
          <w:rFonts w:eastAsia="MS Mincho"/>
          <w:szCs w:val="24"/>
          <w:lang w:eastAsia="ja-JP"/>
        </w:rPr>
        <w:t>regation, and establishing a legally enforceable obligation (“LEO”)</w:t>
      </w:r>
      <w:r w:rsidR="001730F8" w:rsidRPr="00F8227C">
        <w:rPr>
          <w:rFonts w:eastAsia="MS Mincho"/>
          <w:szCs w:val="24"/>
          <w:lang w:eastAsia="ja-JP"/>
        </w:rPr>
        <w:t xml:space="preserve"> often determine whether a QF project is economic.  </w:t>
      </w:r>
      <w:r w:rsidRPr="00F8227C">
        <w:rPr>
          <w:rFonts w:eastAsia="MS Mincho"/>
          <w:szCs w:val="24"/>
          <w:lang w:eastAsia="ja-JP"/>
        </w:rPr>
        <w:t xml:space="preserve">Unsurprisingly, these topics also tend to be heavily litigated.  NIPPC and REC relied upon ample experience litigating these issues throughout the region when preparing these comments.  With </w:t>
      </w:r>
      <w:r w:rsidR="00454353">
        <w:rPr>
          <w:rFonts w:eastAsia="MS Mincho"/>
          <w:szCs w:val="24"/>
          <w:lang w:eastAsia="ja-JP"/>
        </w:rPr>
        <w:t>respect to standard published rates</w:t>
      </w:r>
      <w:r w:rsidRPr="00F8227C">
        <w:rPr>
          <w:rFonts w:eastAsia="MS Mincho"/>
          <w:szCs w:val="24"/>
          <w:lang w:eastAsia="ja-JP"/>
        </w:rPr>
        <w:t>, the Commission should establish a 10 MW size threshold,</w:t>
      </w:r>
      <w:r w:rsidR="002D4256">
        <w:rPr>
          <w:rFonts w:eastAsia="MS Mincho"/>
          <w:szCs w:val="24"/>
          <w:lang w:eastAsia="ja-JP"/>
        </w:rPr>
        <w:t xml:space="preserve"> </w:t>
      </w:r>
      <w:r w:rsidRPr="00F8227C">
        <w:rPr>
          <w:rFonts w:eastAsia="MS Mincho"/>
          <w:szCs w:val="24"/>
          <w:lang w:eastAsia="ja-JP"/>
        </w:rPr>
        <w:t>a</w:t>
      </w:r>
      <w:r w:rsidR="00454353">
        <w:rPr>
          <w:rFonts w:eastAsia="MS Mincho"/>
          <w:szCs w:val="24"/>
          <w:lang w:eastAsia="ja-JP"/>
        </w:rPr>
        <w:t>dopt FERC’s “one-mile” rule, allow the QF an opportunity to select a c</w:t>
      </w:r>
      <w:r w:rsidRPr="00F8227C">
        <w:rPr>
          <w:rFonts w:eastAsia="MS Mincho"/>
          <w:szCs w:val="24"/>
          <w:lang w:eastAsia="ja-JP"/>
        </w:rPr>
        <w:t>ontract term</w:t>
      </w:r>
      <w:r w:rsidR="002D4256">
        <w:rPr>
          <w:rFonts w:eastAsia="MS Mincho"/>
          <w:szCs w:val="24"/>
          <w:lang w:eastAsia="ja-JP"/>
        </w:rPr>
        <w:t xml:space="preserve"> length</w:t>
      </w:r>
      <w:r w:rsidR="00405B9D">
        <w:rPr>
          <w:rFonts w:eastAsia="MS Mincho"/>
          <w:szCs w:val="24"/>
          <w:lang w:eastAsia="ja-JP"/>
        </w:rPr>
        <w:t xml:space="preserve"> up to a maximum of</w:t>
      </w:r>
      <w:r w:rsidRPr="00F8227C">
        <w:rPr>
          <w:rFonts w:eastAsia="MS Mincho"/>
          <w:szCs w:val="24"/>
          <w:lang w:eastAsia="ja-JP"/>
        </w:rPr>
        <w:t xml:space="preserve"> 20 years</w:t>
      </w:r>
      <w:r w:rsidR="00C86FE4">
        <w:rPr>
          <w:rFonts w:eastAsia="MS Mincho"/>
          <w:szCs w:val="24"/>
          <w:lang w:eastAsia="ja-JP"/>
        </w:rPr>
        <w:t xml:space="preserve"> from the date of power deliveries</w:t>
      </w:r>
      <w:r w:rsidRPr="00F8227C">
        <w:rPr>
          <w:rFonts w:eastAsia="MS Mincho"/>
          <w:szCs w:val="24"/>
          <w:lang w:eastAsia="ja-JP"/>
        </w:rPr>
        <w:t xml:space="preserve">, and set out clear milestones for triggering a LEO as well as alternative dispute resolution.  For larger QFs, which exceed the Commission’s eligibility requirements, the NIPPC and REC also strongly urge the Commission to establish guidelines </w:t>
      </w:r>
      <w:r w:rsidR="00BC43C0">
        <w:rPr>
          <w:rFonts w:eastAsia="MS Mincho"/>
          <w:szCs w:val="24"/>
          <w:lang w:eastAsia="ja-JP"/>
        </w:rPr>
        <w:t>and protections to ensure that all cost</w:t>
      </w:r>
      <w:r w:rsidR="007A67DE">
        <w:rPr>
          <w:rFonts w:eastAsia="MS Mincho"/>
          <w:szCs w:val="24"/>
          <w:lang w:eastAsia="ja-JP"/>
        </w:rPr>
        <w:t>-</w:t>
      </w:r>
      <w:r w:rsidR="00BC43C0">
        <w:rPr>
          <w:rFonts w:eastAsia="MS Mincho"/>
          <w:szCs w:val="24"/>
          <w:lang w:eastAsia="ja-JP"/>
        </w:rPr>
        <w:t>effective QFs have a fair opportunity to sell their net output</w:t>
      </w:r>
      <w:r w:rsidRPr="00F8227C">
        <w:rPr>
          <w:rFonts w:eastAsia="MS Mincho"/>
          <w:szCs w:val="24"/>
          <w:lang w:eastAsia="ja-JP"/>
        </w:rPr>
        <w:t>.</w:t>
      </w:r>
      <w:r w:rsidR="00405B9D">
        <w:rPr>
          <w:rFonts w:eastAsia="MS Mincho"/>
          <w:szCs w:val="24"/>
          <w:lang w:eastAsia="ja-JP"/>
        </w:rPr>
        <w:t xml:space="preserve">  All parties should be required to follow Commission-approved timelines and information requirements that will provide specific guidance to completing the PPA process. </w:t>
      </w:r>
    </w:p>
    <w:p w14:paraId="0A685A23" w14:textId="682E43E4" w:rsidR="00B40AAD" w:rsidRPr="00F8227C" w:rsidRDefault="00B40AAD" w:rsidP="00F8227C">
      <w:pPr>
        <w:pStyle w:val="ListParagraph"/>
        <w:numPr>
          <w:ilvl w:val="1"/>
          <w:numId w:val="33"/>
        </w:numPr>
        <w:spacing w:line="480" w:lineRule="auto"/>
        <w:ind w:left="0" w:hanging="540"/>
        <w:rPr>
          <w:rFonts w:eastAsia="MS Mincho"/>
          <w:b/>
          <w:bCs/>
          <w:szCs w:val="24"/>
          <w:lang w:eastAsia="ja-JP"/>
        </w:rPr>
      </w:pPr>
      <w:r>
        <w:lastRenderedPageBreak/>
        <w:tab/>
        <w:t xml:space="preserve">It is </w:t>
      </w:r>
      <w:r w:rsidR="002D4256">
        <w:t>crucial</w:t>
      </w:r>
      <w:r w:rsidRPr="00481513">
        <w:t xml:space="preserve"> that the Commissio</w:t>
      </w:r>
      <w:r w:rsidR="002D4256">
        <w:t>n adopt simple policies that</w:t>
      </w:r>
      <w:r w:rsidRPr="00481513">
        <w:t xml:space="preserve"> can be implemented consistently by Washington’s regulated utilities.  When weighing the different avoided cost methodologies, and different standard contract options, the benefits of being able to rely on a simple and straig</w:t>
      </w:r>
      <w:r w:rsidR="00C86FE4">
        <w:t>htforward policy often outweigh</w:t>
      </w:r>
      <w:r w:rsidRPr="00481513">
        <w:t xml:space="preserve"> the potential up or downside between the particular options. </w:t>
      </w:r>
      <w:r w:rsidRPr="00481513">
        <w:rPr>
          <w:rFonts w:eastAsia="MS Mincho"/>
          <w:szCs w:val="24"/>
          <w:lang w:eastAsia="ja-JP"/>
        </w:rPr>
        <w:t xml:space="preserve">  </w:t>
      </w:r>
    </w:p>
    <w:p w14:paraId="4688A994" w14:textId="77777777" w:rsidR="00B40AAD" w:rsidRPr="00473871" w:rsidRDefault="00B40AAD" w:rsidP="00473871">
      <w:pPr>
        <w:rPr>
          <w:rFonts w:eastAsia="MS Mincho"/>
          <w:b/>
          <w:szCs w:val="24"/>
          <w:lang w:eastAsia="ja-JP"/>
        </w:rPr>
      </w:pPr>
    </w:p>
    <w:p w14:paraId="0666ADD9" w14:textId="2DC9584B" w:rsidR="008A3AF6" w:rsidRPr="00481513" w:rsidRDefault="00AA59CD" w:rsidP="00AA59CD">
      <w:pPr>
        <w:ind w:left="720"/>
        <w:rPr>
          <w:rFonts w:eastAsia="MS Mincho"/>
          <w:b/>
          <w:i/>
          <w:szCs w:val="24"/>
          <w:lang w:eastAsia="ja-JP"/>
        </w:rPr>
      </w:pPr>
      <w:r w:rsidRPr="00481513">
        <w:rPr>
          <w:rFonts w:eastAsia="MS Mincho"/>
          <w:b/>
          <w:i/>
          <w:szCs w:val="24"/>
          <w:lang w:eastAsia="ja-JP"/>
        </w:rPr>
        <w:t xml:space="preserve">Issue B. 1. What should be the maximum design capacity of a facility to qualify for the standard offer? Should the Commission differentiate between types of resources for determining the maximum design capacity of a facility to qualify for a standard contract? </w:t>
      </w:r>
    </w:p>
    <w:p w14:paraId="6E2A7012" w14:textId="77777777" w:rsidR="008D2A45" w:rsidRPr="00481513" w:rsidRDefault="008D2A45" w:rsidP="00AA59CD">
      <w:pPr>
        <w:ind w:left="720"/>
        <w:rPr>
          <w:rFonts w:eastAsia="MS Mincho"/>
          <w:b/>
          <w:i/>
          <w:szCs w:val="24"/>
          <w:lang w:eastAsia="ja-JP"/>
        </w:rPr>
      </w:pPr>
    </w:p>
    <w:p w14:paraId="7C165D90" w14:textId="0A88F03D" w:rsidR="007D5CA5" w:rsidRDefault="00523449" w:rsidP="007D5CA5">
      <w:pPr>
        <w:pStyle w:val="ListParagraph"/>
        <w:numPr>
          <w:ilvl w:val="1"/>
          <w:numId w:val="33"/>
        </w:numPr>
        <w:spacing w:line="480" w:lineRule="auto"/>
        <w:ind w:left="0" w:hanging="540"/>
        <w:rPr>
          <w:rFonts w:eastAsia="MS Mincho"/>
          <w:szCs w:val="24"/>
          <w:lang w:eastAsia="ja-JP"/>
        </w:rPr>
      </w:pPr>
      <w:r w:rsidRPr="00481513">
        <w:t xml:space="preserve">            </w:t>
      </w:r>
      <w:r w:rsidR="00BC43C0">
        <w:t>All</w:t>
      </w:r>
      <w:r w:rsidR="00BD5F49">
        <w:t xml:space="preserve"> QFs face obstacles that warrant the protections afforded by standard contracts.  </w:t>
      </w:r>
      <w:r w:rsidR="00ED3953" w:rsidRPr="00481513">
        <w:rPr>
          <w:rFonts w:eastAsia="MS Mincho"/>
          <w:szCs w:val="24"/>
          <w:lang w:eastAsia="ja-JP"/>
        </w:rPr>
        <w:t>FERC requires standard contracts for QFs under</w:t>
      </w:r>
      <w:r w:rsidR="00F62491">
        <w:rPr>
          <w:rFonts w:eastAsia="MS Mincho"/>
          <w:szCs w:val="24"/>
          <w:lang w:eastAsia="ja-JP"/>
        </w:rPr>
        <w:t xml:space="preserve"> </w:t>
      </w:r>
      <w:r w:rsidR="00ED3953" w:rsidRPr="00481513">
        <w:rPr>
          <w:rFonts w:eastAsia="MS Mincho"/>
          <w:szCs w:val="24"/>
          <w:lang w:eastAsia="ja-JP"/>
        </w:rPr>
        <w:t xml:space="preserve">100 kW, but </w:t>
      </w:r>
      <w:r w:rsidR="00BE0395" w:rsidRPr="00481513">
        <w:rPr>
          <w:rFonts w:eastAsia="MS Mincho"/>
          <w:szCs w:val="24"/>
          <w:lang w:eastAsia="ja-JP"/>
        </w:rPr>
        <w:t xml:space="preserve">permits </w:t>
      </w:r>
      <w:r w:rsidR="00ED3953" w:rsidRPr="00481513">
        <w:rPr>
          <w:rFonts w:eastAsia="MS Mincho"/>
          <w:szCs w:val="24"/>
          <w:lang w:eastAsia="ja-JP"/>
        </w:rPr>
        <w:t xml:space="preserve">states </w:t>
      </w:r>
      <w:r w:rsidR="00BE0395" w:rsidRPr="00481513">
        <w:rPr>
          <w:rFonts w:eastAsia="MS Mincho"/>
          <w:szCs w:val="24"/>
          <w:lang w:eastAsia="ja-JP"/>
        </w:rPr>
        <w:t>to</w:t>
      </w:r>
      <w:r w:rsidR="00ED3953" w:rsidRPr="00481513">
        <w:rPr>
          <w:rFonts w:eastAsia="MS Mincho"/>
          <w:szCs w:val="24"/>
          <w:lang w:eastAsia="ja-JP"/>
        </w:rPr>
        <w:t xml:space="preserve"> </w:t>
      </w:r>
      <w:r w:rsidR="00BE0395" w:rsidRPr="00481513">
        <w:rPr>
          <w:rFonts w:eastAsia="MS Mincho"/>
          <w:szCs w:val="24"/>
          <w:lang w:eastAsia="ja-JP"/>
        </w:rPr>
        <w:t>set</w:t>
      </w:r>
      <w:r w:rsidR="00ED3953" w:rsidRPr="00481513">
        <w:rPr>
          <w:rFonts w:eastAsia="MS Mincho"/>
          <w:szCs w:val="24"/>
          <w:lang w:eastAsia="ja-JP"/>
        </w:rPr>
        <w:t xml:space="preserve"> standard </w:t>
      </w:r>
      <w:r w:rsidR="001E0681" w:rsidRPr="00481513">
        <w:rPr>
          <w:rFonts w:eastAsia="MS Mincho"/>
          <w:szCs w:val="24"/>
          <w:lang w:eastAsia="ja-JP"/>
        </w:rPr>
        <w:t xml:space="preserve">contracts </w:t>
      </w:r>
      <w:r w:rsidR="00ED3953" w:rsidRPr="00481513">
        <w:rPr>
          <w:rFonts w:eastAsia="MS Mincho"/>
          <w:szCs w:val="24"/>
          <w:lang w:eastAsia="ja-JP"/>
        </w:rPr>
        <w:t>for larger QFs</w:t>
      </w:r>
      <w:r w:rsidR="00BE0395" w:rsidRPr="00481513">
        <w:rPr>
          <w:rFonts w:eastAsia="MS Mincho"/>
          <w:szCs w:val="24"/>
          <w:lang w:eastAsia="ja-JP"/>
        </w:rPr>
        <w:t xml:space="preserve"> as well</w:t>
      </w:r>
      <w:r w:rsidR="00ED3953" w:rsidRPr="00481513">
        <w:rPr>
          <w:rFonts w:eastAsia="MS Mincho"/>
          <w:szCs w:val="24"/>
          <w:lang w:eastAsia="ja-JP"/>
        </w:rPr>
        <w:t>.</w:t>
      </w:r>
      <w:r w:rsidR="00AC573A" w:rsidRPr="00481513">
        <w:rPr>
          <w:rFonts w:eastAsia="MS Mincho"/>
          <w:szCs w:val="24"/>
          <w:lang w:eastAsia="ja-JP"/>
        </w:rPr>
        <w:t xml:space="preserve"> </w:t>
      </w:r>
      <w:r w:rsidR="003A67DA">
        <w:rPr>
          <w:rFonts w:eastAsia="MS Mincho"/>
          <w:szCs w:val="24"/>
          <w:lang w:eastAsia="ja-JP"/>
        </w:rPr>
        <w:t xml:space="preserve"> </w:t>
      </w:r>
      <w:r w:rsidR="00F62491">
        <w:rPr>
          <w:rFonts w:eastAsia="MS Mincho"/>
          <w:szCs w:val="24"/>
          <w:lang w:eastAsia="ja-JP"/>
        </w:rPr>
        <w:t xml:space="preserve">The Commission </w:t>
      </w:r>
      <w:r w:rsidR="006C07F7">
        <w:rPr>
          <w:rFonts w:eastAsia="MS Mincho"/>
          <w:szCs w:val="24"/>
          <w:lang w:eastAsia="ja-JP"/>
        </w:rPr>
        <w:t xml:space="preserve">should </w:t>
      </w:r>
      <w:r w:rsidR="00BD5F49">
        <w:rPr>
          <w:rFonts w:eastAsia="MS Mincho"/>
          <w:szCs w:val="24"/>
          <w:lang w:eastAsia="ja-JP"/>
        </w:rPr>
        <w:t>establish</w:t>
      </w:r>
      <w:r w:rsidR="00F62491">
        <w:rPr>
          <w:rFonts w:eastAsia="MS Mincho"/>
          <w:szCs w:val="24"/>
          <w:lang w:eastAsia="ja-JP"/>
        </w:rPr>
        <w:t xml:space="preserve"> </w:t>
      </w:r>
      <w:r w:rsidR="00BD5F49">
        <w:rPr>
          <w:rFonts w:eastAsia="MS Mincho"/>
          <w:szCs w:val="24"/>
          <w:lang w:eastAsia="ja-JP"/>
        </w:rPr>
        <w:t>a</w:t>
      </w:r>
      <w:r w:rsidR="00F62491">
        <w:rPr>
          <w:rFonts w:eastAsia="MS Mincho"/>
          <w:szCs w:val="24"/>
          <w:lang w:eastAsia="ja-JP"/>
        </w:rPr>
        <w:t xml:space="preserve"> size threshold for standard contract </w:t>
      </w:r>
      <w:r w:rsidR="00682682">
        <w:rPr>
          <w:rFonts w:eastAsia="MS Mincho"/>
          <w:szCs w:val="24"/>
          <w:lang w:eastAsia="ja-JP"/>
        </w:rPr>
        <w:t xml:space="preserve">rates </w:t>
      </w:r>
      <w:r w:rsidR="00F62491">
        <w:rPr>
          <w:rFonts w:eastAsia="MS Mincho"/>
          <w:szCs w:val="24"/>
          <w:lang w:eastAsia="ja-JP"/>
        </w:rPr>
        <w:t>to include QFs with a design capacity of 10</w:t>
      </w:r>
      <w:r w:rsidR="00050D6A">
        <w:rPr>
          <w:rFonts w:eastAsia="MS Mincho"/>
          <w:szCs w:val="24"/>
          <w:lang w:eastAsia="ja-JP"/>
        </w:rPr>
        <w:t xml:space="preserve"> </w:t>
      </w:r>
      <w:r w:rsidR="0095113C">
        <w:rPr>
          <w:rFonts w:eastAsia="MS Mincho"/>
          <w:szCs w:val="24"/>
          <w:lang w:eastAsia="ja-JP"/>
        </w:rPr>
        <w:t>MW or less, but allow all QFs the ability to select standard contract terms</w:t>
      </w:r>
      <w:r w:rsidR="00405B9D">
        <w:rPr>
          <w:rFonts w:eastAsia="MS Mincho"/>
          <w:szCs w:val="24"/>
          <w:lang w:eastAsia="ja-JP"/>
        </w:rPr>
        <w:t xml:space="preserve"> and published prices</w:t>
      </w:r>
      <w:r w:rsidR="0095113C">
        <w:rPr>
          <w:rFonts w:eastAsia="MS Mincho"/>
          <w:szCs w:val="24"/>
          <w:lang w:eastAsia="ja-JP"/>
        </w:rPr>
        <w:t xml:space="preserve">. </w:t>
      </w:r>
      <w:r w:rsidR="00F62491">
        <w:rPr>
          <w:rFonts w:eastAsia="MS Mincho"/>
          <w:szCs w:val="24"/>
          <w:lang w:eastAsia="ja-JP"/>
        </w:rPr>
        <w:t xml:space="preserve"> </w:t>
      </w:r>
      <w:r w:rsidR="000B195E">
        <w:rPr>
          <w:rFonts w:eastAsia="MS Mincho"/>
          <w:szCs w:val="24"/>
          <w:lang w:eastAsia="ja-JP"/>
        </w:rPr>
        <w:t>This recommendation is based in part o</w:t>
      </w:r>
      <w:r w:rsidR="007A67DE">
        <w:rPr>
          <w:rFonts w:eastAsia="MS Mincho"/>
          <w:szCs w:val="24"/>
          <w:lang w:eastAsia="ja-JP"/>
        </w:rPr>
        <w:t>n</w:t>
      </w:r>
      <w:r w:rsidR="000B195E">
        <w:rPr>
          <w:rFonts w:eastAsia="MS Mincho"/>
          <w:szCs w:val="24"/>
          <w:lang w:eastAsia="ja-JP"/>
        </w:rPr>
        <w:t xml:space="preserve"> the Oregon Commission’s moderately successful 10 MW size threshold for standard contract</w:t>
      </w:r>
      <w:r w:rsidR="00AD10F3">
        <w:rPr>
          <w:rFonts w:eastAsia="MS Mincho"/>
          <w:szCs w:val="24"/>
          <w:lang w:eastAsia="ja-JP"/>
        </w:rPr>
        <w:t>s</w:t>
      </w:r>
      <w:r w:rsidR="000B195E">
        <w:rPr>
          <w:rFonts w:eastAsia="MS Mincho"/>
          <w:szCs w:val="24"/>
          <w:lang w:eastAsia="ja-JP"/>
        </w:rPr>
        <w:t xml:space="preserve">.  </w:t>
      </w:r>
      <w:r w:rsidR="000B195E" w:rsidRPr="00481513">
        <w:t>The Oregon Commission has repeatedly confirmed its 10 MW size threshold for QF st</w:t>
      </w:r>
      <w:r w:rsidR="000B195E">
        <w:t>andard contract eligibility, with the exception that it</w:t>
      </w:r>
      <w:r w:rsidR="000B195E" w:rsidRPr="00481513">
        <w:t xml:space="preserve"> recently lowered that threshold for solar QFs to 3 MW</w:t>
      </w:r>
      <w:r w:rsidR="000B195E">
        <w:t xml:space="preserve"> selling to PacifiCorp and Idaho Power.</w:t>
      </w:r>
      <w:r w:rsidR="00BC43C0" w:rsidRPr="00481513">
        <w:rPr>
          <w:rStyle w:val="FootnoteReference"/>
        </w:rPr>
        <w:footnoteReference w:id="39"/>
      </w:r>
      <w:r w:rsidR="000B195E">
        <w:t xml:space="preserve">  The Commission should reject Oregon’s approach of </w:t>
      </w:r>
      <w:r w:rsidR="000B195E">
        <w:lastRenderedPageBreak/>
        <w:t>adopting a lower size threshold for solar generation because it had the practical effect of stopping new solar QF</w:t>
      </w:r>
      <w:r w:rsidR="007A67DE">
        <w:t xml:space="preserve"> development</w:t>
      </w:r>
      <w:r w:rsidR="000B195E">
        <w:t xml:space="preserve"> for PacifiCorp.</w:t>
      </w:r>
      <w:r w:rsidR="0029746C">
        <w:rPr>
          <w:rStyle w:val="FootnoteReference"/>
        </w:rPr>
        <w:footnoteReference w:id="40"/>
      </w:r>
    </w:p>
    <w:p w14:paraId="7C09A974" w14:textId="48A5E404" w:rsidR="00F62491" w:rsidRDefault="00BC43C0" w:rsidP="00F62491">
      <w:pPr>
        <w:pStyle w:val="ListParagraph"/>
        <w:numPr>
          <w:ilvl w:val="1"/>
          <w:numId w:val="33"/>
        </w:numPr>
        <w:spacing w:line="480" w:lineRule="auto"/>
        <w:ind w:left="0" w:hanging="540"/>
        <w:rPr>
          <w:rFonts w:eastAsia="MS Mincho"/>
          <w:szCs w:val="24"/>
          <w:lang w:eastAsia="ja-JP"/>
        </w:rPr>
      </w:pPr>
      <w:r>
        <w:rPr>
          <w:rFonts w:eastAsia="MS Mincho"/>
          <w:szCs w:val="24"/>
          <w:lang w:eastAsia="ja-JP"/>
        </w:rPr>
        <w:tab/>
      </w:r>
      <w:r w:rsidR="00F62491">
        <w:rPr>
          <w:rFonts w:eastAsia="MS Mincho"/>
          <w:szCs w:val="24"/>
          <w:lang w:eastAsia="ja-JP"/>
        </w:rPr>
        <w:t>Larger QFs, which may no</w:t>
      </w:r>
      <w:r w:rsidR="0095113C">
        <w:rPr>
          <w:rFonts w:eastAsia="MS Mincho"/>
          <w:szCs w:val="24"/>
          <w:lang w:eastAsia="ja-JP"/>
        </w:rPr>
        <w:t>t qualify for published rates</w:t>
      </w:r>
      <w:r w:rsidR="00F62491" w:rsidRPr="00F62491">
        <w:rPr>
          <w:rFonts w:eastAsia="MS Mincho"/>
          <w:szCs w:val="24"/>
          <w:lang w:eastAsia="ja-JP"/>
        </w:rPr>
        <w:t>, are also at a disadvantage when negotiating with utilities</w:t>
      </w:r>
      <w:r w:rsidR="001A665D">
        <w:rPr>
          <w:rFonts w:eastAsia="MS Mincho"/>
          <w:szCs w:val="24"/>
          <w:lang w:eastAsia="ja-JP"/>
        </w:rPr>
        <w:t xml:space="preserve"> and face significant barriers</w:t>
      </w:r>
      <w:r w:rsidR="00F62491" w:rsidRPr="00F62491">
        <w:rPr>
          <w:rFonts w:eastAsia="MS Mincho"/>
          <w:szCs w:val="24"/>
          <w:lang w:eastAsia="ja-JP"/>
        </w:rPr>
        <w:t>, and will benefit greatly from Commission guidelines</w:t>
      </w:r>
      <w:r w:rsidR="00682682">
        <w:rPr>
          <w:rFonts w:eastAsia="MS Mincho"/>
          <w:szCs w:val="24"/>
          <w:lang w:eastAsia="ja-JP"/>
        </w:rPr>
        <w:t xml:space="preserve"> and additional protections, including access to standard contract </w:t>
      </w:r>
      <w:r w:rsidR="00752DB4">
        <w:rPr>
          <w:rFonts w:eastAsia="MS Mincho"/>
          <w:szCs w:val="24"/>
          <w:lang w:eastAsia="ja-JP"/>
        </w:rPr>
        <w:t>provisions</w:t>
      </w:r>
      <w:r w:rsidR="00682682">
        <w:rPr>
          <w:rFonts w:eastAsia="MS Mincho"/>
          <w:szCs w:val="24"/>
          <w:lang w:eastAsia="ja-JP"/>
        </w:rPr>
        <w:t xml:space="preserve"> and specific timelines for the utilities to provide information and complete the negotiation process.  Regardless of size, all QFs should be eligible for </w:t>
      </w:r>
      <w:r>
        <w:rPr>
          <w:rFonts w:eastAsia="MS Mincho"/>
          <w:szCs w:val="24"/>
          <w:lang w:eastAsia="ja-JP"/>
        </w:rPr>
        <w:t xml:space="preserve">at least </w:t>
      </w:r>
      <w:r w:rsidR="00682682">
        <w:rPr>
          <w:rFonts w:eastAsia="MS Mincho"/>
          <w:szCs w:val="24"/>
          <w:lang w:eastAsia="ja-JP"/>
        </w:rPr>
        <w:t xml:space="preserve">15 year contracts.   </w:t>
      </w:r>
      <w:r w:rsidR="00F62491" w:rsidRPr="00F62491">
        <w:rPr>
          <w:rFonts w:eastAsia="MS Mincho"/>
          <w:szCs w:val="24"/>
          <w:lang w:eastAsia="ja-JP"/>
        </w:rPr>
        <w:t xml:space="preserve">   </w:t>
      </w:r>
      <w:r w:rsidR="00F62491">
        <w:rPr>
          <w:rFonts w:eastAsia="MS Mincho"/>
          <w:szCs w:val="24"/>
          <w:lang w:eastAsia="ja-JP"/>
        </w:rPr>
        <w:t xml:space="preserve">  </w:t>
      </w:r>
    </w:p>
    <w:p w14:paraId="3F8F961C" w14:textId="768CC1C2" w:rsidR="00BD5F49" w:rsidRPr="00BD5F49" w:rsidRDefault="00F62491" w:rsidP="00BD5F49">
      <w:pPr>
        <w:pStyle w:val="ListParagraph"/>
        <w:numPr>
          <w:ilvl w:val="1"/>
          <w:numId w:val="33"/>
        </w:numPr>
        <w:spacing w:line="480" w:lineRule="auto"/>
        <w:ind w:left="0" w:hanging="540"/>
        <w:rPr>
          <w:rFonts w:eastAsia="MS Mincho"/>
          <w:szCs w:val="24"/>
          <w:lang w:eastAsia="ja-JP"/>
        </w:rPr>
      </w:pPr>
      <w:r w:rsidRPr="00481513">
        <w:t xml:space="preserve">            </w:t>
      </w:r>
      <w:r w:rsidR="00BD5F49" w:rsidRPr="00F62491">
        <w:rPr>
          <w:rFonts w:eastAsia="MS Mincho"/>
          <w:szCs w:val="24"/>
          <w:lang w:eastAsia="ja-JP"/>
        </w:rPr>
        <w:t xml:space="preserve">Standard contracts provide the kind of regulatory certainty that can make or break </w:t>
      </w:r>
      <w:r w:rsidR="008A4C0B">
        <w:rPr>
          <w:rFonts w:eastAsia="MS Mincho"/>
          <w:szCs w:val="24"/>
          <w:lang w:eastAsia="ja-JP"/>
        </w:rPr>
        <w:t>both new and existing</w:t>
      </w:r>
      <w:r w:rsidR="00BD5F49" w:rsidRPr="00F62491">
        <w:rPr>
          <w:rFonts w:eastAsia="MS Mincho"/>
          <w:szCs w:val="24"/>
          <w:lang w:eastAsia="ja-JP"/>
        </w:rPr>
        <w:t xml:space="preserve"> QF project</w:t>
      </w:r>
      <w:r w:rsidR="008A4C0B">
        <w:rPr>
          <w:rFonts w:eastAsia="MS Mincho"/>
          <w:szCs w:val="24"/>
          <w:lang w:eastAsia="ja-JP"/>
        </w:rPr>
        <w:t>s</w:t>
      </w:r>
      <w:r w:rsidR="00DB7F65">
        <w:rPr>
          <w:rFonts w:eastAsia="MS Mincho"/>
          <w:szCs w:val="24"/>
          <w:lang w:eastAsia="ja-JP"/>
        </w:rPr>
        <w:t xml:space="preserve"> because of the difficulty negotiating with the utilities</w:t>
      </w:r>
      <w:r w:rsidR="00BD5F49" w:rsidRPr="00F62491">
        <w:rPr>
          <w:rFonts w:eastAsia="MS Mincho"/>
          <w:szCs w:val="24"/>
          <w:lang w:eastAsia="ja-JP"/>
        </w:rPr>
        <w:t xml:space="preserve">.  </w:t>
      </w:r>
      <w:r w:rsidR="00752DB4">
        <w:rPr>
          <w:rFonts w:eastAsia="MS Mincho"/>
          <w:szCs w:val="24"/>
          <w:lang w:eastAsia="ja-JP"/>
        </w:rPr>
        <w:t>Currently, the Washington utilities all have small size thresholds.</w:t>
      </w:r>
      <w:r w:rsidR="00752DB4">
        <w:rPr>
          <w:rStyle w:val="FootnoteReference"/>
          <w:rFonts w:eastAsia="MS Mincho"/>
          <w:szCs w:val="24"/>
          <w:lang w:eastAsia="ja-JP"/>
        </w:rPr>
        <w:footnoteReference w:id="41"/>
      </w:r>
      <w:r w:rsidR="00752DB4">
        <w:rPr>
          <w:rFonts w:eastAsia="MS Mincho"/>
          <w:szCs w:val="24"/>
          <w:lang w:eastAsia="ja-JP"/>
        </w:rPr>
        <w:t xml:space="preserve">  </w:t>
      </w:r>
      <w:r w:rsidR="00BD5F49">
        <w:rPr>
          <w:rFonts w:eastAsia="MS Mincho"/>
          <w:szCs w:val="24"/>
          <w:lang w:eastAsia="ja-JP"/>
        </w:rPr>
        <w:t>T</w:t>
      </w:r>
      <w:r w:rsidR="00BD5F49" w:rsidRPr="00BD5F49">
        <w:rPr>
          <w:rFonts w:eastAsia="MS Mincho"/>
          <w:szCs w:val="24"/>
          <w:lang w:eastAsia="ja-JP"/>
        </w:rPr>
        <w:t xml:space="preserve">he Commission should </w:t>
      </w:r>
      <w:r w:rsidR="00BD5F49">
        <w:rPr>
          <w:rFonts w:eastAsia="MS Mincho"/>
          <w:szCs w:val="24"/>
          <w:lang w:eastAsia="ja-JP"/>
        </w:rPr>
        <w:t>opt for a higher</w:t>
      </w:r>
      <w:r w:rsidR="00BD5F49" w:rsidRPr="00BD5F49">
        <w:rPr>
          <w:rFonts w:eastAsia="MS Mincho"/>
          <w:szCs w:val="24"/>
          <w:lang w:eastAsia="ja-JP"/>
        </w:rPr>
        <w:t xml:space="preserve"> size threshold </w:t>
      </w:r>
      <w:r w:rsidR="00BD5F49">
        <w:rPr>
          <w:rFonts w:eastAsia="MS Mincho"/>
          <w:szCs w:val="24"/>
          <w:lang w:eastAsia="ja-JP"/>
        </w:rPr>
        <w:t>to</w:t>
      </w:r>
      <w:r w:rsidR="00BD5F49" w:rsidRPr="00BD5F49">
        <w:rPr>
          <w:rFonts w:eastAsia="MS Mincho"/>
          <w:szCs w:val="24"/>
          <w:lang w:eastAsia="ja-JP"/>
        </w:rPr>
        <w:t xml:space="preserve"> streamline </w:t>
      </w:r>
      <w:r w:rsidR="00BD5F49">
        <w:rPr>
          <w:rFonts w:eastAsia="MS Mincho"/>
          <w:szCs w:val="24"/>
          <w:lang w:eastAsia="ja-JP"/>
        </w:rPr>
        <w:t xml:space="preserve">PPA </w:t>
      </w:r>
      <w:r w:rsidR="00BD5F49" w:rsidRPr="00BD5F49">
        <w:rPr>
          <w:rFonts w:eastAsia="MS Mincho"/>
          <w:szCs w:val="24"/>
          <w:lang w:eastAsia="ja-JP"/>
        </w:rPr>
        <w:t>negotiations.</w:t>
      </w:r>
      <w:r w:rsidR="00BD5F49">
        <w:rPr>
          <w:rFonts w:eastAsia="MS Mincho"/>
          <w:szCs w:val="24"/>
          <w:lang w:eastAsia="ja-JP"/>
        </w:rPr>
        <w:t xml:space="preserve">  </w:t>
      </w:r>
      <w:r w:rsidR="00752DB4">
        <w:rPr>
          <w:rFonts w:eastAsia="MS Mincho"/>
          <w:szCs w:val="24"/>
          <w:lang w:eastAsia="ja-JP"/>
        </w:rPr>
        <w:t xml:space="preserve">The current approach subjects </w:t>
      </w:r>
      <w:r>
        <w:rPr>
          <w:rFonts w:eastAsia="MS Mincho"/>
          <w:szCs w:val="24"/>
          <w:lang w:eastAsia="ja-JP"/>
        </w:rPr>
        <w:t xml:space="preserve">smaller QFs to burdensome, complex, and one-sided negotiations with monopsony utilities that do not want to buy QF power.  A larger size threshold for </w:t>
      </w:r>
      <w:r>
        <w:rPr>
          <w:rFonts w:eastAsia="MS Mincho"/>
          <w:szCs w:val="24"/>
          <w:lang w:eastAsia="ja-JP"/>
        </w:rPr>
        <w:lastRenderedPageBreak/>
        <w:t xml:space="preserve">standard contracts will remove transaction costs and eliminate market barriers for QFs attempting to sell their power, and increase the ability of QFs to successfully negotiate contracts without unreasonable delays and obstacles. </w:t>
      </w:r>
      <w:r w:rsidR="00BD5F49">
        <w:rPr>
          <w:rFonts w:eastAsia="MS Mincho"/>
          <w:szCs w:val="24"/>
          <w:lang w:eastAsia="ja-JP"/>
        </w:rPr>
        <w:t xml:space="preserve"> </w:t>
      </w:r>
    </w:p>
    <w:p w14:paraId="0E1F09A2" w14:textId="62A1D6E1" w:rsidR="009D4723" w:rsidRPr="00481513" w:rsidRDefault="00BD5F49" w:rsidP="009D4723">
      <w:pPr>
        <w:pStyle w:val="ListParagraph"/>
        <w:numPr>
          <w:ilvl w:val="1"/>
          <w:numId w:val="33"/>
        </w:numPr>
        <w:spacing w:line="480" w:lineRule="auto"/>
        <w:ind w:left="0" w:hanging="540"/>
        <w:rPr>
          <w:rFonts w:eastAsia="MS Mincho"/>
          <w:bCs/>
          <w:szCs w:val="24"/>
          <w:lang w:eastAsia="ja-JP"/>
        </w:rPr>
      </w:pPr>
      <w:r w:rsidRPr="00481513">
        <w:t xml:space="preserve"> </w:t>
      </w:r>
      <w:r w:rsidR="00BC43C0">
        <w:rPr>
          <w:rFonts w:eastAsia="MS Mincho"/>
          <w:szCs w:val="24"/>
          <w:lang w:eastAsia="ja-JP"/>
        </w:rPr>
        <w:tab/>
      </w:r>
      <w:r w:rsidR="00473871">
        <w:rPr>
          <w:rFonts w:eastAsia="MS Mincho"/>
          <w:bCs/>
          <w:szCs w:val="24"/>
          <w:lang w:eastAsia="ja-JP"/>
        </w:rPr>
        <w:t>PPA</w:t>
      </w:r>
      <w:r w:rsidR="009D4723" w:rsidRPr="00481513">
        <w:rPr>
          <w:rFonts w:eastAsia="MS Mincho"/>
          <w:bCs/>
          <w:szCs w:val="24"/>
          <w:lang w:eastAsia="ja-JP"/>
        </w:rPr>
        <w:t xml:space="preserve"> negotiations are far from </w:t>
      </w:r>
      <w:r w:rsidR="00473871">
        <w:rPr>
          <w:rFonts w:eastAsia="MS Mincho"/>
          <w:bCs/>
          <w:szCs w:val="24"/>
          <w:lang w:eastAsia="ja-JP"/>
        </w:rPr>
        <w:t xml:space="preserve">those of </w:t>
      </w:r>
      <w:r w:rsidR="003A67DA">
        <w:rPr>
          <w:rFonts w:eastAsia="MS Mincho"/>
          <w:bCs/>
          <w:szCs w:val="24"/>
          <w:lang w:eastAsia="ja-JP"/>
        </w:rPr>
        <w:t>a</w:t>
      </w:r>
      <w:r w:rsidR="009D4723" w:rsidRPr="00481513">
        <w:rPr>
          <w:rFonts w:eastAsia="MS Mincho"/>
          <w:bCs/>
          <w:szCs w:val="24"/>
          <w:lang w:eastAsia="ja-JP"/>
        </w:rPr>
        <w:t xml:space="preserve"> normal arm’s length transaction.  Establishing standard contracts protects QFs negotiating with unequal bargaining power, and reduces negotiation costs imposed upon QFs.</w:t>
      </w:r>
      <w:r>
        <w:rPr>
          <w:rFonts w:eastAsia="MS Mincho"/>
          <w:bCs/>
          <w:szCs w:val="24"/>
          <w:lang w:eastAsia="ja-JP"/>
        </w:rPr>
        <w:t xml:space="preserve">  S</w:t>
      </w:r>
      <w:r w:rsidR="00A70435" w:rsidRPr="00481513">
        <w:rPr>
          <w:rFonts w:eastAsia="MS Mincho"/>
          <w:bCs/>
          <w:szCs w:val="24"/>
          <w:lang w:eastAsia="ja-JP"/>
        </w:rPr>
        <w:t>mall</w:t>
      </w:r>
      <w:r>
        <w:rPr>
          <w:rFonts w:eastAsia="MS Mincho"/>
          <w:bCs/>
          <w:szCs w:val="24"/>
          <w:lang w:eastAsia="ja-JP"/>
        </w:rPr>
        <w:t>er</w:t>
      </w:r>
      <w:r w:rsidR="00A70435" w:rsidRPr="00481513">
        <w:rPr>
          <w:rFonts w:eastAsia="MS Mincho"/>
          <w:bCs/>
          <w:szCs w:val="24"/>
          <w:lang w:eastAsia="ja-JP"/>
        </w:rPr>
        <w:t xml:space="preserve"> QFs are particularly vulnerable during negotiations because they are less likely to approach negotiations with a robust team and may not be able to sustain long-term negotiations.</w:t>
      </w:r>
      <w:r w:rsidR="00752DB4">
        <w:rPr>
          <w:rFonts w:eastAsia="MS Mincho"/>
          <w:bCs/>
          <w:szCs w:val="24"/>
          <w:lang w:eastAsia="ja-JP"/>
        </w:rPr>
        <w:t xml:space="preserve">  </w:t>
      </w:r>
      <w:r w:rsidR="00A70435" w:rsidRPr="00481513">
        <w:rPr>
          <w:rFonts w:eastAsia="MS Mincho"/>
          <w:bCs/>
          <w:szCs w:val="24"/>
          <w:lang w:eastAsia="ja-JP"/>
        </w:rPr>
        <w:t xml:space="preserve">Thus, one of the goals for standard contracts should be to eliminate </w:t>
      </w:r>
      <w:r>
        <w:rPr>
          <w:rFonts w:eastAsia="MS Mincho"/>
          <w:bCs/>
          <w:szCs w:val="24"/>
          <w:lang w:eastAsia="ja-JP"/>
        </w:rPr>
        <w:t xml:space="preserve">these </w:t>
      </w:r>
      <w:r w:rsidR="00A70435" w:rsidRPr="00481513">
        <w:rPr>
          <w:rFonts w:eastAsia="MS Mincho"/>
          <w:bCs/>
          <w:szCs w:val="24"/>
          <w:lang w:eastAsia="ja-JP"/>
        </w:rPr>
        <w:t>market barrie</w:t>
      </w:r>
      <w:r w:rsidR="005E1A54" w:rsidRPr="00481513">
        <w:rPr>
          <w:rFonts w:eastAsia="MS Mincho"/>
          <w:bCs/>
          <w:szCs w:val="24"/>
          <w:lang w:eastAsia="ja-JP"/>
        </w:rPr>
        <w:t>rs and reduce transaction costs.</w:t>
      </w:r>
      <w:r w:rsidR="00A70435" w:rsidRPr="00481513">
        <w:rPr>
          <w:rFonts w:eastAsia="MS Mincho"/>
          <w:bCs/>
          <w:szCs w:val="24"/>
          <w:lang w:eastAsia="ja-JP"/>
        </w:rPr>
        <w:t xml:space="preserve"> </w:t>
      </w:r>
    </w:p>
    <w:p w14:paraId="25667DFD" w14:textId="61F8F754" w:rsidR="00CF0965" w:rsidRPr="00481513" w:rsidRDefault="00CF0965" w:rsidP="009D4723">
      <w:pPr>
        <w:pStyle w:val="ListParagraph"/>
        <w:numPr>
          <w:ilvl w:val="1"/>
          <w:numId w:val="33"/>
        </w:numPr>
        <w:spacing w:line="480" w:lineRule="auto"/>
        <w:ind w:left="0" w:hanging="540"/>
        <w:rPr>
          <w:rFonts w:eastAsia="MS Mincho"/>
          <w:bCs/>
          <w:szCs w:val="24"/>
          <w:lang w:eastAsia="ja-JP"/>
        </w:rPr>
      </w:pPr>
      <w:r w:rsidRPr="00481513">
        <w:t xml:space="preserve">            </w:t>
      </w:r>
      <w:r w:rsidR="00DB7F65">
        <w:t>While NIPPC and REC support a 10 MW size threshold</w:t>
      </w:r>
      <w:r w:rsidR="0095113C">
        <w:t xml:space="preserve"> for published prices</w:t>
      </w:r>
      <w:r w:rsidR="00DB7F65">
        <w:t>, t</w:t>
      </w:r>
      <w:r w:rsidR="008115DE">
        <w:t xml:space="preserve">here is also an argument that standard contracts should be available for QFs up to 20 MWs.  </w:t>
      </w:r>
      <w:r w:rsidRPr="00481513">
        <w:t xml:space="preserve">The majority of FERC cases granting relief from PURPA’s mandatory purchase obligation apply to QFs </w:t>
      </w:r>
      <w:r w:rsidR="00AD1A6F" w:rsidRPr="00481513">
        <w:t xml:space="preserve">20 MW or larger.  FERC’s distinction may provide the most natural break between small and large QFs. </w:t>
      </w:r>
      <w:r w:rsidR="00A42D33" w:rsidRPr="00481513">
        <w:t xml:space="preserve"> </w:t>
      </w:r>
      <w:r w:rsidR="008115DE">
        <w:t xml:space="preserve">The </w:t>
      </w:r>
      <w:r w:rsidRPr="00481513">
        <w:t>California</w:t>
      </w:r>
      <w:r w:rsidR="008115DE">
        <w:t xml:space="preserve"> C</w:t>
      </w:r>
      <w:r w:rsidR="00A42D33" w:rsidRPr="00481513">
        <w:t>ommission</w:t>
      </w:r>
      <w:r w:rsidRPr="00481513">
        <w:t xml:space="preserve"> use</w:t>
      </w:r>
      <w:r w:rsidR="00A42D33" w:rsidRPr="00481513">
        <w:t>s</w:t>
      </w:r>
      <w:r w:rsidRPr="00481513">
        <w:t xml:space="preserve"> 20 MW </w:t>
      </w:r>
      <w:r w:rsidR="008A4C0B">
        <w:t xml:space="preserve">net output </w:t>
      </w:r>
      <w:r w:rsidRPr="00481513">
        <w:t>as the threshold size for eligibility for standard contracts.</w:t>
      </w:r>
      <w:r w:rsidR="00A42D33" w:rsidRPr="00481513">
        <w:rPr>
          <w:rStyle w:val="FootnoteReference"/>
        </w:rPr>
        <w:footnoteReference w:id="42"/>
      </w:r>
      <w:r w:rsidRPr="00481513">
        <w:t xml:space="preserve"> </w:t>
      </w:r>
    </w:p>
    <w:p w14:paraId="1CE19295" w14:textId="27354296" w:rsidR="00752DB4" w:rsidRPr="00752DB4" w:rsidRDefault="009D4723" w:rsidP="00BE246B">
      <w:pPr>
        <w:pStyle w:val="ListParagraph"/>
        <w:numPr>
          <w:ilvl w:val="1"/>
          <w:numId w:val="33"/>
        </w:numPr>
        <w:spacing w:line="480" w:lineRule="auto"/>
        <w:ind w:left="0" w:hanging="540"/>
        <w:rPr>
          <w:rFonts w:eastAsia="MS Mincho"/>
          <w:bCs/>
          <w:szCs w:val="24"/>
          <w:lang w:eastAsia="ja-JP"/>
        </w:rPr>
      </w:pPr>
      <w:r w:rsidRPr="00481513">
        <w:t xml:space="preserve">            </w:t>
      </w:r>
      <w:r w:rsidRPr="00481513">
        <w:rPr>
          <w:rFonts w:eastAsia="MS Mincho"/>
          <w:bCs/>
          <w:szCs w:val="24"/>
          <w:lang w:eastAsia="ja-JP"/>
        </w:rPr>
        <w:t>Although standard contracts</w:t>
      </w:r>
      <w:r w:rsidR="0095113C">
        <w:rPr>
          <w:rFonts w:eastAsia="MS Mincho"/>
          <w:bCs/>
          <w:szCs w:val="24"/>
          <w:lang w:eastAsia="ja-JP"/>
        </w:rPr>
        <w:t xml:space="preserve"> and prices</w:t>
      </w:r>
      <w:r w:rsidRPr="00481513">
        <w:rPr>
          <w:rFonts w:eastAsia="MS Mincho"/>
          <w:bCs/>
          <w:szCs w:val="24"/>
          <w:lang w:eastAsia="ja-JP"/>
        </w:rPr>
        <w:t xml:space="preserve"> </w:t>
      </w:r>
      <w:r w:rsidR="00A70435" w:rsidRPr="00481513">
        <w:rPr>
          <w:rFonts w:eastAsia="MS Mincho"/>
          <w:bCs/>
          <w:szCs w:val="24"/>
          <w:lang w:eastAsia="ja-JP"/>
        </w:rPr>
        <w:t xml:space="preserve">tend to </w:t>
      </w:r>
      <w:r w:rsidRPr="00481513">
        <w:rPr>
          <w:rFonts w:eastAsia="MS Mincho"/>
          <w:bCs/>
          <w:szCs w:val="24"/>
          <w:lang w:eastAsia="ja-JP"/>
        </w:rPr>
        <w:t xml:space="preserve">focus on small QFs, </w:t>
      </w:r>
      <w:r w:rsidR="00DB7F65">
        <w:rPr>
          <w:rFonts w:eastAsia="MS Mincho"/>
          <w:bCs/>
          <w:szCs w:val="24"/>
          <w:lang w:eastAsia="ja-JP"/>
        </w:rPr>
        <w:t xml:space="preserve">larger projects also face difficulties negotiating with a potential business partner that does not want to buy their product.  </w:t>
      </w:r>
      <w:r w:rsidR="00752DB4" w:rsidRPr="00481513">
        <w:rPr>
          <w:rFonts w:eastAsia="MS Mincho"/>
          <w:bCs/>
          <w:szCs w:val="24"/>
          <w:lang w:eastAsia="ja-JP"/>
        </w:rPr>
        <w:t xml:space="preserve">Utilities are obligated to purchase QF power and capacity whether the QF is eligible for standard contracts or not. </w:t>
      </w:r>
      <w:r w:rsidR="00752DB4">
        <w:rPr>
          <w:rFonts w:eastAsia="MS Mincho"/>
          <w:bCs/>
          <w:szCs w:val="24"/>
          <w:lang w:eastAsia="ja-JP"/>
        </w:rPr>
        <w:t xml:space="preserve"> </w:t>
      </w:r>
      <w:r w:rsidR="00BD5F49" w:rsidRPr="00752DB4">
        <w:rPr>
          <w:rFonts w:eastAsia="MS Mincho"/>
          <w:bCs/>
          <w:szCs w:val="24"/>
          <w:lang w:eastAsia="ja-JP"/>
        </w:rPr>
        <w:t xml:space="preserve">Developing mid-sized projects over standard </w:t>
      </w:r>
      <w:r w:rsidR="00BD5F49" w:rsidRPr="00752DB4">
        <w:rPr>
          <w:rFonts w:eastAsia="MS Mincho"/>
          <w:bCs/>
          <w:szCs w:val="24"/>
          <w:lang w:eastAsia="ja-JP"/>
        </w:rPr>
        <w:lastRenderedPageBreak/>
        <w:t>contract size thresholds can be extremely difficult.</w:t>
      </w:r>
      <w:r w:rsidR="00752DB4">
        <w:rPr>
          <w:rStyle w:val="FootnoteReference"/>
          <w:rFonts w:eastAsia="MS Mincho"/>
          <w:bCs/>
          <w:szCs w:val="24"/>
          <w:lang w:eastAsia="ja-JP"/>
        </w:rPr>
        <w:footnoteReference w:id="43"/>
      </w:r>
      <w:r w:rsidR="00BD5F49" w:rsidRPr="00752DB4">
        <w:rPr>
          <w:rFonts w:eastAsia="MS Mincho"/>
          <w:bCs/>
          <w:szCs w:val="24"/>
          <w:lang w:eastAsia="ja-JP"/>
        </w:rPr>
        <w:t xml:space="preserve">  </w:t>
      </w:r>
      <w:r w:rsidR="00A70435" w:rsidRPr="00752DB4">
        <w:rPr>
          <w:rFonts w:eastAsia="MS Mincho"/>
          <w:bCs/>
          <w:szCs w:val="24"/>
          <w:lang w:eastAsia="ja-JP"/>
        </w:rPr>
        <w:t xml:space="preserve">Even assuming </w:t>
      </w:r>
      <w:r w:rsidR="00A70435" w:rsidRPr="001279A9">
        <w:rPr>
          <w:rFonts w:eastAsia="MS Mincho"/>
          <w:bCs/>
          <w:i/>
          <w:szCs w:val="24"/>
          <w:lang w:eastAsia="ja-JP"/>
        </w:rPr>
        <w:t>arguendo</w:t>
      </w:r>
      <w:r w:rsidR="00A70435" w:rsidRPr="00752DB4">
        <w:rPr>
          <w:rFonts w:eastAsia="MS Mincho"/>
          <w:bCs/>
          <w:szCs w:val="24"/>
          <w:lang w:eastAsia="ja-JP"/>
        </w:rPr>
        <w:t xml:space="preserve"> that larger QFs are more sophisticated or have a more robust staff to work on PPA negotiations, something which is not always true, there is still asymmetric availability of information and an unlevel playing field.  </w:t>
      </w:r>
      <w:r w:rsidR="00752DB4">
        <w:rPr>
          <w:rFonts w:eastAsia="MS Mincho"/>
          <w:bCs/>
          <w:szCs w:val="24"/>
          <w:lang w:eastAsia="ja-JP"/>
        </w:rPr>
        <w:t xml:space="preserve">Larger QFs also </w:t>
      </w:r>
      <w:r w:rsidR="00752DB4" w:rsidRPr="00752DB4">
        <w:rPr>
          <w:rFonts w:eastAsia="MS Mincho"/>
          <w:bCs/>
          <w:szCs w:val="24"/>
          <w:lang w:eastAsia="ja-JP"/>
        </w:rPr>
        <w:t>often have no more bargaining power than small projects because their utility may be the only economic option to sell power given the lack of organized markets and a regional transmission organization</w:t>
      </w:r>
      <w:r w:rsidR="008A4C0B">
        <w:rPr>
          <w:rFonts w:eastAsia="MS Mincho"/>
          <w:bCs/>
          <w:szCs w:val="24"/>
          <w:lang w:eastAsia="ja-JP"/>
        </w:rPr>
        <w:t>, combined with an historical unwillingness of utilities to do business with independent producers</w:t>
      </w:r>
      <w:r w:rsidR="00752DB4" w:rsidRPr="00752DB4">
        <w:rPr>
          <w:rFonts w:eastAsia="MS Mincho"/>
          <w:bCs/>
          <w:szCs w:val="24"/>
          <w:lang w:eastAsia="ja-JP"/>
        </w:rPr>
        <w:t xml:space="preserve">.  </w:t>
      </w:r>
    </w:p>
    <w:p w14:paraId="172A6195" w14:textId="48751232" w:rsidR="007D5CA5" w:rsidRDefault="00752DB4" w:rsidP="00BE246B">
      <w:pPr>
        <w:pStyle w:val="ListParagraph"/>
        <w:numPr>
          <w:ilvl w:val="1"/>
          <w:numId w:val="33"/>
        </w:numPr>
        <w:spacing w:line="480" w:lineRule="auto"/>
        <w:ind w:left="0" w:hanging="540"/>
        <w:rPr>
          <w:rFonts w:eastAsia="MS Mincho"/>
          <w:bCs/>
          <w:szCs w:val="24"/>
          <w:lang w:eastAsia="ja-JP"/>
        </w:rPr>
      </w:pPr>
      <w:r>
        <w:rPr>
          <w:rFonts w:eastAsia="MS Mincho"/>
          <w:bCs/>
          <w:szCs w:val="24"/>
          <w:lang w:eastAsia="ja-JP"/>
        </w:rPr>
        <w:tab/>
      </w:r>
      <w:r w:rsidR="00A70435" w:rsidRPr="00481513">
        <w:rPr>
          <w:rFonts w:eastAsia="MS Mincho"/>
          <w:bCs/>
          <w:szCs w:val="24"/>
          <w:lang w:eastAsia="ja-JP"/>
        </w:rPr>
        <w:t xml:space="preserve">Thus, Commission direction for non-standard negotiations can also help eliminate market barriers and reduce transaction costs. </w:t>
      </w:r>
      <w:r w:rsidR="007D5CA5">
        <w:rPr>
          <w:rFonts w:eastAsia="MS Mincho"/>
          <w:bCs/>
          <w:szCs w:val="24"/>
          <w:lang w:eastAsia="ja-JP"/>
        </w:rPr>
        <w:t xml:space="preserve"> </w:t>
      </w:r>
      <w:r w:rsidR="00472DCB" w:rsidRPr="007D5CA5">
        <w:rPr>
          <w:rFonts w:eastAsia="MS Mincho"/>
          <w:bCs/>
          <w:szCs w:val="24"/>
          <w:lang w:eastAsia="ja-JP"/>
        </w:rPr>
        <w:t>More specifically</w:t>
      </w:r>
      <w:r w:rsidR="005E1A54" w:rsidRPr="007D5CA5">
        <w:rPr>
          <w:rFonts w:eastAsia="MS Mincho"/>
          <w:bCs/>
          <w:szCs w:val="24"/>
          <w:lang w:eastAsia="ja-JP"/>
        </w:rPr>
        <w:t>,</w:t>
      </w:r>
      <w:r w:rsidR="00472DCB" w:rsidRPr="007D5CA5">
        <w:rPr>
          <w:rFonts w:eastAsia="MS Mincho"/>
          <w:bCs/>
          <w:szCs w:val="24"/>
          <w:lang w:eastAsia="ja-JP"/>
        </w:rPr>
        <w:t xml:space="preserve"> the Commission sh</w:t>
      </w:r>
      <w:r w:rsidR="009D4723" w:rsidRPr="007D5CA5">
        <w:rPr>
          <w:rFonts w:eastAsia="MS Mincho"/>
          <w:bCs/>
          <w:szCs w:val="24"/>
          <w:lang w:eastAsia="ja-JP"/>
        </w:rPr>
        <w:t xml:space="preserve">ould establish guidelines to provide </w:t>
      </w:r>
      <w:r w:rsidR="007D5CA5">
        <w:rPr>
          <w:rFonts w:eastAsia="MS Mincho"/>
          <w:bCs/>
          <w:szCs w:val="24"/>
          <w:lang w:eastAsia="ja-JP"/>
        </w:rPr>
        <w:t xml:space="preserve">both small and </w:t>
      </w:r>
      <w:r w:rsidR="005E1A54" w:rsidRPr="007D5CA5">
        <w:rPr>
          <w:rFonts w:eastAsia="MS Mincho"/>
          <w:bCs/>
          <w:szCs w:val="24"/>
          <w:lang w:eastAsia="ja-JP"/>
        </w:rPr>
        <w:t>large QFs</w:t>
      </w:r>
      <w:r w:rsidR="009D4723" w:rsidRPr="007D5CA5">
        <w:rPr>
          <w:rFonts w:eastAsia="MS Mincho"/>
          <w:bCs/>
          <w:szCs w:val="24"/>
          <w:lang w:eastAsia="ja-JP"/>
        </w:rPr>
        <w:t xml:space="preserve"> </w:t>
      </w:r>
      <w:r w:rsidR="005E1A54" w:rsidRPr="007D5CA5">
        <w:rPr>
          <w:rFonts w:eastAsia="MS Mincho"/>
          <w:bCs/>
          <w:szCs w:val="24"/>
          <w:lang w:eastAsia="ja-JP"/>
        </w:rPr>
        <w:t>a clear</w:t>
      </w:r>
      <w:r w:rsidR="009D4723" w:rsidRPr="007D5CA5">
        <w:rPr>
          <w:rFonts w:eastAsia="MS Mincho"/>
          <w:bCs/>
          <w:szCs w:val="24"/>
          <w:lang w:eastAsia="ja-JP"/>
        </w:rPr>
        <w:t xml:space="preserve"> expectation </w:t>
      </w:r>
      <w:r w:rsidR="005E1A54" w:rsidRPr="007D5CA5">
        <w:rPr>
          <w:rFonts w:eastAsia="MS Mincho"/>
          <w:bCs/>
          <w:szCs w:val="24"/>
          <w:lang w:eastAsia="ja-JP"/>
        </w:rPr>
        <w:t xml:space="preserve">for </w:t>
      </w:r>
      <w:r w:rsidR="00472DCB" w:rsidRPr="007D5CA5">
        <w:rPr>
          <w:rFonts w:eastAsia="MS Mincho"/>
          <w:bCs/>
          <w:szCs w:val="24"/>
          <w:lang w:eastAsia="ja-JP"/>
        </w:rPr>
        <w:t xml:space="preserve">how long </w:t>
      </w:r>
      <w:r w:rsidR="005E1A54" w:rsidRPr="007D5CA5">
        <w:rPr>
          <w:rFonts w:eastAsia="MS Mincho"/>
          <w:bCs/>
          <w:szCs w:val="24"/>
          <w:lang w:eastAsia="ja-JP"/>
        </w:rPr>
        <w:t xml:space="preserve">their </w:t>
      </w:r>
      <w:r w:rsidR="009D4723" w:rsidRPr="007D5CA5">
        <w:rPr>
          <w:rFonts w:eastAsia="MS Mincho"/>
          <w:bCs/>
          <w:szCs w:val="24"/>
          <w:lang w:eastAsia="ja-JP"/>
        </w:rPr>
        <w:t>negotiation process</w:t>
      </w:r>
      <w:r w:rsidR="00472DCB" w:rsidRPr="007D5CA5">
        <w:rPr>
          <w:rFonts w:eastAsia="MS Mincho"/>
          <w:bCs/>
          <w:szCs w:val="24"/>
          <w:lang w:eastAsia="ja-JP"/>
        </w:rPr>
        <w:t xml:space="preserve"> may last</w:t>
      </w:r>
      <w:r w:rsidR="009D4723" w:rsidRPr="007D5CA5">
        <w:rPr>
          <w:rFonts w:eastAsia="MS Mincho"/>
          <w:bCs/>
          <w:szCs w:val="24"/>
          <w:lang w:eastAsia="ja-JP"/>
        </w:rPr>
        <w:t>.</w:t>
      </w:r>
      <w:r w:rsidR="00472DCB" w:rsidRPr="007D5CA5">
        <w:rPr>
          <w:rFonts w:eastAsia="MS Mincho"/>
          <w:bCs/>
          <w:szCs w:val="24"/>
          <w:lang w:eastAsia="ja-JP"/>
        </w:rPr>
        <w:t xml:space="preserve">  </w:t>
      </w:r>
      <w:r w:rsidR="004115A1" w:rsidRPr="007D5CA5">
        <w:rPr>
          <w:rFonts w:eastAsia="MS Mincho"/>
          <w:bCs/>
          <w:szCs w:val="24"/>
          <w:lang w:eastAsia="ja-JP"/>
        </w:rPr>
        <w:t>For example,</w:t>
      </w:r>
      <w:r w:rsidR="007D5CA5">
        <w:rPr>
          <w:rFonts w:eastAsia="MS Mincho"/>
          <w:bCs/>
          <w:szCs w:val="24"/>
          <w:lang w:eastAsia="ja-JP"/>
        </w:rPr>
        <w:t xml:space="preserve"> in other states,</w:t>
      </w:r>
      <w:r w:rsidR="005E1A54" w:rsidRPr="007D5CA5">
        <w:rPr>
          <w:rFonts w:eastAsia="MS Mincho"/>
          <w:bCs/>
          <w:szCs w:val="24"/>
          <w:lang w:eastAsia="ja-JP"/>
        </w:rPr>
        <w:t xml:space="preserve"> </w:t>
      </w:r>
      <w:r w:rsidR="00AD10F3">
        <w:rPr>
          <w:rFonts w:eastAsia="MS Mincho"/>
          <w:bCs/>
          <w:szCs w:val="24"/>
          <w:lang w:eastAsia="ja-JP"/>
        </w:rPr>
        <w:t>PacifiCorp’s tariffs</w:t>
      </w:r>
      <w:r w:rsidR="007D5CA5">
        <w:rPr>
          <w:rFonts w:eastAsia="MS Mincho"/>
          <w:bCs/>
          <w:szCs w:val="24"/>
          <w:lang w:eastAsia="ja-JP"/>
        </w:rPr>
        <w:t xml:space="preserve"> </w:t>
      </w:r>
      <w:r w:rsidR="00B9553B">
        <w:rPr>
          <w:rFonts w:eastAsia="MS Mincho"/>
          <w:bCs/>
          <w:szCs w:val="24"/>
          <w:lang w:eastAsia="ja-JP"/>
        </w:rPr>
        <w:t>list</w:t>
      </w:r>
      <w:r w:rsidR="007D5CA5">
        <w:rPr>
          <w:rFonts w:eastAsia="MS Mincho"/>
          <w:bCs/>
          <w:szCs w:val="24"/>
          <w:lang w:eastAsia="ja-JP"/>
        </w:rPr>
        <w:t xml:space="preserve"> the information that PacifiCorp can request, and </w:t>
      </w:r>
      <w:r w:rsidR="00472DCB" w:rsidRPr="007D5CA5">
        <w:rPr>
          <w:rFonts w:eastAsia="MS Mincho"/>
          <w:bCs/>
          <w:szCs w:val="24"/>
          <w:lang w:eastAsia="ja-JP"/>
        </w:rPr>
        <w:t xml:space="preserve">requires </w:t>
      </w:r>
      <w:r w:rsidR="007D5CA5">
        <w:rPr>
          <w:rFonts w:eastAsia="MS Mincho"/>
          <w:bCs/>
          <w:szCs w:val="24"/>
          <w:lang w:eastAsia="ja-JP"/>
        </w:rPr>
        <w:t>PacifiCorp to provide information in specific amounts of time and timely complete negotiations.</w:t>
      </w:r>
      <w:r w:rsidR="007D5CA5">
        <w:rPr>
          <w:rStyle w:val="FootnoteReference"/>
          <w:rFonts w:eastAsia="MS Mincho"/>
          <w:bCs/>
          <w:szCs w:val="24"/>
          <w:lang w:eastAsia="ja-JP"/>
        </w:rPr>
        <w:footnoteReference w:id="44"/>
      </w:r>
      <w:r w:rsidR="007D5CA5">
        <w:rPr>
          <w:rFonts w:eastAsia="MS Mincho"/>
          <w:bCs/>
          <w:szCs w:val="24"/>
          <w:lang w:eastAsia="ja-JP"/>
        </w:rPr>
        <w:t xml:space="preserve">  </w:t>
      </w:r>
      <w:r w:rsidR="00B9553B">
        <w:rPr>
          <w:rFonts w:eastAsia="MS Mincho"/>
          <w:bCs/>
          <w:szCs w:val="24"/>
          <w:lang w:eastAsia="ja-JP"/>
        </w:rPr>
        <w:t xml:space="preserve">All the </w:t>
      </w:r>
      <w:r w:rsidR="00B9553B">
        <w:rPr>
          <w:rFonts w:eastAsia="MS Mincho"/>
          <w:bCs/>
          <w:szCs w:val="24"/>
          <w:lang w:eastAsia="ja-JP"/>
        </w:rPr>
        <w:lastRenderedPageBreak/>
        <w:t>Washington</w:t>
      </w:r>
      <w:r w:rsidR="00472DCB" w:rsidRPr="007D5CA5">
        <w:rPr>
          <w:rFonts w:eastAsia="MS Mincho"/>
          <w:bCs/>
          <w:szCs w:val="24"/>
          <w:lang w:eastAsia="ja-JP"/>
        </w:rPr>
        <w:t xml:space="preserve"> utilities</w:t>
      </w:r>
      <w:r w:rsidR="00B9553B">
        <w:rPr>
          <w:rFonts w:eastAsia="MS Mincho"/>
          <w:bCs/>
          <w:szCs w:val="24"/>
          <w:lang w:eastAsia="ja-JP"/>
        </w:rPr>
        <w:t>’</w:t>
      </w:r>
      <w:r w:rsidR="00472DCB" w:rsidRPr="007D5CA5">
        <w:rPr>
          <w:rFonts w:eastAsia="MS Mincho"/>
          <w:bCs/>
          <w:szCs w:val="24"/>
          <w:lang w:eastAsia="ja-JP"/>
        </w:rPr>
        <w:t xml:space="preserve"> tariff</w:t>
      </w:r>
      <w:r w:rsidR="007D5CA5">
        <w:rPr>
          <w:rFonts w:eastAsia="MS Mincho"/>
          <w:bCs/>
          <w:szCs w:val="24"/>
          <w:lang w:eastAsia="ja-JP"/>
        </w:rPr>
        <w:t xml:space="preserve">s should determine </w:t>
      </w:r>
      <w:r w:rsidR="00472DCB" w:rsidRPr="007D5CA5">
        <w:rPr>
          <w:rFonts w:eastAsia="MS Mincho"/>
          <w:bCs/>
          <w:szCs w:val="24"/>
          <w:lang w:eastAsia="ja-JP"/>
        </w:rPr>
        <w:t>reasonable time period</w:t>
      </w:r>
      <w:r w:rsidR="007D5CA5">
        <w:rPr>
          <w:rFonts w:eastAsia="MS Mincho"/>
          <w:bCs/>
          <w:szCs w:val="24"/>
          <w:lang w:eastAsia="ja-JP"/>
        </w:rPr>
        <w:t>s and informational requests</w:t>
      </w:r>
      <w:r w:rsidR="00472DCB" w:rsidRPr="007D5CA5">
        <w:rPr>
          <w:rFonts w:eastAsia="MS Mincho"/>
          <w:bCs/>
          <w:szCs w:val="24"/>
          <w:lang w:eastAsia="ja-JP"/>
        </w:rPr>
        <w:t xml:space="preserve"> for negotiations.</w:t>
      </w:r>
    </w:p>
    <w:p w14:paraId="394BD8D4" w14:textId="1103EB2C" w:rsidR="007D5CA5" w:rsidRPr="00AD10F3" w:rsidRDefault="007D5CA5" w:rsidP="00A95BD5">
      <w:pPr>
        <w:pStyle w:val="ListParagraph"/>
        <w:numPr>
          <w:ilvl w:val="1"/>
          <w:numId w:val="33"/>
        </w:numPr>
        <w:spacing w:line="480" w:lineRule="auto"/>
        <w:ind w:left="0" w:hanging="540"/>
        <w:rPr>
          <w:rFonts w:eastAsia="MS Mincho"/>
          <w:bCs/>
          <w:szCs w:val="24"/>
          <w:lang w:eastAsia="ja-JP"/>
        </w:rPr>
      </w:pPr>
      <w:r>
        <w:rPr>
          <w:rFonts w:eastAsia="MS Mincho"/>
          <w:bCs/>
          <w:szCs w:val="24"/>
          <w:lang w:eastAsia="ja-JP"/>
        </w:rPr>
        <w:tab/>
        <w:t>The Commission should also consider adopting negotiating guidelines for large QF prices</w:t>
      </w:r>
      <w:r w:rsidR="008A4C0B">
        <w:rPr>
          <w:rFonts w:eastAsia="MS Mincho"/>
          <w:bCs/>
          <w:szCs w:val="24"/>
          <w:lang w:eastAsia="ja-JP"/>
        </w:rPr>
        <w:t xml:space="preserve"> to prevent the utilities from setting them below actual avoided costs</w:t>
      </w:r>
      <w:r w:rsidR="00AC4C61">
        <w:rPr>
          <w:rFonts w:eastAsia="MS Mincho"/>
          <w:bCs/>
          <w:szCs w:val="24"/>
          <w:lang w:eastAsia="ja-JP"/>
        </w:rPr>
        <w:t xml:space="preserve">.  </w:t>
      </w:r>
      <w:r w:rsidR="00A95BD5" w:rsidRPr="00A95BD5">
        <w:rPr>
          <w:rFonts w:eastAsia="MS Mincho"/>
          <w:bCs/>
          <w:szCs w:val="24"/>
          <w:lang w:eastAsia="ja-JP"/>
        </w:rPr>
        <w:t xml:space="preserve">The </w:t>
      </w:r>
      <w:r w:rsidR="00A95BD5">
        <w:rPr>
          <w:rFonts w:eastAsia="MS Mincho"/>
          <w:bCs/>
          <w:szCs w:val="24"/>
          <w:lang w:eastAsia="ja-JP"/>
        </w:rPr>
        <w:t xml:space="preserve">Oregon </w:t>
      </w:r>
      <w:r w:rsidR="00A95BD5" w:rsidRPr="00A95BD5">
        <w:rPr>
          <w:rFonts w:eastAsia="MS Mincho"/>
          <w:bCs/>
          <w:szCs w:val="24"/>
          <w:lang w:eastAsia="ja-JP"/>
        </w:rPr>
        <w:t>Commission has also determined “that QFs</w:t>
      </w:r>
      <w:r w:rsidR="00A95BD5">
        <w:rPr>
          <w:rFonts w:eastAsia="MS Mincho"/>
          <w:bCs/>
          <w:szCs w:val="24"/>
          <w:lang w:eastAsia="ja-JP"/>
        </w:rPr>
        <w:t xml:space="preserve"> </w:t>
      </w:r>
      <w:r w:rsidR="00A95BD5" w:rsidRPr="00A95BD5">
        <w:rPr>
          <w:rFonts w:eastAsia="MS Mincho"/>
          <w:bCs/>
          <w:szCs w:val="24"/>
          <w:lang w:eastAsia="ja-JP"/>
        </w:rPr>
        <w:t>greater in size than 10 MW face market barriers, such as asymmetric information and an unlevel playing field, that impede negotiation of a viable QF power purchase contract with electric</w:t>
      </w:r>
      <w:r w:rsidR="00AD10F3">
        <w:rPr>
          <w:rFonts w:eastAsia="MS Mincho"/>
          <w:bCs/>
          <w:szCs w:val="24"/>
          <w:lang w:eastAsia="ja-JP"/>
        </w:rPr>
        <w:t xml:space="preserve"> </w:t>
      </w:r>
      <w:r w:rsidR="00A95BD5" w:rsidRPr="00AD10F3">
        <w:rPr>
          <w:rFonts w:eastAsia="MS Mincho"/>
          <w:bCs/>
          <w:szCs w:val="24"/>
          <w:lang w:eastAsia="ja-JP"/>
        </w:rPr>
        <w:t>utilities.”</w:t>
      </w:r>
      <w:r w:rsidR="00A95BD5">
        <w:rPr>
          <w:rStyle w:val="FootnoteReference"/>
          <w:rFonts w:eastAsia="MS Mincho"/>
          <w:bCs/>
          <w:szCs w:val="24"/>
          <w:lang w:eastAsia="ja-JP"/>
        </w:rPr>
        <w:footnoteReference w:id="45"/>
      </w:r>
      <w:r w:rsidR="00A95BD5" w:rsidRPr="00AD10F3">
        <w:rPr>
          <w:rFonts w:eastAsia="MS Mincho"/>
          <w:bCs/>
          <w:szCs w:val="24"/>
          <w:lang w:eastAsia="ja-JP"/>
        </w:rPr>
        <w:t xml:space="preserve">  Due to these concerns, Oregon </w:t>
      </w:r>
      <w:r w:rsidR="00A95BD5">
        <w:t>adopted “guidelines for negotiated contracts between utilities and large QFs, as well as procedures to be used when negotiations are not fruitful.”</w:t>
      </w:r>
      <w:r w:rsidR="00472DCB" w:rsidRPr="00481513">
        <w:rPr>
          <w:rStyle w:val="FootnoteReference"/>
          <w:rFonts w:eastAsia="MS Mincho"/>
          <w:bCs/>
          <w:szCs w:val="24"/>
          <w:lang w:eastAsia="ja-JP"/>
        </w:rPr>
        <w:footnoteReference w:id="46"/>
      </w:r>
      <w:r w:rsidR="00A95BD5">
        <w:t xml:space="preserve">  Oregon is not alone, as</w:t>
      </w:r>
      <w:r w:rsidR="00B9553B">
        <w:t xml:space="preserve"> the Idaho,</w:t>
      </w:r>
      <w:r w:rsidR="007403E2">
        <w:t xml:space="preserve"> Utah</w:t>
      </w:r>
      <w:r w:rsidR="00B9553B">
        <w:t xml:space="preserve"> and Wyoming</w:t>
      </w:r>
      <w:r w:rsidR="007403E2">
        <w:t xml:space="preserve"> Commissions require</w:t>
      </w:r>
      <w:r w:rsidR="00A95BD5">
        <w:t xml:space="preserve"> </w:t>
      </w:r>
      <w:r w:rsidR="003C0CCB">
        <w:t xml:space="preserve">Idaho Power, Avista, and </w:t>
      </w:r>
      <w:r w:rsidR="007403E2">
        <w:t>PacifiCorp to</w:t>
      </w:r>
      <w:r w:rsidR="00A95BD5">
        <w:t xml:space="preserve"> file tariffs outlining </w:t>
      </w:r>
      <w:r w:rsidR="00797F99">
        <w:t xml:space="preserve">their </w:t>
      </w:r>
      <w:r w:rsidR="00A95BD5">
        <w:t>negotiation process and method of setting large QF</w:t>
      </w:r>
      <w:r w:rsidR="007403E2">
        <w:t xml:space="preserve"> rates</w:t>
      </w:r>
      <w:r w:rsidR="00A95BD5">
        <w:t>.</w:t>
      </w:r>
      <w:r w:rsidR="00A95BD5">
        <w:rPr>
          <w:rStyle w:val="FootnoteReference"/>
        </w:rPr>
        <w:footnoteReference w:id="47"/>
      </w:r>
      <w:r w:rsidR="007403E2">
        <w:t xml:space="preserve">  Without opining on the reasonableness of any particular state’s approach</w:t>
      </w:r>
      <w:r w:rsidR="00B9553B">
        <w:t xml:space="preserve"> or requirements</w:t>
      </w:r>
      <w:r w:rsidR="007403E2">
        <w:t xml:space="preserve">, NIPPC and REC support the concept that utilities should be required to obtain Commission approval of the process, timelines, and information requirements used to set larger QF rates.  </w:t>
      </w:r>
      <w:r w:rsidR="00A95BD5">
        <w:t xml:space="preserve">  </w:t>
      </w:r>
      <w:r w:rsidR="00472DCB" w:rsidRPr="00AD10F3">
        <w:rPr>
          <w:rFonts w:eastAsia="MS Mincho"/>
          <w:bCs/>
          <w:szCs w:val="24"/>
          <w:lang w:eastAsia="ja-JP"/>
        </w:rPr>
        <w:t xml:space="preserve">  </w:t>
      </w:r>
    </w:p>
    <w:p w14:paraId="4D74977D" w14:textId="14E5C3BB" w:rsidR="00DB7F65" w:rsidRPr="007D5CA5" w:rsidRDefault="007D5CA5" w:rsidP="00BE246B">
      <w:pPr>
        <w:pStyle w:val="ListParagraph"/>
        <w:numPr>
          <w:ilvl w:val="1"/>
          <w:numId w:val="33"/>
        </w:numPr>
        <w:spacing w:line="480" w:lineRule="auto"/>
        <w:ind w:left="0" w:hanging="540"/>
        <w:rPr>
          <w:rFonts w:eastAsia="MS Mincho"/>
          <w:bCs/>
          <w:szCs w:val="24"/>
          <w:lang w:eastAsia="ja-JP"/>
        </w:rPr>
      </w:pPr>
      <w:r>
        <w:rPr>
          <w:rFonts w:eastAsia="MS Mincho"/>
          <w:bCs/>
          <w:szCs w:val="24"/>
          <w:lang w:eastAsia="ja-JP"/>
        </w:rPr>
        <w:tab/>
      </w:r>
      <w:r w:rsidR="008A4C0B">
        <w:rPr>
          <w:rFonts w:eastAsia="MS Mincho"/>
          <w:bCs/>
          <w:szCs w:val="24"/>
          <w:lang w:eastAsia="ja-JP"/>
        </w:rPr>
        <w:t>Moreover, the Commission should allow large QFs the option to</w:t>
      </w:r>
      <w:r w:rsidR="00B92B45">
        <w:rPr>
          <w:rFonts w:eastAsia="MS Mincho"/>
          <w:bCs/>
          <w:szCs w:val="24"/>
          <w:lang w:eastAsia="ja-JP"/>
        </w:rPr>
        <w:t xml:space="preserve"> utilize standard contract provisions</w:t>
      </w:r>
      <w:r w:rsidR="00472DCB" w:rsidRPr="007D5CA5">
        <w:rPr>
          <w:rFonts w:eastAsia="MS Mincho"/>
          <w:bCs/>
          <w:szCs w:val="24"/>
          <w:lang w:eastAsia="ja-JP"/>
        </w:rPr>
        <w:t>.  This will help ensure that contract negotiations loosely follow those for smaller facilities and he</w:t>
      </w:r>
      <w:r w:rsidR="00AD10F3">
        <w:rPr>
          <w:rFonts w:eastAsia="MS Mincho"/>
          <w:bCs/>
          <w:szCs w:val="24"/>
          <w:lang w:eastAsia="ja-JP"/>
        </w:rPr>
        <w:t xml:space="preserve">lp keep negotiations equitable and </w:t>
      </w:r>
      <w:r w:rsidR="00472DCB" w:rsidRPr="007D5CA5">
        <w:rPr>
          <w:rFonts w:eastAsia="MS Mincho"/>
          <w:bCs/>
          <w:szCs w:val="24"/>
          <w:lang w:eastAsia="ja-JP"/>
        </w:rPr>
        <w:t xml:space="preserve">efficient for all QFs. </w:t>
      </w:r>
      <w:r>
        <w:rPr>
          <w:rFonts w:eastAsia="MS Mincho"/>
          <w:bCs/>
          <w:szCs w:val="24"/>
          <w:lang w:eastAsia="ja-JP"/>
        </w:rPr>
        <w:t xml:space="preserve"> </w:t>
      </w:r>
      <w:r w:rsidR="005D4F76" w:rsidRPr="007D5CA5">
        <w:rPr>
          <w:rFonts w:eastAsia="MS Mincho"/>
          <w:bCs/>
          <w:szCs w:val="24"/>
          <w:lang w:eastAsia="ja-JP"/>
        </w:rPr>
        <w:t xml:space="preserve">For example, </w:t>
      </w:r>
      <w:r>
        <w:rPr>
          <w:rFonts w:eastAsia="MS Mincho"/>
          <w:bCs/>
          <w:szCs w:val="24"/>
          <w:lang w:eastAsia="ja-JP"/>
        </w:rPr>
        <w:t xml:space="preserve">while </w:t>
      </w:r>
      <w:r w:rsidR="005D4F76" w:rsidRPr="007D5CA5">
        <w:rPr>
          <w:rFonts w:eastAsia="MS Mincho"/>
          <w:bCs/>
          <w:szCs w:val="24"/>
          <w:lang w:eastAsia="ja-JP"/>
        </w:rPr>
        <w:t xml:space="preserve">Oregon recently lowered the size </w:t>
      </w:r>
      <w:r>
        <w:rPr>
          <w:rFonts w:eastAsia="MS Mincho"/>
          <w:bCs/>
          <w:szCs w:val="24"/>
          <w:lang w:eastAsia="ja-JP"/>
        </w:rPr>
        <w:t>threshold for standard contract prices</w:t>
      </w:r>
      <w:r w:rsidR="005D4F76" w:rsidRPr="007D5CA5">
        <w:rPr>
          <w:rFonts w:eastAsia="MS Mincho"/>
          <w:bCs/>
          <w:szCs w:val="24"/>
          <w:lang w:eastAsia="ja-JP"/>
        </w:rPr>
        <w:t xml:space="preserve"> </w:t>
      </w:r>
      <w:r w:rsidR="005D4F76" w:rsidRPr="007D5CA5">
        <w:rPr>
          <w:rFonts w:eastAsia="MS Mincho"/>
          <w:bCs/>
          <w:szCs w:val="24"/>
          <w:lang w:eastAsia="ja-JP"/>
        </w:rPr>
        <w:lastRenderedPageBreak/>
        <w:t xml:space="preserve">for solar QFs to 3 MWs, </w:t>
      </w:r>
      <w:r w:rsidR="00797F99">
        <w:rPr>
          <w:rFonts w:eastAsia="MS Mincho"/>
          <w:bCs/>
          <w:szCs w:val="24"/>
          <w:lang w:eastAsia="ja-JP"/>
        </w:rPr>
        <w:t>it</w:t>
      </w:r>
      <w:r w:rsidR="00797F99" w:rsidRPr="007D5CA5">
        <w:rPr>
          <w:rFonts w:eastAsia="MS Mincho"/>
          <w:bCs/>
          <w:szCs w:val="24"/>
          <w:lang w:eastAsia="ja-JP"/>
        </w:rPr>
        <w:t xml:space="preserve"> </w:t>
      </w:r>
      <w:r w:rsidR="005D4F76" w:rsidRPr="007D5CA5">
        <w:rPr>
          <w:rFonts w:eastAsia="MS Mincho"/>
          <w:bCs/>
          <w:szCs w:val="24"/>
          <w:lang w:eastAsia="ja-JP"/>
        </w:rPr>
        <w:t>continued to allow solar QFs a</w:t>
      </w:r>
      <w:r>
        <w:rPr>
          <w:rFonts w:eastAsia="MS Mincho"/>
          <w:bCs/>
          <w:szCs w:val="24"/>
          <w:lang w:eastAsia="ja-JP"/>
        </w:rPr>
        <w:t>ccess to standard contract provisions</w:t>
      </w:r>
      <w:r w:rsidR="005D4F76" w:rsidRPr="007D5CA5">
        <w:rPr>
          <w:rFonts w:eastAsia="MS Mincho"/>
          <w:bCs/>
          <w:szCs w:val="24"/>
          <w:lang w:eastAsia="ja-JP"/>
        </w:rPr>
        <w:t xml:space="preserve"> up to 10 MWs</w:t>
      </w:r>
      <w:r w:rsidR="00DB7F65" w:rsidRPr="007D5CA5">
        <w:rPr>
          <w:rFonts w:eastAsia="MS Mincho"/>
          <w:bCs/>
          <w:szCs w:val="24"/>
          <w:lang w:eastAsia="ja-JP"/>
        </w:rPr>
        <w:t>.</w:t>
      </w:r>
      <w:r w:rsidR="00DB7F65">
        <w:rPr>
          <w:rStyle w:val="FootnoteReference"/>
          <w:rFonts w:eastAsia="MS Mincho"/>
          <w:bCs/>
          <w:szCs w:val="24"/>
          <w:lang w:eastAsia="ja-JP"/>
        </w:rPr>
        <w:footnoteReference w:id="48"/>
      </w:r>
      <w:r w:rsidR="00DB7F65" w:rsidRPr="007D5CA5">
        <w:rPr>
          <w:rFonts w:eastAsia="MS Mincho"/>
          <w:bCs/>
          <w:szCs w:val="24"/>
          <w:lang w:eastAsia="ja-JP"/>
        </w:rPr>
        <w:t xml:space="preserve"> </w:t>
      </w:r>
      <w:r w:rsidR="003672DD" w:rsidRPr="007D5CA5">
        <w:rPr>
          <w:rFonts w:eastAsia="MS Mincho"/>
          <w:bCs/>
          <w:szCs w:val="24"/>
          <w:lang w:eastAsia="ja-JP"/>
        </w:rPr>
        <w:t xml:space="preserve"> </w:t>
      </w:r>
      <w:r w:rsidR="00682682" w:rsidRPr="007D5CA5">
        <w:rPr>
          <w:rFonts w:eastAsia="MS Mincho"/>
          <w:bCs/>
          <w:szCs w:val="24"/>
          <w:lang w:eastAsia="ja-JP"/>
        </w:rPr>
        <w:t>While NIPPC and REC oppose such a low</w:t>
      </w:r>
      <w:r w:rsidR="007403E2">
        <w:rPr>
          <w:rFonts w:eastAsia="MS Mincho"/>
          <w:bCs/>
          <w:szCs w:val="24"/>
          <w:lang w:eastAsia="ja-JP"/>
        </w:rPr>
        <w:t xml:space="preserve"> threshold for standard rates, Oregon demonstrates that there can be</w:t>
      </w:r>
      <w:r w:rsidR="00682682" w:rsidRPr="007D5CA5">
        <w:rPr>
          <w:rFonts w:eastAsia="MS Mincho"/>
          <w:bCs/>
          <w:szCs w:val="24"/>
          <w:lang w:eastAsia="ja-JP"/>
        </w:rPr>
        <w:t xml:space="preserve"> higher threshold for the protec</w:t>
      </w:r>
      <w:r w:rsidR="007403E2">
        <w:rPr>
          <w:rFonts w:eastAsia="MS Mincho"/>
          <w:bCs/>
          <w:szCs w:val="24"/>
          <w:lang w:eastAsia="ja-JP"/>
        </w:rPr>
        <w:t>tions of standard contract provisions</w:t>
      </w:r>
      <w:r w:rsidR="00682682" w:rsidRPr="007D5CA5">
        <w:rPr>
          <w:rFonts w:eastAsia="MS Mincho"/>
          <w:bCs/>
          <w:szCs w:val="24"/>
          <w:lang w:eastAsia="ja-JP"/>
        </w:rPr>
        <w:t xml:space="preserve"> </w:t>
      </w:r>
      <w:r w:rsidR="007403E2">
        <w:rPr>
          <w:rFonts w:eastAsia="MS Mincho"/>
          <w:bCs/>
          <w:szCs w:val="24"/>
          <w:lang w:eastAsia="ja-JP"/>
        </w:rPr>
        <w:t>than for standard rates</w:t>
      </w:r>
      <w:r w:rsidR="00682682" w:rsidRPr="007D5CA5">
        <w:rPr>
          <w:rFonts w:eastAsia="MS Mincho"/>
          <w:bCs/>
          <w:szCs w:val="24"/>
          <w:lang w:eastAsia="ja-JP"/>
        </w:rPr>
        <w:t>.</w:t>
      </w:r>
    </w:p>
    <w:p w14:paraId="6B84D1C2" w14:textId="77777777" w:rsidR="000D133E" w:rsidRPr="00481513" w:rsidRDefault="000D133E" w:rsidP="000D133E">
      <w:pPr>
        <w:pStyle w:val="ListParagraph"/>
        <w:rPr>
          <w:rFonts w:eastAsia="MS Mincho"/>
          <w:b/>
          <w:i/>
          <w:szCs w:val="24"/>
          <w:lang w:eastAsia="ja-JP"/>
        </w:rPr>
      </w:pPr>
      <w:r w:rsidRPr="00481513">
        <w:rPr>
          <w:rFonts w:eastAsia="MS Mincho"/>
          <w:b/>
          <w:i/>
          <w:szCs w:val="24"/>
          <w:lang w:eastAsia="ja-JP"/>
        </w:rPr>
        <w:t xml:space="preserve">Issue B. 2. For the purposes of setting the maximum design capacity of a facility to qualify for the standard contract, is it necessary for the Commission to set a minimum distance between QFs belonging to the same owner? If so, what is the appropriate distance or test for determining a minimum distance? Should the Commission set different minimum distance requirements based upon the type of QF resource? </w:t>
      </w:r>
    </w:p>
    <w:p w14:paraId="1C9FD8BC" w14:textId="77777777" w:rsidR="000067DE" w:rsidRPr="00481513" w:rsidRDefault="000067DE" w:rsidP="00523449">
      <w:pPr>
        <w:ind w:hanging="540"/>
        <w:rPr>
          <w:rFonts w:eastAsia="MS Mincho"/>
          <w:szCs w:val="24"/>
          <w:lang w:eastAsia="ja-JP"/>
        </w:rPr>
      </w:pPr>
    </w:p>
    <w:p w14:paraId="74CA5FB7" w14:textId="4A98805B" w:rsidR="00386565" w:rsidRPr="00481513" w:rsidRDefault="00663E64" w:rsidP="00C65200">
      <w:pPr>
        <w:pStyle w:val="ListParagraph"/>
        <w:numPr>
          <w:ilvl w:val="1"/>
          <w:numId w:val="33"/>
        </w:numPr>
        <w:spacing w:line="480" w:lineRule="auto"/>
        <w:ind w:left="0" w:hanging="540"/>
        <w:rPr>
          <w:rFonts w:eastAsia="MS Mincho"/>
          <w:szCs w:val="24"/>
          <w:lang w:eastAsia="ja-JP"/>
        </w:rPr>
      </w:pPr>
      <w:r w:rsidRPr="00481513">
        <w:t xml:space="preserve">            </w:t>
      </w:r>
      <w:r w:rsidR="009D4723" w:rsidRPr="00481513">
        <w:t xml:space="preserve">The Commission </w:t>
      </w:r>
      <w:r w:rsidR="006C07F7">
        <w:t xml:space="preserve">should </w:t>
      </w:r>
      <w:r w:rsidR="009D4723" w:rsidRPr="00481513">
        <w:t>simply adopt FERC’</w:t>
      </w:r>
      <w:r w:rsidR="00F00C8B" w:rsidRPr="00481513">
        <w:t xml:space="preserve">s </w:t>
      </w:r>
      <w:r w:rsidR="00C47867" w:rsidRPr="00481513">
        <w:t>“one mile” rule</w:t>
      </w:r>
      <w:r w:rsidR="00F00C8B" w:rsidRPr="00481513">
        <w:t xml:space="preserve"> for setting the minimum distance between QF projects belonging to the same owner.  FERC regulations provide that generating facilities are considered a single QF if they are located within one mile of each other, use the same energy resources, and are owned by the same person or affiliate.</w:t>
      </w:r>
      <w:r w:rsidR="00F00C8B" w:rsidRPr="00481513">
        <w:rPr>
          <w:rFonts w:eastAsia="MS Mincho"/>
          <w:szCs w:val="24"/>
          <w:lang w:eastAsia="ja-JP"/>
        </w:rPr>
        <w:t xml:space="preserve"> </w:t>
      </w:r>
      <w:r w:rsidR="00254A4E" w:rsidRPr="00481513">
        <w:rPr>
          <w:rFonts w:eastAsia="MS Mincho"/>
          <w:szCs w:val="24"/>
          <w:lang w:eastAsia="ja-JP"/>
        </w:rPr>
        <w:t xml:space="preserve"> </w:t>
      </w:r>
      <w:r w:rsidR="00AB2DE3">
        <w:rPr>
          <w:rFonts w:eastAsia="MS Mincho"/>
          <w:szCs w:val="24"/>
          <w:lang w:eastAsia="ja-JP"/>
        </w:rPr>
        <w:t xml:space="preserve">This rule provides a simple, unambiguous, and workable solution to a potentially hyperbolic problem.  </w:t>
      </w:r>
      <w:r w:rsidR="00254A4E" w:rsidRPr="00481513">
        <w:rPr>
          <w:rFonts w:eastAsia="MS Mincho"/>
          <w:szCs w:val="24"/>
          <w:lang w:eastAsia="ja-JP"/>
        </w:rPr>
        <w:t>FERC has confirmed that its</w:t>
      </w:r>
      <w:r w:rsidR="006D1976" w:rsidRPr="00481513">
        <w:rPr>
          <w:rFonts w:eastAsia="MS Mincho"/>
          <w:szCs w:val="24"/>
          <w:lang w:eastAsia="ja-JP"/>
        </w:rPr>
        <w:t xml:space="preserve"> </w:t>
      </w:r>
      <w:r w:rsidR="00254A4E" w:rsidRPr="00481513">
        <w:rPr>
          <w:rFonts w:eastAsia="MS Mincho"/>
          <w:szCs w:val="24"/>
          <w:lang w:eastAsia="ja-JP"/>
        </w:rPr>
        <w:t>“</w:t>
      </w:r>
      <w:r w:rsidR="006D1976" w:rsidRPr="00481513">
        <w:rPr>
          <w:rFonts w:eastAsia="MS Mincho"/>
          <w:szCs w:val="24"/>
          <w:lang w:eastAsia="ja-JP"/>
        </w:rPr>
        <w:t>one-mile</w:t>
      </w:r>
      <w:r w:rsidR="00254A4E" w:rsidRPr="00481513">
        <w:rPr>
          <w:rFonts w:eastAsia="MS Mincho"/>
          <w:szCs w:val="24"/>
          <w:lang w:eastAsia="ja-JP"/>
        </w:rPr>
        <w:t>”</w:t>
      </w:r>
      <w:r w:rsidR="006D1976" w:rsidRPr="00481513">
        <w:rPr>
          <w:rFonts w:eastAsia="MS Mincho"/>
          <w:szCs w:val="24"/>
          <w:lang w:eastAsia="ja-JP"/>
        </w:rPr>
        <w:t xml:space="preserve"> rule is more than a mere presumption, and constitutes a safe harbor that developers are entitled to rely upon.  </w:t>
      </w:r>
      <w:r w:rsidR="00254A4E" w:rsidRPr="00481513">
        <w:rPr>
          <w:rFonts w:eastAsia="MS Mincho"/>
          <w:szCs w:val="24"/>
          <w:lang w:eastAsia="ja-JP"/>
        </w:rPr>
        <w:t>The</w:t>
      </w:r>
      <w:r w:rsidR="006C07F7">
        <w:rPr>
          <w:rFonts w:eastAsia="MS Mincho"/>
          <w:szCs w:val="24"/>
          <w:lang w:eastAsia="ja-JP"/>
        </w:rPr>
        <w:t>re</w:t>
      </w:r>
      <w:r w:rsidR="00797F99">
        <w:rPr>
          <w:rFonts w:eastAsia="MS Mincho"/>
          <w:szCs w:val="24"/>
          <w:lang w:eastAsia="ja-JP"/>
        </w:rPr>
        <w:t xml:space="preserve"> is</w:t>
      </w:r>
      <w:r w:rsidR="006C07F7">
        <w:rPr>
          <w:rFonts w:eastAsia="MS Mincho"/>
          <w:szCs w:val="24"/>
          <w:lang w:eastAsia="ja-JP"/>
        </w:rPr>
        <w:t xml:space="preserve"> </w:t>
      </w:r>
      <w:r w:rsidR="00254A4E" w:rsidRPr="00481513">
        <w:rPr>
          <w:rFonts w:eastAsia="MS Mincho"/>
          <w:szCs w:val="24"/>
          <w:lang w:eastAsia="ja-JP"/>
        </w:rPr>
        <w:t>n</w:t>
      </w:r>
      <w:r w:rsidR="00C65200" w:rsidRPr="00481513">
        <w:rPr>
          <w:rFonts w:eastAsia="MS Mincho"/>
          <w:szCs w:val="24"/>
          <w:lang w:eastAsia="ja-JP"/>
        </w:rPr>
        <w:t xml:space="preserve">o reason to </w:t>
      </w:r>
      <w:r w:rsidR="00797F99" w:rsidRPr="00481513">
        <w:rPr>
          <w:rFonts w:eastAsia="MS Mincho"/>
          <w:szCs w:val="24"/>
          <w:lang w:eastAsia="ja-JP"/>
        </w:rPr>
        <w:t>adjust</w:t>
      </w:r>
      <w:r w:rsidR="00254A4E" w:rsidRPr="00481513">
        <w:rPr>
          <w:rFonts w:eastAsia="MS Mincho"/>
          <w:szCs w:val="24"/>
          <w:lang w:eastAsia="ja-JP"/>
        </w:rPr>
        <w:t xml:space="preserve"> FERC’s rule in Washington. </w:t>
      </w:r>
      <w:r w:rsidR="00AB2DE3">
        <w:rPr>
          <w:rFonts w:eastAsia="MS Mincho"/>
          <w:szCs w:val="24"/>
          <w:lang w:eastAsia="ja-JP"/>
        </w:rPr>
        <w:t xml:space="preserve"> </w:t>
      </w:r>
      <w:r w:rsidR="00254A4E" w:rsidRPr="00481513">
        <w:rPr>
          <w:rFonts w:eastAsia="MS Mincho"/>
          <w:szCs w:val="24"/>
          <w:lang w:eastAsia="ja-JP"/>
        </w:rPr>
        <w:t xml:space="preserve">Thus, </w:t>
      </w:r>
      <w:r w:rsidR="00C65200" w:rsidRPr="00481513">
        <w:rPr>
          <w:rFonts w:eastAsia="MS Mincho"/>
          <w:szCs w:val="24"/>
          <w:lang w:eastAsia="ja-JP"/>
        </w:rPr>
        <w:t xml:space="preserve">the Commission </w:t>
      </w:r>
      <w:r w:rsidR="00254A4E" w:rsidRPr="00481513">
        <w:rPr>
          <w:rFonts w:eastAsia="MS Mincho"/>
          <w:szCs w:val="24"/>
          <w:lang w:eastAsia="ja-JP"/>
        </w:rPr>
        <w:t xml:space="preserve">should </w:t>
      </w:r>
      <w:r w:rsidR="00C65200" w:rsidRPr="00481513">
        <w:rPr>
          <w:rFonts w:eastAsia="MS Mincho"/>
          <w:szCs w:val="24"/>
          <w:lang w:eastAsia="ja-JP"/>
        </w:rPr>
        <w:t xml:space="preserve">adopt FERC’s policy. </w:t>
      </w:r>
      <w:r w:rsidR="00F144EF" w:rsidRPr="00481513">
        <w:rPr>
          <w:rFonts w:eastAsia="MS Mincho"/>
          <w:bCs/>
          <w:szCs w:val="24"/>
          <w:lang w:eastAsia="ja-JP"/>
        </w:rPr>
        <w:t xml:space="preserve"> </w:t>
      </w:r>
    </w:p>
    <w:p w14:paraId="6F5FDB3D" w14:textId="77777777" w:rsidR="00E87167" w:rsidRDefault="00E87167">
      <w:pPr>
        <w:rPr>
          <w:rFonts w:eastAsia="MS Mincho"/>
          <w:b/>
          <w:i/>
          <w:szCs w:val="24"/>
          <w:lang w:eastAsia="ja-JP"/>
        </w:rPr>
      </w:pPr>
      <w:r>
        <w:rPr>
          <w:rFonts w:eastAsia="MS Mincho"/>
          <w:b/>
          <w:i/>
          <w:szCs w:val="24"/>
          <w:lang w:eastAsia="ja-JP"/>
        </w:rPr>
        <w:br w:type="page"/>
      </w:r>
    </w:p>
    <w:p w14:paraId="050D01C7" w14:textId="62C6600E" w:rsidR="00F144EF" w:rsidRPr="00481513" w:rsidRDefault="00CD6465" w:rsidP="00CC3AA7">
      <w:pPr>
        <w:pStyle w:val="ListParagraph"/>
        <w:rPr>
          <w:rFonts w:eastAsia="MS Mincho"/>
          <w:b/>
          <w:i/>
          <w:szCs w:val="24"/>
          <w:lang w:eastAsia="ja-JP"/>
        </w:rPr>
      </w:pPr>
      <w:r w:rsidRPr="00481513">
        <w:rPr>
          <w:rFonts w:eastAsia="MS Mincho"/>
          <w:b/>
          <w:i/>
          <w:szCs w:val="24"/>
          <w:lang w:eastAsia="ja-JP"/>
        </w:rPr>
        <w:lastRenderedPageBreak/>
        <w:t xml:space="preserve">Issue B. 3. If the Commission were to specify the term length of a standard offer power purchase </w:t>
      </w:r>
      <w:r w:rsidR="00C1520C" w:rsidRPr="00481513">
        <w:rPr>
          <w:rFonts w:eastAsia="MS Mincho"/>
          <w:b/>
          <w:i/>
          <w:szCs w:val="24"/>
          <w:lang w:eastAsia="ja-JP"/>
        </w:rPr>
        <w:t>agreement, how should it best balance the preference of project developers for longer term agreements to mitigate their risks against the uncertainty that the avoided cost rates in effect</w:t>
      </w:r>
      <w:r w:rsidRPr="00481513">
        <w:rPr>
          <w:rFonts w:eastAsia="MS Mincho"/>
          <w:b/>
          <w:i/>
          <w:szCs w:val="24"/>
          <w:lang w:eastAsia="ja-JP"/>
        </w:rPr>
        <w:t xml:space="preserve"> </w:t>
      </w:r>
      <w:r w:rsidR="00CC3AA7" w:rsidRPr="00481513">
        <w:rPr>
          <w:rFonts w:eastAsia="MS Mincho"/>
          <w:b/>
          <w:i/>
          <w:szCs w:val="24"/>
          <w:lang w:eastAsia="ja-JP"/>
        </w:rPr>
        <w:t>at the time will actually reflect the true avoided cost to the utility in the future? Should the Commission differentiate standard contract lengths based on the type of resource?</w:t>
      </w:r>
    </w:p>
    <w:p w14:paraId="13E03C7B" w14:textId="77777777" w:rsidR="00CC3AA7" w:rsidRPr="00481513" w:rsidRDefault="00CC3AA7" w:rsidP="00CC3AA7">
      <w:pPr>
        <w:pStyle w:val="ListParagraph"/>
        <w:rPr>
          <w:rFonts w:eastAsia="MS Mincho"/>
          <w:b/>
          <w:i/>
          <w:szCs w:val="24"/>
          <w:lang w:eastAsia="ja-JP"/>
        </w:rPr>
      </w:pPr>
    </w:p>
    <w:p w14:paraId="1EC695B5" w14:textId="2E70EB7D" w:rsidR="00AB2DE3" w:rsidRPr="000C0FAD" w:rsidRDefault="00663E64" w:rsidP="00F76E05">
      <w:pPr>
        <w:pStyle w:val="ListParagraph"/>
        <w:numPr>
          <w:ilvl w:val="1"/>
          <w:numId w:val="33"/>
        </w:numPr>
        <w:spacing w:line="480" w:lineRule="auto"/>
        <w:ind w:left="0" w:hanging="540"/>
        <w:rPr>
          <w:rFonts w:eastAsia="MS Mincho"/>
          <w:lang w:eastAsia="ja-JP"/>
        </w:rPr>
      </w:pPr>
      <w:r w:rsidRPr="00481513">
        <w:t xml:space="preserve">            </w:t>
      </w:r>
      <w:r w:rsidR="00C65200" w:rsidRPr="00481513">
        <w:rPr>
          <w:rFonts w:eastAsia="MS Mincho"/>
          <w:szCs w:val="24"/>
          <w:lang w:eastAsia="ja-JP"/>
        </w:rPr>
        <w:t xml:space="preserve">Although </w:t>
      </w:r>
      <w:r w:rsidR="00F512A5" w:rsidRPr="00481513">
        <w:rPr>
          <w:rFonts w:eastAsia="MS Mincho"/>
          <w:szCs w:val="24"/>
          <w:lang w:eastAsia="ja-JP"/>
        </w:rPr>
        <w:t>20</w:t>
      </w:r>
      <w:r w:rsidR="00C65200" w:rsidRPr="00481513">
        <w:rPr>
          <w:rFonts w:eastAsia="MS Mincho"/>
          <w:szCs w:val="24"/>
          <w:lang w:eastAsia="ja-JP"/>
        </w:rPr>
        <w:t xml:space="preserve"> years is often needed for QFs to sec</w:t>
      </w:r>
      <w:r w:rsidR="00246E82" w:rsidRPr="00481513">
        <w:rPr>
          <w:rFonts w:eastAsia="MS Mincho"/>
          <w:szCs w:val="24"/>
          <w:lang w:eastAsia="ja-JP"/>
        </w:rPr>
        <w:t>ure fina</w:t>
      </w:r>
      <w:r w:rsidR="00282E4E" w:rsidRPr="00481513">
        <w:rPr>
          <w:rFonts w:eastAsia="MS Mincho"/>
          <w:szCs w:val="24"/>
          <w:lang w:eastAsia="ja-JP"/>
        </w:rPr>
        <w:t>ncing on</w:t>
      </w:r>
      <w:r w:rsidR="00246E82" w:rsidRPr="00481513">
        <w:rPr>
          <w:rFonts w:eastAsia="MS Mincho"/>
          <w:szCs w:val="24"/>
          <w:lang w:eastAsia="ja-JP"/>
        </w:rPr>
        <w:t xml:space="preserve"> a new project,</w:t>
      </w:r>
      <w:r w:rsidR="00C65200" w:rsidRPr="00481513">
        <w:rPr>
          <w:rFonts w:eastAsia="MS Mincho"/>
          <w:szCs w:val="24"/>
          <w:lang w:eastAsia="ja-JP"/>
        </w:rPr>
        <w:t xml:space="preserve"> </w:t>
      </w:r>
      <w:r w:rsidR="00F512A5" w:rsidRPr="00481513">
        <w:rPr>
          <w:rFonts w:eastAsia="MS Mincho"/>
          <w:szCs w:val="24"/>
          <w:lang w:eastAsia="ja-JP"/>
        </w:rPr>
        <w:t>15</w:t>
      </w:r>
      <w:r w:rsidR="00C65200" w:rsidRPr="00481513">
        <w:rPr>
          <w:rFonts w:eastAsia="MS Mincho"/>
          <w:szCs w:val="24"/>
          <w:lang w:eastAsia="ja-JP"/>
        </w:rPr>
        <w:t xml:space="preserve"> years </w:t>
      </w:r>
      <w:r w:rsidR="00C819E6">
        <w:rPr>
          <w:rFonts w:eastAsia="MS Mincho"/>
          <w:szCs w:val="24"/>
          <w:lang w:eastAsia="ja-JP"/>
        </w:rPr>
        <w:t xml:space="preserve">is the bare minimum </w:t>
      </w:r>
      <w:r w:rsidR="00282AC0" w:rsidRPr="00481513">
        <w:rPr>
          <w:rFonts w:eastAsia="MS Mincho"/>
          <w:szCs w:val="24"/>
          <w:lang w:eastAsia="ja-JP"/>
        </w:rPr>
        <w:t xml:space="preserve">to allow </w:t>
      </w:r>
      <w:r w:rsidR="008115DE">
        <w:rPr>
          <w:rFonts w:eastAsia="MS Mincho"/>
          <w:szCs w:val="24"/>
          <w:lang w:eastAsia="ja-JP"/>
        </w:rPr>
        <w:t>most</w:t>
      </w:r>
      <w:r w:rsidR="00041F2B">
        <w:rPr>
          <w:rFonts w:eastAsia="MS Mincho"/>
          <w:szCs w:val="24"/>
          <w:lang w:eastAsia="ja-JP"/>
        </w:rPr>
        <w:t xml:space="preserve"> QFs the opportunity to obtain</w:t>
      </w:r>
      <w:r w:rsidR="00C65200" w:rsidRPr="00481513">
        <w:rPr>
          <w:rFonts w:eastAsia="MS Mincho"/>
          <w:szCs w:val="24"/>
          <w:lang w:eastAsia="ja-JP"/>
        </w:rPr>
        <w:t xml:space="preserve"> adequate financing.</w:t>
      </w:r>
      <w:r w:rsidR="00274F33" w:rsidRPr="00481513">
        <w:rPr>
          <w:rFonts w:eastAsia="MS Mincho"/>
          <w:szCs w:val="24"/>
          <w:lang w:eastAsia="ja-JP"/>
        </w:rPr>
        <w:t xml:space="preserve"> </w:t>
      </w:r>
      <w:r w:rsidR="008115DE">
        <w:rPr>
          <w:rFonts w:eastAsia="MS Mincho"/>
          <w:szCs w:val="24"/>
          <w:lang w:eastAsia="ja-JP"/>
        </w:rPr>
        <w:t xml:space="preserve"> </w:t>
      </w:r>
      <w:r w:rsidR="00041F2B">
        <w:rPr>
          <w:rFonts w:eastAsia="MS Mincho"/>
          <w:szCs w:val="24"/>
          <w:lang w:eastAsia="ja-JP"/>
        </w:rPr>
        <w:t xml:space="preserve">Most </w:t>
      </w:r>
      <w:r w:rsidR="00274F33" w:rsidRPr="00481513">
        <w:rPr>
          <w:rFonts w:eastAsia="MS Mincho"/>
          <w:szCs w:val="24"/>
          <w:lang w:eastAsia="ja-JP"/>
        </w:rPr>
        <w:t>QF developers</w:t>
      </w:r>
      <w:r w:rsidR="00041F2B">
        <w:rPr>
          <w:rFonts w:eastAsia="MS Mincho"/>
          <w:szCs w:val="24"/>
          <w:lang w:eastAsia="ja-JP"/>
        </w:rPr>
        <w:t xml:space="preserve"> </w:t>
      </w:r>
      <w:r w:rsidR="00274F33" w:rsidRPr="00481513">
        <w:rPr>
          <w:rFonts w:eastAsia="MS Mincho"/>
          <w:szCs w:val="24"/>
          <w:lang w:eastAsia="ja-JP"/>
        </w:rPr>
        <w:t xml:space="preserve">require contract terms with at least 15 years of fixed prices to meet financing requirements, make longer-term business plans, and operate during any contract periods when avoided cost prices are low.  </w:t>
      </w:r>
      <w:r w:rsidR="00FB0AB9" w:rsidRPr="00481513">
        <w:rPr>
          <w:rFonts w:eastAsia="MS Mincho"/>
          <w:szCs w:val="24"/>
          <w:lang w:eastAsia="ja-JP"/>
        </w:rPr>
        <w:t xml:space="preserve">Existing </w:t>
      </w:r>
      <w:r w:rsidR="00274F33" w:rsidRPr="00481513">
        <w:rPr>
          <w:rFonts w:eastAsia="MS Mincho"/>
          <w:szCs w:val="24"/>
          <w:lang w:eastAsia="ja-JP"/>
        </w:rPr>
        <w:t xml:space="preserve">QF </w:t>
      </w:r>
      <w:r w:rsidR="008115DE">
        <w:rPr>
          <w:rFonts w:eastAsia="MS Mincho"/>
          <w:szCs w:val="24"/>
          <w:lang w:eastAsia="ja-JP"/>
        </w:rPr>
        <w:t>projects may</w:t>
      </w:r>
      <w:r w:rsidR="00FB0AB9" w:rsidRPr="00481513">
        <w:rPr>
          <w:rFonts w:eastAsia="MS Mincho"/>
          <w:szCs w:val="24"/>
          <w:lang w:eastAsia="ja-JP"/>
        </w:rPr>
        <w:t xml:space="preserve"> also need </w:t>
      </w:r>
      <w:r w:rsidR="00041F2B">
        <w:rPr>
          <w:rFonts w:eastAsia="MS Mincho"/>
          <w:szCs w:val="24"/>
          <w:lang w:eastAsia="ja-JP"/>
        </w:rPr>
        <w:t xml:space="preserve">long contracts </w:t>
      </w:r>
      <w:r w:rsidR="00FB0AB9" w:rsidRPr="00481513">
        <w:rPr>
          <w:rFonts w:eastAsia="MS Mincho"/>
          <w:szCs w:val="24"/>
          <w:lang w:eastAsia="ja-JP"/>
        </w:rPr>
        <w:t>to establish financing for equipment upgrades</w:t>
      </w:r>
      <w:r w:rsidR="00274F33" w:rsidRPr="00481513">
        <w:rPr>
          <w:rFonts w:eastAsia="MS Mincho"/>
          <w:szCs w:val="24"/>
          <w:lang w:eastAsia="ja-JP"/>
        </w:rPr>
        <w:t>, or to weather periods of low market prices</w:t>
      </w:r>
      <w:r w:rsidR="00FB0AB9" w:rsidRPr="00481513">
        <w:rPr>
          <w:rFonts w:eastAsia="MS Mincho"/>
          <w:szCs w:val="24"/>
          <w:lang w:eastAsia="ja-JP"/>
        </w:rPr>
        <w:t xml:space="preserve">.  </w:t>
      </w:r>
      <w:r w:rsidR="00C65200" w:rsidRPr="00481513">
        <w:rPr>
          <w:rFonts w:eastAsia="MS Mincho"/>
          <w:szCs w:val="24"/>
          <w:lang w:eastAsia="ja-JP"/>
        </w:rPr>
        <w:t xml:space="preserve">As </w:t>
      </w:r>
      <w:r w:rsidR="00AD10F3">
        <w:rPr>
          <w:rFonts w:eastAsia="MS Mincho"/>
          <w:szCs w:val="24"/>
          <w:lang w:eastAsia="ja-JP"/>
        </w:rPr>
        <w:t>a utility</w:t>
      </w:r>
      <w:r w:rsidR="00FB0AB9" w:rsidRPr="00481513">
        <w:rPr>
          <w:rFonts w:eastAsia="MS Mincho"/>
          <w:szCs w:val="24"/>
          <w:lang w:eastAsia="ja-JP"/>
        </w:rPr>
        <w:t>’</w:t>
      </w:r>
      <w:r w:rsidR="00AD10F3">
        <w:rPr>
          <w:rFonts w:eastAsia="MS Mincho"/>
          <w:szCs w:val="24"/>
          <w:lang w:eastAsia="ja-JP"/>
        </w:rPr>
        <w:t>s</w:t>
      </w:r>
      <w:r w:rsidR="00FB0AB9" w:rsidRPr="00481513">
        <w:rPr>
          <w:rFonts w:eastAsia="MS Mincho"/>
          <w:szCs w:val="24"/>
          <w:lang w:eastAsia="ja-JP"/>
        </w:rPr>
        <w:t xml:space="preserve"> </w:t>
      </w:r>
      <w:r w:rsidR="00282AC0" w:rsidRPr="00481513">
        <w:rPr>
          <w:rFonts w:eastAsia="MS Mincho"/>
          <w:szCs w:val="24"/>
          <w:lang w:eastAsia="ja-JP"/>
        </w:rPr>
        <w:t xml:space="preserve">standard </w:t>
      </w:r>
      <w:r w:rsidR="00C65200" w:rsidRPr="00481513">
        <w:rPr>
          <w:rFonts w:eastAsia="MS Mincho"/>
          <w:szCs w:val="24"/>
          <w:lang w:eastAsia="ja-JP"/>
        </w:rPr>
        <w:t>contract length decreases, however, so does the opportunity for QF development.</w:t>
      </w:r>
      <w:r w:rsidR="00282AC0" w:rsidRPr="00481513">
        <w:rPr>
          <w:rFonts w:eastAsia="MS Mincho"/>
          <w:szCs w:val="24"/>
          <w:lang w:eastAsia="ja-JP"/>
        </w:rPr>
        <w:t xml:space="preserve"> </w:t>
      </w:r>
      <w:r w:rsidR="00F512A5" w:rsidRPr="00481513">
        <w:rPr>
          <w:rFonts w:eastAsia="MS Mincho"/>
          <w:szCs w:val="24"/>
          <w:lang w:eastAsia="ja-JP"/>
        </w:rPr>
        <w:t xml:space="preserve"> For example,</w:t>
      </w:r>
      <w:r w:rsidR="00CF5895" w:rsidRPr="00481513">
        <w:rPr>
          <w:rFonts w:eastAsia="MS Mincho"/>
          <w:szCs w:val="24"/>
          <w:lang w:eastAsia="ja-JP"/>
        </w:rPr>
        <w:t xml:space="preserve"> the Idaho </w:t>
      </w:r>
      <w:r w:rsidR="00AB2DE3">
        <w:rPr>
          <w:rFonts w:eastAsia="MS Mincho"/>
          <w:szCs w:val="24"/>
          <w:lang w:eastAsia="ja-JP"/>
        </w:rPr>
        <w:t>Commission</w:t>
      </w:r>
      <w:r w:rsidR="00CF5895" w:rsidRPr="00481513">
        <w:rPr>
          <w:rFonts w:eastAsia="MS Mincho"/>
          <w:szCs w:val="24"/>
          <w:lang w:eastAsia="ja-JP"/>
        </w:rPr>
        <w:t xml:space="preserve"> </w:t>
      </w:r>
      <w:r w:rsidR="00A06254">
        <w:rPr>
          <w:rFonts w:eastAsia="MS Mincho"/>
          <w:szCs w:val="24"/>
          <w:lang w:eastAsia="ja-JP"/>
        </w:rPr>
        <w:t>recently prevented the utilities from offering contract terms more than</w:t>
      </w:r>
      <w:r w:rsidR="00FB0AB9" w:rsidRPr="00481513">
        <w:rPr>
          <w:rFonts w:eastAsia="MS Mincho"/>
          <w:szCs w:val="24"/>
          <w:lang w:eastAsia="ja-JP"/>
        </w:rPr>
        <w:t xml:space="preserve"> two years</w:t>
      </w:r>
      <w:r w:rsidR="007336CE">
        <w:rPr>
          <w:rFonts w:eastAsia="MS Mincho"/>
          <w:szCs w:val="24"/>
          <w:lang w:eastAsia="ja-JP"/>
        </w:rPr>
        <w:t xml:space="preserve"> for new wind and solar QFs</w:t>
      </w:r>
      <w:r w:rsidR="00FB0AB9" w:rsidRPr="00481513">
        <w:rPr>
          <w:rFonts w:eastAsia="MS Mincho"/>
          <w:szCs w:val="24"/>
          <w:lang w:eastAsia="ja-JP"/>
        </w:rPr>
        <w:t xml:space="preserve">, which </w:t>
      </w:r>
      <w:r w:rsidR="00CF5895" w:rsidRPr="00481513">
        <w:rPr>
          <w:rFonts w:eastAsia="MS Mincho"/>
          <w:szCs w:val="24"/>
          <w:lang w:eastAsia="ja-JP"/>
        </w:rPr>
        <w:t xml:space="preserve">effectively ended </w:t>
      </w:r>
      <w:r w:rsidR="000B1E73" w:rsidRPr="00481513">
        <w:rPr>
          <w:rFonts w:eastAsia="MS Mincho"/>
          <w:szCs w:val="24"/>
          <w:lang w:eastAsia="ja-JP"/>
        </w:rPr>
        <w:t xml:space="preserve">all </w:t>
      </w:r>
      <w:r w:rsidR="00FB0AB9" w:rsidRPr="00481513">
        <w:rPr>
          <w:rFonts w:eastAsia="MS Mincho"/>
          <w:szCs w:val="24"/>
          <w:lang w:eastAsia="ja-JP"/>
        </w:rPr>
        <w:t xml:space="preserve">new </w:t>
      </w:r>
      <w:r w:rsidR="00CF5895" w:rsidRPr="00481513">
        <w:rPr>
          <w:rFonts w:eastAsia="MS Mincho"/>
          <w:szCs w:val="24"/>
          <w:lang w:eastAsia="ja-JP"/>
        </w:rPr>
        <w:t>development</w:t>
      </w:r>
      <w:r w:rsidR="007336CE">
        <w:rPr>
          <w:rFonts w:eastAsia="MS Mincho"/>
          <w:szCs w:val="24"/>
          <w:lang w:eastAsia="ja-JP"/>
        </w:rPr>
        <w:t xml:space="preserve"> in that state for wind and solar QFs</w:t>
      </w:r>
      <w:r w:rsidR="00CF5895" w:rsidRPr="00481513">
        <w:rPr>
          <w:rFonts w:eastAsia="MS Mincho"/>
          <w:szCs w:val="24"/>
          <w:lang w:eastAsia="ja-JP"/>
        </w:rPr>
        <w:t>.</w:t>
      </w:r>
      <w:r w:rsidR="000B1E73" w:rsidRPr="00481513">
        <w:rPr>
          <w:rFonts w:eastAsia="MS Mincho"/>
          <w:szCs w:val="24"/>
          <w:lang w:eastAsia="ja-JP"/>
        </w:rPr>
        <w:t xml:space="preserve">  </w:t>
      </w:r>
    </w:p>
    <w:p w14:paraId="2CD9C950" w14:textId="0339798D" w:rsidR="000C0FAD" w:rsidRDefault="000C0FAD" w:rsidP="000C0FAD">
      <w:pPr>
        <w:spacing w:line="480" w:lineRule="auto"/>
        <w:jc w:val="both"/>
      </w:pPr>
      <w:r>
        <w:tab/>
      </w:r>
      <w:r w:rsidRPr="00735E31">
        <w:t>FERC has consistently interpreted i</w:t>
      </w:r>
      <w:r>
        <w:t>ts own rules to entitle QFs to</w:t>
      </w:r>
      <w:r w:rsidRPr="00735E31">
        <w:t xml:space="preserve"> long-term contract</w:t>
      </w:r>
      <w:r>
        <w:t>s</w:t>
      </w:r>
      <w:r w:rsidRPr="00735E31">
        <w:t xml:space="preserve"> containing fixed prices for energy and</w:t>
      </w:r>
      <w:r w:rsidRPr="00735E31">
        <w:rPr>
          <w:i/>
        </w:rPr>
        <w:t xml:space="preserve"> </w:t>
      </w:r>
      <w:r w:rsidRPr="00735E31">
        <w:t>c</w:t>
      </w:r>
      <w:r>
        <w:t xml:space="preserve">apacity based on a forecast of the </w:t>
      </w:r>
      <w:r w:rsidRPr="00735E31">
        <w:t xml:space="preserve">utility’s avoided costs. </w:t>
      </w:r>
      <w:r>
        <w:t xml:space="preserve"> FERC’s rules state that:</w:t>
      </w:r>
    </w:p>
    <w:p w14:paraId="3A0CCB7E" w14:textId="7F4A75E8" w:rsidR="000C0FAD" w:rsidRDefault="000C0FAD" w:rsidP="000C0FAD">
      <w:pPr>
        <w:spacing w:after="240"/>
        <w:ind w:left="720" w:right="720"/>
        <w:jc w:val="both"/>
      </w:pPr>
      <w:r w:rsidRPr="0048598C">
        <w:rPr>
          <w:u w:val="single"/>
        </w:rPr>
        <w:t>Each</w:t>
      </w:r>
      <w:r w:rsidRPr="00B66AF9">
        <w:t xml:space="preserve"> qualifying facility </w:t>
      </w:r>
      <w:r w:rsidRPr="00BB1633">
        <w:rPr>
          <w:u w:val="single"/>
        </w:rPr>
        <w:t>shall have the option</w:t>
      </w:r>
      <w:r w:rsidRPr="00B66AF9">
        <w:t xml:space="preserve"> . . . (2) </w:t>
      </w:r>
      <w:r w:rsidRPr="00BB1633">
        <w:rPr>
          <w:u w:val="single"/>
        </w:rPr>
        <w:t>To provide</w:t>
      </w:r>
      <w:r w:rsidRPr="00B66AF9">
        <w:t xml:space="preserve"> energy </w:t>
      </w:r>
      <w:r w:rsidRPr="0048598C">
        <w:rPr>
          <w:u w:val="single"/>
        </w:rPr>
        <w:t>or capacity</w:t>
      </w:r>
      <w:r w:rsidRPr="00B66AF9">
        <w:t xml:space="preserve"> pursuant to a legally enforceable obligation for the delivery of energy or capacity </w:t>
      </w:r>
      <w:r w:rsidRPr="00BB1633">
        <w:rPr>
          <w:u w:val="single"/>
        </w:rPr>
        <w:t>over a specified term</w:t>
      </w:r>
      <w:r w:rsidRPr="00B66AF9">
        <w:t xml:space="preserve">, in which case </w:t>
      </w:r>
      <w:r w:rsidRPr="00BB1633">
        <w:rPr>
          <w:u w:val="single"/>
        </w:rPr>
        <w:t>the rates</w:t>
      </w:r>
      <w:r w:rsidRPr="00B66AF9">
        <w:t xml:space="preserve"> for such purchases </w:t>
      </w:r>
      <w:r w:rsidRPr="00BB1633">
        <w:rPr>
          <w:u w:val="single"/>
        </w:rPr>
        <w:t>shall</w:t>
      </w:r>
      <w:r w:rsidRPr="00B66AF9">
        <w:t>, at the option of the qualifying facility,</w:t>
      </w:r>
      <w:r w:rsidR="00797F99">
        <w:t xml:space="preserve"> </w:t>
      </w:r>
      <w:r w:rsidRPr="00B66AF9">
        <w:t xml:space="preserve">… </w:t>
      </w:r>
      <w:r w:rsidRPr="00BB1633">
        <w:rPr>
          <w:u w:val="single"/>
        </w:rPr>
        <w:t>be based on</w:t>
      </w:r>
      <w:r w:rsidRPr="00B66AF9">
        <w:t xml:space="preserve"> . . . (ii) The </w:t>
      </w:r>
      <w:r w:rsidRPr="00BB1633">
        <w:rPr>
          <w:u w:val="single"/>
        </w:rPr>
        <w:t>avoided costs calculated at the time the obligation is incurred</w:t>
      </w:r>
      <w:r w:rsidRPr="00B66AF9">
        <w:t>.</w:t>
      </w:r>
      <w:r>
        <w:rPr>
          <w:rStyle w:val="FootnoteReference"/>
        </w:rPr>
        <w:footnoteReference w:id="49"/>
      </w:r>
      <w:r w:rsidRPr="00B66AF9">
        <w:t xml:space="preserve">  </w:t>
      </w:r>
    </w:p>
    <w:p w14:paraId="17E77AEA" w14:textId="221F7730" w:rsidR="000C0FAD" w:rsidRPr="00B66AF9" w:rsidRDefault="000C0FAD" w:rsidP="000C0FAD">
      <w:pPr>
        <w:spacing w:line="480" w:lineRule="auto"/>
      </w:pPr>
      <w:r>
        <w:lastRenderedPageBreak/>
        <w:t>T</w:t>
      </w:r>
      <w:r w:rsidRPr="00B66AF9">
        <w:t xml:space="preserve">he option to sell </w:t>
      </w:r>
      <w:r>
        <w:t>energy and capacity over a “specified term” should be interpreted to mean</w:t>
      </w:r>
      <w:r w:rsidRPr="00B66AF9">
        <w:t xml:space="preserve"> that </w:t>
      </w:r>
      <w:r>
        <w:t xml:space="preserve">a </w:t>
      </w:r>
      <w:r w:rsidRPr="00B66AF9">
        <w:t>QF</w:t>
      </w:r>
      <w:r>
        <w:t xml:space="preserve"> has the choice </w:t>
      </w:r>
      <w:r w:rsidRPr="00B66AF9">
        <w:t>to deter</w:t>
      </w:r>
      <w:r>
        <w:t xml:space="preserve">mine the length of a reasonable </w:t>
      </w:r>
      <w:r w:rsidRPr="00B66AF9">
        <w:t xml:space="preserve">term. </w:t>
      </w:r>
    </w:p>
    <w:p w14:paraId="3BA5DE72" w14:textId="10036319" w:rsidR="000C0FAD" w:rsidRDefault="000C0FAD" w:rsidP="000C0FAD">
      <w:pPr>
        <w:spacing w:line="480" w:lineRule="auto"/>
        <w:jc w:val="both"/>
      </w:pPr>
      <w:r w:rsidRPr="00B66AF9">
        <w:tab/>
      </w:r>
      <w:r>
        <w:t>The</w:t>
      </w:r>
      <w:r w:rsidRPr="00B66AF9">
        <w:t xml:space="preserve"> history and pu</w:t>
      </w:r>
      <w:r>
        <w:t>rpose of the regulation support</w:t>
      </w:r>
      <w:r w:rsidRPr="00B66AF9">
        <w:t xml:space="preserve"> a conclusion that</w:t>
      </w:r>
      <w:r>
        <w:t xml:space="preserve"> QFs are entitled to </w:t>
      </w:r>
      <w:r w:rsidRPr="00B66AF9">
        <w:t xml:space="preserve">long-term, fixed-price contracts or other legally enforceable obligations.  </w:t>
      </w:r>
      <w:r>
        <w:t>As explained by FERC</w:t>
      </w:r>
      <w:r w:rsidRPr="00B66AF9">
        <w:t>,</w:t>
      </w:r>
      <w:r>
        <w:t xml:space="preserve"> the rule</w:t>
      </w:r>
      <w:r w:rsidRPr="00B66AF9">
        <w:t xml:space="preserve"> </w:t>
      </w:r>
      <w:r>
        <w:t>“</w:t>
      </w:r>
      <w:r w:rsidRPr="00B66AF9">
        <w:t>is intended to prevent a utility from circumventing the requirement that provides capacity credit to the qualifying facility merely by refusing to enter into a contrac</w:t>
      </w:r>
      <w:r>
        <w:t>t with the qualifying facility.”</w:t>
      </w:r>
      <w:r>
        <w:rPr>
          <w:rStyle w:val="FootnoteReference"/>
        </w:rPr>
        <w:footnoteReference w:id="50"/>
      </w:r>
      <w:r w:rsidRPr="00B66AF9">
        <w:t xml:space="preserve"> </w:t>
      </w:r>
      <w:r>
        <w:t xml:space="preserve"> FERC further explained that the</w:t>
      </w:r>
      <w:r w:rsidRPr="00B66AF9">
        <w:t xml:space="preserve"> rule “enables a qualifying facility to establish a </w:t>
      </w:r>
      <w:r w:rsidRPr="00BB1633">
        <w:rPr>
          <w:u w:val="single"/>
        </w:rPr>
        <w:t>fixed contract price for its energy and capacity</w:t>
      </w:r>
      <w:r w:rsidRPr="00B66AF9">
        <w:t xml:space="preserve"> at the outset of its obligation . . . .”</w:t>
      </w:r>
      <w:r>
        <w:rPr>
          <w:rStyle w:val="FootnoteReference"/>
        </w:rPr>
        <w:footnoteReference w:id="51"/>
      </w:r>
      <w:r w:rsidRPr="00B66AF9">
        <w:t xml:space="preserve"> </w:t>
      </w:r>
      <w:r>
        <w:t xml:space="preserve"> Long-term commitments are necessary because QFs have a “</w:t>
      </w:r>
      <w:r w:rsidRPr="00B66AF9">
        <w:t>need for certainty with regard to return on investment in new technologies”.</w:t>
      </w:r>
      <w:r>
        <w:rPr>
          <w:rStyle w:val="FootnoteReference"/>
        </w:rPr>
        <w:footnoteReference w:id="52"/>
      </w:r>
      <w:r w:rsidRPr="00B66AF9">
        <w:t xml:space="preserve">  </w:t>
      </w:r>
      <w:r>
        <w:t>FERC has also explained that long term agreements provide “an investor … [the ability] to estimate, with reasonable certainty the expected return on a potential investment before construction of a facility.”</w:t>
      </w:r>
      <w:r>
        <w:rPr>
          <w:rStyle w:val="FootnoteReference"/>
        </w:rPr>
        <w:footnoteReference w:id="53"/>
      </w:r>
      <w:r>
        <w:t xml:space="preserve"> </w:t>
      </w:r>
      <w:r>
        <w:rPr>
          <w:rFonts w:eastAsia="MS Mincho"/>
          <w:lang w:eastAsia="ja-JP"/>
        </w:rPr>
        <w:t xml:space="preserve"> </w:t>
      </w:r>
    </w:p>
    <w:p w14:paraId="0C301D1E" w14:textId="2EACBAA7" w:rsidR="000C0FAD" w:rsidRPr="00222946" w:rsidRDefault="000C0FAD" w:rsidP="000C0FAD">
      <w:pPr>
        <w:pStyle w:val="ListParagraph"/>
        <w:numPr>
          <w:ilvl w:val="1"/>
          <w:numId w:val="33"/>
        </w:numPr>
        <w:spacing w:line="480" w:lineRule="auto"/>
        <w:ind w:left="0" w:hanging="540"/>
        <w:rPr>
          <w:rFonts w:eastAsia="MS Mincho"/>
          <w:lang w:eastAsia="ja-JP"/>
        </w:rPr>
      </w:pPr>
      <w:r>
        <w:tab/>
      </w:r>
      <w:r w:rsidRPr="00B66AF9">
        <w:t xml:space="preserve">FERC </w:t>
      </w:r>
      <w:r w:rsidR="00041F2B">
        <w:t>has consistently relied upon these</w:t>
      </w:r>
      <w:r w:rsidRPr="00B66AF9">
        <w:t xml:space="preserve"> statements in its</w:t>
      </w:r>
      <w:r w:rsidR="00041F2B">
        <w:t xml:space="preserve"> seminal</w:t>
      </w:r>
      <w:r w:rsidRPr="00B66AF9">
        <w:t xml:space="preserve"> Order No. 69.</w:t>
      </w:r>
      <w:r>
        <w:rPr>
          <w:rStyle w:val="FootnoteReference"/>
        </w:rPr>
        <w:footnoteReference w:id="54"/>
      </w:r>
      <w:r w:rsidRPr="00B66AF9">
        <w:t xml:space="preserve"> </w:t>
      </w:r>
      <w:r>
        <w:t xml:space="preserve"> </w:t>
      </w:r>
      <w:r w:rsidRPr="00B66AF9">
        <w:t xml:space="preserve">FERC </w:t>
      </w:r>
      <w:r>
        <w:t>concluded</w:t>
      </w:r>
      <w:r w:rsidRPr="00B66AF9">
        <w:t xml:space="preserve"> that a s</w:t>
      </w:r>
      <w:r>
        <w:t>tate commission violated its</w:t>
      </w:r>
      <w:r w:rsidRPr="00B66AF9">
        <w:t xml:space="preserve"> rule</w:t>
      </w:r>
      <w:r>
        <w:t>s where the PURPA implementation</w:t>
      </w:r>
      <w:r w:rsidRPr="00B66AF9">
        <w:t xml:space="preserve"> “offers the competitive solicitation process as the only means by which a QF greater than 10 MW can obtain </w:t>
      </w:r>
      <w:r w:rsidRPr="00BB1633">
        <w:rPr>
          <w:u w:val="single"/>
        </w:rPr>
        <w:t>long-term avoided cost rates</w:t>
      </w:r>
      <w:r w:rsidRPr="00B66AF9">
        <w:t>.”</w:t>
      </w:r>
      <w:r>
        <w:rPr>
          <w:rStyle w:val="FootnoteReference"/>
        </w:rPr>
        <w:footnoteReference w:id="55"/>
      </w:r>
      <w:r w:rsidRPr="00B66AF9">
        <w:t xml:space="preserve"> </w:t>
      </w:r>
      <w:r>
        <w:t xml:space="preserve"> </w:t>
      </w:r>
      <w:r w:rsidRPr="00B66AF9">
        <w:t xml:space="preserve">FERC additionally </w:t>
      </w:r>
      <w:r w:rsidRPr="00B66AF9">
        <w:lastRenderedPageBreak/>
        <w:t xml:space="preserve">found that a 50-MW cap for purchases from certain QFs </w:t>
      </w:r>
      <w:r>
        <w:t xml:space="preserve">illegally prohibited </w:t>
      </w:r>
      <w:r w:rsidRPr="00B66AF9">
        <w:t>QFs from obtaining “forecasted avoided cost rates.”</w:t>
      </w:r>
      <w:r>
        <w:rPr>
          <w:rStyle w:val="FootnoteReference"/>
        </w:rPr>
        <w:footnoteReference w:id="56"/>
      </w:r>
      <w:r w:rsidRPr="00B66AF9">
        <w:t xml:space="preserve"> </w:t>
      </w:r>
      <w:r>
        <w:t xml:space="preserve"> </w:t>
      </w:r>
    </w:p>
    <w:p w14:paraId="1879B19E" w14:textId="4D315FCE" w:rsidR="00A10F4E" w:rsidRPr="000C0FAD" w:rsidRDefault="00AB2DE3" w:rsidP="00036F2E">
      <w:pPr>
        <w:pStyle w:val="ListParagraph"/>
        <w:numPr>
          <w:ilvl w:val="1"/>
          <w:numId w:val="33"/>
        </w:numPr>
        <w:spacing w:line="480" w:lineRule="auto"/>
        <w:ind w:left="0" w:hanging="540"/>
        <w:rPr>
          <w:rFonts w:eastAsia="MS Mincho"/>
          <w:lang w:eastAsia="ja-JP"/>
        </w:rPr>
      </w:pPr>
      <w:r w:rsidRPr="00481513">
        <w:t xml:space="preserve">            </w:t>
      </w:r>
      <w:r w:rsidR="000C0FAD">
        <w:t xml:space="preserve">The practical experience with short contract terms demonstrates that they effectively prevent nearly all new QF development and can result in the shut down of existing projects. </w:t>
      </w:r>
      <w:r w:rsidR="000C0FAD">
        <w:rPr>
          <w:rFonts w:eastAsia="MS Mincho"/>
          <w:szCs w:val="24"/>
          <w:lang w:eastAsia="ja-JP"/>
        </w:rPr>
        <w:t xml:space="preserve"> </w:t>
      </w:r>
      <w:r w:rsidR="00FB0AB9" w:rsidRPr="00481513">
        <w:rPr>
          <w:rFonts w:eastAsia="MS Mincho"/>
          <w:lang w:eastAsia="ja-JP"/>
        </w:rPr>
        <w:t>From 1980-1996 Idaho Power offered long-term QF contracts (between 20-50 years) and executed numerous contracts.  From 1996-2001 Idaho Power switched to a five-year QF contract and had only one new PURPA project.  From 2002-2015, Idaho Power switched back to long term contracts (20 y</w:t>
      </w:r>
      <w:r w:rsidR="00222946">
        <w:rPr>
          <w:rFonts w:eastAsia="MS Mincho"/>
          <w:lang w:eastAsia="ja-JP"/>
        </w:rPr>
        <w:t>ears) and again executed</w:t>
      </w:r>
      <w:r w:rsidR="00FB0AB9" w:rsidRPr="00481513">
        <w:rPr>
          <w:rFonts w:eastAsia="MS Mincho"/>
          <w:lang w:eastAsia="ja-JP"/>
        </w:rPr>
        <w:t xml:space="preserve"> new contracts, until </w:t>
      </w:r>
      <w:r w:rsidR="00043626">
        <w:rPr>
          <w:rFonts w:eastAsia="MS Mincho"/>
          <w:lang w:eastAsia="ja-JP"/>
        </w:rPr>
        <w:t>the Idaho Commission allowed</w:t>
      </w:r>
      <w:r w:rsidR="00A67B69" w:rsidRPr="00481513">
        <w:rPr>
          <w:rFonts w:eastAsia="MS Mincho"/>
          <w:lang w:eastAsia="ja-JP"/>
        </w:rPr>
        <w:t xml:space="preserve"> two year contracts last year</w:t>
      </w:r>
      <w:r w:rsidR="00041F2B">
        <w:rPr>
          <w:rFonts w:eastAsia="MS Mincho"/>
          <w:lang w:eastAsia="ja-JP"/>
        </w:rPr>
        <w:t xml:space="preserve"> and the cycle has repeated itself</w:t>
      </w:r>
      <w:r w:rsidR="00A67B69" w:rsidRPr="00481513">
        <w:rPr>
          <w:rFonts w:eastAsia="MS Mincho"/>
          <w:lang w:eastAsia="ja-JP"/>
        </w:rPr>
        <w:t>.</w:t>
      </w:r>
      <w:r w:rsidR="00BE285B">
        <w:rPr>
          <w:rFonts w:eastAsia="MS Mincho"/>
          <w:lang w:eastAsia="ja-JP"/>
        </w:rPr>
        <w:t xml:space="preserve"> </w:t>
      </w:r>
      <w:r w:rsidR="007336CE">
        <w:rPr>
          <w:rFonts w:eastAsia="MS Mincho"/>
          <w:szCs w:val="24"/>
          <w:lang w:eastAsia="ja-JP"/>
        </w:rPr>
        <w:t xml:space="preserve"> In Washington, </w:t>
      </w:r>
      <w:r w:rsidR="00F512A5" w:rsidRPr="00481513">
        <w:rPr>
          <w:rFonts w:eastAsia="MS Mincho"/>
          <w:szCs w:val="24"/>
          <w:lang w:eastAsia="ja-JP"/>
        </w:rPr>
        <w:t xml:space="preserve">PacifiCorp </w:t>
      </w:r>
      <w:r w:rsidR="00A06254">
        <w:rPr>
          <w:rFonts w:eastAsia="MS Mincho"/>
          <w:szCs w:val="24"/>
          <w:lang w:eastAsia="ja-JP"/>
        </w:rPr>
        <w:t>insists on a maximum of</w:t>
      </w:r>
      <w:r w:rsidR="007336CE">
        <w:rPr>
          <w:rFonts w:eastAsia="MS Mincho"/>
          <w:szCs w:val="24"/>
          <w:lang w:eastAsia="ja-JP"/>
        </w:rPr>
        <w:t xml:space="preserve"> five year contracts, which has resulted in </w:t>
      </w:r>
      <w:r w:rsidR="00F512A5" w:rsidRPr="00481513">
        <w:rPr>
          <w:rFonts w:eastAsia="MS Mincho"/>
          <w:szCs w:val="24"/>
          <w:lang w:eastAsia="ja-JP"/>
        </w:rPr>
        <w:t xml:space="preserve">only a few </w:t>
      </w:r>
      <w:r w:rsidR="007336CE">
        <w:rPr>
          <w:rFonts w:eastAsia="MS Mincho"/>
          <w:szCs w:val="24"/>
          <w:lang w:eastAsia="ja-JP"/>
        </w:rPr>
        <w:t xml:space="preserve">Washington </w:t>
      </w:r>
      <w:r w:rsidR="00F512A5" w:rsidRPr="00481513">
        <w:rPr>
          <w:rFonts w:eastAsia="MS Mincho"/>
          <w:szCs w:val="24"/>
          <w:lang w:eastAsia="ja-JP"/>
        </w:rPr>
        <w:t>QF</w:t>
      </w:r>
      <w:r w:rsidR="007336CE">
        <w:rPr>
          <w:rFonts w:eastAsia="MS Mincho"/>
          <w:szCs w:val="24"/>
          <w:lang w:eastAsia="ja-JP"/>
        </w:rPr>
        <w:t>s</w:t>
      </w:r>
      <w:r w:rsidR="00F512A5" w:rsidRPr="00481513">
        <w:rPr>
          <w:rFonts w:eastAsia="MS Mincho"/>
          <w:szCs w:val="24"/>
          <w:lang w:eastAsia="ja-JP"/>
        </w:rPr>
        <w:t>.</w:t>
      </w:r>
      <w:r w:rsidR="00A10F4E" w:rsidRPr="00481513">
        <w:rPr>
          <w:rStyle w:val="FootnoteReference"/>
          <w:rFonts w:eastAsia="MS Mincho"/>
          <w:szCs w:val="24"/>
          <w:lang w:eastAsia="ja-JP"/>
        </w:rPr>
        <w:footnoteReference w:id="57"/>
      </w:r>
      <w:r w:rsidR="00041F2B">
        <w:rPr>
          <w:rFonts w:eastAsia="MS Mincho"/>
          <w:szCs w:val="24"/>
          <w:lang w:eastAsia="ja-JP"/>
        </w:rPr>
        <w:t xml:space="preserve">  The Oregon Commission</w:t>
      </w:r>
      <w:r w:rsidR="007336CE">
        <w:rPr>
          <w:rFonts w:eastAsia="MS Mincho"/>
          <w:szCs w:val="24"/>
          <w:lang w:eastAsia="ja-JP"/>
        </w:rPr>
        <w:t xml:space="preserve"> adopted </w:t>
      </w:r>
      <w:r w:rsidR="00F76E05" w:rsidRPr="00481513">
        <w:rPr>
          <w:rFonts w:eastAsia="MS Mincho"/>
          <w:szCs w:val="24"/>
          <w:lang w:eastAsia="ja-JP"/>
        </w:rPr>
        <w:t>five-</w:t>
      </w:r>
      <w:r w:rsidR="000B1E73" w:rsidRPr="00481513">
        <w:rPr>
          <w:rFonts w:eastAsia="MS Mincho"/>
          <w:szCs w:val="24"/>
          <w:lang w:eastAsia="ja-JP"/>
        </w:rPr>
        <w:t>year contract</w:t>
      </w:r>
      <w:r w:rsidR="007336CE">
        <w:rPr>
          <w:rFonts w:eastAsia="MS Mincho"/>
          <w:szCs w:val="24"/>
          <w:lang w:eastAsia="ja-JP"/>
        </w:rPr>
        <w:t>s for about a decade and</w:t>
      </w:r>
      <w:r w:rsidR="000B1E73" w:rsidRPr="00481513">
        <w:rPr>
          <w:rFonts w:eastAsia="MS Mincho"/>
          <w:szCs w:val="24"/>
          <w:lang w:eastAsia="ja-JP"/>
        </w:rPr>
        <w:t xml:space="preserve"> </w:t>
      </w:r>
      <w:r w:rsidR="00F76E05" w:rsidRPr="00481513">
        <w:rPr>
          <w:rFonts w:eastAsia="MS Mincho"/>
          <w:szCs w:val="24"/>
          <w:lang w:eastAsia="ja-JP"/>
        </w:rPr>
        <w:t>similarly</w:t>
      </w:r>
      <w:r w:rsidR="000B1E73" w:rsidRPr="00481513">
        <w:rPr>
          <w:rFonts w:eastAsia="MS Mincho"/>
          <w:szCs w:val="24"/>
          <w:lang w:eastAsia="ja-JP"/>
        </w:rPr>
        <w:t xml:space="preserve"> stifled QF development.</w:t>
      </w:r>
      <w:r w:rsidR="00A10F4E" w:rsidRPr="00481513">
        <w:rPr>
          <w:rStyle w:val="FootnoteReference"/>
          <w:rFonts w:eastAsia="MS Mincho"/>
          <w:szCs w:val="24"/>
          <w:lang w:eastAsia="ja-JP"/>
        </w:rPr>
        <w:footnoteReference w:id="58"/>
      </w:r>
      <w:r w:rsidR="000B1E73" w:rsidRPr="00481513">
        <w:rPr>
          <w:rFonts w:eastAsia="MS Mincho"/>
          <w:szCs w:val="24"/>
          <w:lang w:eastAsia="ja-JP"/>
        </w:rPr>
        <w:t xml:space="preserve"> </w:t>
      </w:r>
      <w:r w:rsidR="00A67B69" w:rsidRPr="00481513">
        <w:rPr>
          <w:rFonts w:eastAsia="MS Mincho"/>
          <w:szCs w:val="24"/>
          <w:lang w:eastAsia="ja-JP"/>
        </w:rPr>
        <w:t xml:space="preserve"> On the other side of the spectrum</w:t>
      </w:r>
      <w:r w:rsidR="00F76E05" w:rsidRPr="00481513">
        <w:rPr>
          <w:rFonts w:eastAsia="MS Mincho"/>
          <w:szCs w:val="24"/>
          <w:lang w:eastAsia="ja-JP"/>
        </w:rPr>
        <w:t>, u</w:t>
      </w:r>
      <w:r w:rsidR="00C65200" w:rsidRPr="00481513">
        <w:rPr>
          <w:rFonts w:eastAsia="MS Mincho"/>
          <w:szCs w:val="24"/>
          <w:lang w:eastAsia="ja-JP"/>
        </w:rPr>
        <w:t>tilities tend to finance their own project over 30 or</w:t>
      </w:r>
      <w:r w:rsidR="00CD2D31" w:rsidRPr="00481513">
        <w:rPr>
          <w:rFonts w:eastAsia="MS Mincho"/>
          <w:szCs w:val="24"/>
          <w:lang w:eastAsia="ja-JP"/>
        </w:rPr>
        <w:t xml:space="preserve"> more years.  Thus, </w:t>
      </w:r>
      <w:r w:rsidR="0005737C">
        <w:rPr>
          <w:rFonts w:eastAsia="MS Mincho"/>
          <w:szCs w:val="24"/>
          <w:lang w:eastAsia="ja-JP"/>
        </w:rPr>
        <w:t xml:space="preserve">whatever contract term the Commission adopts for QFs will expose ratepayers to less risk than utility owned projects </w:t>
      </w:r>
      <w:r w:rsidR="00041F2B">
        <w:rPr>
          <w:rFonts w:eastAsia="MS Mincho"/>
          <w:szCs w:val="24"/>
          <w:lang w:eastAsia="ja-JP"/>
        </w:rPr>
        <w:t xml:space="preserve">that are </w:t>
      </w:r>
      <w:r w:rsidR="0005737C">
        <w:rPr>
          <w:rFonts w:eastAsia="MS Mincho"/>
          <w:szCs w:val="24"/>
          <w:lang w:eastAsia="ja-JP"/>
        </w:rPr>
        <w:t>included in rates for the</w:t>
      </w:r>
      <w:r w:rsidR="00A67B69" w:rsidRPr="00481513">
        <w:rPr>
          <w:rFonts w:eastAsia="MS Mincho"/>
          <w:szCs w:val="24"/>
          <w:lang w:eastAsia="ja-JP"/>
        </w:rPr>
        <w:t xml:space="preserve"> </w:t>
      </w:r>
      <w:r w:rsidR="00C65200" w:rsidRPr="00481513">
        <w:rPr>
          <w:rFonts w:eastAsia="MS Mincho"/>
          <w:szCs w:val="24"/>
          <w:lang w:eastAsia="ja-JP"/>
        </w:rPr>
        <w:t xml:space="preserve">economic life of </w:t>
      </w:r>
      <w:r w:rsidR="00AD10F3">
        <w:rPr>
          <w:rFonts w:eastAsia="MS Mincho"/>
          <w:szCs w:val="24"/>
          <w:lang w:eastAsia="ja-JP"/>
        </w:rPr>
        <w:t xml:space="preserve">the </w:t>
      </w:r>
      <w:r w:rsidR="00C65200" w:rsidRPr="00481513">
        <w:rPr>
          <w:rFonts w:eastAsia="MS Mincho"/>
          <w:szCs w:val="24"/>
          <w:lang w:eastAsia="ja-JP"/>
        </w:rPr>
        <w:t>resource.</w:t>
      </w:r>
    </w:p>
    <w:p w14:paraId="6C14B73F" w14:textId="6F0BA5CE" w:rsidR="001D7AA5" w:rsidRPr="002C57A5" w:rsidRDefault="00A10F4E" w:rsidP="001D7AA5">
      <w:pPr>
        <w:pStyle w:val="ListParagraph"/>
        <w:numPr>
          <w:ilvl w:val="1"/>
          <w:numId w:val="33"/>
        </w:numPr>
        <w:spacing w:line="480" w:lineRule="auto"/>
        <w:ind w:left="0" w:hanging="540"/>
        <w:rPr>
          <w:rFonts w:eastAsia="MS Mincho"/>
          <w:lang w:eastAsia="ja-JP"/>
        </w:rPr>
      </w:pPr>
      <w:r w:rsidRPr="00481513">
        <w:lastRenderedPageBreak/>
        <w:t xml:space="preserve">           </w:t>
      </w:r>
      <w:r w:rsidR="005A65BE" w:rsidRPr="00481513">
        <w:rPr>
          <w:rFonts w:eastAsia="MS Mincho"/>
          <w:szCs w:val="24"/>
          <w:lang w:eastAsia="ja-JP"/>
        </w:rPr>
        <w:t xml:space="preserve">The </w:t>
      </w:r>
      <w:r w:rsidR="00036F2E" w:rsidRPr="00481513">
        <w:rPr>
          <w:rFonts w:eastAsia="MS Mincho"/>
          <w:szCs w:val="24"/>
          <w:lang w:eastAsia="ja-JP"/>
        </w:rPr>
        <w:t>Oregon Commission</w:t>
      </w:r>
      <w:r w:rsidR="005A65BE" w:rsidRPr="00481513">
        <w:rPr>
          <w:rFonts w:eastAsia="MS Mincho"/>
          <w:szCs w:val="24"/>
          <w:lang w:eastAsia="ja-JP"/>
        </w:rPr>
        <w:t xml:space="preserve"> balance</w:t>
      </w:r>
      <w:r w:rsidR="00570159">
        <w:rPr>
          <w:rFonts w:eastAsia="MS Mincho"/>
          <w:szCs w:val="24"/>
          <w:lang w:eastAsia="ja-JP"/>
        </w:rPr>
        <w:t xml:space="preserve">d the </w:t>
      </w:r>
      <w:r w:rsidR="005A65BE" w:rsidRPr="00481513">
        <w:rPr>
          <w:rFonts w:eastAsia="MS Mincho"/>
          <w:szCs w:val="24"/>
          <w:lang w:eastAsia="ja-JP"/>
        </w:rPr>
        <w:t xml:space="preserve">two </w:t>
      </w:r>
      <w:r w:rsidR="00036F2E" w:rsidRPr="00481513">
        <w:rPr>
          <w:rFonts w:eastAsia="MS Mincho"/>
          <w:szCs w:val="24"/>
          <w:lang w:eastAsia="ja-JP"/>
        </w:rPr>
        <w:t>goals</w:t>
      </w:r>
      <w:r w:rsidR="00570159">
        <w:rPr>
          <w:rFonts w:eastAsia="MS Mincho"/>
          <w:szCs w:val="24"/>
          <w:lang w:eastAsia="ja-JP"/>
        </w:rPr>
        <w:t xml:space="preserve"> of accurate prices with ensuring that QFs have “viable opportunities”</w:t>
      </w:r>
      <w:r w:rsidR="000B2B5D">
        <w:rPr>
          <w:rStyle w:val="FootnoteReference"/>
          <w:rFonts w:eastAsia="MS Mincho"/>
          <w:szCs w:val="24"/>
          <w:lang w:eastAsia="ja-JP"/>
        </w:rPr>
        <w:footnoteReference w:id="59"/>
      </w:r>
      <w:r w:rsidR="00570159">
        <w:rPr>
          <w:rFonts w:eastAsia="MS Mincho"/>
          <w:szCs w:val="24"/>
          <w:lang w:eastAsia="ja-JP"/>
        </w:rPr>
        <w:t xml:space="preserve"> to sell their power</w:t>
      </w:r>
      <w:r w:rsidR="005A65BE" w:rsidRPr="00481513">
        <w:rPr>
          <w:rFonts w:eastAsia="MS Mincho"/>
          <w:szCs w:val="24"/>
          <w:lang w:eastAsia="ja-JP"/>
        </w:rPr>
        <w:t xml:space="preserve"> as its basis for establishing </w:t>
      </w:r>
      <w:r w:rsidR="00036F2E" w:rsidRPr="00481513">
        <w:rPr>
          <w:rFonts w:eastAsia="MS Mincho"/>
          <w:szCs w:val="24"/>
          <w:lang w:eastAsia="ja-JP"/>
        </w:rPr>
        <w:t xml:space="preserve">a </w:t>
      </w:r>
      <w:r w:rsidR="005A65BE" w:rsidRPr="00481513">
        <w:rPr>
          <w:rFonts w:eastAsia="MS Mincho"/>
          <w:szCs w:val="24"/>
          <w:lang w:eastAsia="ja-JP"/>
        </w:rPr>
        <w:t xml:space="preserve">20 </w:t>
      </w:r>
      <w:r w:rsidR="00B92B45">
        <w:rPr>
          <w:rFonts w:eastAsia="MS Mincho"/>
          <w:szCs w:val="24"/>
          <w:lang w:eastAsia="ja-JP"/>
        </w:rPr>
        <w:t>year QF contract lengths</w:t>
      </w:r>
      <w:r w:rsidR="00041F2B">
        <w:rPr>
          <w:rFonts w:eastAsia="MS Mincho"/>
          <w:szCs w:val="24"/>
          <w:lang w:eastAsia="ja-JP"/>
        </w:rPr>
        <w:t>,</w:t>
      </w:r>
      <w:r w:rsidR="005A65BE" w:rsidRPr="00481513">
        <w:rPr>
          <w:rFonts w:eastAsia="MS Mincho"/>
          <w:szCs w:val="24"/>
          <w:lang w:eastAsia="ja-JP"/>
        </w:rPr>
        <w:t xml:space="preserve"> with 15 years of fixed pricing.</w:t>
      </w:r>
      <w:r w:rsidR="00254A4E" w:rsidRPr="00481513">
        <w:rPr>
          <w:rStyle w:val="FootnoteReference"/>
          <w:rFonts w:eastAsia="MS Mincho"/>
          <w:szCs w:val="24"/>
          <w:lang w:eastAsia="ja-JP"/>
        </w:rPr>
        <w:footnoteReference w:id="60"/>
      </w:r>
      <w:r w:rsidR="00274F33" w:rsidRPr="00481513">
        <w:rPr>
          <w:rFonts w:eastAsia="MS Mincho"/>
          <w:szCs w:val="24"/>
          <w:lang w:eastAsia="ja-JP"/>
        </w:rPr>
        <w:t xml:space="preserve">  </w:t>
      </w:r>
      <w:r w:rsidR="00D27D8E">
        <w:rPr>
          <w:rFonts w:eastAsia="MS Mincho"/>
          <w:szCs w:val="24"/>
          <w:lang w:eastAsia="ja-JP"/>
        </w:rPr>
        <w:t>In</w:t>
      </w:r>
      <w:r w:rsidR="00041F2B">
        <w:rPr>
          <w:rFonts w:eastAsia="MS Mincho"/>
          <w:szCs w:val="24"/>
          <w:lang w:eastAsia="ja-JP"/>
        </w:rPr>
        <w:t xml:space="preserve"> four different proceedings</w:t>
      </w:r>
      <w:r w:rsidR="00797F99">
        <w:rPr>
          <w:rFonts w:eastAsia="MS Mincho"/>
          <w:szCs w:val="24"/>
          <w:lang w:eastAsia="ja-JP"/>
        </w:rPr>
        <w:t xml:space="preserve"> in</w:t>
      </w:r>
      <w:r w:rsidR="00D27D8E">
        <w:rPr>
          <w:rFonts w:eastAsia="MS Mincho"/>
          <w:szCs w:val="24"/>
          <w:lang w:eastAsia="ja-JP"/>
        </w:rPr>
        <w:t xml:space="preserve"> 2005, 2014 and 2016,</w:t>
      </w:r>
      <w:r w:rsidR="000B2B5D">
        <w:rPr>
          <w:rStyle w:val="FootnoteReference"/>
          <w:rFonts w:eastAsia="MS Mincho"/>
          <w:szCs w:val="24"/>
          <w:lang w:eastAsia="ja-JP"/>
        </w:rPr>
        <w:footnoteReference w:id="61"/>
      </w:r>
      <w:r w:rsidR="00570159">
        <w:rPr>
          <w:rFonts w:eastAsia="MS Mincho"/>
          <w:szCs w:val="24"/>
          <w:lang w:eastAsia="ja-JP"/>
        </w:rPr>
        <w:t xml:space="preserve"> the Oregon </w:t>
      </w:r>
      <w:r w:rsidR="00570159" w:rsidRPr="00570159">
        <w:rPr>
          <w:rFonts w:eastAsia="MS Mincho"/>
          <w:szCs w:val="24"/>
          <w:lang w:eastAsia="ja-JP"/>
        </w:rPr>
        <w:t>Commission determined that 15 years of fixed prices</w:t>
      </w:r>
      <w:r w:rsidR="00041F2B">
        <w:rPr>
          <w:rFonts w:eastAsia="MS Mincho"/>
          <w:szCs w:val="24"/>
          <w:lang w:eastAsia="ja-JP"/>
        </w:rPr>
        <w:t xml:space="preserve"> was appropriate because it</w:t>
      </w:r>
      <w:r w:rsidR="00570159" w:rsidRPr="00570159">
        <w:rPr>
          <w:rFonts w:eastAsia="MS Mincho"/>
          <w:szCs w:val="24"/>
          <w:lang w:eastAsia="ja-JP"/>
        </w:rPr>
        <w:t xml:space="preserve"> “</w:t>
      </w:r>
      <w:r w:rsidR="00570159" w:rsidRPr="00570159">
        <w:rPr>
          <w:rFonts w:ascii="Times" w:hAnsi="Times"/>
          <w:szCs w:val="24"/>
          <w:lang w:eastAsia="ja-JP"/>
        </w:rPr>
        <w:t>enables eligible QFs to obtain adequate financing”.</w:t>
      </w:r>
      <w:r w:rsidR="00570159">
        <w:rPr>
          <w:rStyle w:val="FootnoteReference"/>
          <w:rFonts w:ascii="Times" w:hAnsi="Times"/>
          <w:sz w:val="18"/>
          <w:szCs w:val="18"/>
          <w:lang w:eastAsia="ja-JP"/>
        </w:rPr>
        <w:footnoteReference w:id="62"/>
      </w:r>
      <w:r w:rsidR="00570159">
        <w:rPr>
          <w:rFonts w:eastAsia="MS Mincho"/>
          <w:lang w:eastAsia="ja-JP"/>
        </w:rPr>
        <w:t xml:space="preserve">  </w:t>
      </w:r>
      <w:r w:rsidR="00274F33" w:rsidRPr="00570159">
        <w:rPr>
          <w:rFonts w:eastAsia="MS Mincho"/>
          <w:szCs w:val="24"/>
          <w:lang w:eastAsia="ja-JP"/>
        </w:rPr>
        <w:t xml:space="preserve">The Wyoming Commission determined that 20 year contracts seemed to allow </w:t>
      </w:r>
      <w:r w:rsidR="00CD2D31" w:rsidRPr="00570159">
        <w:rPr>
          <w:rFonts w:eastAsia="MS Mincho"/>
          <w:szCs w:val="24"/>
          <w:lang w:eastAsia="ja-JP"/>
        </w:rPr>
        <w:t xml:space="preserve">an </w:t>
      </w:r>
      <w:r w:rsidR="00274F33" w:rsidRPr="00570159">
        <w:rPr>
          <w:rFonts w:eastAsia="MS Mincho"/>
          <w:szCs w:val="24"/>
          <w:lang w:eastAsia="ja-JP"/>
        </w:rPr>
        <w:t>adequate opportunity for financing</w:t>
      </w:r>
      <w:r w:rsidR="005D4F76" w:rsidRPr="00570159">
        <w:rPr>
          <w:rFonts w:eastAsia="MS Mincho"/>
          <w:szCs w:val="24"/>
          <w:lang w:eastAsia="ja-JP"/>
        </w:rPr>
        <w:t>,</w:t>
      </w:r>
      <w:r w:rsidR="00274F33" w:rsidRPr="00481513">
        <w:rPr>
          <w:rStyle w:val="FootnoteReference"/>
          <w:rFonts w:eastAsia="MS Mincho"/>
          <w:szCs w:val="24"/>
          <w:lang w:eastAsia="ja-JP"/>
        </w:rPr>
        <w:footnoteReference w:id="63"/>
      </w:r>
      <w:r w:rsidR="005D4F76" w:rsidRPr="00570159">
        <w:rPr>
          <w:rFonts w:eastAsia="MS Mincho"/>
          <w:szCs w:val="24"/>
          <w:lang w:eastAsia="ja-JP"/>
        </w:rPr>
        <w:t xml:space="preserve"> and the Utah </w:t>
      </w:r>
      <w:r w:rsidR="00043626">
        <w:rPr>
          <w:rFonts w:eastAsia="MS Mincho"/>
          <w:szCs w:val="24"/>
          <w:lang w:eastAsia="ja-JP"/>
        </w:rPr>
        <w:t xml:space="preserve">Public Service </w:t>
      </w:r>
      <w:r w:rsidR="005D4F76" w:rsidRPr="00570159">
        <w:rPr>
          <w:rFonts w:eastAsia="MS Mincho"/>
          <w:szCs w:val="24"/>
          <w:lang w:eastAsia="ja-JP"/>
        </w:rPr>
        <w:t xml:space="preserve">Commission </w:t>
      </w:r>
      <w:r w:rsidR="00043626">
        <w:rPr>
          <w:rFonts w:eastAsia="MS Mincho"/>
          <w:szCs w:val="24"/>
          <w:lang w:eastAsia="ja-JP"/>
        </w:rPr>
        <w:t xml:space="preserve">(“Utah Commission”) </w:t>
      </w:r>
      <w:r w:rsidR="005D4F76" w:rsidRPr="00570159">
        <w:rPr>
          <w:rFonts w:eastAsia="MS Mincho"/>
          <w:szCs w:val="24"/>
          <w:lang w:eastAsia="ja-JP"/>
        </w:rPr>
        <w:t xml:space="preserve">recently </w:t>
      </w:r>
      <w:r w:rsidR="00FC351E">
        <w:rPr>
          <w:rFonts w:eastAsia="MS Mincho"/>
          <w:szCs w:val="24"/>
          <w:lang w:eastAsia="ja-JP"/>
        </w:rPr>
        <w:t>determined that</w:t>
      </w:r>
      <w:r w:rsidR="005D4F76" w:rsidRPr="00570159">
        <w:rPr>
          <w:rFonts w:eastAsia="MS Mincho"/>
          <w:szCs w:val="24"/>
          <w:lang w:eastAsia="ja-JP"/>
        </w:rPr>
        <w:t xml:space="preserve"> 15 year contracts best served the public interest and could allow QF developers a reasonabl</w:t>
      </w:r>
      <w:r w:rsidR="00797F99">
        <w:rPr>
          <w:rFonts w:eastAsia="MS Mincho"/>
          <w:szCs w:val="24"/>
          <w:lang w:eastAsia="ja-JP"/>
        </w:rPr>
        <w:t>e</w:t>
      </w:r>
      <w:r w:rsidR="005D4F76" w:rsidRPr="00570159">
        <w:rPr>
          <w:rFonts w:eastAsia="MS Mincho"/>
          <w:szCs w:val="24"/>
          <w:lang w:eastAsia="ja-JP"/>
        </w:rPr>
        <w:t xml:space="preserve"> opportunity to obtain financing.</w:t>
      </w:r>
      <w:r w:rsidR="005D4F76">
        <w:rPr>
          <w:rStyle w:val="FootnoteReference"/>
          <w:rFonts w:eastAsia="MS Mincho"/>
          <w:szCs w:val="24"/>
          <w:lang w:eastAsia="ja-JP"/>
        </w:rPr>
        <w:footnoteReference w:id="64"/>
      </w:r>
      <w:r w:rsidR="005D4F76" w:rsidRPr="00570159">
        <w:rPr>
          <w:rFonts w:eastAsia="MS Mincho"/>
          <w:szCs w:val="24"/>
          <w:lang w:eastAsia="ja-JP"/>
        </w:rPr>
        <w:t xml:space="preserve">  </w:t>
      </w:r>
      <w:r w:rsidR="00036F2E" w:rsidRPr="00570159">
        <w:rPr>
          <w:rFonts w:eastAsia="MS Mincho"/>
          <w:szCs w:val="24"/>
          <w:lang w:eastAsia="ja-JP"/>
        </w:rPr>
        <w:t xml:space="preserve"> </w:t>
      </w:r>
    </w:p>
    <w:p w14:paraId="5FC397ED" w14:textId="31CD4BE5" w:rsidR="00FC351E" w:rsidRPr="00FC351E" w:rsidRDefault="000173B1" w:rsidP="001D7AA5">
      <w:pPr>
        <w:pStyle w:val="ListParagraph"/>
        <w:numPr>
          <w:ilvl w:val="1"/>
          <w:numId w:val="33"/>
        </w:numPr>
        <w:spacing w:line="480" w:lineRule="auto"/>
        <w:ind w:left="0" w:hanging="540"/>
        <w:rPr>
          <w:rFonts w:eastAsia="MS Mincho"/>
          <w:lang w:eastAsia="ja-JP"/>
        </w:rPr>
      </w:pPr>
      <w:r w:rsidRPr="00481513">
        <w:t xml:space="preserve">          </w:t>
      </w:r>
      <w:r w:rsidR="00274F33" w:rsidRPr="00481513">
        <w:t xml:space="preserve"> </w:t>
      </w:r>
      <w:r w:rsidR="00701F86">
        <w:rPr>
          <w:rFonts w:eastAsia="MS Mincho"/>
          <w:szCs w:val="24"/>
          <w:lang w:eastAsia="ja-JP"/>
        </w:rPr>
        <w:t xml:space="preserve">Washington’s policies significantly hinder QF development, as demonstrated by the paucity of projects in Washington compared with Oregon, Utah and even Idaho.  </w:t>
      </w:r>
      <w:r w:rsidR="001C44D9">
        <w:rPr>
          <w:rFonts w:eastAsia="MS Mincho"/>
          <w:szCs w:val="24"/>
          <w:lang w:eastAsia="ja-JP"/>
        </w:rPr>
        <w:t xml:space="preserve">A large part of this is related to the difficulty in obtaining long term contracts, and </w:t>
      </w:r>
      <w:r w:rsidR="001C44D9">
        <w:rPr>
          <w:rFonts w:eastAsia="MS Mincho"/>
          <w:szCs w:val="24"/>
          <w:lang w:eastAsia="ja-JP"/>
        </w:rPr>
        <w:lastRenderedPageBreak/>
        <w:t xml:space="preserve">negotiating projects above the size threshold.  </w:t>
      </w:r>
      <w:r w:rsidR="00701F86">
        <w:rPr>
          <w:rFonts w:eastAsia="MS Mincho"/>
          <w:szCs w:val="24"/>
          <w:lang w:eastAsia="ja-JP"/>
        </w:rPr>
        <w:t>Washington is missing out on the many benefits of a robust independent renewable power development industry.</w:t>
      </w:r>
      <w:r w:rsidR="00FC351E">
        <w:rPr>
          <w:rFonts w:eastAsia="MS Mincho"/>
          <w:szCs w:val="24"/>
          <w:lang w:eastAsia="ja-JP"/>
        </w:rPr>
        <w:t xml:space="preserve"> </w:t>
      </w:r>
    </w:p>
    <w:p w14:paraId="0E47CBCF" w14:textId="628346B3" w:rsidR="000173B1" w:rsidRPr="00481513" w:rsidRDefault="00FC351E" w:rsidP="001D7AA5">
      <w:pPr>
        <w:pStyle w:val="ListParagraph"/>
        <w:numPr>
          <w:ilvl w:val="1"/>
          <w:numId w:val="33"/>
        </w:numPr>
        <w:spacing w:line="480" w:lineRule="auto"/>
        <w:ind w:left="0" w:hanging="540"/>
        <w:rPr>
          <w:rFonts w:eastAsia="MS Mincho"/>
          <w:lang w:eastAsia="ja-JP"/>
        </w:rPr>
      </w:pPr>
      <w:r>
        <w:rPr>
          <w:rFonts w:eastAsia="MS Mincho"/>
          <w:szCs w:val="24"/>
          <w:lang w:eastAsia="ja-JP"/>
        </w:rPr>
        <w:tab/>
      </w:r>
      <w:r w:rsidR="00164DBD" w:rsidRPr="00481513">
        <w:rPr>
          <w:rFonts w:eastAsia="MS Mincho"/>
          <w:szCs w:val="24"/>
          <w:lang w:eastAsia="ja-JP"/>
        </w:rPr>
        <w:t>Given the clear impact that contract term length has on QF development, t</w:t>
      </w:r>
      <w:r w:rsidR="000173B1" w:rsidRPr="00481513">
        <w:rPr>
          <w:rFonts w:eastAsia="MS Mincho"/>
          <w:szCs w:val="24"/>
          <w:lang w:eastAsia="ja-JP"/>
        </w:rPr>
        <w:t>he Commission should consider wh</w:t>
      </w:r>
      <w:r w:rsidR="00A06254">
        <w:rPr>
          <w:rFonts w:eastAsia="MS Mincho"/>
          <w:szCs w:val="24"/>
          <w:lang w:eastAsia="ja-JP"/>
        </w:rPr>
        <w:t>ether the</w:t>
      </w:r>
      <w:r w:rsidR="000173B1" w:rsidRPr="00481513">
        <w:rPr>
          <w:rFonts w:eastAsia="MS Mincho"/>
          <w:szCs w:val="24"/>
          <w:lang w:eastAsia="ja-JP"/>
        </w:rPr>
        <w:t xml:space="preserve"> contract terms allow QFs to obtain financing</w:t>
      </w:r>
      <w:r>
        <w:rPr>
          <w:rFonts w:eastAsia="MS Mincho"/>
          <w:szCs w:val="24"/>
          <w:lang w:eastAsia="ja-JP"/>
        </w:rPr>
        <w:t>, which other states have concluded is between 15 and 20 years</w:t>
      </w:r>
      <w:r w:rsidR="000173B1" w:rsidRPr="00481513">
        <w:rPr>
          <w:rFonts w:eastAsia="MS Mincho"/>
          <w:szCs w:val="24"/>
          <w:lang w:eastAsia="ja-JP"/>
        </w:rPr>
        <w:t>.</w:t>
      </w:r>
      <w:r w:rsidR="00A06254">
        <w:rPr>
          <w:rFonts w:eastAsia="MS Mincho"/>
          <w:szCs w:val="24"/>
          <w:lang w:eastAsia="ja-JP"/>
        </w:rPr>
        <w:t xml:space="preserve">  All QFs should have the option of selecting a contract term of its choosing.</w:t>
      </w:r>
      <w:r w:rsidR="000173B1" w:rsidRPr="00481513">
        <w:rPr>
          <w:rFonts w:eastAsia="MS Mincho"/>
          <w:szCs w:val="24"/>
          <w:lang w:eastAsia="ja-JP"/>
        </w:rPr>
        <w:t xml:space="preserve">  </w:t>
      </w:r>
      <w:r w:rsidR="006C07F7">
        <w:rPr>
          <w:rFonts w:eastAsia="MS Mincho"/>
          <w:szCs w:val="24"/>
          <w:lang w:eastAsia="ja-JP"/>
        </w:rPr>
        <w:t>Any</w:t>
      </w:r>
      <w:r w:rsidR="00274F33" w:rsidRPr="00481513">
        <w:rPr>
          <w:rFonts w:eastAsia="MS Mincho"/>
          <w:szCs w:val="24"/>
          <w:lang w:eastAsia="ja-JP"/>
        </w:rPr>
        <w:t xml:space="preserve"> policy that effectively bars the vast majority of cost effective QFs from being constructed is inherently inconsistent with PURPA.  </w:t>
      </w:r>
    </w:p>
    <w:p w14:paraId="1C7CFBA6" w14:textId="20921F75" w:rsidR="00CC3AA7" w:rsidRPr="00481513" w:rsidRDefault="00CC3AA7" w:rsidP="00CC3AA7">
      <w:pPr>
        <w:pStyle w:val="ListParagraph"/>
        <w:rPr>
          <w:rFonts w:eastAsia="MS Mincho"/>
          <w:b/>
          <w:i/>
          <w:szCs w:val="24"/>
          <w:lang w:eastAsia="ja-JP"/>
        </w:rPr>
      </w:pPr>
      <w:r w:rsidRPr="00481513">
        <w:rPr>
          <w:rFonts w:eastAsia="MS Mincho"/>
          <w:b/>
          <w:i/>
          <w:szCs w:val="24"/>
          <w:lang w:eastAsia="ja-JP"/>
        </w:rPr>
        <w:t xml:space="preserve">Issue B. 4. Should the Commission specify in rule the point in the standard offer contract process where a utility has a legally enforceable obligation to purchase a facility’s output?  </w:t>
      </w:r>
    </w:p>
    <w:p w14:paraId="4C62697D" w14:textId="77777777" w:rsidR="00F144EF" w:rsidRPr="00481513" w:rsidRDefault="00F144EF" w:rsidP="00523449">
      <w:pPr>
        <w:ind w:hanging="540"/>
        <w:rPr>
          <w:rFonts w:eastAsia="MS Mincho"/>
          <w:b/>
          <w:bCs/>
          <w:szCs w:val="24"/>
          <w:lang w:eastAsia="ja-JP"/>
        </w:rPr>
      </w:pPr>
    </w:p>
    <w:p w14:paraId="594A1E8B" w14:textId="69B41F28" w:rsidR="00062FB1" w:rsidRDefault="00663E64" w:rsidP="006A28C2">
      <w:pPr>
        <w:pStyle w:val="ListParagraph"/>
        <w:numPr>
          <w:ilvl w:val="1"/>
          <w:numId w:val="33"/>
        </w:numPr>
        <w:spacing w:line="480" w:lineRule="auto"/>
        <w:ind w:left="0" w:hanging="540"/>
      </w:pPr>
      <w:r w:rsidRPr="00481513">
        <w:t xml:space="preserve">            </w:t>
      </w:r>
      <w:r w:rsidR="008115DE">
        <w:t>The concept of a LEO is unique, but essentially allows a QF to sell power to a utility under certain circumstances when the QF has been unable to finalize a contract with the utility.</w:t>
      </w:r>
      <w:r w:rsidR="00F306AA">
        <w:rPr>
          <w:rStyle w:val="FootnoteReference"/>
        </w:rPr>
        <w:footnoteReference w:id="65"/>
      </w:r>
      <w:r w:rsidR="008115DE">
        <w:t xml:space="preserve">  </w:t>
      </w:r>
      <w:r w:rsidR="00EF6197">
        <w:t>FERC has established that a</w:t>
      </w:r>
      <w:r w:rsidR="00EF6197" w:rsidRPr="00481513">
        <w:t xml:space="preserve"> LEO is broader than a simple contract between a utility and a QF, and may exist without a </w:t>
      </w:r>
      <w:r w:rsidR="00EF6197">
        <w:t xml:space="preserve">written </w:t>
      </w:r>
      <w:r w:rsidR="00EF6197" w:rsidRPr="00481513">
        <w:t>contract.</w:t>
      </w:r>
      <w:r w:rsidR="00EF6197" w:rsidRPr="00481513">
        <w:rPr>
          <w:rStyle w:val="FootnoteReference"/>
        </w:rPr>
        <w:footnoteReference w:id="66"/>
      </w:r>
      <w:r w:rsidR="00EF6197" w:rsidRPr="00481513">
        <w:t xml:space="preserve">  </w:t>
      </w:r>
      <w:r w:rsidR="00CB0732">
        <w:t xml:space="preserve">Utilities are </w:t>
      </w:r>
      <w:r w:rsidR="00CB0732" w:rsidRPr="00481513">
        <w:t>not permitted to unreasonably delay the PURPA contract negotiation process or refuse to sign a PPA</w:t>
      </w:r>
      <w:r w:rsidR="00CB0732">
        <w:t xml:space="preserve">, because </w:t>
      </w:r>
      <w:r w:rsidR="00581326" w:rsidRPr="00481513">
        <w:t>QFs have the right to</w:t>
      </w:r>
      <w:r w:rsidR="00EF6197">
        <w:t xml:space="preserve"> receive a legally binding commitment to sell their power</w:t>
      </w:r>
      <w:r w:rsidR="00581326" w:rsidRPr="00481513">
        <w:t xml:space="preserve"> to a utility pursuant to either a contract or a LEO.</w:t>
      </w:r>
      <w:r w:rsidR="00581326" w:rsidRPr="00481513">
        <w:rPr>
          <w:rStyle w:val="FootnoteReference"/>
        </w:rPr>
        <w:footnoteReference w:id="67"/>
      </w:r>
      <w:r w:rsidR="00CB0732">
        <w:t xml:space="preserve">  </w:t>
      </w:r>
      <w:r w:rsidR="00AA5450">
        <w:t>To establish a LEO</w:t>
      </w:r>
      <w:r w:rsidR="00EF6197" w:rsidRPr="00481513">
        <w:t xml:space="preserve">, a QF </w:t>
      </w:r>
      <w:r w:rsidR="00EF6197" w:rsidRPr="00481513">
        <w:lastRenderedPageBreak/>
        <w:t xml:space="preserve">must </w:t>
      </w:r>
      <w:r w:rsidR="00AA5450">
        <w:t xml:space="preserve">generally </w:t>
      </w:r>
      <w:r w:rsidR="00EF6197" w:rsidRPr="00481513">
        <w:t>commit itself, or otherwise be ready to sell its power.</w:t>
      </w:r>
      <w:r w:rsidR="00EF6197" w:rsidRPr="00481513">
        <w:rPr>
          <w:rStyle w:val="FootnoteReference"/>
        </w:rPr>
        <w:footnoteReference w:id="68"/>
      </w:r>
      <w:r w:rsidR="00EF6197">
        <w:t xml:space="preserve">  </w:t>
      </w:r>
      <w:r w:rsidR="00CB0732">
        <w:t xml:space="preserve">Thus, </w:t>
      </w:r>
      <w:r w:rsidR="00581326" w:rsidRPr="00481513">
        <w:t>QF</w:t>
      </w:r>
      <w:r w:rsidR="00581326">
        <w:t>s</w:t>
      </w:r>
      <w:r w:rsidR="00581326" w:rsidRPr="00481513">
        <w:t xml:space="preserve"> can require a utility to purchase its power</w:t>
      </w:r>
      <w:r w:rsidR="00EF6197">
        <w:t xml:space="preserve"> at then current prices</w:t>
      </w:r>
      <w:r w:rsidR="00581326">
        <w:t>,</w:t>
      </w:r>
      <w:r w:rsidR="00581326" w:rsidRPr="00481513">
        <w:t xml:space="preserve"> even if the utility has refused to enter into a contract</w:t>
      </w:r>
      <w:r w:rsidR="00EF6197">
        <w:t xml:space="preserve"> or raised other unreasonable delays</w:t>
      </w:r>
      <w:r w:rsidR="00581326" w:rsidRPr="00481513">
        <w:t xml:space="preserve">. </w:t>
      </w:r>
      <w:r w:rsidR="00062FB1">
        <w:t xml:space="preserve"> </w:t>
      </w:r>
    </w:p>
    <w:p w14:paraId="044F0F4E" w14:textId="7995064B" w:rsidR="00062FB1" w:rsidRPr="00481513" w:rsidRDefault="00062FB1" w:rsidP="006A28C2">
      <w:pPr>
        <w:pStyle w:val="ListParagraph"/>
        <w:numPr>
          <w:ilvl w:val="1"/>
          <w:numId w:val="33"/>
        </w:numPr>
        <w:spacing w:line="480" w:lineRule="auto"/>
        <w:ind w:left="0" w:hanging="540"/>
      </w:pPr>
      <w:r>
        <w:tab/>
        <w:t xml:space="preserve">NIPPC and REC recommend that the Commission adopt a LEO policy that establishes a LEO prior to contract execution if: 1) the QF demonstrates a reasonable dispute regarding prices or terms; or 2) </w:t>
      </w:r>
      <w:r w:rsidR="00AD10F3">
        <w:t xml:space="preserve">there is a </w:t>
      </w:r>
      <w:r>
        <w:t>delay or obstruction of progress toward a final draft of an executable contract, such as the failure to provide required information or documents on a timely basis or the impositio</w:t>
      </w:r>
      <w:r w:rsidR="00B92B45">
        <w:t>n of unreasonable contract provisions</w:t>
      </w:r>
      <w:r>
        <w:t xml:space="preserve">.  If there is such a dispute or delay, then the QF should be allowed to “lock in” the current prices, commit to sell power to the utility under the terms and conditions the QF finds acceptable, and seek Commission resolution of the dispute without risk that it will no longer be eligible for the current prices at the end of any litigation.       </w:t>
      </w:r>
    </w:p>
    <w:p w14:paraId="019EAF36" w14:textId="0DD4100C" w:rsidR="006A28C2" w:rsidRDefault="006A28C2" w:rsidP="00A10F4E">
      <w:pPr>
        <w:pStyle w:val="ListParagraph"/>
        <w:numPr>
          <w:ilvl w:val="1"/>
          <w:numId w:val="33"/>
        </w:numPr>
        <w:spacing w:line="480" w:lineRule="auto"/>
        <w:ind w:left="0" w:hanging="540"/>
      </w:pPr>
      <w:r w:rsidRPr="00481513">
        <w:t xml:space="preserve"> </w:t>
      </w:r>
      <w:r w:rsidR="00AA5450">
        <w:tab/>
      </w:r>
      <w:r>
        <w:t>FERC allows</w:t>
      </w:r>
      <w:r w:rsidR="00AA5450">
        <w:t>, within reasonable parameters,</w:t>
      </w:r>
      <w:r>
        <w:t xml:space="preserve"> states to implement their own LEO policies, and thus, to determine precisely when a LEO has occurred.  </w:t>
      </w:r>
      <w:r w:rsidR="008115DE">
        <w:t xml:space="preserve">FERC has established </w:t>
      </w:r>
      <w:r w:rsidR="00EF6197">
        <w:t xml:space="preserve">limitations on state’s authority and concluded </w:t>
      </w:r>
      <w:r w:rsidR="008115DE">
        <w:t>that LEOs can occur “once a QF makes itself available to sell to a utility” and “may exist prior to the formation of a contract.”</w:t>
      </w:r>
      <w:r w:rsidR="008115DE">
        <w:rPr>
          <w:rStyle w:val="FootnoteReference"/>
        </w:rPr>
        <w:footnoteReference w:id="69"/>
      </w:r>
      <w:r w:rsidR="008115DE">
        <w:t xml:space="preserve">  However, d</w:t>
      </w:r>
      <w:r>
        <w:t xml:space="preserve">ue to </w:t>
      </w:r>
      <w:r w:rsidR="008115DE">
        <w:t xml:space="preserve">more </w:t>
      </w:r>
      <w:r>
        <w:t>recent FERC activity on this front</w:t>
      </w:r>
      <w:r w:rsidR="00EF6197">
        <w:t xml:space="preserve"> and</w:t>
      </w:r>
      <w:r w:rsidR="00942D09">
        <w:t xml:space="preserve"> the fact</w:t>
      </w:r>
      <w:r w:rsidR="00EF6197">
        <w:t xml:space="preserve"> that there is little Washington precedent on this topic</w:t>
      </w:r>
      <w:r>
        <w:t xml:space="preserve">, the Commission </w:t>
      </w:r>
      <w:r w:rsidR="006C07F7">
        <w:t xml:space="preserve">should </w:t>
      </w:r>
      <w:r w:rsidR="00EF6197">
        <w:t xml:space="preserve">focus on </w:t>
      </w:r>
      <w:r>
        <w:t>establish</w:t>
      </w:r>
      <w:r w:rsidR="00EF6197">
        <w:t>ing</w:t>
      </w:r>
      <w:r>
        <w:t xml:space="preserve"> clear miles</w:t>
      </w:r>
      <w:r w:rsidR="00EF6197">
        <w:t xml:space="preserve">tones for a QF to trigger a LEO </w:t>
      </w:r>
      <w:r w:rsidR="008115DE">
        <w:t>rather than try and pinpoint a precise time when contract negotiations have matured enough to establish a LEO</w:t>
      </w:r>
      <w:r>
        <w:t>.</w:t>
      </w:r>
      <w:r w:rsidR="00BF2157" w:rsidRPr="00481513">
        <w:t xml:space="preserve">  </w:t>
      </w:r>
    </w:p>
    <w:p w14:paraId="10785E0B" w14:textId="1A06C305" w:rsidR="008F6463" w:rsidRDefault="006A28C2" w:rsidP="00587A47">
      <w:pPr>
        <w:pStyle w:val="ListParagraph"/>
        <w:numPr>
          <w:ilvl w:val="1"/>
          <w:numId w:val="33"/>
        </w:numPr>
        <w:spacing w:line="480" w:lineRule="auto"/>
        <w:ind w:left="0" w:hanging="540"/>
      </w:pPr>
      <w:r w:rsidRPr="00481513">
        <w:lastRenderedPageBreak/>
        <w:t xml:space="preserve">           </w:t>
      </w:r>
      <w:r w:rsidR="00CB0732">
        <w:t>T</w:t>
      </w:r>
      <w:r>
        <w:t>he LEO</w:t>
      </w:r>
      <w:r w:rsidR="00CB0732">
        <w:t xml:space="preserve"> </w:t>
      </w:r>
      <w:r w:rsidR="0039681E">
        <w:t xml:space="preserve">concept </w:t>
      </w:r>
      <w:r w:rsidR="00CB0732">
        <w:t>was established</w:t>
      </w:r>
      <w:r>
        <w:t xml:space="preserve"> to protect QFs from utility misbehavior</w:t>
      </w:r>
      <w:r w:rsidR="0039681E">
        <w:t xml:space="preserve">.  </w:t>
      </w:r>
      <w:r>
        <w:t>T</w:t>
      </w:r>
      <w:r w:rsidR="00990D44" w:rsidRPr="00481513">
        <w:rPr>
          <w:bCs/>
        </w:rPr>
        <w:t xml:space="preserve">he </w:t>
      </w:r>
      <w:r w:rsidR="000F61ED" w:rsidRPr="00481513">
        <w:rPr>
          <w:bCs/>
        </w:rPr>
        <w:t>LEO</w:t>
      </w:r>
      <w:r w:rsidR="00BF2157" w:rsidRPr="00481513">
        <w:rPr>
          <w:bCs/>
        </w:rPr>
        <w:t xml:space="preserve"> is designed to “</w:t>
      </w:r>
      <w:r w:rsidR="00990D44" w:rsidRPr="00481513">
        <w:t xml:space="preserve">prevent an electric utility from avoiding its PURPA obligations </w:t>
      </w:r>
      <w:r w:rsidR="001730F8" w:rsidRPr="00481513">
        <w:t>by</w:t>
      </w:r>
      <w:r w:rsidR="001730F8">
        <w:t> </w:t>
      </w:r>
      <w:r w:rsidR="001730F8" w:rsidRPr="00481513">
        <w:t>.</w:t>
      </w:r>
      <w:r w:rsidR="001730F8">
        <w:t> </w:t>
      </w:r>
      <w:r w:rsidR="001730F8" w:rsidRPr="00481513">
        <w:t>.</w:t>
      </w:r>
      <w:r w:rsidR="001730F8">
        <w:t> </w:t>
      </w:r>
      <w:r w:rsidR="00990D44" w:rsidRPr="00481513">
        <w:t>. delaying the signing of a contract, so that a later and lower avoided cost is applicable.”</w:t>
      </w:r>
      <w:r w:rsidR="00990D44" w:rsidRPr="00481513">
        <w:rPr>
          <w:rStyle w:val="FootnoteReference"/>
        </w:rPr>
        <w:footnoteReference w:id="70"/>
      </w:r>
      <w:r w:rsidR="00990D44" w:rsidRPr="00481513">
        <w:t xml:space="preserve"> </w:t>
      </w:r>
      <w:r w:rsidR="00A10F4E" w:rsidRPr="00481513">
        <w:t xml:space="preserve"> </w:t>
      </w:r>
      <w:r w:rsidR="00587A47">
        <w:t xml:space="preserve">LEO cases can also occur when the utilities have </w:t>
      </w:r>
      <w:r w:rsidR="00043626">
        <w:t xml:space="preserve">agreed to prices, </w:t>
      </w:r>
      <w:r w:rsidR="00587A47">
        <w:t>provided final draft PPAs or even signed PPAs to QFs in the past, only to challenge the contracts after avoided cost rates dropped or other policy changes were made.</w:t>
      </w:r>
      <w:r w:rsidR="00587A47">
        <w:rPr>
          <w:rStyle w:val="FootnoteReference"/>
        </w:rPr>
        <w:footnoteReference w:id="71"/>
      </w:r>
      <w:r w:rsidR="00587A47">
        <w:t xml:space="preserve">  </w:t>
      </w:r>
      <w:r w:rsidR="0039681E">
        <w:t>Thus, the LEO can</w:t>
      </w:r>
      <w:r w:rsidR="008F6463" w:rsidRPr="00481513">
        <w:t xml:space="preserve"> </w:t>
      </w:r>
      <w:r w:rsidR="00961A80" w:rsidRPr="00481513">
        <w:t xml:space="preserve">counter the </w:t>
      </w:r>
      <w:r w:rsidR="00E5620F" w:rsidRPr="00481513">
        <w:t>almost</w:t>
      </w:r>
      <w:r w:rsidR="00961A80" w:rsidRPr="00481513">
        <w:t xml:space="preserve"> </w:t>
      </w:r>
      <w:r w:rsidR="00E5620F" w:rsidRPr="00481513">
        <w:t>infinite array of options</w:t>
      </w:r>
      <w:r w:rsidR="0039681E">
        <w:t xml:space="preserve"> utilities have</w:t>
      </w:r>
      <w:r w:rsidR="00961A80" w:rsidRPr="00481513">
        <w:t xml:space="preserve"> employed to </w:t>
      </w:r>
      <w:r w:rsidR="00E5620F" w:rsidRPr="00481513">
        <w:t>stonewall</w:t>
      </w:r>
      <w:r w:rsidR="00961A80" w:rsidRPr="00481513">
        <w:t xml:space="preserve"> </w:t>
      </w:r>
      <w:r w:rsidR="0039681E">
        <w:lastRenderedPageBreak/>
        <w:t xml:space="preserve">contract negotiations </w:t>
      </w:r>
      <w:r w:rsidR="00E5620F" w:rsidRPr="00481513">
        <w:t>or to</w:t>
      </w:r>
      <w:r w:rsidR="0039681E">
        <w:t xml:space="preserve"> otherwise prevent or</w:t>
      </w:r>
      <w:r w:rsidR="00E5620F" w:rsidRPr="00481513">
        <w:t xml:space="preserve"> delay a QF from entering into a contract at rates they are legally entitle</w:t>
      </w:r>
      <w:r w:rsidR="00926F43">
        <w:t>d</w:t>
      </w:r>
      <w:r w:rsidR="00E5620F" w:rsidRPr="00481513">
        <w:t xml:space="preserve"> to</w:t>
      </w:r>
      <w:r w:rsidR="00A10F4E" w:rsidRPr="00481513">
        <w:t>.</w:t>
      </w:r>
      <w:r w:rsidR="00E5620F" w:rsidRPr="00481513">
        <w:rPr>
          <w:rStyle w:val="FootnoteReference"/>
        </w:rPr>
        <w:footnoteReference w:id="72"/>
      </w:r>
      <w:r w:rsidR="0039681E">
        <w:t xml:space="preserve"> </w:t>
      </w:r>
      <w:r w:rsidR="00942D09">
        <w:t xml:space="preserve"> </w:t>
      </w:r>
      <w:r w:rsidR="0039681E">
        <w:t>One important aspect of the</w:t>
      </w:r>
      <w:r w:rsidR="000F61ED" w:rsidRPr="00481513">
        <w:t xml:space="preserve"> LEO</w:t>
      </w:r>
      <w:r w:rsidR="0039681E">
        <w:t>, is that it</w:t>
      </w:r>
      <w:r w:rsidR="000F61ED" w:rsidRPr="00481513">
        <w:t xml:space="preserve"> provides a mechanism for QFs to “lock-in” current avoided cost rates when a utility is delaying or otherwise imposing unreasonable terms and conditions. </w:t>
      </w:r>
    </w:p>
    <w:p w14:paraId="4F9A1C94" w14:textId="5ABFD4FB" w:rsidR="006A28C2" w:rsidRDefault="006A28C2" w:rsidP="006A28C2">
      <w:pPr>
        <w:pStyle w:val="ListParagraph"/>
        <w:numPr>
          <w:ilvl w:val="1"/>
          <w:numId w:val="33"/>
        </w:numPr>
        <w:spacing w:line="480" w:lineRule="auto"/>
        <w:ind w:left="0" w:hanging="540"/>
      </w:pPr>
      <w:r>
        <w:t xml:space="preserve">            Historically QFs have faced unforeseen hurdles and roadblocks throughout their negotiations and rely upon the LEO to keep negotiations moving.</w:t>
      </w:r>
      <w:r>
        <w:rPr>
          <w:rStyle w:val="FootnoteReference"/>
        </w:rPr>
        <w:footnoteReference w:id="73"/>
      </w:r>
      <w:r>
        <w:t xml:space="preserve">  For example, a QF may think it is more than half-way done with their negotiations when a new requiremen</w:t>
      </w:r>
      <w:r w:rsidR="00EF6197">
        <w:t>t</w:t>
      </w:r>
      <w:r>
        <w:t xml:space="preserve"> arises.</w:t>
      </w:r>
      <w:r w:rsidR="0055013F">
        <w:t xml:space="preserve">  Utilities may also impose obstacles to contract execution that are either impossible to meet, or that the utility itself </w:t>
      </w:r>
      <w:r w:rsidR="00926F43">
        <w:t>h</w:t>
      </w:r>
      <w:r w:rsidR="0055013F">
        <w:t>as complete control over.</w:t>
      </w:r>
      <w:r>
        <w:rPr>
          <w:rStyle w:val="FootnoteReference"/>
        </w:rPr>
        <w:footnoteReference w:id="74"/>
      </w:r>
      <w:r w:rsidR="0055013F">
        <w:t xml:space="preserve">  QFs in these</w:t>
      </w:r>
      <w:r>
        <w:t xml:space="preserve"> position</w:t>
      </w:r>
      <w:r w:rsidR="00942D09">
        <w:t>s</w:t>
      </w:r>
      <w:r>
        <w:t xml:space="preserve"> can spend years trying to get their negotiations </w:t>
      </w:r>
      <w:r w:rsidR="0055013F">
        <w:t>completed</w:t>
      </w:r>
      <w:r w:rsidR="00EF6197">
        <w:t xml:space="preserve"> while rates drop, costs and risk</w:t>
      </w:r>
      <w:r w:rsidR="00926F43">
        <w:t>s</w:t>
      </w:r>
      <w:r w:rsidR="00EF6197">
        <w:t xml:space="preserve"> mount, and financing dries up</w:t>
      </w:r>
      <w:r>
        <w:t>.  Thus, a LEO empowers the QF, rather than the utility, to determine the date for which avoided costs are calculated by obligating itself to provide power.</w:t>
      </w:r>
      <w:r>
        <w:rPr>
          <w:rStyle w:val="FootnoteReference"/>
        </w:rPr>
        <w:footnoteReference w:id="75"/>
      </w:r>
      <w:r>
        <w:t xml:space="preserve"> </w:t>
      </w:r>
    </w:p>
    <w:p w14:paraId="5503DF25" w14:textId="4151B1C9" w:rsidR="006A28C2" w:rsidRDefault="006A28C2" w:rsidP="006A28C2">
      <w:pPr>
        <w:pStyle w:val="ListParagraph"/>
        <w:numPr>
          <w:ilvl w:val="1"/>
          <w:numId w:val="33"/>
        </w:numPr>
        <w:spacing w:line="480" w:lineRule="auto"/>
        <w:ind w:left="0" w:hanging="540"/>
      </w:pPr>
      <w:r>
        <w:t xml:space="preserve">            Utilities also use declining rates as leverage </w:t>
      </w:r>
      <w:r w:rsidR="00EF6197">
        <w:t>to force QFs into accepting new</w:t>
      </w:r>
      <w:r>
        <w:t xml:space="preserve"> and less favorable contract provisions</w:t>
      </w:r>
      <w:r w:rsidR="00EF6197">
        <w:t xml:space="preserve"> or milestones</w:t>
      </w:r>
      <w:r>
        <w:t xml:space="preserve"> </w:t>
      </w:r>
      <w:r w:rsidR="00EF6197">
        <w:t xml:space="preserve">to force the QF </w:t>
      </w:r>
      <w:r>
        <w:t>end their negotiations before a looming rate decrease goes into effect.</w:t>
      </w:r>
      <w:r>
        <w:rPr>
          <w:rStyle w:val="FootnoteReference"/>
        </w:rPr>
        <w:footnoteReference w:id="76"/>
      </w:r>
      <w:r>
        <w:t xml:space="preserve">  QFs facing such a rate decrease are particularly vulnerable, and often face stalled negotiations from utilities until new rates </w:t>
      </w:r>
      <w:r>
        <w:lastRenderedPageBreak/>
        <w:t>go into effect.  Thus, litigation over a PPA dispute must not be allowed to delay the establishment of a LEO.  Likewise, QFs must be entitled to the avoided cost rates in effect when a LEO is incurred rather than when contracts are finally executed or when a complaint is filed.</w:t>
      </w:r>
      <w:r>
        <w:rPr>
          <w:rStyle w:val="FootnoteReference"/>
        </w:rPr>
        <w:footnoteReference w:id="77"/>
      </w:r>
      <w:r>
        <w:t xml:space="preserve"> </w:t>
      </w:r>
    </w:p>
    <w:p w14:paraId="5281B4DA" w14:textId="2760629F" w:rsidR="006A28C2" w:rsidRPr="00481513" w:rsidRDefault="006A28C2" w:rsidP="006A28C2">
      <w:pPr>
        <w:pStyle w:val="ListParagraph"/>
        <w:numPr>
          <w:ilvl w:val="1"/>
          <w:numId w:val="33"/>
        </w:numPr>
        <w:spacing w:line="480" w:lineRule="auto"/>
        <w:ind w:left="0" w:hanging="540"/>
      </w:pPr>
      <w:r>
        <w:t xml:space="preserve">           Although typically a LEO would most naturally occur towards the end of power purchase negotiations, when parties have essentially agreed </w:t>
      </w:r>
      <w:r w:rsidR="00942D09">
        <w:t xml:space="preserve">on </w:t>
      </w:r>
      <w:r w:rsidR="00FC54D1">
        <w:t>most key provisions</w:t>
      </w:r>
      <w:r>
        <w:t>, QFs should be able to trigger a LEO at any time during their negotiations with a utility.  For example, a recent Utah LEO case involved a situation where a small hydroelectric project was renewing its PPA while its utility’s rates were decreasing.  The parties agree</w:t>
      </w:r>
      <w:r w:rsidR="00EF6197">
        <w:t>d</w:t>
      </w:r>
      <w:r>
        <w:t xml:space="preserve"> that all material terms were agreed to, b</w:t>
      </w:r>
      <w:r w:rsidR="00FC54D1">
        <w:t xml:space="preserve">ut for an insurance requirement.  </w:t>
      </w:r>
      <w:r>
        <w:t>PacifiCorp delayed signing the contract until after the rate change, and then refused to give the QF a contract under the older and higher rates.</w:t>
      </w:r>
      <w:r>
        <w:rPr>
          <w:rStyle w:val="FootnoteReference"/>
        </w:rPr>
        <w:footnoteReference w:id="78"/>
      </w:r>
      <w:r>
        <w:t xml:space="preserve">  </w:t>
      </w:r>
      <w:r w:rsidR="00EF6197">
        <w:t xml:space="preserve">Ultimately, the Utah Commission determined a LEO had been formed, but only after the QF filed a complaint and reached a settlement with PacifiCorp. </w:t>
      </w:r>
      <w:r w:rsidR="00043626">
        <w:t xml:space="preserve"> </w:t>
      </w:r>
      <w:r>
        <w:t xml:space="preserve">This is the classic LEO situation that many commission policies are based upon.  </w:t>
      </w:r>
    </w:p>
    <w:p w14:paraId="71518EF3" w14:textId="74EFE8A4" w:rsidR="00AD74C7" w:rsidRPr="00481513" w:rsidRDefault="008F6463" w:rsidP="008F6463">
      <w:pPr>
        <w:pStyle w:val="ListParagraph"/>
        <w:numPr>
          <w:ilvl w:val="1"/>
          <w:numId w:val="33"/>
        </w:numPr>
        <w:spacing w:line="480" w:lineRule="auto"/>
        <w:ind w:left="0" w:hanging="540"/>
        <w:rPr>
          <w:rStyle w:val="cohl"/>
        </w:rPr>
      </w:pPr>
      <w:r w:rsidRPr="00481513">
        <w:t xml:space="preserve">            </w:t>
      </w:r>
      <w:r w:rsidR="00990D44" w:rsidRPr="00481513">
        <w:t>In 1989, the Commission adopted the Idaho Commission’s conclusion that only “mature” proposals trigger PURPA’s mandatory purchase obligation.</w:t>
      </w:r>
      <w:r w:rsidR="00990D44" w:rsidRPr="00481513">
        <w:rPr>
          <w:rStyle w:val="FootnoteReference"/>
        </w:rPr>
        <w:footnoteReference w:id="79"/>
      </w:r>
      <w:r w:rsidR="00990D44" w:rsidRPr="00481513">
        <w:t xml:space="preserve">  </w:t>
      </w:r>
      <w:r w:rsidR="00AD74C7" w:rsidRPr="00481513">
        <w:t xml:space="preserve">The Commission </w:t>
      </w:r>
      <w:r w:rsidR="00AD74C7" w:rsidRPr="00481513">
        <w:lastRenderedPageBreak/>
        <w:t>determined that utilities are “</w:t>
      </w:r>
      <w:r w:rsidR="00AD74C7" w:rsidRPr="00481513">
        <w:rPr>
          <w:rStyle w:val="cohl"/>
          <w:color w:val="212121"/>
        </w:rPr>
        <w:t>not required to sign a contract until such time as the proposed facility has reached sufficient maturity that principal conditions for a power purchase agreement can be identified, including a contract for construction of the facility, selection of a site, and completion of an environmental impact statement.”</w:t>
      </w:r>
      <w:r w:rsidR="005B096E">
        <w:rPr>
          <w:rStyle w:val="FootnoteReference"/>
          <w:color w:val="212121"/>
        </w:rPr>
        <w:footnoteReference w:id="80"/>
      </w:r>
      <w:r w:rsidR="000F61ED" w:rsidRPr="00481513">
        <w:rPr>
          <w:rStyle w:val="cohl"/>
          <w:color w:val="212121"/>
        </w:rPr>
        <w:t xml:space="preserve"> </w:t>
      </w:r>
    </w:p>
    <w:p w14:paraId="4F1C86B6" w14:textId="761E38AB" w:rsidR="008F6463" w:rsidRPr="006A28C2" w:rsidRDefault="00AD74C7" w:rsidP="008F6463">
      <w:pPr>
        <w:pStyle w:val="ListParagraph"/>
        <w:numPr>
          <w:ilvl w:val="1"/>
          <w:numId w:val="33"/>
        </w:numPr>
        <w:spacing w:line="480" w:lineRule="auto"/>
        <w:ind w:left="0" w:hanging="540"/>
      </w:pPr>
      <w:r w:rsidRPr="00481513">
        <w:t xml:space="preserve">            </w:t>
      </w:r>
      <w:r w:rsidR="00990D44" w:rsidRPr="00481513">
        <w:t>Nevertheless, the Com</w:t>
      </w:r>
      <w:r w:rsidR="00FC54D1">
        <w:t>mission’s “mature” standard is</w:t>
      </w:r>
      <w:r w:rsidR="00990D44" w:rsidRPr="00481513">
        <w:t xml:space="preserve"> outdated.  FERC has since </w:t>
      </w:r>
      <w:r w:rsidR="00990D44" w:rsidRPr="00481513">
        <w:rPr>
          <w:bCs/>
        </w:rPr>
        <w:t>established a number of factors to consider when deciding whether a QF has unequivocally committed itself to sell power and created a legally enforceable obligation.  A non-exhaustive list includes: 1) the extent of negotiations; 2) whether the negotiations occurred before the new avoided cost rates changed; 3) whether the QF is certified; 4</w:t>
      </w:r>
      <w:r w:rsidR="00942D09" w:rsidRPr="00481513">
        <w:rPr>
          <w:bCs/>
        </w:rPr>
        <w:t>)</w:t>
      </w:r>
      <w:r w:rsidR="00942D09">
        <w:rPr>
          <w:bCs/>
        </w:rPr>
        <w:t> </w:t>
      </w:r>
      <w:r w:rsidR="00990D44" w:rsidRPr="00481513">
        <w:rPr>
          <w:bCs/>
        </w:rPr>
        <w:t>whether the QF signed the contract or took other actions before the new rates became effective; and 5) what conditions had been agreed upon.</w:t>
      </w:r>
      <w:r w:rsidR="00990D44" w:rsidRPr="00481513">
        <w:rPr>
          <w:rStyle w:val="FootnoteReference"/>
        </w:rPr>
        <w:footnoteReference w:id="81"/>
      </w:r>
      <w:r w:rsidR="000F61ED" w:rsidRPr="00481513">
        <w:rPr>
          <w:bCs/>
        </w:rPr>
        <w:t xml:space="preserve">  The majority of FERC’s LEO decisions have not been as proscriptive, but have rather identified whether </w:t>
      </w:r>
      <w:r w:rsidR="00E5620F" w:rsidRPr="00481513">
        <w:rPr>
          <w:bCs/>
        </w:rPr>
        <w:t xml:space="preserve">a </w:t>
      </w:r>
      <w:r w:rsidR="000F61ED" w:rsidRPr="00481513">
        <w:rPr>
          <w:bCs/>
        </w:rPr>
        <w:t xml:space="preserve">particular unique </w:t>
      </w:r>
      <w:r w:rsidR="00E5620F" w:rsidRPr="00481513">
        <w:rPr>
          <w:bCs/>
        </w:rPr>
        <w:t>set of facts</w:t>
      </w:r>
      <w:r w:rsidR="000F61ED" w:rsidRPr="00481513">
        <w:rPr>
          <w:bCs/>
        </w:rPr>
        <w:t xml:space="preserve"> established a LEO.</w:t>
      </w:r>
    </w:p>
    <w:p w14:paraId="3650C510" w14:textId="2D1B533A" w:rsidR="00EF6197" w:rsidRDefault="006A28C2" w:rsidP="006A28C2">
      <w:pPr>
        <w:pStyle w:val="ListParagraph"/>
        <w:numPr>
          <w:ilvl w:val="1"/>
          <w:numId w:val="33"/>
        </w:numPr>
        <w:spacing w:line="480" w:lineRule="auto"/>
        <w:ind w:left="0" w:hanging="540"/>
      </w:pPr>
      <w:r>
        <w:t xml:space="preserve">           Given recent FERC precedent, the Commission should go farther </w:t>
      </w:r>
      <w:r w:rsidR="00FC54D1">
        <w:t xml:space="preserve">that its nearly 30 year precedent </w:t>
      </w:r>
      <w:r>
        <w:t>and allow QFs to trigger LEO at any point during the cont</w:t>
      </w:r>
      <w:r w:rsidR="00942D09">
        <w:t>r</w:t>
      </w:r>
      <w:r>
        <w:t xml:space="preserve">act negotiations.  In </w:t>
      </w:r>
      <w:r w:rsidRPr="00717032">
        <w:rPr>
          <w:i/>
        </w:rPr>
        <w:t>FLS Energy Inc.</w:t>
      </w:r>
      <w:r>
        <w:t>, FERC opined that “just as requiring a QF to have a utility-executed contract, such as a PPA, in order to have a legally enforceable obligation is inconsistent with PURPA and our regulations, requiring a QF to tender an executed interconnection agreement is equally inconsistent with PURPA and our regulations.”</w:t>
      </w:r>
      <w:r>
        <w:rPr>
          <w:rStyle w:val="FootnoteReference"/>
        </w:rPr>
        <w:footnoteReference w:id="82"/>
      </w:r>
      <w:r>
        <w:t xml:space="preserve">  </w:t>
      </w:r>
      <w:r>
        <w:lastRenderedPageBreak/>
        <w:t>FERC explained that, “[s]uch a requirement allows the utility to control whether and when a legally enforceable obligation exists—e.g., by delaying the facilities study or by delaying the tendering by the utility to the QF of an executable interconnection agreement.”</w:t>
      </w:r>
      <w:r>
        <w:rPr>
          <w:rStyle w:val="FootnoteReference"/>
        </w:rPr>
        <w:footnoteReference w:id="83"/>
      </w:r>
      <w:r>
        <w:t xml:space="preserve">  </w:t>
      </w:r>
    </w:p>
    <w:p w14:paraId="39A406C2" w14:textId="5689625D" w:rsidR="006A28C2" w:rsidRPr="00481513" w:rsidRDefault="00EF6197" w:rsidP="006A28C2">
      <w:pPr>
        <w:pStyle w:val="ListParagraph"/>
        <w:numPr>
          <w:ilvl w:val="1"/>
          <w:numId w:val="33"/>
        </w:numPr>
        <w:spacing w:line="480" w:lineRule="auto"/>
        <w:ind w:left="0" w:hanging="540"/>
      </w:pPr>
      <w:r>
        <w:tab/>
      </w:r>
      <w:r w:rsidR="006A28C2">
        <w:t>This recent FERC order confirms the spirit and purpose of the LEO</w:t>
      </w:r>
      <w:r>
        <w:t>, and means that a LEO can be established even very early in the negotiation process if the utility imposes an unreasonable requirement that stalls negotiations</w:t>
      </w:r>
      <w:r w:rsidR="006A28C2">
        <w:t>.</w:t>
      </w:r>
      <w:r>
        <w:t xml:space="preserve">  For example, if the utility refuses to even provide prices, a draft contract or otherwise initiate discussions, then the QF should be allowed to form a LEO at the s</w:t>
      </w:r>
      <w:r w:rsidR="00FC54D1">
        <w:t>tart of the negotiation process.</w:t>
      </w:r>
      <w:r w:rsidR="00FC54D1" w:rsidRPr="00481513">
        <w:rPr>
          <w:rStyle w:val="FootnoteReference"/>
        </w:rPr>
        <w:footnoteReference w:id="84"/>
      </w:r>
      <w:r w:rsidR="00FC54D1">
        <w:t xml:space="preserve">  This is fair</w:t>
      </w:r>
      <w:r>
        <w:t xml:space="preserve"> even if the process has not reached the point of maturity that would form a LEO in other circumstances</w:t>
      </w:r>
      <w:r w:rsidR="00FC54D1">
        <w:t xml:space="preserve"> because the QF would have been prevented from taking actions to demonstrate its “maturity</w:t>
      </w:r>
      <w:r>
        <w:t>.</w:t>
      </w:r>
      <w:r w:rsidR="00FC54D1">
        <w:t>”</w:t>
      </w:r>
    </w:p>
    <w:p w14:paraId="6D8E5255" w14:textId="3B4ED217" w:rsidR="008F6463" w:rsidRPr="00481513" w:rsidRDefault="008F6463" w:rsidP="008F6463">
      <w:pPr>
        <w:pStyle w:val="ListParagraph"/>
        <w:numPr>
          <w:ilvl w:val="1"/>
          <w:numId w:val="33"/>
        </w:numPr>
        <w:spacing w:line="480" w:lineRule="auto"/>
        <w:ind w:left="0" w:hanging="540"/>
      </w:pPr>
      <w:r w:rsidRPr="00481513">
        <w:t xml:space="preserve">            Rather than identify precisely when a LEO may occur, the Commission should implement </w:t>
      </w:r>
      <w:r w:rsidR="00A10F4E" w:rsidRPr="00481513">
        <w:t xml:space="preserve">a </w:t>
      </w:r>
      <w:r w:rsidRPr="00481513">
        <w:t>practical solution that allows for negotiations to progress by setting clear standards for the presumption of a LEO.</w:t>
      </w:r>
      <w:r w:rsidR="00A10F4E" w:rsidRPr="00481513">
        <w:t xml:space="preserve">  It would be impossible for the Commission to establish a firm rule on LEOs that addresses all potential situations and stands up to FERC’s ongoing interpretations.</w:t>
      </w:r>
      <w:r w:rsidR="00C963C4" w:rsidRPr="00481513">
        <w:t xml:space="preserve">  So, the Commission should opt for a simple policy instead.</w:t>
      </w:r>
      <w:r w:rsidR="00A10F4E" w:rsidRPr="00481513">
        <w:t xml:space="preserve"> </w:t>
      </w:r>
    </w:p>
    <w:p w14:paraId="71890ED3" w14:textId="6C0488E8" w:rsidR="008F6463" w:rsidRDefault="008F6463" w:rsidP="008F6463">
      <w:pPr>
        <w:pStyle w:val="ListParagraph"/>
        <w:numPr>
          <w:ilvl w:val="1"/>
          <w:numId w:val="33"/>
        </w:numPr>
        <w:spacing w:line="480" w:lineRule="auto"/>
        <w:ind w:left="0" w:hanging="540"/>
      </w:pPr>
      <w:r w:rsidRPr="00481513">
        <w:t xml:space="preserve">            </w:t>
      </w:r>
      <w:r w:rsidR="00FC54D1">
        <w:t>As explained above, t</w:t>
      </w:r>
      <w:r w:rsidR="00F720E6" w:rsidRPr="00481513">
        <w:t xml:space="preserve">he utilities’ rate schedules </w:t>
      </w:r>
      <w:r w:rsidR="00555B97">
        <w:t xml:space="preserve">should </w:t>
      </w:r>
      <w:r w:rsidR="00F720E6" w:rsidRPr="00481513">
        <w:t xml:space="preserve">lay out clear milestones that </w:t>
      </w:r>
      <w:r w:rsidR="0039681E">
        <w:t>could</w:t>
      </w:r>
      <w:r w:rsidR="00F720E6" w:rsidRPr="00481513">
        <w:t xml:space="preserve"> </w:t>
      </w:r>
      <w:r w:rsidR="00E5620F" w:rsidRPr="00481513">
        <w:t>establish a</w:t>
      </w:r>
      <w:r w:rsidR="0039681E">
        <w:t xml:space="preserve"> reasonable</w:t>
      </w:r>
      <w:r w:rsidR="00FC54D1">
        <w:t xml:space="preserve"> negotiation process that will</w:t>
      </w:r>
      <w:r w:rsidR="00E5620F" w:rsidRPr="00481513">
        <w:t xml:space="preserve"> help determine</w:t>
      </w:r>
      <w:r w:rsidR="00F720E6" w:rsidRPr="00481513">
        <w:t xml:space="preserve"> when a </w:t>
      </w:r>
      <w:r w:rsidR="00F720E6" w:rsidRPr="00481513">
        <w:lastRenderedPageBreak/>
        <w:t>LEO has occurred.</w:t>
      </w:r>
      <w:r w:rsidR="00E5620F" w:rsidRPr="00481513">
        <w:t xml:space="preserve">  A LEO should be formed if the utility does not provide information or documents according to its Commission approved rate schedule, or act consistently with state or federal law and policies.</w:t>
      </w:r>
      <w:r w:rsidR="000C6B0C" w:rsidRPr="00481513">
        <w:t xml:space="preserve">  Both the QF and the utility should be required to make a good faith effort to follow and co</w:t>
      </w:r>
      <w:r w:rsidR="00555B97">
        <w:t>mply with that process.  This places obligations on the</w:t>
      </w:r>
      <w:r w:rsidR="000C6B0C" w:rsidRPr="00481513">
        <w:t xml:space="preserve"> QF</w:t>
      </w:r>
      <w:r w:rsidR="00942D09">
        <w:t>’</w:t>
      </w:r>
      <w:r w:rsidR="000C6B0C" w:rsidRPr="00481513">
        <w:t>s need to provide information to the utility to prepare a draft contract,</w:t>
      </w:r>
      <w:r w:rsidR="00555B97">
        <w:t xml:space="preserve"> timely</w:t>
      </w:r>
      <w:r w:rsidR="000C6B0C" w:rsidRPr="00481513">
        <w:t xml:space="preserve"> respond to reasonable requests for information, and inform the utility when they are ready to sign a contract.</w:t>
      </w:r>
      <w:r w:rsidR="00F720E6" w:rsidRPr="00481513">
        <w:t xml:space="preserve">  </w:t>
      </w:r>
    </w:p>
    <w:p w14:paraId="2D748F13" w14:textId="65350F41" w:rsidR="006A28C2" w:rsidRPr="00481513" w:rsidRDefault="006A28C2" w:rsidP="006A28C2">
      <w:pPr>
        <w:pStyle w:val="ListParagraph"/>
        <w:numPr>
          <w:ilvl w:val="1"/>
          <w:numId w:val="33"/>
        </w:numPr>
        <w:spacing w:line="480" w:lineRule="auto"/>
        <w:ind w:left="0" w:hanging="540"/>
      </w:pPr>
      <w:r>
        <w:t xml:space="preserve">            </w:t>
      </w:r>
      <w:r w:rsidR="00555B97">
        <w:t>PacifiCorp’s Oregon tariffs provide a good road map for the process by which information should be exchanged and a process for both the utility and QF to finalize a PPA.</w:t>
      </w:r>
      <w:r w:rsidR="00FC54D1">
        <w:rPr>
          <w:rStyle w:val="FootnoteReference"/>
        </w:rPr>
        <w:footnoteReference w:id="85"/>
      </w:r>
      <w:r w:rsidR="00555B97">
        <w:t xml:space="preserve">  </w:t>
      </w:r>
      <w:r>
        <w:t>For example, once the QF has initiated the process and provided all required information, the utility should respond within a reasonable set amount of time.  PacifiCorp’s tariff allows 15 days.  Likewis</w:t>
      </w:r>
      <w:r w:rsidR="00581326">
        <w:t>e, once the utility has provided</w:t>
      </w:r>
      <w:r>
        <w:t xml:space="preserve"> a draft standard contract, the QF should indicate whether that draft is acceptable within a set period.  If a utility has not met its milestones</w:t>
      </w:r>
      <w:r w:rsidR="00555B97">
        <w:t xml:space="preserve"> or requested information or imposed conditions inconsistent with its tariff</w:t>
      </w:r>
      <w:r>
        <w:t xml:space="preserve">, and the QF has unequivocally committed to selling its net output in good faith negotiation, then a LEO should be presumed.  Whether each party has met its milestones provides evidence of good faith negotiation. </w:t>
      </w:r>
    </w:p>
    <w:p w14:paraId="001F04A6" w14:textId="0070F15C" w:rsidR="00F36CA2" w:rsidRDefault="00F720E6" w:rsidP="0039681E">
      <w:pPr>
        <w:pStyle w:val="ListParagraph"/>
        <w:numPr>
          <w:ilvl w:val="1"/>
          <w:numId w:val="33"/>
        </w:numPr>
        <w:spacing w:line="480" w:lineRule="auto"/>
        <w:ind w:left="0" w:hanging="540"/>
      </w:pPr>
      <w:r w:rsidRPr="00481513">
        <w:t xml:space="preserve"> </w:t>
      </w:r>
      <w:r w:rsidR="006A28C2">
        <w:t xml:space="preserve">           </w:t>
      </w:r>
      <w:r w:rsidR="00A10F4E" w:rsidRPr="00481513">
        <w:t>By relying on milestones established by the util</w:t>
      </w:r>
      <w:r w:rsidR="006A28C2">
        <w:t>ities’ tar</w:t>
      </w:r>
      <w:r w:rsidR="00581326">
        <w:t xml:space="preserve">iffs, the Commission can provide a policy that permits a LEO at any time during the negotiations, but without deviating too far from its </w:t>
      </w:r>
      <w:r w:rsidR="0039681E">
        <w:t>current</w:t>
      </w:r>
      <w:r w:rsidR="00581326">
        <w:t xml:space="preserve"> “mature” standard.  Under this framework, a </w:t>
      </w:r>
      <w:r w:rsidR="00A10F4E" w:rsidRPr="00481513">
        <w:t xml:space="preserve">LEO </w:t>
      </w:r>
      <w:r w:rsidR="00581326">
        <w:t>could</w:t>
      </w:r>
      <w:r w:rsidR="00A10F4E" w:rsidRPr="00481513">
        <w:t xml:space="preserve"> </w:t>
      </w:r>
      <w:r w:rsidR="00A10F4E" w:rsidRPr="00481513">
        <w:lastRenderedPageBreak/>
        <w:t>exist any time after a QF expresses an unequivocal commitment to sell electricity to a utility, has provided all required project information to the utility, or has otherwise tried to negotiate in good faith with the utility</w:t>
      </w:r>
      <w:r w:rsidR="00581326">
        <w:t xml:space="preserve">.  </w:t>
      </w:r>
      <w:r w:rsidR="00581326" w:rsidRPr="00481513">
        <w:t>This is necessary to address situations where a utility refuses even to provide a QF with an initial PPA</w:t>
      </w:r>
      <w:r w:rsidR="003547B1">
        <w:t xml:space="preserve"> or imposes other unreasonable obstacles</w:t>
      </w:r>
      <w:r w:rsidR="00581326" w:rsidRPr="00481513">
        <w:t>.</w:t>
      </w:r>
    </w:p>
    <w:p w14:paraId="63B6CCD4" w14:textId="3D39498B" w:rsidR="00F36CA2" w:rsidRDefault="00F36CA2" w:rsidP="0039681E">
      <w:pPr>
        <w:pStyle w:val="ListParagraph"/>
        <w:numPr>
          <w:ilvl w:val="1"/>
          <w:numId w:val="33"/>
        </w:numPr>
        <w:spacing w:line="480" w:lineRule="auto"/>
        <w:ind w:left="0" w:hanging="540"/>
      </w:pPr>
      <w:r>
        <w:t xml:space="preserve"> </w:t>
      </w:r>
      <w:r>
        <w:tab/>
        <w:t>T</w:t>
      </w:r>
      <w:r w:rsidR="000C6B0C" w:rsidRPr="00481513">
        <w:t xml:space="preserve">he Commission should be available to resolve issues without requiring litigation.  </w:t>
      </w:r>
      <w:r w:rsidRPr="00481513">
        <w:t>If a breakdown in negotiations occur, the Commission should offer alternative dispute resolution that does not put ei</w:t>
      </w:r>
      <w:r w:rsidR="00B92B45">
        <w:t>ther standard contract provisions</w:t>
      </w:r>
      <w:r w:rsidRPr="00481513">
        <w:t xml:space="preserve">, or the avoided cost rates in jeopardy.  </w:t>
      </w:r>
      <w:r w:rsidR="000C6B0C" w:rsidRPr="00481513">
        <w:t>Additionally, t</w:t>
      </w:r>
      <w:r w:rsidR="00E5620F" w:rsidRPr="00481513">
        <w:t>he Commission must recognize that there is unequal negotiation experience and resources between the QF and a utility.  Even the most sophisticated developer with resources to afford consultants and lawyers is at a disadvantage in terms of knowledge and control over the exchange of information and drafts.</w:t>
      </w:r>
      <w:r w:rsidR="000C6B0C" w:rsidRPr="00481513">
        <w:t xml:space="preserve">  The Commission may protect the negotiation process simply by leveling the playing field between parties.</w:t>
      </w:r>
      <w:r w:rsidRPr="00481513">
        <w:t xml:space="preserve"> </w:t>
      </w:r>
    </w:p>
    <w:p w14:paraId="316B0D9B" w14:textId="0AB1F2DE" w:rsidR="00F36CA2" w:rsidRPr="00481513" w:rsidRDefault="00F36CA2" w:rsidP="0039681E">
      <w:pPr>
        <w:pStyle w:val="ListParagraph"/>
        <w:numPr>
          <w:ilvl w:val="1"/>
          <w:numId w:val="33"/>
        </w:numPr>
        <w:spacing w:line="480" w:lineRule="auto"/>
        <w:ind w:left="0" w:hanging="540"/>
      </w:pPr>
      <w:r>
        <w:tab/>
        <w:t>Finally, it is important to note that l</w:t>
      </w:r>
      <w:r w:rsidRPr="00481513">
        <w:t>egitimate dispute</w:t>
      </w:r>
      <w:r>
        <w:t>s</w:t>
      </w:r>
      <w:r w:rsidRPr="00481513">
        <w:t xml:space="preserve"> between a QF and utility also arise</w:t>
      </w:r>
      <w:r>
        <w:t xml:space="preserve"> in the absence of bad faith on either party.</w:t>
      </w:r>
      <w:r w:rsidR="00715F76">
        <w:t xml:space="preserve">  The QF, however, generally only has one purchaser to sell its power to, and time is the enemy to any project developer, especially QFs that are in danger of losing current rates.  Therefore, it is critical for QFs to be able to seek resolution of disputed issues in a timely manner that ensures that they are able to “lock in”</w:t>
      </w:r>
      <w:r w:rsidR="00926F43">
        <w:t xml:space="preserve"> rates without </w:t>
      </w:r>
      <w:r w:rsidR="001F4AC5">
        <w:t xml:space="preserve">being required to accept </w:t>
      </w:r>
      <w:r w:rsidR="00715F76">
        <w:t>unreasonable and potentially illegal price</w:t>
      </w:r>
      <w:r w:rsidR="001F4AC5">
        <w:t>s and contract provisions.</w:t>
      </w:r>
      <w:r w:rsidR="00715F76">
        <w:t xml:space="preserve">  </w:t>
      </w:r>
    </w:p>
    <w:p w14:paraId="57250BE5" w14:textId="77777777" w:rsidR="00E87167" w:rsidRDefault="00E87167">
      <w:pPr>
        <w:rPr>
          <w:rFonts w:eastAsia="MS Mincho"/>
          <w:b/>
          <w:i/>
          <w:szCs w:val="24"/>
          <w:lang w:eastAsia="ja-JP"/>
        </w:rPr>
      </w:pPr>
      <w:r>
        <w:rPr>
          <w:rFonts w:eastAsia="MS Mincho"/>
          <w:b/>
          <w:i/>
          <w:szCs w:val="24"/>
          <w:lang w:eastAsia="ja-JP"/>
        </w:rPr>
        <w:br w:type="page"/>
      </w:r>
    </w:p>
    <w:p w14:paraId="4FE9C3C9" w14:textId="4B6AB16A" w:rsidR="00CC3AA7" w:rsidRPr="00481513" w:rsidRDefault="00CC3AA7" w:rsidP="00CC3AA7">
      <w:pPr>
        <w:pStyle w:val="ListParagraph"/>
        <w:rPr>
          <w:rFonts w:eastAsia="MS Mincho"/>
          <w:b/>
          <w:i/>
          <w:szCs w:val="24"/>
          <w:lang w:eastAsia="ja-JP"/>
        </w:rPr>
      </w:pPr>
      <w:r w:rsidRPr="00481513">
        <w:rPr>
          <w:rFonts w:eastAsia="MS Mincho"/>
          <w:b/>
          <w:i/>
          <w:szCs w:val="24"/>
          <w:lang w:eastAsia="ja-JP"/>
        </w:rPr>
        <w:lastRenderedPageBreak/>
        <w:t xml:space="preserve">Issue B. 5. Should the rates and model standard offer agreements be disaggregated into separate tariffs?   </w:t>
      </w:r>
    </w:p>
    <w:p w14:paraId="78C8B2F6" w14:textId="77777777" w:rsidR="0084408C" w:rsidRPr="00481513" w:rsidRDefault="0084408C" w:rsidP="0084408C">
      <w:pPr>
        <w:pStyle w:val="ListParagraph"/>
        <w:ind w:left="1440"/>
        <w:rPr>
          <w:rFonts w:eastAsia="MS Mincho"/>
          <w:b/>
          <w:szCs w:val="24"/>
          <w:lang w:eastAsia="ja-JP"/>
        </w:rPr>
      </w:pPr>
    </w:p>
    <w:p w14:paraId="713EF126" w14:textId="549FA9A5" w:rsidR="00A12270" w:rsidRDefault="00663E64" w:rsidP="00BC06B0">
      <w:pPr>
        <w:pStyle w:val="ListParagraph"/>
        <w:numPr>
          <w:ilvl w:val="1"/>
          <w:numId w:val="33"/>
        </w:numPr>
        <w:spacing w:line="480" w:lineRule="auto"/>
        <w:ind w:left="0" w:hanging="540"/>
        <w:rPr>
          <w:rFonts w:eastAsia="MS Mincho"/>
          <w:szCs w:val="24"/>
          <w:lang w:eastAsia="ja-JP"/>
        </w:rPr>
      </w:pPr>
      <w:r w:rsidRPr="00481513">
        <w:t xml:space="preserve">            </w:t>
      </w:r>
      <w:r w:rsidR="008F6463" w:rsidRPr="00481513">
        <w:t xml:space="preserve">Disaggregation </w:t>
      </w:r>
      <w:r w:rsidR="001F4AC5">
        <w:t xml:space="preserve">of rates and standard offer agreements </w:t>
      </w:r>
      <w:r w:rsidR="008F6463" w:rsidRPr="00481513">
        <w:t>is a good idea because</w:t>
      </w:r>
      <w:r w:rsidR="008F6463" w:rsidRPr="00481513">
        <w:rPr>
          <w:rFonts w:eastAsia="MS Mincho"/>
          <w:szCs w:val="24"/>
          <w:lang w:eastAsia="ja-JP"/>
        </w:rPr>
        <w:t xml:space="preserve"> l</w:t>
      </w:r>
      <w:r w:rsidR="00BC06B0" w:rsidRPr="00481513">
        <w:rPr>
          <w:rFonts w:eastAsia="MS Mincho"/>
          <w:szCs w:val="24"/>
          <w:lang w:eastAsia="ja-JP"/>
        </w:rPr>
        <w:t xml:space="preserve">itigation over </w:t>
      </w:r>
      <w:r w:rsidR="008F6463" w:rsidRPr="00481513">
        <w:rPr>
          <w:rFonts w:eastAsia="MS Mincho"/>
          <w:szCs w:val="24"/>
          <w:lang w:eastAsia="ja-JP"/>
        </w:rPr>
        <w:t xml:space="preserve">one area could unintentionally interfere with, or hold-up progress in negotiations on another area. </w:t>
      </w:r>
      <w:r w:rsidR="00A12270">
        <w:rPr>
          <w:rFonts w:eastAsia="MS Mincho"/>
          <w:szCs w:val="24"/>
          <w:lang w:eastAsia="ja-JP"/>
        </w:rPr>
        <w:t xml:space="preserve"> </w:t>
      </w:r>
      <w:r w:rsidR="00A12270" w:rsidRPr="00481513">
        <w:rPr>
          <w:rFonts w:eastAsia="MS Mincho"/>
          <w:szCs w:val="24"/>
          <w:lang w:eastAsia="ja-JP"/>
        </w:rPr>
        <w:t>A prolonged challenge to the meaning of certain terms and conditions in</w:t>
      </w:r>
      <w:r w:rsidR="00A12270">
        <w:rPr>
          <w:rFonts w:eastAsia="MS Mincho"/>
          <w:szCs w:val="24"/>
          <w:lang w:eastAsia="ja-JP"/>
        </w:rPr>
        <w:t xml:space="preserve"> a utility’s standard contract</w:t>
      </w:r>
      <w:r w:rsidR="00A12270" w:rsidRPr="00481513">
        <w:rPr>
          <w:rFonts w:eastAsia="MS Mincho"/>
          <w:szCs w:val="24"/>
          <w:lang w:eastAsia="ja-JP"/>
        </w:rPr>
        <w:t xml:space="preserve"> should not </w:t>
      </w:r>
      <w:r w:rsidR="00A12270">
        <w:rPr>
          <w:rFonts w:eastAsia="MS Mincho"/>
          <w:szCs w:val="24"/>
          <w:lang w:eastAsia="ja-JP"/>
        </w:rPr>
        <w:t xml:space="preserve">change to </w:t>
      </w:r>
      <w:r w:rsidR="00A12270" w:rsidRPr="00481513">
        <w:rPr>
          <w:rFonts w:eastAsia="MS Mincho"/>
          <w:szCs w:val="24"/>
          <w:lang w:eastAsia="ja-JP"/>
        </w:rPr>
        <w:t>the rates available to QFs</w:t>
      </w:r>
      <w:r w:rsidR="00A12270">
        <w:rPr>
          <w:rFonts w:eastAsia="MS Mincho"/>
          <w:szCs w:val="24"/>
          <w:lang w:eastAsia="ja-JP"/>
        </w:rPr>
        <w:t xml:space="preserve"> and vice versa</w:t>
      </w:r>
      <w:r w:rsidR="00A12270" w:rsidRPr="00481513">
        <w:rPr>
          <w:rFonts w:eastAsia="MS Mincho"/>
          <w:szCs w:val="24"/>
          <w:lang w:eastAsia="ja-JP"/>
        </w:rPr>
        <w:t xml:space="preserve">.  </w:t>
      </w:r>
      <w:r w:rsidR="00A12270">
        <w:rPr>
          <w:rFonts w:eastAsia="MS Mincho"/>
          <w:szCs w:val="24"/>
          <w:lang w:eastAsia="ja-JP"/>
        </w:rPr>
        <w:t>In other words, if there is no dispute about changes to standard contract provisions, but a challenge to the new rates, then the unopposed standard contract changes should be allowed to go into effect and allow the parties to litigate over the rate change.  The opposite is also true if the rates a</w:t>
      </w:r>
      <w:r w:rsidR="00B92B45">
        <w:rPr>
          <w:rFonts w:eastAsia="MS Mincho"/>
          <w:szCs w:val="24"/>
          <w:lang w:eastAsia="ja-JP"/>
        </w:rPr>
        <w:t>re acceptable, but contract provision</w:t>
      </w:r>
      <w:r w:rsidR="00A12270">
        <w:rPr>
          <w:rFonts w:eastAsia="MS Mincho"/>
          <w:szCs w:val="24"/>
          <w:lang w:eastAsia="ja-JP"/>
        </w:rPr>
        <w:t xml:space="preserve">s are controversial, then a more accurate and updated rate change should not be delayed due to a dispute regarding unrelated contract changes.  </w:t>
      </w:r>
      <w:r w:rsidR="00A12270" w:rsidRPr="00481513">
        <w:rPr>
          <w:rFonts w:eastAsia="MS Mincho"/>
          <w:szCs w:val="24"/>
          <w:lang w:eastAsia="ja-JP"/>
        </w:rPr>
        <w:t xml:space="preserve">   </w:t>
      </w:r>
    </w:p>
    <w:p w14:paraId="7CCCB75A" w14:textId="789872C4" w:rsidR="00015BDD" w:rsidRDefault="00A12270" w:rsidP="00BC06B0">
      <w:pPr>
        <w:pStyle w:val="ListParagraph"/>
        <w:numPr>
          <w:ilvl w:val="1"/>
          <w:numId w:val="33"/>
        </w:numPr>
        <w:spacing w:line="480" w:lineRule="auto"/>
        <w:ind w:left="0" w:hanging="540"/>
        <w:rPr>
          <w:rFonts w:eastAsia="MS Mincho"/>
          <w:szCs w:val="24"/>
          <w:lang w:eastAsia="ja-JP"/>
        </w:rPr>
      </w:pPr>
      <w:r>
        <w:rPr>
          <w:rFonts w:eastAsia="MS Mincho"/>
          <w:szCs w:val="24"/>
          <w:lang w:eastAsia="ja-JP"/>
        </w:rPr>
        <w:tab/>
        <w:t xml:space="preserve">This recently was a concern with PSE’s last avoided cost rate filing in which the utility </w:t>
      </w:r>
      <w:r w:rsidR="0025143E" w:rsidRPr="00481513">
        <w:rPr>
          <w:rFonts w:eastAsia="MS Mincho"/>
          <w:szCs w:val="24"/>
          <w:lang w:eastAsia="ja-JP"/>
        </w:rPr>
        <w:t>requested an update to its</w:t>
      </w:r>
      <w:r w:rsidR="00BC06B0" w:rsidRPr="00481513">
        <w:rPr>
          <w:rFonts w:eastAsia="MS Mincho"/>
          <w:szCs w:val="24"/>
          <w:lang w:eastAsia="ja-JP"/>
        </w:rPr>
        <w:t xml:space="preserve"> standard </w:t>
      </w:r>
      <w:r w:rsidR="0025143E" w:rsidRPr="00481513">
        <w:rPr>
          <w:rFonts w:eastAsia="MS Mincho"/>
          <w:szCs w:val="24"/>
          <w:lang w:eastAsia="ja-JP"/>
        </w:rPr>
        <w:t>contract in addition to its</w:t>
      </w:r>
      <w:r w:rsidR="00BC06B0" w:rsidRPr="00481513">
        <w:rPr>
          <w:rFonts w:eastAsia="MS Mincho"/>
          <w:szCs w:val="24"/>
          <w:lang w:eastAsia="ja-JP"/>
        </w:rPr>
        <w:t xml:space="preserve"> standard </w:t>
      </w:r>
      <w:r>
        <w:rPr>
          <w:rFonts w:eastAsia="MS Mincho"/>
          <w:szCs w:val="24"/>
          <w:lang w:eastAsia="ja-JP"/>
        </w:rPr>
        <w:t>rate</w:t>
      </w:r>
      <w:r w:rsidR="001F4AC5">
        <w:rPr>
          <w:rFonts w:eastAsia="MS Mincho"/>
          <w:szCs w:val="24"/>
          <w:lang w:eastAsia="ja-JP"/>
        </w:rPr>
        <w:t>s</w:t>
      </w:r>
      <w:r>
        <w:rPr>
          <w:rFonts w:eastAsia="MS Mincho"/>
          <w:szCs w:val="24"/>
          <w:lang w:eastAsia="ja-JP"/>
        </w:rPr>
        <w:t>.</w:t>
      </w:r>
      <w:r w:rsidR="00147A79">
        <w:rPr>
          <w:rStyle w:val="FootnoteReference"/>
          <w:rFonts w:eastAsia="MS Mincho"/>
          <w:szCs w:val="24"/>
          <w:lang w:eastAsia="ja-JP"/>
        </w:rPr>
        <w:footnoteReference w:id="86"/>
      </w:r>
      <w:r>
        <w:rPr>
          <w:rFonts w:eastAsia="MS Mincho"/>
          <w:szCs w:val="24"/>
          <w:lang w:eastAsia="ja-JP"/>
        </w:rPr>
        <w:t xml:space="preserve">  PSE refused to sign and </w:t>
      </w:r>
      <w:r w:rsidR="00BC06B0" w:rsidRPr="00481513">
        <w:rPr>
          <w:rFonts w:eastAsia="MS Mincho"/>
          <w:szCs w:val="24"/>
          <w:lang w:eastAsia="ja-JP"/>
        </w:rPr>
        <w:t>finalize a</w:t>
      </w:r>
      <w:r w:rsidR="0025143E" w:rsidRPr="00481513">
        <w:rPr>
          <w:rFonts w:eastAsia="MS Mincho"/>
          <w:szCs w:val="24"/>
          <w:lang w:eastAsia="ja-JP"/>
        </w:rPr>
        <w:t>ny new</w:t>
      </w:r>
      <w:r w:rsidR="00BC06B0" w:rsidRPr="00481513">
        <w:rPr>
          <w:rFonts w:eastAsia="MS Mincho"/>
          <w:szCs w:val="24"/>
          <w:lang w:eastAsia="ja-JP"/>
        </w:rPr>
        <w:t xml:space="preserve"> power purchase agreement</w:t>
      </w:r>
      <w:r>
        <w:rPr>
          <w:rFonts w:eastAsia="MS Mincho"/>
          <w:szCs w:val="24"/>
          <w:lang w:eastAsia="ja-JP"/>
        </w:rPr>
        <w:t>s</w:t>
      </w:r>
      <w:r w:rsidR="00BC06B0" w:rsidRPr="00481513">
        <w:rPr>
          <w:rFonts w:eastAsia="MS Mincho"/>
          <w:szCs w:val="24"/>
          <w:lang w:eastAsia="ja-JP"/>
        </w:rPr>
        <w:t xml:space="preserve"> until </w:t>
      </w:r>
      <w:r w:rsidR="0025143E" w:rsidRPr="00481513">
        <w:rPr>
          <w:rFonts w:eastAsia="MS Mincho"/>
          <w:szCs w:val="24"/>
          <w:lang w:eastAsia="ja-JP"/>
        </w:rPr>
        <w:t>both its</w:t>
      </w:r>
      <w:r w:rsidR="00BC06B0" w:rsidRPr="00481513">
        <w:rPr>
          <w:rFonts w:eastAsia="MS Mincho"/>
          <w:szCs w:val="24"/>
          <w:lang w:eastAsia="ja-JP"/>
        </w:rPr>
        <w:t xml:space="preserve"> new contract </w:t>
      </w:r>
      <w:r w:rsidR="0025143E" w:rsidRPr="00481513">
        <w:rPr>
          <w:rFonts w:eastAsia="MS Mincho"/>
          <w:szCs w:val="24"/>
          <w:lang w:eastAsia="ja-JP"/>
        </w:rPr>
        <w:t>and</w:t>
      </w:r>
      <w:r w:rsidR="008F6463" w:rsidRPr="00481513">
        <w:rPr>
          <w:rFonts w:eastAsia="MS Mincho"/>
          <w:szCs w:val="24"/>
          <w:lang w:eastAsia="ja-JP"/>
        </w:rPr>
        <w:t xml:space="preserve"> its new</w:t>
      </w:r>
      <w:r w:rsidR="0025143E" w:rsidRPr="00481513">
        <w:rPr>
          <w:rFonts w:eastAsia="MS Mincho"/>
          <w:szCs w:val="24"/>
          <w:lang w:eastAsia="ja-JP"/>
        </w:rPr>
        <w:t xml:space="preserve"> rate are</w:t>
      </w:r>
      <w:r w:rsidR="00BC06B0" w:rsidRPr="00481513">
        <w:rPr>
          <w:rFonts w:eastAsia="MS Mincho"/>
          <w:szCs w:val="24"/>
          <w:lang w:eastAsia="ja-JP"/>
        </w:rPr>
        <w:t xml:space="preserve"> approved. </w:t>
      </w:r>
      <w:r w:rsidR="0025143E" w:rsidRPr="00481513">
        <w:rPr>
          <w:rFonts w:eastAsia="MS Mincho"/>
          <w:szCs w:val="24"/>
          <w:lang w:eastAsia="ja-JP"/>
        </w:rPr>
        <w:t xml:space="preserve"> </w:t>
      </w:r>
      <w:r w:rsidR="00BC06B0" w:rsidRPr="00481513">
        <w:rPr>
          <w:rFonts w:eastAsia="MS Mincho"/>
          <w:szCs w:val="24"/>
          <w:lang w:eastAsia="ja-JP"/>
        </w:rPr>
        <w:t xml:space="preserve">This </w:t>
      </w:r>
      <w:r w:rsidR="0025143E" w:rsidRPr="00481513">
        <w:rPr>
          <w:rFonts w:eastAsia="MS Mincho"/>
          <w:szCs w:val="24"/>
          <w:lang w:eastAsia="ja-JP"/>
        </w:rPr>
        <w:t xml:space="preserve">scenario </w:t>
      </w:r>
      <w:r w:rsidR="00BC06B0" w:rsidRPr="00481513">
        <w:rPr>
          <w:rFonts w:eastAsia="MS Mincho"/>
          <w:szCs w:val="24"/>
          <w:lang w:eastAsia="ja-JP"/>
        </w:rPr>
        <w:t>put QFs in jeopardy of bein</w:t>
      </w:r>
      <w:r w:rsidR="0025143E" w:rsidRPr="00481513">
        <w:rPr>
          <w:rFonts w:eastAsia="MS Mincho"/>
          <w:szCs w:val="24"/>
          <w:lang w:eastAsia="ja-JP"/>
        </w:rPr>
        <w:t>g forced to choose between accepting either lower prices or outdated contract provisions</w:t>
      </w:r>
      <w:r w:rsidR="00BC06B0" w:rsidRPr="00481513">
        <w:rPr>
          <w:rFonts w:eastAsia="MS Mincho"/>
          <w:szCs w:val="24"/>
          <w:lang w:eastAsia="ja-JP"/>
        </w:rPr>
        <w:t>.</w:t>
      </w:r>
      <w:r w:rsidR="0025143E" w:rsidRPr="00481513">
        <w:rPr>
          <w:rFonts w:eastAsia="MS Mincho"/>
          <w:szCs w:val="24"/>
          <w:lang w:eastAsia="ja-JP"/>
        </w:rPr>
        <w:t xml:space="preserve"> </w:t>
      </w:r>
      <w:r w:rsidR="00147A79">
        <w:rPr>
          <w:rFonts w:eastAsia="MS Mincho"/>
          <w:szCs w:val="24"/>
          <w:lang w:eastAsia="ja-JP"/>
        </w:rPr>
        <w:t xml:space="preserve"> Only after the issue was raised to the Commission did PSE commit to allowing the QFs to obtain the appropriate prices and contract pr</w:t>
      </w:r>
      <w:r w:rsidR="00B92B45">
        <w:rPr>
          <w:rFonts w:eastAsia="MS Mincho"/>
          <w:szCs w:val="24"/>
          <w:lang w:eastAsia="ja-JP"/>
        </w:rPr>
        <w:t>ovisions.  If the contract provisions</w:t>
      </w:r>
      <w:r w:rsidR="00147A79">
        <w:rPr>
          <w:rFonts w:eastAsia="MS Mincho"/>
          <w:szCs w:val="24"/>
          <w:lang w:eastAsia="ja-JP"/>
        </w:rPr>
        <w:t xml:space="preserve"> and tariffs had been disaggregated, then </w:t>
      </w:r>
      <w:r w:rsidR="001F4AC5">
        <w:rPr>
          <w:rFonts w:eastAsia="MS Mincho"/>
          <w:szCs w:val="24"/>
          <w:lang w:eastAsia="ja-JP"/>
        </w:rPr>
        <w:t xml:space="preserve">the Commission could have avoided dispute over </w:t>
      </w:r>
      <w:r w:rsidR="00147A79">
        <w:rPr>
          <w:rFonts w:eastAsia="MS Mincho"/>
          <w:szCs w:val="24"/>
          <w:lang w:eastAsia="ja-JP"/>
        </w:rPr>
        <w:t>at least one key and controversial issue</w:t>
      </w:r>
      <w:r w:rsidR="001F4AC5">
        <w:rPr>
          <w:rFonts w:eastAsia="MS Mincho"/>
          <w:szCs w:val="24"/>
          <w:lang w:eastAsia="ja-JP"/>
        </w:rPr>
        <w:t xml:space="preserve"> associated with PSE’s refusal to sign PPAs</w:t>
      </w:r>
      <w:r w:rsidR="00147A79">
        <w:rPr>
          <w:rFonts w:eastAsia="MS Mincho"/>
          <w:szCs w:val="24"/>
          <w:lang w:eastAsia="ja-JP"/>
        </w:rPr>
        <w:t xml:space="preserve">. </w:t>
      </w:r>
    </w:p>
    <w:p w14:paraId="5D5414F6" w14:textId="2E736DC3" w:rsidR="00794D97" w:rsidRDefault="00015BDD" w:rsidP="00015BDD">
      <w:pPr>
        <w:pStyle w:val="ListParagraph"/>
        <w:rPr>
          <w:rFonts w:eastAsia="MS Mincho"/>
          <w:b/>
          <w:i/>
          <w:szCs w:val="24"/>
          <w:lang w:eastAsia="ja-JP"/>
        </w:rPr>
      </w:pPr>
      <w:r>
        <w:rPr>
          <w:rFonts w:eastAsia="MS Mincho"/>
          <w:b/>
          <w:i/>
          <w:szCs w:val="24"/>
          <w:lang w:eastAsia="ja-JP"/>
        </w:rPr>
        <w:lastRenderedPageBreak/>
        <w:t>Other i</w:t>
      </w:r>
      <w:r w:rsidRPr="00481513">
        <w:rPr>
          <w:rFonts w:eastAsia="MS Mincho"/>
          <w:b/>
          <w:i/>
          <w:szCs w:val="24"/>
          <w:lang w:eastAsia="ja-JP"/>
        </w:rPr>
        <w:t>ssue</w:t>
      </w:r>
      <w:r>
        <w:rPr>
          <w:rFonts w:eastAsia="MS Mincho"/>
          <w:b/>
          <w:i/>
          <w:szCs w:val="24"/>
          <w:lang w:eastAsia="ja-JP"/>
        </w:rPr>
        <w:t>s</w:t>
      </w:r>
      <w:r w:rsidR="001D148E">
        <w:rPr>
          <w:rFonts w:eastAsia="MS Mincho"/>
          <w:b/>
          <w:i/>
          <w:szCs w:val="24"/>
          <w:lang w:eastAsia="ja-JP"/>
        </w:rPr>
        <w:t>:</w:t>
      </w:r>
      <w:r w:rsidRPr="00481513">
        <w:rPr>
          <w:rFonts w:eastAsia="MS Mincho"/>
          <w:b/>
          <w:i/>
          <w:szCs w:val="24"/>
          <w:lang w:eastAsia="ja-JP"/>
        </w:rPr>
        <w:t xml:space="preserve"> </w:t>
      </w:r>
      <w:r w:rsidR="00794D97">
        <w:rPr>
          <w:rFonts w:eastAsia="MS Mincho"/>
          <w:b/>
          <w:i/>
          <w:szCs w:val="24"/>
          <w:lang w:eastAsia="ja-JP"/>
        </w:rPr>
        <w:t>What is the appropriate forum</w:t>
      </w:r>
      <w:r w:rsidR="004736A9">
        <w:rPr>
          <w:rFonts w:eastAsia="MS Mincho"/>
          <w:b/>
          <w:i/>
          <w:szCs w:val="24"/>
          <w:lang w:eastAsia="ja-JP"/>
        </w:rPr>
        <w:t xml:space="preserve"> and time</w:t>
      </w:r>
      <w:r w:rsidR="00794D97">
        <w:rPr>
          <w:rFonts w:eastAsia="MS Mincho"/>
          <w:b/>
          <w:i/>
          <w:szCs w:val="24"/>
          <w:lang w:eastAsia="ja-JP"/>
        </w:rPr>
        <w:t xml:space="preserve"> for </w:t>
      </w:r>
      <w:r w:rsidR="001D148E">
        <w:rPr>
          <w:rFonts w:eastAsia="MS Mincho"/>
          <w:b/>
          <w:i/>
          <w:szCs w:val="24"/>
          <w:lang w:eastAsia="ja-JP"/>
        </w:rPr>
        <w:t>setting</w:t>
      </w:r>
      <w:r w:rsidR="00794D97">
        <w:rPr>
          <w:rFonts w:eastAsia="MS Mincho"/>
          <w:b/>
          <w:i/>
          <w:szCs w:val="24"/>
          <w:lang w:eastAsia="ja-JP"/>
        </w:rPr>
        <w:t xml:space="preserve"> avoid</w:t>
      </w:r>
      <w:r w:rsidR="004736A9">
        <w:rPr>
          <w:rFonts w:eastAsia="MS Mincho"/>
          <w:b/>
          <w:i/>
          <w:szCs w:val="24"/>
          <w:lang w:eastAsia="ja-JP"/>
        </w:rPr>
        <w:t>ed cost rates and contract provisions</w:t>
      </w:r>
      <w:r w:rsidRPr="00481513">
        <w:rPr>
          <w:rFonts w:eastAsia="MS Mincho"/>
          <w:b/>
          <w:i/>
          <w:szCs w:val="24"/>
          <w:lang w:eastAsia="ja-JP"/>
        </w:rPr>
        <w:t>?</w:t>
      </w:r>
    </w:p>
    <w:p w14:paraId="6EFE750F" w14:textId="7DB51461" w:rsidR="00015BDD" w:rsidRPr="00481513" w:rsidRDefault="00015BDD" w:rsidP="00015BDD">
      <w:pPr>
        <w:pStyle w:val="ListParagraph"/>
        <w:rPr>
          <w:rFonts w:eastAsia="MS Mincho"/>
          <w:b/>
          <w:i/>
          <w:szCs w:val="24"/>
          <w:lang w:eastAsia="ja-JP"/>
        </w:rPr>
      </w:pPr>
      <w:r w:rsidRPr="00481513">
        <w:rPr>
          <w:rFonts w:eastAsia="MS Mincho"/>
          <w:b/>
          <w:i/>
          <w:szCs w:val="24"/>
          <w:lang w:eastAsia="ja-JP"/>
        </w:rPr>
        <w:t xml:space="preserve">   </w:t>
      </w:r>
    </w:p>
    <w:p w14:paraId="07D6E94B" w14:textId="1FD6443B" w:rsidR="00015BDD" w:rsidRDefault="000B2507" w:rsidP="00BC06B0">
      <w:pPr>
        <w:pStyle w:val="ListParagraph"/>
        <w:numPr>
          <w:ilvl w:val="1"/>
          <w:numId w:val="33"/>
        </w:numPr>
        <w:spacing w:line="480" w:lineRule="auto"/>
        <w:ind w:left="0" w:hanging="540"/>
        <w:rPr>
          <w:rFonts w:eastAsia="MS Mincho"/>
          <w:szCs w:val="24"/>
          <w:lang w:eastAsia="ja-JP"/>
        </w:rPr>
      </w:pPr>
      <w:r>
        <w:rPr>
          <w:rFonts w:eastAsia="MS Mincho"/>
          <w:szCs w:val="24"/>
          <w:lang w:eastAsia="ja-JP"/>
        </w:rPr>
        <w:tab/>
        <w:t xml:space="preserve">The Commission should continue its current process for updating </w:t>
      </w:r>
      <w:r w:rsidR="003741A9">
        <w:rPr>
          <w:rFonts w:eastAsia="MS Mincho"/>
          <w:szCs w:val="24"/>
          <w:lang w:eastAsia="ja-JP"/>
        </w:rPr>
        <w:t>avoided cost rates annually at the end of the year with utility rate filings</w:t>
      </w:r>
      <w:r w:rsidR="00260901">
        <w:rPr>
          <w:rFonts w:eastAsia="MS Mincho"/>
          <w:szCs w:val="24"/>
          <w:lang w:eastAsia="ja-JP"/>
        </w:rPr>
        <w:t xml:space="preserve"> with minimal changes</w:t>
      </w:r>
      <w:r w:rsidR="003741A9">
        <w:rPr>
          <w:rFonts w:eastAsia="MS Mincho"/>
          <w:szCs w:val="24"/>
          <w:lang w:eastAsia="ja-JP"/>
        </w:rPr>
        <w:t xml:space="preserve">.  </w:t>
      </w:r>
      <w:r w:rsidR="00260901">
        <w:rPr>
          <w:rFonts w:eastAsia="MS Mincho"/>
          <w:szCs w:val="24"/>
          <w:lang w:eastAsia="ja-JP"/>
        </w:rPr>
        <w:t>PSE also files standard contract forms, and PacifiCorp and Avista should be required to do the same.  The</w:t>
      </w:r>
      <w:r w:rsidR="00587A47">
        <w:rPr>
          <w:rFonts w:eastAsia="MS Mincho"/>
          <w:szCs w:val="24"/>
          <w:lang w:eastAsia="ja-JP"/>
        </w:rPr>
        <w:t xml:space="preserve"> utility has the burden of proof to establish the reasonableness of the rates, and the</w:t>
      </w:r>
      <w:r w:rsidR="00260901">
        <w:rPr>
          <w:rFonts w:eastAsia="MS Mincho"/>
          <w:szCs w:val="24"/>
          <w:lang w:eastAsia="ja-JP"/>
        </w:rPr>
        <w:t xml:space="preserve"> Commission </w:t>
      </w:r>
      <w:r w:rsidR="00587A47">
        <w:rPr>
          <w:rFonts w:eastAsia="MS Mincho"/>
          <w:szCs w:val="24"/>
          <w:lang w:eastAsia="ja-JP"/>
        </w:rPr>
        <w:t xml:space="preserve">first </w:t>
      </w:r>
      <w:r w:rsidR="00260901">
        <w:rPr>
          <w:rFonts w:eastAsia="MS Mincho"/>
          <w:szCs w:val="24"/>
          <w:lang w:eastAsia="ja-JP"/>
        </w:rPr>
        <w:t>reviews the filings at a public meeting, and then either approves, rejects, or suspends the rates pending an investigation.</w:t>
      </w:r>
      <w:r w:rsidR="00587A47">
        <w:rPr>
          <w:rStyle w:val="FootnoteReference"/>
          <w:rFonts w:eastAsia="MS Mincho"/>
          <w:szCs w:val="24"/>
          <w:lang w:eastAsia="ja-JP"/>
        </w:rPr>
        <w:footnoteReference w:id="87"/>
      </w:r>
      <w:r w:rsidR="00260901">
        <w:rPr>
          <w:rFonts w:eastAsia="MS Mincho"/>
          <w:szCs w:val="24"/>
          <w:lang w:eastAsia="ja-JP"/>
        </w:rPr>
        <w:t xml:space="preserve">  This process works well when the utilities do not make significant methodological changes, and should be continued in most circumstances.  The primary exceptions should be that the utilities should be barred from making unscheduled updates, </w:t>
      </w:r>
      <w:r w:rsidR="00926F43">
        <w:rPr>
          <w:rFonts w:eastAsia="MS Mincho"/>
          <w:szCs w:val="24"/>
          <w:lang w:eastAsia="ja-JP"/>
        </w:rPr>
        <w:t xml:space="preserve">be </w:t>
      </w:r>
      <w:r w:rsidR="00260901">
        <w:rPr>
          <w:rFonts w:eastAsia="MS Mincho"/>
          <w:szCs w:val="24"/>
          <w:lang w:eastAsia="ja-JP"/>
        </w:rPr>
        <w:t xml:space="preserve">required to identify all changes, </w:t>
      </w:r>
      <w:r w:rsidR="00926F43">
        <w:rPr>
          <w:rFonts w:eastAsia="MS Mincho"/>
          <w:szCs w:val="24"/>
          <w:lang w:eastAsia="ja-JP"/>
        </w:rPr>
        <w:t xml:space="preserve">be </w:t>
      </w:r>
      <w:r w:rsidR="00260901">
        <w:rPr>
          <w:rFonts w:eastAsia="MS Mincho"/>
          <w:szCs w:val="24"/>
          <w:lang w:eastAsia="ja-JP"/>
        </w:rPr>
        <w:t xml:space="preserve">required to respond to discovery requests from interested parties, and obtain approval before making any methodological changes.       </w:t>
      </w:r>
    </w:p>
    <w:p w14:paraId="78FE51A9" w14:textId="2426438E" w:rsidR="001D148E" w:rsidRDefault="001D148E" w:rsidP="001D148E">
      <w:pPr>
        <w:pStyle w:val="ListParagraph"/>
        <w:ind w:left="2160" w:hanging="720"/>
        <w:rPr>
          <w:rFonts w:eastAsia="MS Mincho"/>
          <w:b/>
          <w:bCs/>
          <w:szCs w:val="24"/>
          <w:lang w:eastAsia="ja-JP"/>
        </w:rPr>
      </w:pPr>
      <w:r>
        <w:rPr>
          <w:rFonts w:eastAsia="MS Mincho"/>
          <w:b/>
          <w:bCs/>
          <w:szCs w:val="24"/>
          <w:lang w:eastAsia="ja-JP"/>
        </w:rPr>
        <w:t>i</w:t>
      </w:r>
      <w:r w:rsidRPr="00481513">
        <w:rPr>
          <w:rFonts w:eastAsia="MS Mincho"/>
          <w:b/>
          <w:bCs/>
          <w:szCs w:val="24"/>
          <w:lang w:eastAsia="ja-JP"/>
        </w:rPr>
        <w:t>.</w:t>
      </w:r>
      <w:r>
        <w:rPr>
          <w:rFonts w:eastAsia="MS Mincho"/>
          <w:b/>
          <w:bCs/>
          <w:szCs w:val="24"/>
          <w:lang w:eastAsia="ja-JP"/>
        </w:rPr>
        <w:tab/>
        <w:t>Stakeholders Should Be Provided a Forum to Challenge Avoided Cost Rate Changes</w:t>
      </w:r>
      <w:r w:rsidRPr="00481513">
        <w:rPr>
          <w:rFonts w:eastAsia="MS Mincho"/>
          <w:b/>
          <w:bCs/>
          <w:szCs w:val="24"/>
          <w:lang w:eastAsia="ja-JP"/>
        </w:rPr>
        <w:t xml:space="preserve"> </w:t>
      </w:r>
      <w:r w:rsidRPr="00481513">
        <w:rPr>
          <w:rFonts w:eastAsia="MS Mincho"/>
          <w:b/>
          <w:bCs/>
          <w:szCs w:val="24"/>
          <w:lang w:eastAsia="ja-JP"/>
        </w:rPr>
        <w:tab/>
      </w:r>
      <w:r>
        <w:rPr>
          <w:rFonts w:eastAsia="MS Mincho"/>
          <w:b/>
          <w:bCs/>
          <w:szCs w:val="24"/>
          <w:lang w:eastAsia="ja-JP"/>
        </w:rPr>
        <w:t xml:space="preserve"> </w:t>
      </w:r>
    </w:p>
    <w:p w14:paraId="284588B1" w14:textId="77777777" w:rsidR="001D148E" w:rsidRPr="001D148E" w:rsidRDefault="001D148E" w:rsidP="001D148E">
      <w:pPr>
        <w:pStyle w:val="ListParagraph"/>
        <w:ind w:left="2160" w:hanging="720"/>
        <w:rPr>
          <w:rFonts w:eastAsia="MS Mincho"/>
          <w:b/>
          <w:bCs/>
          <w:szCs w:val="24"/>
          <w:lang w:eastAsia="ja-JP"/>
        </w:rPr>
      </w:pPr>
    </w:p>
    <w:p w14:paraId="1D306205" w14:textId="142151F4" w:rsidR="00A12270" w:rsidRPr="001D148E" w:rsidRDefault="00260901" w:rsidP="00BC06B0">
      <w:pPr>
        <w:pStyle w:val="ListParagraph"/>
        <w:numPr>
          <w:ilvl w:val="1"/>
          <w:numId w:val="33"/>
        </w:numPr>
        <w:spacing w:line="480" w:lineRule="auto"/>
        <w:ind w:left="0" w:hanging="540"/>
        <w:rPr>
          <w:rFonts w:eastAsia="MS Mincho"/>
          <w:szCs w:val="24"/>
          <w:lang w:eastAsia="ja-JP"/>
        </w:rPr>
      </w:pPr>
      <w:r>
        <w:rPr>
          <w:rFonts w:eastAsia="MS Mincho"/>
          <w:szCs w:val="24"/>
          <w:lang w:eastAsia="ja-JP"/>
        </w:rPr>
        <w:tab/>
      </w:r>
      <w:r w:rsidRPr="00C218D8">
        <w:t>The Commission should ensure that Staff, QFs, and interested parties have a forum to review, challenge, and obtain resolution of the inputs and assump</w:t>
      </w:r>
      <w:r>
        <w:t xml:space="preserve">tions that the utilities </w:t>
      </w:r>
      <w:r w:rsidR="00926F43">
        <w:t>unilaterally</w:t>
      </w:r>
      <w:r w:rsidRPr="00C218D8">
        <w:t xml:space="preserve"> choose to include in avoided cost rates.  History has shown that there are relatively few issues that Staff and QFs have regarding avoided cost rates, in part because most inputs and assumptions do not significantly alter the rates enough to justify the high litigation costs to challenge them.  </w:t>
      </w:r>
      <w:r>
        <w:t>The Commission, however</w:t>
      </w:r>
      <w:r w:rsidRPr="00C218D8">
        <w:t>,</w:t>
      </w:r>
      <w:r>
        <w:t xml:space="preserve"> should prevent</w:t>
      </w:r>
      <w:r w:rsidRPr="00C218D8">
        <w:t xml:space="preserve"> </w:t>
      </w:r>
      <w:r w:rsidRPr="00C218D8">
        <w:lastRenderedPageBreak/>
        <w:t xml:space="preserve">the utilities </w:t>
      </w:r>
      <w:r>
        <w:t>from having</w:t>
      </w:r>
      <w:r w:rsidRPr="00C218D8">
        <w:t xml:space="preserve"> unfettered ability to set their avoided cost rates without meaningful participation by Staff or QFs.</w:t>
      </w:r>
    </w:p>
    <w:p w14:paraId="631DF31B" w14:textId="3484C022" w:rsidR="001D148E" w:rsidRPr="001D148E" w:rsidRDefault="001D148E" w:rsidP="001D148E">
      <w:pPr>
        <w:pStyle w:val="ListParagraph"/>
        <w:numPr>
          <w:ilvl w:val="1"/>
          <w:numId w:val="33"/>
        </w:numPr>
        <w:spacing w:line="480" w:lineRule="auto"/>
        <w:ind w:left="0" w:hanging="540"/>
        <w:rPr>
          <w:rFonts w:eastAsia="MS Mincho"/>
          <w:szCs w:val="24"/>
          <w:lang w:eastAsia="ja-JP"/>
        </w:rPr>
      </w:pPr>
      <w:r>
        <w:tab/>
      </w:r>
      <w:r w:rsidR="000E1070">
        <w:t>S</w:t>
      </w:r>
      <w:r>
        <w:t>ignificant concern</w:t>
      </w:r>
      <w:r w:rsidR="000E1070">
        <w:t>s regarding the utilities avoided cost rates include the failure to support (or ev</w:t>
      </w:r>
      <w:r w:rsidR="00926F43">
        <w:t>en identify) changes, and refusal</w:t>
      </w:r>
      <w:r w:rsidR="000E1070">
        <w:t xml:space="preserve"> to provide responsive information.  In addition, </w:t>
      </w:r>
      <w:r>
        <w:t>avoided cost rates often include inputs and assum</w:t>
      </w:r>
      <w:r w:rsidR="000E1070">
        <w:t xml:space="preserve">ptions from the utilities’ IRPs, but the IRP </w:t>
      </w:r>
      <w:r>
        <w:t>is no</w:t>
      </w:r>
      <w:r w:rsidR="000E1070">
        <w:t>t a contested proceeding</w:t>
      </w:r>
      <w:r w:rsidR="009A42DA">
        <w:t xml:space="preserve"> and the utilities are free to depart from the IRP when making its actual resource decisions</w:t>
      </w:r>
      <w:r w:rsidR="000E1070">
        <w:t>.  Thus, the IRP</w:t>
      </w:r>
      <w:r>
        <w:t xml:space="preserve"> does not provide QFs an opportunity</w:t>
      </w:r>
      <w:r w:rsidR="00F85E4D">
        <w:t xml:space="preserve"> to</w:t>
      </w:r>
      <w:r>
        <w:t xml:space="preserve"> litigate the reasonableness of any decisions made by the utilities, including those that have a material impact on avoided cost rates.  Therefore, NIPPC and REC recommend that the Commission </w:t>
      </w:r>
      <w:r w:rsidR="006A32EC">
        <w:t>make it clear that</w:t>
      </w:r>
      <w:r w:rsidRPr="001D148E">
        <w:rPr>
          <w:sz w:val="23"/>
          <w:szCs w:val="23"/>
        </w:rPr>
        <w:t>:</w:t>
      </w:r>
    </w:p>
    <w:p w14:paraId="0F044B5F" w14:textId="7159800F" w:rsidR="001D148E" w:rsidRDefault="006A32EC" w:rsidP="001D148E">
      <w:pPr>
        <w:pStyle w:val="ListParagraph"/>
        <w:numPr>
          <w:ilvl w:val="0"/>
          <w:numId w:val="44"/>
        </w:numPr>
        <w:rPr>
          <w:sz w:val="23"/>
          <w:szCs w:val="23"/>
        </w:rPr>
      </w:pPr>
      <w:r>
        <w:rPr>
          <w:sz w:val="23"/>
          <w:szCs w:val="23"/>
        </w:rPr>
        <w:t xml:space="preserve">The utilities </w:t>
      </w:r>
      <w:r w:rsidR="00587A47">
        <w:rPr>
          <w:sz w:val="23"/>
          <w:szCs w:val="23"/>
        </w:rPr>
        <w:t xml:space="preserve">have the burden of proof and </w:t>
      </w:r>
      <w:r>
        <w:rPr>
          <w:sz w:val="23"/>
          <w:szCs w:val="23"/>
        </w:rPr>
        <w:t>m</w:t>
      </w:r>
      <w:r w:rsidR="001D148E" w:rsidRPr="001D6F41">
        <w:rPr>
          <w:sz w:val="23"/>
          <w:szCs w:val="23"/>
        </w:rPr>
        <w:t xml:space="preserve">ust establish by at least a preponderance of the evidence that their proposed avoided cost rates are just and reasonable.  </w:t>
      </w:r>
    </w:p>
    <w:p w14:paraId="32CC38F4" w14:textId="77777777" w:rsidR="001D148E" w:rsidRPr="001D6F41" w:rsidRDefault="001D148E" w:rsidP="001D148E">
      <w:pPr>
        <w:rPr>
          <w:sz w:val="23"/>
          <w:szCs w:val="23"/>
        </w:rPr>
      </w:pPr>
    </w:p>
    <w:p w14:paraId="0F1F8AE6" w14:textId="16A0DA71" w:rsidR="006A32EC" w:rsidRDefault="006A32EC" w:rsidP="001D148E">
      <w:pPr>
        <w:pStyle w:val="ListParagraph"/>
        <w:numPr>
          <w:ilvl w:val="0"/>
          <w:numId w:val="44"/>
        </w:numPr>
        <w:rPr>
          <w:iCs/>
          <w:sz w:val="23"/>
          <w:szCs w:val="23"/>
        </w:rPr>
      </w:pPr>
      <w:r>
        <w:rPr>
          <w:iCs/>
          <w:sz w:val="23"/>
          <w:szCs w:val="23"/>
        </w:rPr>
        <w:t>The utilities</w:t>
      </w:r>
      <w:r w:rsidR="00926F43">
        <w:rPr>
          <w:iCs/>
          <w:sz w:val="23"/>
          <w:szCs w:val="23"/>
        </w:rPr>
        <w:t>’</w:t>
      </w:r>
      <w:r>
        <w:rPr>
          <w:iCs/>
          <w:sz w:val="23"/>
          <w:szCs w:val="23"/>
        </w:rPr>
        <w:t xml:space="preserve"> a</w:t>
      </w:r>
      <w:r w:rsidR="001D148E" w:rsidRPr="001D6F41">
        <w:rPr>
          <w:iCs/>
          <w:sz w:val="23"/>
          <w:szCs w:val="23"/>
        </w:rPr>
        <w:t>voided cost filing should generally be consistent with prior Commission methodologies and include inputs, assumptions, calculations, and metho</w:t>
      </w:r>
      <w:r>
        <w:rPr>
          <w:iCs/>
          <w:sz w:val="23"/>
          <w:szCs w:val="23"/>
        </w:rPr>
        <w:t xml:space="preserve">dologies from the most recent </w:t>
      </w:r>
      <w:r w:rsidR="001D148E" w:rsidRPr="001D6F41">
        <w:rPr>
          <w:iCs/>
          <w:sz w:val="23"/>
          <w:szCs w:val="23"/>
        </w:rPr>
        <w:t>IRP.  The utility should have the discretion to depart from</w:t>
      </w:r>
      <w:r>
        <w:rPr>
          <w:iCs/>
          <w:sz w:val="23"/>
          <w:szCs w:val="23"/>
        </w:rPr>
        <w:t xml:space="preserve"> past methodologies or</w:t>
      </w:r>
      <w:r w:rsidR="001D148E" w:rsidRPr="001D6F41">
        <w:rPr>
          <w:iCs/>
          <w:sz w:val="23"/>
          <w:szCs w:val="23"/>
        </w:rPr>
        <w:t xml:space="preserve"> the IRP</w:t>
      </w:r>
      <w:r>
        <w:rPr>
          <w:iCs/>
          <w:sz w:val="23"/>
          <w:szCs w:val="23"/>
        </w:rPr>
        <w:t xml:space="preserve"> assumptions</w:t>
      </w:r>
      <w:r w:rsidR="001D148E" w:rsidRPr="001D6F41">
        <w:rPr>
          <w:iCs/>
          <w:sz w:val="23"/>
          <w:szCs w:val="23"/>
        </w:rPr>
        <w:t>, but must identify and explain the change</w:t>
      </w:r>
      <w:r w:rsidR="001C44D9">
        <w:rPr>
          <w:iCs/>
          <w:sz w:val="23"/>
          <w:szCs w:val="23"/>
        </w:rPr>
        <w:t xml:space="preserve"> as well as obtain Commission </w:t>
      </w:r>
      <w:r>
        <w:rPr>
          <w:iCs/>
          <w:sz w:val="23"/>
          <w:szCs w:val="23"/>
        </w:rPr>
        <w:t>approval</w:t>
      </w:r>
      <w:r w:rsidR="001D148E" w:rsidRPr="001D6F41">
        <w:rPr>
          <w:iCs/>
          <w:sz w:val="23"/>
          <w:szCs w:val="23"/>
        </w:rPr>
        <w:t>.</w:t>
      </w:r>
      <w:r>
        <w:rPr>
          <w:rStyle w:val="FootnoteReference"/>
          <w:iCs/>
          <w:sz w:val="23"/>
          <w:szCs w:val="23"/>
        </w:rPr>
        <w:footnoteReference w:id="88"/>
      </w:r>
      <w:r>
        <w:rPr>
          <w:iCs/>
          <w:sz w:val="23"/>
          <w:szCs w:val="23"/>
        </w:rPr>
        <w:t xml:space="preserve"> </w:t>
      </w:r>
    </w:p>
    <w:p w14:paraId="44D01282" w14:textId="77777777" w:rsidR="006A32EC" w:rsidRPr="006A32EC" w:rsidRDefault="006A32EC" w:rsidP="006A32EC">
      <w:pPr>
        <w:rPr>
          <w:iCs/>
          <w:sz w:val="23"/>
          <w:szCs w:val="23"/>
        </w:rPr>
      </w:pPr>
    </w:p>
    <w:p w14:paraId="0959604D" w14:textId="59E7ACF4" w:rsidR="006A32EC" w:rsidRDefault="006A32EC" w:rsidP="001D148E">
      <w:pPr>
        <w:pStyle w:val="ListParagraph"/>
        <w:numPr>
          <w:ilvl w:val="0"/>
          <w:numId w:val="44"/>
        </w:numPr>
        <w:rPr>
          <w:iCs/>
          <w:sz w:val="23"/>
          <w:szCs w:val="23"/>
        </w:rPr>
      </w:pPr>
      <w:r>
        <w:rPr>
          <w:iCs/>
          <w:sz w:val="23"/>
          <w:szCs w:val="23"/>
        </w:rPr>
        <w:t>Any part</w:t>
      </w:r>
      <w:r w:rsidR="00F85E4D">
        <w:rPr>
          <w:iCs/>
          <w:sz w:val="23"/>
          <w:szCs w:val="23"/>
        </w:rPr>
        <w:t>y</w:t>
      </w:r>
      <w:r>
        <w:rPr>
          <w:iCs/>
          <w:sz w:val="23"/>
          <w:szCs w:val="23"/>
        </w:rPr>
        <w:t xml:space="preserve"> should be allowed to challenge inputs and assumptions </w:t>
      </w:r>
      <w:r w:rsidR="000E1070">
        <w:rPr>
          <w:iCs/>
          <w:sz w:val="23"/>
          <w:szCs w:val="23"/>
        </w:rPr>
        <w:t>if</w:t>
      </w:r>
      <w:r>
        <w:rPr>
          <w:iCs/>
          <w:sz w:val="23"/>
          <w:szCs w:val="23"/>
        </w:rPr>
        <w:t xml:space="preserve"> they will not</w:t>
      </w:r>
      <w:r w:rsidR="000E1070">
        <w:rPr>
          <w:iCs/>
          <w:sz w:val="23"/>
          <w:szCs w:val="23"/>
        </w:rPr>
        <w:t xml:space="preserve"> produce just and reasonable rates</w:t>
      </w:r>
      <w:r>
        <w:rPr>
          <w:iCs/>
          <w:sz w:val="23"/>
          <w:szCs w:val="23"/>
        </w:rPr>
        <w:t>, regardless of whether they are consistent with the IRP.</w:t>
      </w:r>
    </w:p>
    <w:p w14:paraId="0CEA58F2" w14:textId="77777777" w:rsidR="006A32EC" w:rsidRPr="006A32EC" w:rsidRDefault="006A32EC" w:rsidP="006A32EC">
      <w:pPr>
        <w:rPr>
          <w:iCs/>
          <w:sz w:val="23"/>
          <w:szCs w:val="23"/>
        </w:rPr>
      </w:pPr>
    </w:p>
    <w:p w14:paraId="7771B236" w14:textId="3AB6B22A" w:rsidR="001F4AC5" w:rsidRDefault="006A32EC" w:rsidP="001F4AC5">
      <w:pPr>
        <w:pStyle w:val="ListParagraph"/>
        <w:numPr>
          <w:ilvl w:val="0"/>
          <w:numId w:val="44"/>
        </w:numPr>
        <w:spacing w:after="480"/>
        <w:rPr>
          <w:iCs/>
          <w:sz w:val="23"/>
          <w:szCs w:val="23"/>
        </w:rPr>
      </w:pPr>
      <w:r>
        <w:rPr>
          <w:iCs/>
          <w:sz w:val="23"/>
          <w:szCs w:val="23"/>
        </w:rPr>
        <w:lastRenderedPageBreak/>
        <w:t>The utilities should be required to respond to discovery requests and provide copies of workpapers.</w:t>
      </w:r>
      <w:r>
        <w:rPr>
          <w:rStyle w:val="FootnoteReference"/>
          <w:iCs/>
          <w:sz w:val="23"/>
          <w:szCs w:val="23"/>
        </w:rPr>
        <w:footnoteReference w:id="89"/>
      </w:r>
      <w:r w:rsidRPr="006A32EC">
        <w:rPr>
          <w:iCs/>
          <w:sz w:val="23"/>
          <w:szCs w:val="23"/>
        </w:rPr>
        <w:t xml:space="preserve"> </w:t>
      </w:r>
    </w:p>
    <w:p w14:paraId="0DDDBB65" w14:textId="77777777" w:rsidR="001F4AC5" w:rsidRPr="001F4AC5" w:rsidRDefault="001F4AC5" w:rsidP="001F4AC5">
      <w:pPr>
        <w:rPr>
          <w:iCs/>
          <w:sz w:val="23"/>
          <w:szCs w:val="23"/>
        </w:rPr>
      </w:pPr>
    </w:p>
    <w:p w14:paraId="48BA3110" w14:textId="27E2EA9A" w:rsidR="000E1070" w:rsidRDefault="000E1070" w:rsidP="000E1070">
      <w:pPr>
        <w:pStyle w:val="ListParagraph"/>
        <w:ind w:left="2160" w:hanging="720"/>
        <w:rPr>
          <w:rFonts w:eastAsia="MS Mincho"/>
          <w:b/>
          <w:bCs/>
          <w:szCs w:val="24"/>
          <w:lang w:eastAsia="ja-JP"/>
        </w:rPr>
      </w:pPr>
      <w:r>
        <w:rPr>
          <w:rFonts w:eastAsia="MS Mincho"/>
          <w:b/>
          <w:bCs/>
          <w:szCs w:val="24"/>
          <w:lang w:eastAsia="ja-JP"/>
        </w:rPr>
        <w:t>ii</w:t>
      </w:r>
      <w:r w:rsidRPr="00481513">
        <w:rPr>
          <w:rFonts w:eastAsia="MS Mincho"/>
          <w:b/>
          <w:bCs/>
          <w:szCs w:val="24"/>
          <w:lang w:eastAsia="ja-JP"/>
        </w:rPr>
        <w:t>.</w:t>
      </w:r>
      <w:r>
        <w:rPr>
          <w:rFonts w:eastAsia="MS Mincho"/>
          <w:b/>
          <w:bCs/>
          <w:szCs w:val="24"/>
          <w:lang w:eastAsia="ja-JP"/>
        </w:rPr>
        <w:tab/>
        <w:t xml:space="preserve">Avoided Cost Rates Should Be Updated Only Once a Year at </w:t>
      </w:r>
      <w:r w:rsidR="00F85E4D">
        <w:rPr>
          <w:rFonts w:eastAsia="MS Mincho"/>
          <w:b/>
          <w:bCs/>
          <w:szCs w:val="24"/>
          <w:lang w:eastAsia="ja-JP"/>
        </w:rPr>
        <w:t xml:space="preserve">a </w:t>
      </w:r>
      <w:r>
        <w:rPr>
          <w:rFonts w:eastAsia="MS Mincho"/>
          <w:b/>
          <w:bCs/>
          <w:szCs w:val="24"/>
          <w:lang w:eastAsia="ja-JP"/>
        </w:rPr>
        <w:t>Regularly Scheduled Time</w:t>
      </w:r>
    </w:p>
    <w:p w14:paraId="61A1FD12" w14:textId="53E2A345" w:rsidR="000E1070" w:rsidRPr="000E1070" w:rsidRDefault="000E1070" w:rsidP="000E1070">
      <w:pPr>
        <w:pStyle w:val="ListParagraph"/>
        <w:ind w:left="2160" w:hanging="720"/>
        <w:rPr>
          <w:rFonts w:eastAsia="MS Mincho"/>
          <w:b/>
          <w:bCs/>
          <w:szCs w:val="24"/>
          <w:lang w:eastAsia="ja-JP"/>
        </w:rPr>
      </w:pPr>
      <w:r w:rsidRPr="00481513">
        <w:rPr>
          <w:rFonts w:eastAsia="MS Mincho"/>
          <w:b/>
          <w:bCs/>
          <w:szCs w:val="24"/>
          <w:lang w:eastAsia="ja-JP"/>
        </w:rPr>
        <w:t xml:space="preserve"> </w:t>
      </w:r>
      <w:r w:rsidRPr="00481513">
        <w:rPr>
          <w:rFonts w:eastAsia="MS Mincho"/>
          <w:b/>
          <w:bCs/>
          <w:szCs w:val="24"/>
          <w:lang w:eastAsia="ja-JP"/>
        </w:rPr>
        <w:tab/>
      </w:r>
      <w:r>
        <w:rPr>
          <w:rFonts w:eastAsia="MS Mincho"/>
          <w:b/>
          <w:bCs/>
          <w:szCs w:val="24"/>
          <w:lang w:eastAsia="ja-JP"/>
        </w:rPr>
        <w:t xml:space="preserve"> </w:t>
      </w:r>
    </w:p>
    <w:p w14:paraId="51244C4C" w14:textId="1A19DEC3" w:rsidR="00AF04E5" w:rsidRPr="00147A79" w:rsidRDefault="00AF04E5" w:rsidP="000E1070">
      <w:pPr>
        <w:pStyle w:val="ListParagraph"/>
        <w:numPr>
          <w:ilvl w:val="1"/>
          <w:numId w:val="33"/>
        </w:numPr>
        <w:spacing w:before="240" w:line="480" w:lineRule="auto"/>
        <w:ind w:left="0" w:hanging="547"/>
        <w:rPr>
          <w:rFonts w:eastAsia="MS Mincho"/>
          <w:szCs w:val="24"/>
          <w:lang w:eastAsia="ja-JP"/>
        </w:rPr>
      </w:pPr>
      <w:r>
        <w:tab/>
        <w:t>There should be no updates outside of regularly approved or scheduled updates at the end of the year.  Washington’s policy of avoided cost updates once a year provides frequent updates that prevent rates from being stale and outdate</w:t>
      </w:r>
      <w:r w:rsidR="00926F43">
        <w:t>d</w:t>
      </w:r>
      <w:r>
        <w:t>, but provides QFs with necessary certainty reg</w:t>
      </w:r>
      <w:r w:rsidR="004736A9">
        <w:t>arding the negotiation process.</w:t>
      </w:r>
      <w:r>
        <w:t xml:space="preserve">  QFs often plan to complete their negotiation process before a scheduled update will occur so that they can obtain price certainty and not have their avoided cost rates significantly change in the middle of the negotiation process.  QFs and the utilities have an asymmetrical level of information, including whether an update will increase or decrease the avoided cost rates, and utilities have an incentive to delay the negotiation process or impose other barriers to finalizing a contract if avoided cost rates are declining, and the opposite incentive if avoided cost rates are increasing.  Therefore, the Commission should ensure that QFs can plan on rates remaining in effect for a specific period of time, and make it clear that out of cycle updates close to normally scheduled updates are particularly inappropriate.  </w:t>
      </w:r>
    </w:p>
    <w:p w14:paraId="12421B1C" w14:textId="6CED1CDE" w:rsidR="00370CD1" w:rsidRPr="00481513" w:rsidRDefault="008D7E50" w:rsidP="00535375">
      <w:pPr>
        <w:pStyle w:val="ListParagraph"/>
        <w:spacing w:line="480" w:lineRule="auto"/>
        <w:ind w:left="0"/>
        <w:jc w:val="center"/>
      </w:pPr>
      <w:r w:rsidRPr="00481513">
        <w:rPr>
          <w:rFonts w:eastAsia="MS Mincho"/>
          <w:b/>
          <w:szCs w:val="24"/>
          <w:lang w:eastAsia="ja-JP"/>
        </w:rPr>
        <w:t>III.</w:t>
      </w:r>
      <w:r w:rsidRPr="00481513">
        <w:rPr>
          <w:rFonts w:eastAsia="MS Mincho"/>
          <w:b/>
          <w:szCs w:val="24"/>
          <w:lang w:eastAsia="ja-JP"/>
        </w:rPr>
        <w:tab/>
        <w:t>CONCLUSION</w:t>
      </w:r>
    </w:p>
    <w:p w14:paraId="79B5039E" w14:textId="42886E69" w:rsidR="00085042" w:rsidRPr="00481513" w:rsidRDefault="00535375" w:rsidP="00B53653">
      <w:pPr>
        <w:pStyle w:val="ListParagraph"/>
        <w:numPr>
          <w:ilvl w:val="1"/>
          <w:numId w:val="33"/>
        </w:numPr>
        <w:spacing w:line="480" w:lineRule="auto"/>
        <w:ind w:left="0" w:hanging="540"/>
      </w:pPr>
      <w:r w:rsidRPr="00481513">
        <w:t xml:space="preserve"> </w:t>
      </w:r>
      <w:r w:rsidR="00043626">
        <w:tab/>
      </w:r>
      <w:r w:rsidR="006C07F7">
        <w:t>NIPPC and REC</w:t>
      </w:r>
      <w:r w:rsidR="005112F2" w:rsidRPr="00481513">
        <w:t xml:space="preserve"> appreciate the Commission’s willingness to take on a hol</w:t>
      </w:r>
      <w:r w:rsidR="00405B9D">
        <w:t>istic approach to addressing the highly complex inter-related web of</w:t>
      </w:r>
      <w:r w:rsidR="005112F2" w:rsidRPr="00481513">
        <w:t xml:space="preserve"> PURPA issues</w:t>
      </w:r>
      <w:r w:rsidR="00982C36" w:rsidRPr="00481513">
        <w:t xml:space="preserve">, and </w:t>
      </w:r>
      <w:r w:rsidR="00881FBE" w:rsidRPr="00481513">
        <w:t xml:space="preserve">urge </w:t>
      </w:r>
      <w:r w:rsidR="00881FBE" w:rsidRPr="00481513">
        <w:lastRenderedPageBreak/>
        <w:t>the Commission to identify simple</w:t>
      </w:r>
      <w:r w:rsidR="00405B9D">
        <w:t xml:space="preserve"> and clear</w:t>
      </w:r>
      <w:r w:rsidR="00881FBE" w:rsidRPr="00481513">
        <w:t xml:space="preserve"> policies that can be implemented consistently</w:t>
      </w:r>
      <w:r w:rsidR="00405B9D">
        <w:t xml:space="preserve"> to minimize litigation and allow QFs to sell their net output at accurate avoided cost rates</w:t>
      </w:r>
      <w:r w:rsidR="00982C36" w:rsidRPr="00481513">
        <w:t xml:space="preserve">. </w:t>
      </w:r>
      <w:r w:rsidR="00881FBE" w:rsidRPr="00481513">
        <w:t xml:space="preserve"> </w:t>
      </w:r>
      <w:r w:rsidR="006C07F7">
        <w:t>NIPPC and REC</w:t>
      </w:r>
      <w:r w:rsidR="00982C36" w:rsidRPr="00481513">
        <w:t xml:space="preserve"> look </w:t>
      </w:r>
      <w:r w:rsidR="00881FBE" w:rsidRPr="00481513">
        <w:t>forward to participating in the public workshop on May 17</w:t>
      </w:r>
      <w:r w:rsidR="00982C36" w:rsidRPr="00481513">
        <w:t xml:space="preserve">. </w:t>
      </w:r>
    </w:p>
    <w:p w14:paraId="42B9DF7F" w14:textId="13870E18" w:rsidR="00B43A04" w:rsidRPr="00481513" w:rsidRDefault="00B43A04" w:rsidP="004D6190">
      <w:pPr>
        <w:keepNext/>
        <w:spacing w:line="480" w:lineRule="auto"/>
        <w:ind w:left="1980"/>
      </w:pPr>
      <w:r w:rsidRPr="00481513">
        <w:t xml:space="preserve">Dated this </w:t>
      </w:r>
      <w:r w:rsidR="00085042" w:rsidRPr="00481513">
        <w:t>17th</w:t>
      </w:r>
      <w:r w:rsidRPr="00481513">
        <w:t xml:space="preserve"> day of </w:t>
      </w:r>
      <w:r w:rsidR="00085042" w:rsidRPr="00481513">
        <w:t>April 2017</w:t>
      </w:r>
      <w:r w:rsidR="00833F04" w:rsidRPr="00481513">
        <w:t>.</w:t>
      </w:r>
    </w:p>
    <w:p w14:paraId="5491E734" w14:textId="77777777" w:rsidR="00085042" w:rsidRPr="00481513" w:rsidRDefault="00085042" w:rsidP="00B17330">
      <w:pPr>
        <w:keepNext/>
        <w:spacing w:line="480" w:lineRule="auto"/>
        <w:ind w:left="2880" w:firstLine="720"/>
      </w:pPr>
    </w:p>
    <w:p w14:paraId="6FBFF010" w14:textId="77777777" w:rsidR="0000482B" w:rsidRPr="00481513" w:rsidRDefault="00B43A04" w:rsidP="00B17330">
      <w:pPr>
        <w:keepNext/>
        <w:spacing w:line="480" w:lineRule="auto"/>
        <w:ind w:left="2880" w:firstLine="720"/>
      </w:pPr>
      <w:r w:rsidRPr="00481513">
        <w:t>Respectfully submitted,</w:t>
      </w:r>
    </w:p>
    <w:p w14:paraId="3169895A" w14:textId="37A89B7A" w:rsidR="00CD1028" w:rsidRPr="00481513" w:rsidRDefault="00CD1028" w:rsidP="00B17330">
      <w:pPr>
        <w:keepNext/>
        <w:ind w:left="2880" w:firstLine="720"/>
      </w:pPr>
    </w:p>
    <w:p w14:paraId="7C5F93C6" w14:textId="4F8B2B9C" w:rsidR="00085042" w:rsidRPr="00481513" w:rsidRDefault="00E87167" w:rsidP="00B17330">
      <w:pPr>
        <w:keepNext/>
        <w:ind w:left="2880" w:firstLine="720"/>
      </w:pPr>
      <w:bookmarkStart w:id="3" w:name="_GoBack"/>
      <w:r>
        <w:rPr>
          <w:noProof/>
        </w:rPr>
        <w:drawing>
          <wp:inline distT="0" distB="0" distL="0" distR="0" wp14:anchorId="2914D431" wp14:editId="2CA767BE">
            <wp:extent cx="1508760" cy="57852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Irion 2.png"/>
                    <pic:cNvPicPr/>
                  </pic:nvPicPr>
                  <pic:blipFill>
                    <a:blip r:embed="rId8">
                      <a:extLst>
                        <a:ext uri="{28A0092B-C50C-407E-A947-70E740481C1C}">
                          <a14:useLocalDpi xmlns:a14="http://schemas.microsoft.com/office/drawing/2010/main" val="0"/>
                        </a:ext>
                      </a:extLst>
                    </a:blip>
                    <a:stretch>
                      <a:fillRect/>
                    </a:stretch>
                  </pic:blipFill>
                  <pic:spPr>
                    <a:xfrm>
                      <a:off x="0" y="0"/>
                      <a:ext cx="1513442" cy="580318"/>
                    </a:xfrm>
                    <a:prstGeom prst="rect">
                      <a:avLst/>
                    </a:prstGeom>
                  </pic:spPr>
                </pic:pic>
              </a:graphicData>
            </a:graphic>
          </wp:inline>
        </w:drawing>
      </w:r>
      <w:bookmarkEnd w:id="3"/>
    </w:p>
    <w:p w14:paraId="38C71F22" w14:textId="77777777" w:rsidR="00362720" w:rsidRPr="00481513" w:rsidRDefault="001705B7" w:rsidP="00362720">
      <w:pPr>
        <w:keepNext/>
        <w:ind w:left="2880" w:firstLine="810"/>
        <w:rPr>
          <w:lang w:val="da-DK"/>
        </w:rPr>
      </w:pPr>
      <w:r w:rsidRPr="00481513">
        <w:rPr>
          <w:lang w:val="da-DK"/>
        </w:rPr>
        <w:t>___________________</w:t>
      </w:r>
    </w:p>
    <w:p w14:paraId="4A02223C" w14:textId="77777777" w:rsidR="00362720" w:rsidRPr="00481513" w:rsidRDefault="008B6BDD" w:rsidP="00362720">
      <w:pPr>
        <w:keepNext/>
        <w:ind w:left="2880" w:firstLine="810"/>
        <w:rPr>
          <w:lang w:val="da-DK"/>
        </w:rPr>
      </w:pPr>
      <w:r w:rsidRPr="00481513">
        <w:rPr>
          <w:lang w:val="da-DK"/>
        </w:rPr>
        <w:t>Irion Sanger</w:t>
      </w:r>
    </w:p>
    <w:p w14:paraId="4EE82B31" w14:textId="77777777" w:rsidR="00074C30" w:rsidRPr="00481513" w:rsidRDefault="00074C30" w:rsidP="00362720">
      <w:pPr>
        <w:keepNext/>
        <w:ind w:left="2880" w:firstLine="810"/>
        <w:rPr>
          <w:lang w:val="da-DK"/>
        </w:rPr>
      </w:pPr>
      <w:r w:rsidRPr="00481513">
        <w:rPr>
          <w:lang w:val="da-DK"/>
        </w:rPr>
        <w:t>Sidney Villanueva</w:t>
      </w:r>
    </w:p>
    <w:p w14:paraId="3BCDD702" w14:textId="77777777" w:rsidR="00CD1028" w:rsidRPr="00481513" w:rsidRDefault="00CD1028" w:rsidP="00362720">
      <w:pPr>
        <w:keepNext/>
        <w:ind w:left="2880" w:firstLine="810"/>
        <w:rPr>
          <w:lang w:val="da-DK"/>
        </w:rPr>
      </w:pPr>
      <w:r w:rsidRPr="00481513">
        <w:rPr>
          <w:lang w:val="da-DK"/>
        </w:rPr>
        <w:t>Sanger Law, PC</w:t>
      </w:r>
    </w:p>
    <w:p w14:paraId="62BE4A41" w14:textId="77777777" w:rsidR="00CD1028" w:rsidRPr="00481513" w:rsidRDefault="00CD1028" w:rsidP="00362720">
      <w:pPr>
        <w:keepNext/>
        <w:ind w:left="2880" w:firstLine="810"/>
      </w:pPr>
      <w:r w:rsidRPr="00481513">
        <w:t>1117 SE 53rd Avenue</w:t>
      </w:r>
    </w:p>
    <w:p w14:paraId="39339A59" w14:textId="77777777" w:rsidR="00CD1028" w:rsidRPr="00481513" w:rsidRDefault="00CD1028" w:rsidP="00362720">
      <w:pPr>
        <w:keepNext/>
        <w:ind w:left="2880" w:firstLine="810"/>
      </w:pPr>
      <w:r w:rsidRPr="00481513">
        <w:t>Portland, OR 97215</w:t>
      </w:r>
    </w:p>
    <w:p w14:paraId="0BB5100B" w14:textId="77777777" w:rsidR="00CD1028" w:rsidRPr="00481513" w:rsidRDefault="00CD1028" w:rsidP="00362720">
      <w:pPr>
        <w:keepNext/>
        <w:ind w:left="2880" w:firstLine="810"/>
      </w:pPr>
      <w:r w:rsidRPr="00481513">
        <w:t>Telephone: 503-756-7533</w:t>
      </w:r>
    </w:p>
    <w:p w14:paraId="3C3522F4" w14:textId="77777777" w:rsidR="00CD1028" w:rsidRPr="00481513" w:rsidRDefault="00CD1028" w:rsidP="00362720">
      <w:pPr>
        <w:keepNext/>
        <w:ind w:left="2880" w:firstLine="810"/>
      </w:pPr>
      <w:r w:rsidRPr="00481513">
        <w:t>Fax: 503-334-2235</w:t>
      </w:r>
    </w:p>
    <w:p w14:paraId="5D8AC3E1" w14:textId="77777777" w:rsidR="00CD1028" w:rsidRPr="00481513" w:rsidRDefault="00CD1028" w:rsidP="00362720">
      <w:pPr>
        <w:keepNext/>
        <w:ind w:left="2880" w:firstLine="810"/>
      </w:pPr>
      <w:r w:rsidRPr="00481513">
        <w:t>irion@sanger-law.com</w:t>
      </w:r>
    </w:p>
    <w:p w14:paraId="2F897564" w14:textId="77777777" w:rsidR="00B17330" w:rsidRPr="00481513" w:rsidRDefault="00B17330" w:rsidP="00362720">
      <w:pPr>
        <w:keepNext/>
        <w:ind w:left="2880" w:firstLine="810"/>
      </w:pPr>
    </w:p>
    <w:p w14:paraId="47695153" w14:textId="77777777" w:rsidR="0000482B" w:rsidRPr="00481513" w:rsidRDefault="00F81F53" w:rsidP="001705B7">
      <w:pPr>
        <w:keepNext/>
        <w:ind w:left="3960" w:hanging="270"/>
      </w:pPr>
      <w:r w:rsidRPr="00481513">
        <w:t>Of A</w:t>
      </w:r>
      <w:r w:rsidR="00B17330" w:rsidRPr="00481513">
        <w:t>ttorneys fo</w:t>
      </w:r>
      <w:r w:rsidRPr="00481513">
        <w:t>r</w:t>
      </w:r>
      <w:r w:rsidR="00074C30" w:rsidRPr="00481513">
        <w:t xml:space="preserve"> </w:t>
      </w:r>
      <w:r w:rsidR="006A1BC6" w:rsidRPr="00481513">
        <w:t>the Northwest and Intermountain Power Producers Coalition</w:t>
      </w:r>
    </w:p>
    <w:p w14:paraId="3F346857" w14:textId="77777777" w:rsidR="00085042" w:rsidRPr="00481513" w:rsidRDefault="00085042" w:rsidP="001705B7">
      <w:pPr>
        <w:keepNext/>
        <w:ind w:left="3960" w:hanging="270"/>
      </w:pPr>
    </w:p>
    <w:p w14:paraId="58939F3B" w14:textId="32507B2B" w:rsidR="00085042" w:rsidRPr="00481513" w:rsidRDefault="00085042" w:rsidP="001705B7">
      <w:pPr>
        <w:keepNext/>
        <w:ind w:left="3960" w:hanging="270"/>
      </w:pPr>
      <w:r w:rsidRPr="00481513">
        <w:t>Of Attorneys for the Renewable Energy Coalition</w:t>
      </w:r>
    </w:p>
    <w:sectPr w:rsidR="00085042" w:rsidRPr="00481513" w:rsidSect="00CD18CE">
      <w:foot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73C2D" w14:textId="77777777" w:rsidR="00F33907" w:rsidRDefault="00F33907">
      <w:r>
        <w:separator/>
      </w:r>
    </w:p>
  </w:endnote>
  <w:endnote w:type="continuationSeparator" w:id="0">
    <w:p w14:paraId="18520026" w14:textId="77777777" w:rsidR="00F33907" w:rsidRDefault="00F3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4FF22" w14:textId="77777777" w:rsidR="00355EBF" w:rsidRDefault="00355EBF" w:rsidP="00074C30">
    <w:pPr>
      <w:pStyle w:val="Footer"/>
      <w:rPr>
        <w:szCs w:val="24"/>
      </w:rPr>
    </w:pPr>
  </w:p>
  <w:p w14:paraId="25F44CBE" w14:textId="482004A1" w:rsidR="00355EBF" w:rsidRDefault="00355EBF" w:rsidP="00074C30">
    <w:pPr>
      <w:pStyle w:val="Footer"/>
      <w:rPr>
        <w:szCs w:val="24"/>
      </w:rPr>
    </w:pPr>
    <w:r>
      <w:rPr>
        <w:szCs w:val="24"/>
      </w:rPr>
      <w:t xml:space="preserve">THE NORTHWEST AND INTERMOUNTAIN POWER PRODUCERS </w:t>
    </w:r>
  </w:p>
  <w:p w14:paraId="328237CC" w14:textId="26D3A504" w:rsidR="00355EBF" w:rsidRDefault="00355EBF" w:rsidP="00074C30">
    <w:pPr>
      <w:pStyle w:val="Footer"/>
      <w:rPr>
        <w:szCs w:val="24"/>
      </w:rPr>
    </w:pPr>
    <w:r>
      <w:rPr>
        <w:szCs w:val="24"/>
      </w:rPr>
      <w:t>COALITION AND THE RENEWABLE ENERGY COALITION COMMENTS</w:t>
    </w:r>
    <w:r>
      <w:rPr>
        <w:szCs w:val="24"/>
      </w:rPr>
      <w:tab/>
    </w:r>
    <w:r>
      <w:rPr>
        <w:szCs w:val="24"/>
      </w:rPr>
      <w:tab/>
    </w:r>
  </w:p>
  <w:p w14:paraId="2830CAC0" w14:textId="56F21C62" w:rsidR="00355EBF" w:rsidRPr="00074C30" w:rsidRDefault="00355EBF" w:rsidP="00074C30">
    <w:pPr>
      <w:pStyle w:val="Foote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E87167">
      <w:rPr>
        <w:rStyle w:val="PageNumber"/>
        <w:noProof/>
      </w:rPr>
      <w:t>50</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60214" w14:textId="77777777" w:rsidR="00F33907" w:rsidRDefault="00F33907">
      <w:r>
        <w:separator/>
      </w:r>
    </w:p>
  </w:footnote>
  <w:footnote w:type="continuationSeparator" w:id="0">
    <w:p w14:paraId="25BE5746" w14:textId="77777777" w:rsidR="00F33907" w:rsidRDefault="00F33907">
      <w:r>
        <w:continuationSeparator/>
      </w:r>
    </w:p>
  </w:footnote>
  <w:footnote w:id="1">
    <w:p w14:paraId="67837EE4" w14:textId="226BE3D4" w:rsidR="00355EBF" w:rsidRDefault="00355EBF" w:rsidP="00AF1E73">
      <w:pPr>
        <w:pStyle w:val="FootnoteText"/>
        <w:ind w:left="720" w:hanging="720"/>
      </w:pPr>
      <w:r>
        <w:rPr>
          <w:rStyle w:val="FootnoteReference"/>
        </w:rPr>
        <w:footnoteRef/>
      </w:r>
      <w:r>
        <w:t xml:space="preserve"> </w:t>
      </w:r>
      <w:r>
        <w:tab/>
        <w:t xml:space="preserve">16 U.S.C. § 824a; </w:t>
      </w:r>
      <w:r>
        <w:rPr>
          <w:bCs/>
          <w:u w:val="single"/>
        </w:rPr>
        <w:t>FERC</w:t>
      </w:r>
      <w:r w:rsidRPr="000152CF">
        <w:rPr>
          <w:bCs/>
          <w:u w:val="single"/>
        </w:rPr>
        <w:t xml:space="preserve"> v. Mississippi</w:t>
      </w:r>
      <w:r>
        <w:t xml:space="preserve">, 456 U.S. 742, 750, 102 S. Ct. 2126 (1982); </w:t>
      </w:r>
      <w:r>
        <w:rPr>
          <w:iCs/>
          <w:u w:val="single"/>
        </w:rPr>
        <w:t>Am. Paper Inst.</w:t>
      </w:r>
      <w:r w:rsidRPr="00267570">
        <w:rPr>
          <w:iCs/>
          <w:u w:val="single"/>
        </w:rPr>
        <w:t>, Inc. v.</w:t>
      </w:r>
      <w:r>
        <w:rPr>
          <w:u w:val="single"/>
        </w:rPr>
        <w:t xml:space="preserve"> Am.</w:t>
      </w:r>
      <w:r w:rsidRPr="00267570">
        <w:rPr>
          <w:u w:val="single"/>
        </w:rPr>
        <w:t xml:space="preserve"> Elec. Power Serv. Ass’n</w:t>
      </w:r>
      <w:r w:rsidRPr="00267570">
        <w:t xml:space="preserve">, 461 U.S. 402, 406, 412-17 (1983).  </w:t>
      </w:r>
    </w:p>
  </w:footnote>
  <w:footnote w:id="2">
    <w:p w14:paraId="284C0114" w14:textId="5077D696" w:rsidR="00355EBF" w:rsidRDefault="00355EBF" w:rsidP="00AF1E73">
      <w:pPr>
        <w:pStyle w:val="FootnoteText"/>
        <w:ind w:left="720" w:hanging="720"/>
      </w:pPr>
      <w:r>
        <w:rPr>
          <w:rStyle w:val="FootnoteReference"/>
        </w:rPr>
        <w:footnoteRef/>
      </w:r>
      <w:r>
        <w:t xml:space="preserve"> </w:t>
      </w:r>
      <w:r>
        <w:tab/>
        <w:t>18 C.F.R. § 292.101(b)(6).</w:t>
      </w:r>
    </w:p>
  </w:footnote>
  <w:footnote w:id="3">
    <w:p w14:paraId="6423083A" w14:textId="48712D8E" w:rsidR="00355EBF" w:rsidRDefault="00355EBF" w:rsidP="00AF1E73">
      <w:pPr>
        <w:pStyle w:val="FootnoteText"/>
        <w:ind w:left="720" w:hanging="720"/>
      </w:pPr>
      <w:r>
        <w:rPr>
          <w:rStyle w:val="FootnoteReference"/>
        </w:rPr>
        <w:footnoteRef/>
      </w:r>
      <w:r>
        <w:t xml:space="preserve"> </w:t>
      </w:r>
      <w:r>
        <w:tab/>
      </w:r>
      <w:r w:rsidRPr="00F3257E">
        <w:rPr>
          <w:u w:val="single"/>
        </w:rPr>
        <w:t>Small Power Production and Cogeneration Facilities; Regulations Implemen</w:t>
      </w:r>
      <w:r>
        <w:rPr>
          <w:u w:val="single"/>
        </w:rPr>
        <w:t>ting Section 210 of the Public U</w:t>
      </w:r>
      <w:r w:rsidRPr="00F3257E">
        <w:rPr>
          <w:u w:val="single"/>
        </w:rPr>
        <w:t>tility Regulatory Policy Act of 1978</w:t>
      </w:r>
      <w:r w:rsidRPr="00F3257E">
        <w:t xml:space="preserve">, </w:t>
      </w:r>
      <w:r>
        <w:t xml:space="preserve">FERC </w:t>
      </w:r>
      <w:r w:rsidRPr="00F3257E">
        <w:t>Order No. 69, 45 Fed. Reg</w:t>
      </w:r>
      <w:r>
        <w:t>. 12,214, 12225 (Feb. 25, 1980)</w:t>
      </w:r>
      <w:r w:rsidRPr="00F3257E">
        <w:t>.</w:t>
      </w:r>
    </w:p>
  </w:footnote>
  <w:footnote w:id="4">
    <w:p w14:paraId="40B1155F" w14:textId="2C564C67" w:rsidR="00355EBF" w:rsidRDefault="00355EBF" w:rsidP="00AF1E73">
      <w:pPr>
        <w:pStyle w:val="FootnoteText"/>
        <w:ind w:left="720" w:hanging="720"/>
      </w:pPr>
      <w:r>
        <w:rPr>
          <w:rStyle w:val="FootnoteReference"/>
        </w:rPr>
        <w:footnoteRef/>
      </w:r>
      <w:r>
        <w:t xml:space="preserve"> </w:t>
      </w:r>
      <w:r>
        <w:tab/>
      </w:r>
      <w:r w:rsidRPr="009542C3">
        <w:rPr>
          <w:u w:val="single"/>
        </w:rPr>
        <w:t>See</w:t>
      </w:r>
      <w:r>
        <w:t xml:space="preserve"> </w:t>
      </w:r>
      <w:r w:rsidRPr="009542C3">
        <w:rPr>
          <w:u w:val="single"/>
        </w:rPr>
        <w:t>e.g.</w:t>
      </w:r>
      <w:r>
        <w:t xml:space="preserve">, </w:t>
      </w:r>
      <w:r w:rsidRPr="00C305AF">
        <w:rPr>
          <w:u w:val="single"/>
        </w:rPr>
        <w:t>JD Wind 1, LLC</w:t>
      </w:r>
      <w:r>
        <w:t xml:space="preserve">, 129 FERC ¶ 61,148 at P 25 (2009); </w:t>
      </w:r>
      <w:r w:rsidRPr="00C305AF">
        <w:rPr>
          <w:u w:val="single"/>
        </w:rPr>
        <w:t>Cedar Creek Wind, LLC</w:t>
      </w:r>
      <w:r>
        <w:t xml:space="preserve">, 137 FERC ¶ 61,038 at P 25 (2011); </w:t>
      </w:r>
      <w:r w:rsidRPr="00C305AF">
        <w:rPr>
          <w:u w:val="single"/>
        </w:rPr>
        <w:t>Grouse Creek Wind Park, LLC</w:t>
      </w:r>
      <w:r>
        <w:t xml:space="preserve">, 142 FERC ¶ 61,187 at P 36 (2012); </w:t>
      </w:r>
      <w:r w:rsidRPr="009542C3">
        <w:rPr>
          <w:u w:val="single"/>
        </w:rPr>
        <w:t>Hydrodynamics Inc.</w:t>
      </w:r>
      <w:r>
        <w:t>, 146 FERC ¶ 61,192 at P 31 (2014).</w:t>
      </w:r>
    </w:p>
  </w:footnote>
  <w:footnote w:id="5">
    <w:p w14:paraId="3D21CC25" w14:textId="5D74ACA3" w:rsidR="00355EBF" w:rsidRDefault="00355EBF" w:rsidP="00AF1E73">
      <w:pPr>
        <w:pStyle w:val="FootnoteText"/>
        <w:ind w:left="720" w:hanging="720"/>
      </w:pPr>
      <w:r>
        <w:rPr>
          <w:rStyle w:val="FootnoteReference"/>
        </w:rPr>
        <w:footnoteRef/>
      </w:r>
      <w:r>
        <w:t xml:space="preserve"> </w:t>
      </w:r>
      <w:r>
        <w:tab/>
        <w:t>QFs are limited to 80 MWs for renewable energy projects and no limitations for cogeneration resources.  18 C.F.R. §</w:t>
      </w:r>
      <w:r w:rsidRPr="001216B5">
        <w:t>§</w:t>
      </w:r>
      <w:r>
        <w:t xml:space="preserve"> 292.204, 292.205.</w:t>
      </w:r>
    </w:p>
  </w:footnote>
  <w:footnote w:id="6">
    <w:p w14:paraId="53FDF924" w14:textId="2806E8FB" w:rsidR="00355EBF" w:rsidRDefault="00355EBF" w:rsidP="00AF1E73">
      <w:pPr>
        <w:pStyle w:val="FootnoteText"/>
        <w:ind w:left="720" w:hanging="720"/>
      </w:pPr>
      <w:r>
        <w:rPr>
          <w:rStyle w:val="FootnoteReference"/>
        </w:rPr>
        <w:footnoteRef/>
      </w:r>
      <w:r>
        <w:t xml:space="preserve"> </w:t>
      </w:r>
      <w:r>
        <w:tab/>
      </w:r>
      <w:r>
        <w:rPr>
          <w:u w:val="single"/>
        </w:rPr>
        <w:t>American Paper</w:t>
      </w:r>
      <w:r>
        <w:t xml:space="preserve">, 461 U.S. at 404; </w:t>
      </w:r>
      <w:r w:rsidRPr="00C86AF9">
        <w:rPr>
          <w:u w:val="single"/>
        </w:rPr>
        <w:t>Mississippi</w:t>
      </w:r>
      <w:r>
        <w:t>, 456 U.S. at 750-51</w:t>
      </w:r>
      <w:r w:rsidRPr="00C86AF9">
        <w:t xml:space="preserve">. </w:t>
      </w:r>
      <w:r w:rsidRPr="00C15A7E">
        <w:t xml:space="preserve">  </w:t>
      </w:r>
    </w:p>
  </w:footnote>
  <w:footnote w:id="7">
    <w:p w14:paraId="2620B661" w14:textId="4A265698" w:rsidR="00355EBF" w:rsidRDefault="00355EBF" w:rsidP="00CA0707">
      <w:pPr>
        <w:pStyle w:val="FootnoteText"/>
        <w:ind w:left="720" w:hanging="720"/>
      </w:pPr>
      <w:r>
        <w:rPr>
          <w:rStyle w:val="FootnoteReference"/>
        </w:rPr>
        <w:footnoteRef/>
      </w:r>
      <w:r>
        <w:t xml:space="preserve"> </w:t>
      </w:r>
      <w:r>
        <w:tab/>
      </w:r>
      <w:r w:rsidRPr="00CA0707">
        <w:rPr>
          <w:u w:val="single"/>
        </w:rPr>
        <w:t>Re WUTC’s Investigation into Energy Storage Technologies</w:t>
      </w:r>
      <w:r>
        <w:t>, Docket Nos. UE-151069 and</w:t>
      </w:r>
      <w:r w:rsidRPr="00CA0707">
        <w:t xml:space="preserve"> U-161024</w:t>
      </w:r>
      <w:r>
        <w:t xml:space="preserve">, Draft Report and Policy Statement on Treatment of Energy Storage Technologies in Integrated Resource Planning and Resource Acquisition P. 21 (March 6, 2017). </w:t>
      </w:r>
    </w:p>
  </w:footnote>
  <w:footnote w:id="8">
    <w:p w14:paraId="6F32D3A8" w14:textId="3BD4E31B" w:rsidR="00355EBF" w:rsidRDefault="00355EBF" w:rsidP="00CA0707">
      <w:pPr>
        <w:pStyle w:val="FootnoteText"/>
        <w:ind w:left="720" w:hanging="720"/>
      </w:pPr>
      <w:r>
        <w:rPr>
          <w:rStyle w:val="FootnoteReference"/>
        </w:rPr>
        <w:footnoteRef/>
      </w:r>
      <w:r>
        <w:t xml:space="preserve"> </w:t>
      </w:r>
      <w:r>
        <w:tab/>
      </w:r>
      <w:r w:rsidRPr="00CA0707">
        <w:rPr>
          <w:u w:val="single"/>
        </w:rPr>
        <w:t>Id.</w:t>
      </w:r>
      <w:r>
        <w:t xml:space="preserve"> at P. 41.</w:t>
      </w:r>
    </w:p>
  </w:footnote>
  <w:footnote w:id="9">
    <w:p w14:paraId="41AA49EA" w14:textId="7087611B" w:rsidR="00355EBF" w:rsidRDefault="00355EBF" w:rsidP="00AF1E73">
      <w:pPr>
        <w:pStyle w:val="FootnoteText"/>
        <w:ind w:left="720" w:hanging="720"/>
      </w:pPr>
      <w:r>
        <w:rPr>
          <w:rStyle w:val="FootnoteReference"/>
        </w:rPr>
        <w:footnoteRef/>
      </w:r>
      <w:r>
        <w:t xml:space="preserve"> </w:t>
      </w:r>
      <w:r>
        <w:tab/>
      </w:r>
      <w:r w:rsidRPr="00A7392E">
        <w:rPr>
          <w:u w:val="single"/>
        </w:rPr>
        <w:t>Hydrodynamics</w:t>
      </w:r>
      <w:r>
        <w:t>, 146 FERC ¶ 61,193 at P 31 (“The [Federal Energy Regulatory] Commission’s regulations require that a utility purchase any energy and capacity made available by a QF.”).</w:t>
      </w:r>
    </w:p>
  </w:footnote>
  <w:footnote w:id="10">
    <w:p w14:paraId="28886373" w14:textId="77777777" w:rsidR="00355EBF" w:rsidRDefault="00355EBF" w:rsidP="00AF1E73">
      <w:pPr>
        <w:pStyle w:val="FootnoteText"/>
        <w:ind w:left="720" w:hanging="720"/>
      </w:pPr>
      <w:r>
        <w:rPr>
          <w:rStyle w:val="FootnoteReference"/>
        </w:rPr>
        <w:footnoteRef/>
      </w:r>
      <w:r>
        <w:t xml:space="preserve"> </w:t>
      </w:r>
      <w:r>
        <w:tab/>
        <w:t>18 C.F.R. § 292.304(e)(2)(vi).</w:t>
      </w:r>
    </w:p>
  </w:footnote>
  <w:footnote w:id="11">
    <w:p w14:paraId="135BF7B7" w14:textId="77777777" w:rsidR="00355EBF" w:rsidRDefault="00355EBF" w:rsidP="00AF1E73">
      <w:pPr>
        <w:pStyle w:val="FootnoteText"/>
        <w:ind w:left="720" w:hanging="720"/>
      </w:pPr>
      <w:r>
        <w:rPr>
          <w:rStyle w:val="FootnoteReference"/>
        </w:rPr>
        <w:footnoteRef/>
      </w:r>
      <w:r>
        <w:t xml:space="preserve"> </w:t>
      </w:r>
      <w:r>
        <w:tab/>
        <w:t>FERC Order No. 69 at 12,227.</w:t>
      </w:r>
    </w:p>
  </w:footnote>
  <w:footnote w:id="12">
    <w:p w14:paraId="235732E5" w14:textId="31D44934" w:rsidR="00355EBF" w:rsidRDefault="00355EBF" w:rsidP="00AF1E73">
      <w:pPr>
        <w:pStyle w:val="FootnoteText"/>
        <w:ind w:left="720" w:hanging="720"/>
      </w:pPr>
      <w:r>
        <w:rPr>
          <w:rStyle w:val="FootnoteReference"/>
        </w:rPr>
        <w:footnoteRef/>
      </w:r>
      <w:r>
        <w:t xml:space="preserve"> </w:t>
      </w:r>
      <w:r>
        <w:tab/>
      </w:r>
      <w:r w:rsidRPr="001216B5">
        <w:t>It is possible that the utilities ma</w:t>
      </w:r>
      <w:r w:rsidRPr="001F468D">
        <w:t xml:space="preserve">y propose to eliminate capacity payments.  In PacifiCorp’s last litigated PURPA case, PacifiCorp essentially proposed a new avoided cost rate proposal that would have had the practical impact of eliminating capacity payments.  The WUTC rejected PacifiCorp’s proposal for failure to be “fair, just, reasonable, and sufficient.”  </w:t>
      </w:r>
      <w:r w:rsidRPr="00704B29">
        <w:rPr>
          <w:u w:val="single"/>
        </w:rPr>
        <w:t>WUTC v. Pacific Power &amp; Light Co.,</w:t>
      </w:r>
      <w:r w:rsidRPr="00704B29">
        <w:t xml:space="preserve"> Docket No. UE-144160, Order 04 at 37-38, 42 (Nov. 12, 2015).</w:t>
      </w:r>
      <w:r w:rsidRPr="001216B5">
        <w:t xml:space="preserve"> PacifiCorp’s approach </w:t>
      </w:r>
      <w:r w:rsidRPr="001F468D">
        <w:t xml:space="preserve">would have effectively removed capacity payments during the first five to ten years of a power purchase agreement, but restrict a QF to a five-year contract term, making it impossible to be paid for capacity. </w:t>
      </w:r>
      <w:r w:rsidRPr="001F468D">
        <w:rPr>
          <w:u w:val="single"/>
        </w:rPr>
        <w:t>Id.</w:t>
      </w:r>
      <w:r w:rsidRPr="005C61B9">
        <w:t xml:space="preserve"> </w:t>
      </w:r>
      <w:r w:rsidRPr="001F468D">
        <w:t>at P</w:t>
      </w:r>
      <w:r w:rsidR="005C61B9">
        <w:t>P</w:t>
      </w:r>
      <w:r w:rsidRPr="001F468D">
        <w:t>. 8-9.</w:t>
      </w:r>
    </w:p>
  </w:footnote>
  <w:footnote w:id="13">
    <w:p w14:paraId="3CE25DA4" w14:textId="570745D6" w:rsidR="00355EBF" w:rsidRDefault="00355EBF" w:rsidP="00AF1E73">
      <w:pPr>
        <w:pStyle w:val="FootnoteText"/>
        <w:ind w:left="720" w:hanging="720"/>
      </w:pPr>
      <w:r>
        <w:rPr>
          <w:rStyle w:val="FootnoteReference"/>
        </w:rPr>
        <w:footnoteRef/>
      </w:r>
      <w:r>
        <w:t xml:space="preserve"> </w:t>
      </w:r>
      <w:r>
        <w:tab/>
      </w:r>
      <w:r w:rsidRPr="00ED00E5">
        <w:t xml:space="preserve">PacifiCorp hopes to add 1,100 MW of new Wyoming wind resources by the end of 2020.  </w:t>
      </w:r>
      <w:r w:rsidRPr="00253F2C">
        <w:rPr>
          <w:u w:val="single"/>
        </w:rPr>
        <w:t>PacifiCorp 2017 Integrated Resource Plan</w:t>
      </w:r>
      <w:r>
        <w:t xml:space="preserve"> (hereinafter </w:t>
      </w:r>
      <w:r>
        <w:rPr>
          <w:u w:val="single"/>
        </w:rPr>
        <w:t>PacifiCorp</w:t>
      </w:r>
      <w:r w:rsidRPr="00B40483">
        <w:rPr>
          <w:u w:val="single"/>
        </w:rPr>
        <w:t xml:space="preserve"> 2017 IRP</w:t>
      </w:r>
      <w:r w:rsidRPr="00ED00E5">
        <w:t xml:space="preserve">) at 2 </w:t>
      </w:r>
      <w:r>
        <w:t>(Apr.</w:t>
      </w:r>
      <w:r w:rsidRPr="00ED00E5">
        <w:t xml:space="preserve"> 4, 2017).</w:t>
      </w:r>
    </w:p>
  </w:footnote>
  <w:footnote w:id="14">
    <w:p w14:paraId="18FD7EF4" w14:textId="23F692D6" w:rsidR="00355EBF" w:rsidRDefault="00355EBF" w:rsidP="0082382B">
      <w:pPr>
        <w:pStyle w:val="FootnoteText"/>
        <w:ind w:left="720" w:hanging="720"/>
      </w:pPr>
      <w:r>
        <w:rPr>
          <w:rStyle w:val="FootnoteReference"/>
        </w:rPr>
        <w:footnoteRef/>
      </w:r>
      <w:r>
        <w:t xml:space="preserve"> </w:t>
      </w:r>
      <w:r>
        <w:tab/>
      </w:r>
      <w:r w:rsidRPr="006847A7">
        <w:rPr>
          <w:u w:val="single"/>
        </w:rPr>
        <w:t>WUTC v. Pacific Power &amp; Light Co.,</w:t>
      </w:r>
      <w:r>
        <w:t xml:space="preserve"> Docket No. UE-144160, Order 04 at P. 21 (Nov. 12, 2015); </w:t>
      </w:r>
      <w:r w:rsidRPr="0036002C">
        <w:rPr>
          <w:u w:val="single"/>
        </w:rPr>
        <w:t>PSE Advice No. 2016-31 – Schedule 91 – Cogeneration and Small Power Production</w:t>
      </w:r>
      <w:r>
        <w:t xml:space="preserve">, Docket No. UE-161240, Substitute Tariff Filing at 2 (Dec. 19, 2016) (the second of four sequential changes included “an estimate of the costs PSE will avoid when Schedule 91 customers reduce the need for PSE to secure firm supply in the market prior to 2022. This element of avoided capacity cost is determined to be $0.08/kW-year, </w:t>
      </w:r>
      <w:r w:rsidRPr="0082382B">
        <w:t>which is an increase from $0/kW-year in the initial filing.</w:t>
      </w:r>
      <w:r>
        <w:t>”).</w:t>
      </w:r>
    </w:p>
  </w:footnote>
  <w:footnote w:id="15">
    <w:p w14:paraId="316E1665" w14:textId="63E2747F" w:rsidR="00355EBF" w:rsidRDefault="00355EBF">
      <w:pPr>
        <w:pStyle w:val="FootnoteText"/>
      </w:pPr>
      <w:r>
        <w:rPr>
          <w:rStyle w:val="FootnoteReference"/>
        </w:rPr>
        <w:footnoteRef/>
      </w:r>
      <w:r>
        <w:t xml:space="preserve"> </w:t>
      </w:r>
      <w:r>
        <w:tab/>
      </w:r>
      <w:r w:rsidRPr="00473871">
        <w:rPr>
          <w:u w:val="single"/>
        </w:rPr>
        <w:t>PacifiC</w:t>
      </w:r>
      <w:r>
        <w:rPr>
          <w:u w:val="single"/>
        </w:rPr>
        <w:t>orp 2017 IRP</w:t>
      </w:r>
      <w:r>
        <w:t xml:space="preserve"> at 2.</w:t>
      </w:r>
    </w:p>
  </w:footnote>
  <w:footnote w:id="16">
    <w:p w14:paraId="438E9984" w14:textId="2FCDF62E" w:rsidR="00355EBF" w:rsidRDefault="00355EBF" w:rsidP="00AF1E73">
      <w:pPr>
        <w:pStyle w:val="FootnoteText"/>
        <w:ind w:left="720" w:hanging="720"/>
      </w:pPr>
      <w:r>
        <w:rPr>
          <w:rStyle w:val="FootnoteReference"/>
        </w:rPr>
        <w:footnoteRef/>
      </w:r>
      <w:r>
        <w:t xml:space="preserve"> </w:t>
      </w:r>
      <w:r>
        <w:tab/>
      </w:r>
      <w:bookmarkStart w:id="1" w:name="_Hlk480185137"/>
      <w:r w:rsidRPr="001F468D">
        <w:rPr>
          <w:u w:val="single"/>
        </w:rPr>
        <w:t>See</w:t>
      </w:r>
      <w:r w:rsidRPr="001F468D">
        <w:t xml:space="preserve"> </w:t>
      </w:r>
      <w:r w:rsidRPr="001F468D">
        <w:rPr>
          <w:u w:val="single"/>
        </w:rPr>
        <w:t>e.g.</w:t>
      </w:r>
      <w:r w:rsidRPr="001F468D">
        <w:t xml:space="preserve">, </w:t>
      </w:r>
      <w:r w:rsidRPr="00704B29">
        <w:rPr>
          <w:u w:val="single"/>
        </w:rPr>
        <w:t>Cypress Creek Renewables, LLC v. PacifiCorp</w:t>
      </w:r>
      <w:r w:rsidRPr="00704B29">
        <w:t>, OPUC Docket No. UM 1799, Order No. 16-429 (Nov. 09, 2016);</w:t>
      </w:r>
      <w:r w:rsidRPr="001F468D">
        <w:t xml:space="preserve"> </w:t>
      </w:r>
      <w:r w:rsidRPr="00704B29">
        <w:rPr>
          <w:u w:val="single"/>
        </w:rPr>
        <w:t>Re Amended Joint Complaint Filing by Everpower Wind Holdings, Inc.; Pryor Caves Wind Project, LLC; Mud Springs Wind Project, LLC; and Horse Thief Wind Project, LLC against Rocky Mountain Power and PacifiCorp Re the Avoided Cost Pricing for the Bowler Flats Wind QF PPAs</w:t>
      </w:r>
      <w:r w:rsidRPr="00704B29">
        <w:t>, WPSC Docket No. 45008-2-IC-16, Recor</w:t>
      </w:r>
      <w:r>
        <w:t>d No. 14579, Complaint (Nov.</w:t>
      </w:r>
      <w:r w:rsidRPr="00704B29">
        <w:t xml:space="preserve"> 2, 2016);</w:t>
      </w:r>
      <w:r w:rsidRPr="001F468D">
        <w:t xml:space="preserve"> </w:t>
      </w:r>
      <w:r>
        <w:rPr>
          <w:u w:val="single"/>
        </w:rPr>
        <w:t xml:space="preserve">Re </w:t>
      </w:r>
      <w:r w:rsidRPr="00704B29">
        <w:rPr>
          <w:u w:val="single"/>
        </w:rPr>
        <w:t>Application of Rocky Mountain Power for Modification of the Contract Term of PURPA Power Purchase Agreements with Qualifying Facilities</w:t>
      </w:r>
      <w:r w:rsidRPr="00704B29">
        <w:t>, Docket No. 20000-481-EA-15, Record No. 14220, Memorandum Opinion, Findings of Fact, Decision and Order at 12-21 (June 23, 2016) (WPSC rejected PacifiCorp’s proposed modification of PDDRR methodology and directed additional process);</w:t>
      </w:r>
      <w:r w:rsidRPr="001F468D">
        <w:t xml:space="preserve"> </w:t>
      </w:r>
      <w:r w:rsidRPr="00704B29">
        <w:rPr>
          <w:u w:val="single"/>
        </w:rPr>
        <w:t>Re Investigation Into QF Contracting and Pricing</w:t>
      </w:r>
      <w:r w:rsidRPr="00704B29">
        <w:t>, OPUC Docket No. UM 1610, Order No. 16-174 (May 13, 2016);</w:t>
      </w:r>
      <w:r w:rsidRPr="001F468D">
        <w:t xml:space="preserve"> </w:t>
      </w:r>
      <w:r w:rsidRPr="00704B29">
        <w:rPr>
          <w:u w:val="single"/>
        </w:rPr>
        <w:t>Re Investigation to Examine PacifiCorp’s Non-Standard Avoided Cost Pricing</w:t>
      </w:r>
      <w:r w:rsidRPr="00704B29">
        <w:t>, OPUC Docket No. UM 1802, Order No. 16-429 (Nov. 09, 2016).</w:t>
      </w:r>
      <w:bookmarkEnd w:id="1"/>
      <w:r>
        <w:t xml:space="preserve"> </w:t>
      </w:r>
    </w:p>
  </w:footnote>
  <w:footnote w:id="17">
    <w:p w14:paraId="061EC466" w14:textId="0B6A0134" w:rsidR="00355EBF" w:rsidRDefault="00355EBF" w:rsidP="00AF1E73">
      <w:pPr>
        <w:pStyle w:val="FootnoteText"/>
        <w:ind w:left="720" w:hanging="720"/>
      </w:pPr>
      <w:r>
        <w:rPr>
          <w:rStyle w:val="FootnoteReference"/>
        </w:rPr>
        <w:footnoteRef/>
      </w:r>
      <w:r>
        <w:t xml:space="preserve"> </w:t>
      </w:r>
      <w:r>
        <w:tab/>
      </w:r>
      <w:r w:rsidRPr="00704B29">
        <w:rPr>
          <w:u w:val="single"/>
        </w:rPr>
        <w:t>Re Investigation Into QF Contracting and Pricing</w:t>
      </w:r>
      <w:r w:rsidRPr="00704B29">
        <w:t xml:space="preserve">, OPUC Docket No. UM 1610, Renewable Energy Coalition Prehearing Brief at 13 (Sept. 2, 2015) (citing </w:t>
      </w:r>
      <w:r w:rsidRPr="00704B29">
        <w:rPr>
          <w:u w:val="single"/>
        </w:rPr>
        <w:t>Re PacifiCorp, dba Pacific Power 2016 Transition Adjustment Mechanism</w:t>
      </w:r>
      <w:r w:rsidRPr="00704B29">
        <w:t>, OPUC Docket No. UE 296, PAC/100, Dickman/21</w:t>
      </w:r>
      <w:r>
        <w:t xml:space="preserve"> </w:t>
      </w:r>
      <w:r w:rsidRPr="00704B29">
        <w:t>(Apr. 1, 2015)).</w:t>
      </w:r>
      <w:r>
        <w:t xml:space="preserve"> </w:t>
      </w:r>
    </w:p>
  </w:footnote>
  <w:footnote w:id="18">
    <w:p w14:paraId="77FD4B72" w14:textId="65F69858" w:rsidR="00355EBF" w:rsidRDefault="00355EBF" w:rsidP="0094439F">
      <w:pPr>
        <w:pStyle w:val="FootnoteText"/>
        <w:ind w:left="720" w:hanging="720"/>
      </w:pPr>
      <w:r>
        <w:rPr>
          <w:rStyle w:val="FootnoteReference"/>
        </w:rPr>
        <w:footnoteRef/>
      </w:r>
      <w:r>
        <w:t xml:space="preserve"> </w:t>
      </w:r>
      <w:r>
        <w:tab/>
      </w:r>
      <w:r w:rsidRPr="0036002C">
        <w:rPr>
          <w:u w:val="single"/>
        </w:rPr>
        <w:t>PSE Advice No. 2016-31 – Schedule 91 – Cogeneration and Small Power Production</w:t>
      </w:r>
      <w:r>
        <w:t>, Docket No. UE-161240, Substitute Tariff Filing at 2 (Dec. 19, 2016).</w:t>
      </w:r>
    </w:p>
  </w:footnote>
  <w:footnote w:id="19">
    <w:p w14:paraId="417FEBFA" w14:textId="7C9A64F5" w:rsidR="00355EBF" w:rsidRPr="00F04F0C" w:rsidRDefault="00355EBF" w:rsidP="002A1BE0">
      <w:pPr>
        <w:pStyle w:val="FootnoteText"/>
        <w:ind w:left="720" w:hanging="720"/>
        <w:rPr>
          <w:u w:val="single"/>
        </w:rPr>
      </w:pPr>
      <w:r>
        <w:rPr>
          <w:rStyle w:val="FootnoteReference"/>
        </w:rPr>
        <w:footnoteRef/>
      </w:r>
      <w:r>
        <w:t xml:space="preserve"> </w:t>
      </w:r>
      <w:r>
        <w:tab/>
      </w:r>
      <w:r>
        <w:rPr>
          <w:u w:val="single"/>
        </w:rPr>
        <w:t xml:space="preserve">Pacific Power &amp; Light Co. </w:t>
      </w:r>
      <w:r w:rsidRPr="00F04F0C">
        <w:rPr>
          <w:u w:val="single"/>
        </w:rPr>
        <w:t>Advice 16-06—Schedule 37—Avoided Cost Purchases from Cogeneration and Small</w:t>
      </w:r>
      <w:r>
        <w:rPr>
          <w:u w:val="single"/>
        </w:rPr>
        <w:t xml:space="preserve"> </w:t>
      </w:r>
      <w:r w:rsidRPr="00F04F0C">
        <w:rPr>
          <w:u w:val="single"/>
        </w:rPr>
        <w:t>Power Purchases</w:t>
      </w:r>
      <w:r>
        <w:t>, UE-161312, Advice Filing Attachment A at 1 (“</w:t>
      </w:r>
      <w:r w:rsidRPr="00F04F0C">
        <w:t>The winter peak has a capacity deficit of 48 MW in 2017 increasing to a deficit of 698 MW in 2026. The summer peak has a capacity deficit of 192 MW in 2017 increasing to 583 in 2026</w:t>
      </w:r>
      <w:r>
        <w:t xml:space="preserve">.”); </w:t>
      </w:r>
      <w:r w:rsidRPr="005360DB">
        <w:rPr>
          <w:u w:val="single"/>
        </w:rPr>
        <w:t>PacifiCorp 2017 IRP</w:t>
      </w:r>
      <w:r>
        <w:t xml:space="preserve"> at 2  (planning to acquire 200 MW gas plant in 2029).</w:t>
      </w:r>
    </w:p>
  </w:footnote>
  <w:footnote w:id="20">
    <w:p w14:paraId="245A4A3C" w14:textId="66597A62" w:rsidR="00355EBF" w:rsidRDefault="00355EBF" w:rsidP="002A1BE0">
      <w:pPr>
        <w:pStyle w:val="FootnoteText"/>
        <w:ind w:left="720" w:hanging="720"/>
      </w:pPr>
      <w:r>
        <w:rPr>
          <w:rStyle w:val="FootnoteReference"/>
        </w:rPr>
        <w:footnoteRef/>
      </w:r>
      <w:r>
        <w:t xml:space="preserve"> </w:t>
      </w:r>
      <w:r>
        <w:tab/>
      </w:r>
      <w:r w:rsidRPr="00704B29">
        <w:rPr>
          <w:u w:val="single"/>
        </w:rPr>
        <w:t>PacifiCorp 2017 IRP</w:t>
      </w:r>
      <w:r w:rsidRPr="00704B29">
        <w:t xml:space="preserve"> at 78-81 (</w:t>
      </w:r>
      <w:r>
        <w:t>indicating that f</w:t>
      </w:r>
      <w:r w:rsidRPr="001F468D">
        <w:t>or PPAs,</w:t>
      </w:r>
      <w:r>
        <w:t xml:space="preserve"> which</w:t>
      </w:r>
      <w:r w:rsidRPr="001F468D">
        <w:t xml:space="preserve"> </w:t>
      </w:r>
      <w:r>
        <w:t>include</w:t>
      </w:r>
      <w:r w:rsidRPr="001F468D">
        <w:t xml:space="preserve"> QFs, PacifiCorp’s L&amp;R Balance Cap</w:t>
      </w:r>
      <w:r>
        <w:t>acity at System Summer Peak</w:t>
      </w:r>
      <w:r w:rsidRPr="001F468D">
        <w:t xml:space="preserve"> </w:t>
      </w:r>
      <w:r>
        <w:t>is</w:t>
      </w:r>
      <w:r w:rsidRPr="001F468D">
        <w:t xml:space="preserve"> 191 MW for wind, 690 for solar, and 127 for hydro).  In addition, PacifiCorp has contracts with over 100 MW of biomass and 4 MWs of geothermal, which has a high capacity value.  </w:t>
      </w:r>
      <w:r w:rsidRPr="001F468D">
        <w:rPr>
          <w:u w:val="single"/>
        </w:rPr>
        <w:t>Id.</w:t>
      </w:r>
      <w:r w:rsidRPr="001F468D">
        <w:t xml:space="preserve"> at 80</w:t>
      </w:r>
      <w:r>
        <w:t xml:space="preserve">. </w:t>
      </w:r>
    </w:p>
  </w:footnote>
  <w:footnote w:id="21">
    <w:p w14:paraId="66C4265B" w14:textId="04F50928" w:rsidR="00355EBF" w:rsidRDefault="00355EBF" w:rsidP="00544BF9">
      <w:pPr>
        <w:pStyle w:val="FootnoteText"/>
        <w:ind w:left="720" w:hanging="720"/>
      </w:pPr>
      <w:r>
        <w:rPr>
          <w:rStyle w:val="FootnoteReference"/>
        </w:rPr>
        <w:footnoteRef/>
      </w:r>
      <w:r>
        <w:t xml:space="preserve"> </w:t>
      </w:r>
      <w:r>
        <w:tab/>
      </w:r>
      <w:r w:rsidRPr="001F468D">
        <w:rPr>
          <w:u w:val="single"/>
        </w:rPr>
        <w:t>Winding Creek Solar, LLC</w:t>
      </w:r>
      <w:r w:rsidRPr="00284F77">
        <w:t xml:space="preserve">, </w:t>
      </w:r>
      <w:r w:rsidRPr="001F468D">
        <w:t xml:space="preserve">151 FERC </w:t>
      </w:r>
      <w:r w:rsidRPr="004F29BE">
        <w:t>¶</w:t>
      </w:r>
      <w:r w:rsidRPr="001F468D">
        <w:t xml:space="preserve"> 61,103 at P 6 (2015), </w:t>
      </w:r>
      <w:r w:rsidRPr="0007682B">
        <w:rPr>
          <w:u w:val="single"/>
        </w:rPr>
        <w:t>reconsid.</w:t>
      </w:r>
      <w:r w:rsidRPr="001F468D">
        <w:rPr>
          <w:i/>
        </w:rPr>
        <w:t xml:space="preserve"> </w:t>
      </w:r>
      <w:r w:rsidRPr="0007682B">
        <w:rPr>
          <w:u w:val="single"/>
        </w:rPr>
        <w:t>denied</w:t>
      </w:r>
      <w:r w:rsidRPr="001F468D">
        <w:t xml:space="preserve">, 153 FERC </w:t>
      </w:r>
      <w:r w:rsidRPr="004F29BE">
        <w:t>¶</w:t>
      </w:r>
      <w:r w:rsidRPr="001F468D">
        <w:t xml:space="preserve"> 61,027 (2015).</w:t>
      </w:r>
      <w:r>
        <w:t xml:space="preserve">  </w:t>
      </w:r>
    </w:p>
  </w:footnote>
  <w:footnote w:id="22">
    <w:p w14:paraId="3DD00B97" w14:textId="573587EA" w:rsidR="00355EBF" w:rsidRPr="00C45286" w:rsidRDefault="00355EBF" w:rsidP="00AF1E73">
      <w:pPr>
        <w:pStyle w:val="FootnoteText"/>
        <w:ind w:left="720" w:hanging="720"/>
      </w:pPr>
      <w:r>
        <w:rPr>
          <w:rStyle w:val="FootnoteReference"/>
        </w:rPr>
        <w:footnoteRef/>
      </w:r>
      <w:r>
        <w:t xml:space="preserve"> </w:t>
      </w:r>
      <w:r>
        <w:tab/>
      </w:r>
      <w:r w:rsidRPr="00704B29">
        <w:rPr>
          <w:u w:val="single"/>
        </w:rPr>
        <w:t>Windham Solar LLC and Allco Finance Limited</w:t>
      </w:r>
      <w:r>
        <w:t>, 156 FERC ¶ 61,042</w:t>
      </w:r>
      <w:r w:rsidRPr="00704B29">
        <w:t xml:space="preserve"> at P 5 (2016)</w:t>
      </w:r>
      <w:r>
        <w:t xml:space="preserve"> </w:t>
      </w:r>
      <w:r w:rsidRPr="00704B29">
        <w:t>(citing</w:t>
      </w:r>
      <w:r w:rsidRPr="00B40483">
        <w:t xml:space="preserve"> </w:t>
      </w:r>
      <w:r>
        <w:rPr>
          <w:u w:val="single"/>
        </w:rPr>
        <w:t>Hydrodynamics</w:t>
      </w:r>
      <w:r>
        <w:t>, 146 FERC ¶ 61,193 at P 32</w:t>
      </w:r>
      <w:r w:rsidRPr="00704B29">
        <w:t>).</w:t>
      </w:r>
    </w:p>
  </w:footnote>
  <w:footnote w:id="23">
    <w:p w14:paraId="50A438F7" w14:textId="71BA6643" w:rsidR="00355EBF" w:rsidRDefault="00355EBF" w:rsidP="00AF1E73">
      <w:pPr>
        <w:pStyle w:val="FootnoteText"/>
        <w:ind w:left="720" w:hanging="720"/>
      </w:pPr>
      <w:r>
        <w:rPr>
          <w:rStyle w:val="FootnoteReference"/>
        </w:rPr>
        <w:footnoteRef/>
      </w:r>
      <w:r>
        <w:tab/>
      </w:r>
      <w:r>
        <w:rPr>
          <w:rFonts w:eastAsia="MS Mincho"/>
          <w:lang w:eastAsia="ja-JP"/>
        </w:rPr>
        <w:t xml:space="preserve">Specifically, </w:t>
      </w:r>
      <w:r>
        <w:t xml:space="preserve">PSE lowered its levelized long-run capacity costs from $190/kw year, which was based on its planned IRP demand side response measures found to be cost effective, to $120/kw year, which is the current avoided cost of a peaker plant.  </w:t>
      </w:r>
    </w:p>
  </w:footnote>
  <w:footnote w:id="24">
    <w:p w14:paraId="1864A873" w14:textId="73D913BF" w:rsidR="00355EBF" w:rsidRDefault="00355EBF" w:rsidP="00AF1E73">
      <w:pPr>
        <w:pStyle w:val="FootnoteText"/>
        <w:ind w:left="720" w:hanging="720"/>
      </w:pPr>
      <w:r>
        <w:rPr>
          <w:rStyle w:val="FootnoteReference"/>
        </w:rPr>
        <w:footnoteRef/>
      </w:r>
      <w:r>
        <w:t xml:space="preserve"> </w:t>
      </w:r>
      <w:r>
        <w:tab/>
        <w:t xml:space="preserve">The terms “short-run” and “long-run” can be variable.  For example, historically, PacifiCorp’s short-run period before its next major thermal baseload acquisition was just a few years, but now PacifiCorp claims that it will not acquire a new CCCT for more than a decade (2029).  </w:t>
      </w:r>
      <w:r w:rsidRPr="00B92AA2">
        <w:rPr>
          <w:u w:val="single"/>
        </w:rPr>
        <w:t>PacifiCorp 2017 IRP</w:t>
      </w:r>
      <w:r>
        <w:t xml:space="preserve"> at 2.  While PacifiCorp’s plans are questionable, the fact is that these time periods can vary significantly.</w:t>
      </w:r>
    </w:p>
  </w:footnote>
  <w:footnote w:id="25">
    <w:p w14:paraId="233646DF" w14:textId="7864439C" w:rsidR="00355EBF" w:rsidRDefault="00355EBF" w:rsidP="00AF1E73">
      <w:pPr>
        <w:pStyle w:val="FootnoteText"/>
        <w:ind w:left="720" w:hanging="720"/>
      </w:pPr>
      <w:r>
        <w:rPr>
          <w:rStyle w:val="FootnoteReference"/>
        </w:rPr>
        <w:footnoteRef/>
      </w:r>
      <w:r>
        <w:t xml:space="preserve"> </w:t>
      </w:r>
      <w:r>
        <w:tab/>
      </w:r>
      <w:r w:rsidRPr="00A7392E">
        <w:rPr>
          <w:u w:val="single"/>
        </w:rPr>
        <w:t>WUTC v. Pacific Power &amp; Light Co</w:t>
      </w:r>
      <w:r w:rsidRPr="00F8227C">
        <w:rPr>
          <w:u w:val="single"/>
        </w:rPr>
        <w:t>.</w:t>
      </w:r>
      <w:r>
        <w:t>, Docket No. UE-144160, Order 04 at P. 31 (Nov. 12, 2015).</w:t>
      </w:r>
    </w:p>
  </w:footnote>
  <w:footnote w:id="26">
    <w:p w14:paraId="07E821BF" w14:textId="2AF49D44" w:rsidR="00355EBF" w:rsidRDefault="00355EBF" w:rsidP="00AF1E73">
      <w:pPr>
        <w:pStyle w:val="FootnoteText"/>
        <w:ind w:left="720" w:hanging="720"/>
      </w:pPr>
      <w:r>
        <w:rPr>
          <w:rStyle w:val="FootnoteReference"/>
        </w:rPr>
        <w:footnoteRef/>
      </w:r>
      <w:r>
        <w:t xml:space="preserve"> </w:t>
      </w:r>
      <w:r>
        <w:tab/>
      </w:r>
      <w:r w:rsidRPr="00704B29">
        <w:rPr>
          <w:u w:val="single"/>
        </w:rPr>
        <w:t>California Public Utilities Commission</w:t>
      </w:r>
      <w:r w:rsidRPr="00704B29">
        <w:t xml:space="preserve">, </w:t>
      </w:r>
      <w:r>
        <w:t xml:space="preserve">133 FERC ¶ 61,059 (hereinafter </w:t>
      </w:r>
      <w:r w:rsidRPr="00284F77">
        <w:rPr>
          <w:u w:val="single"/>
        </w:rPr>
        <w:t>SoCal Edison Clarification Order</w:t>
      </w:r>
      <w:r w:rsidRPr="00704B29">
        <w:t xml:space="preserve">) at P 27 (2010)(citing </w:t>
      </w:r>
      <w:r w:rsidRPr="00704B29">
        <w:rPr>
          <w:u w:val="single"/>
        </w:rPr>
        <w:t>SoCal</w:t>
      </w:r>
      <w:r w:rsidR="004A3292">
        <w:rPr>
          <w:u w:val="single"/>
        </w:rPr>
        <w:t xml:space="preserve"> </w:t>
      </w:r>
      <w:r w:rsidRPr="00704B29">
        <w:rPr>
          <w:u w:val="single"/>
        </w:rPr>
        <w:t>Edison</w:t>
      </w:r>
      <w:r w:rsidRPr="00704B29">
        <w:t>, 70 FERC ¶ 61,215 at 61,677</w:t>
      </w:r>
      <w:r>
        <w:t xml:space="preserve"> (1995)</w:t>
      </w:r>
      <w:r w:rsidRPr="00704B29">
        <w:t>).</w:t>
      </w:r>
    </w:p>
  </w:footnote>
  <w:footnote w:id="27">
    <w:p w14:paraId="6F635D92" w14:textId="7A7950FC" w:rsidR="00355EBF" w:rsidRDefault="00355EBF" w:rsidP="00AF1E73">
      <w:pPr>
        <w:pStyle w:val="FootnoteText"/>
        <w:ind w:left="720" w:hanging="720"/>
      </w:pPr>
      <w:r>
        <w:rPr>
          <w:rStyle w:val="FootnoteReference"/>
        </w:rPr>
        <w:footnoteRef/>
      </w:r>
      <w:r>
        <w:t xml:space="preserve"> </w:t>
      </w:r>
      <w:r>
        <w:tab/>
      </w:r>
      <w:r w:rsidRPr="00805184">
        <w:rPr>
          <w:u w:val="single"/>
        </w:rPr>
        <w:t>See</w:t>
      </w:r>
      <w:r w:rsidRPr="00E6600A">
        <w:t xml:space="preserve"> </w:t>
      </w:r>
      <w:r w:rsidRPr="00805184">
        <w:rPr>
          <w:u w:val="single"/>
        </w:rPr>
        <w:t>e.g.</w:t>
      </w:r>
      <w:r w:rsidRPr="00E6600A">
        <w:t>,</w:t>
      </w:r>
      <w:r>
        <w:t xml:space="preserve"> </w:t>
      </w:r>
      <w:r w:rsidRPr="00473871">
        <w:rPr>
          <w:u w:val="single"/>
        </w:rPr>
        <w:t xml:space="preserve">PacifiCorp 2017 </w:t>
      </w:r>
      <w:r>
        <w:rPr>
          <w:u w:val="single"/>
        </w:rPr>
        <w:t>IRP</w:t>
      </w:r>
      <w:r>
        <w:t xml:space="preserve"> at 2 (planning to acquire 1,100 MW of wind in 2021).</w:t>
      </w:r>
    </w:p>
  </w:footnote>
  <w:footnote w:id="28">
    <w:p w14:paraId="5209AB4A" w14:textId="77777777" w:rsidR="00355EBF" w:rsidRDefault="00355EBF" w:rsidP="00AF1E73">
      <w:pPr>
        <w:pStyle w:val="FootnoteText"/>
        <w:ind w:left="720" w:hanging="720"/>
      </w:pPr>
      <w:r>
        <w:rPr>
          <w:rStyle w:val="FootnoteReference"/>
        </w:rPr>
        <w:footnoteRef/>
      </w:r>
      <w:r>
        <w:t xml:space="preserve"> </w:t>
      </w:r>
      <w:r>
        <w:tab/>
      </w:r>
      <w:r w:rsidRPr="005E4706">
        <w:rPr>
          <w:u w:val="single"/>
        </w:rPr>
        <w:t>SoCal Edison Clarification Order</w:t>
      </w:r>
      <w:r>
        <w:t>, 133 FERC ¶ 61,059 at P 26.</w:t>
      </w:r>
    </w:p>
  </w:footnote>
  <w:footnote w:id="29">
    <w:p w14:paraId="233E795E" w14:textId="5F62B6E1" w:rsidR="00355EBF" w:rsidRDefault="00355EBF" w:rsidP="00AC6FB0">
      <w:pPr>
        <w:pStyle w:val="FootnoteText"/>
        <w:ind w:left="720" w:hanging="720"/>
      </w:pPr>
      <w:r>
        <w:rPr>
          <w:rStyle w:val="FootnoteReference"/>
        </w:rPr>
        <w:footnoteRef/>
      </w:r>
      <w:r>
        <w:t xml:space="preserve"> </w:t>
      </w:r>
      <w:r>
        <w:tab/>
      </w:r>
      <w:r>
        <w:rPr>
          <w:u w:val="single"/>
        </w:rPr>
        <w:t>Id.</w:t>
      </w:r>
      <w:r>
        <w:t xml:space="preserve"> at P 27.</w:t>
      </w:r>
    </w:p>
  </w:footnote>
  <w:footnote w:id="30">
    <w:p w14:paraId="60274911" w14:textId="0BF63C3B" w:rsidR="00355EBF" w:rsidRDefault="00355EBF" w:rsidP="00544BF9">
      <w:pPr>
        <w:pStyle w:val="FootnoteText"/>
        <w:ind w:left="720" w:hanging="720"/>
      </w:pPr>
      <w:r>
        <w:rPr>
          <w:rStyle w:val="FootnoteReference"/>
        </w:rPr>
        <w:footnoteRef/>
      </w:r>
      <w:r>
        <w:t xml:space="preserve"> </w:t>
      </w:r>
      <w:r>
        <w:tab/>
      </w:r>
      <w:r w:rsidRPr="005E4706">
        <w:rPr>
          <w:u w:val="single"/>
        </w:rPr>
        <w:t>Re Investigation Into Resource Sufficiency Pursuant to Order No. 06-538</w:t>
      </w:r>
      <w:r>
        <w:t>, OPUC Docket No. UM 1396, Order No. 11-505 at 9 (Dec. 13, 2011).</w:t>
      </w:r>
    </w:p>
  </w:footnote>
  <w:footnote w:id="31">
    <w:p w14:paraId="57FD1C75" w14:textId="45A017D7" w:rsidR="00355EBF" w:rsidRDefault="00355EBF" w:rsidP="00AF1E73">
      <w:pPr>
        <w:pStyle w:val="FootnoteText"/>
        <w:ind w:left="720" w:hanging="720"/>
      </w:pPr>
      <w:r>
        <w:rPr>
          <w:rStyle w:val="FootnoteReference"/>
        </w:rPr>
        <w:footnoteRef/>
      </w:r>
      <w:r>
        <w:t xml:space="preserve"> </w:t>
      </w:r>
      <w:r>
        <w:tab/>
      </w:r>
      <w:r w:rsidRPr="00101C9A">
        <w:rPr>
          <w:u w:val="single"/>
        </w:rPr>
        <w:t>Id.</w:t>
      </w:r>
    </w:p>
  </w:footnote>
  <w:footnote w:id="32">
    <w:p w14:paraId="52EACB8A" w14:textId="36C12B92" w:rsidR="00355EBF" w:rsidRPr="00C45286" w:rsidRDefault="00355EBF" w:rsidP="00AF1E73">
      <w:pPr>
        <w:pStyle w:val="FootnoteText"/>
        <w:ind w:left="720" w:hanging="720"/>
      </w:pPr>
      <w:r>
        <w:rPr>
          <w:rStyle w:val="FootnoteReference"/>
        </w:rPr>
        <w:footnoteRef/>
      </w:r>
      <w:r>
        <w:t xml:space="preserve"> </w:t>
      </w:r>
      <w:r>
        <w:tab/>
      </w:r>
      <w:r>
        <w:rPr>
          <w:u w:val="single"/>
        </w:rPr>
        <w:t>Windham Solar</w:t>
      </w:r>
      <w:r>
        <w:t xml:space="preserve">, 156 FERC ¶ 61,042 at P 4. </w:t>
      </w:r>
    </w:p>
  </w:footnote>
  <w:footnote w:id="33">
    <w:p w14:paraId="4173174B" w14:textId="5B73013A" w:rsidR="00355EBF" w:rsidRDefault="00355EBF" w:rsidP="00AF1E73">
      <w:pPr>
        <w:pStyle w:val="FootnoteText"/>
        <w:ind w:left="720" w:hanging="720"/>
      </w:pPr>
      <w:r>
        <w:rPr>
          <w:rStyle w:val="FootnoteReference"/>
        </w:rPr>
        <w:footnoteRef/>
      </w:r>
      <w:r>
        <w:t xml:space="preserve"> </w:t>
      </w:r>
      <w:r>
        <w:tab/>
      </w:r>
      <w:r w:rsidRPr="00BB4BF5">
        <w:rPr>
          <w:u w:val="single"/>
        </w:rPr>
        <w:t>Re Idaho Power Company’s Petition to Modify Terms and Conditions of PURPA Power Purchase Agreements</w:t>
      </w:r>
      <w:r>
        <w:t>, IPUC Case Nos. IPC-E-15-01, AVU-E-15-01, PAC-E-15-03, Order No. 33357 at 32 (Aug. 20, 2015).</w:t>
      </w:r>
    </w:p>
  </w:footnote>
  <w:footnote w:id="34">
    <w:p w14:paraId="77516D83" w14:textId="2B60589F" w:rsidR="00355EBF" w:rsidRDefault="00355EBF" w:rsidP="00AF1E73">
      <w:pPr>
        <w:pStyle w:val="FootnoteText"/>
        <w:ind w:left="720" w:hanging="720"/>
      </w:pPr>
      <w:r>
        <w:rPr>
          <w:rStyle w:val="FootnoteReference"/>
        </w:rPr>
        <w:footnoteRef/>
      </w:r>
      <w:r>
        <w:t xml:space="preserve"> </w:t>
      </w:r>
      <w:r>
        <w:tab/>
        <w:t>PacifiCorp formally proposed PURPA changes in five of its six states, but California uses Oregon policies, so any changes in Oregon’s PURPA implementation will carry over to California as well.</w:t>
      </w:r>
    </w:p>
  </w:footnote>
  <w:footnote w:id="35">
    <w:p w14:paraId="09E32F8E" w14:textId="77777777" w:rsidR="00355EBF" w:rsidRDefault="00355EBF" w:rsidP="00AF1E73">
      <w:pPr>
        <w:pStyle w:val="FootnoteText"/>
        <w:ind w:left="720" w:hanging="720"/>
      </w:pPr>
      <w:r>
        <w:rPr>
          <w:rStyle w:val="FootnoteReference"/>
        </w:rPr>
        <w:footnoteRef/>
      </w:r>
      <w:r>
        <w:t xml:space="preserve"> </w:t>
      </w:r>
      <w:r>
        <w:tab/>
      </w:r>
      <w:r w:rsidRPr="009D2A89">
        <w:rPr>
          <w:u w:val="single"/>
        </w:rPr>
        <w:t>Re Idaho Power Company’s Petition to Modify Terms and Conditions of PURPA Power Purchase Agreements</w:t>
      </w:r>
      <w:r w:rsidRPr="009D2A89">
        <w:t xml:space="preserve">, IPUC Case Nos. IPC-E-15-01, AVU-E-15-01, PAC-E-15-03, Order No. 33357 at 1, 4, 21 (Aug. 20, 2015); </w:t>
      </w:r>
      <w:r w:rsidRPr="009D2A89">
        <w:rPr>
          <w:u w:val="single"/>
        </w:rPr>
        <w:t>Re the Commission’s Review of PURPA QF Contract Provisions</w:t>
      </w:r>
      <w:r w:rsidRPr="009D2A89">
        <w:t>, IPUC Case No. GNR-E-11-03, Order No. 32697 at 21-22 (Dec. 18, 2012) (clarified in Order No. 32871 (Aug. 9, 2013)).</w:t>
      </w:r>
    </w:p>
  </w:footnote>
  <w:footnote w:id="36">
    <w:p w14:paraId="1EC57421" w14:textId="23417B08" w:rsidR="00355EBF" w:rsidRDefault="00355EBF" w:rsidP="00E03812">
      <w:pPr>
        <w:pStyle w:val="FootnoteText"/>
        <w:ind w:left="720" w:hanging="720"/>
      </w:pPr>
      <w:r>
        <w:rPr>
          <w:rStyle w:val="FootnoteReference"/>
        </w:rPr>
        <w:footnoteRef/>
      </w:r>
      <w:r>
        <w:t xml:space="preserve"> </w:t>
      </w:r>
      <w:r>
        <w:tab/>
        <w:t xml:space="preserve">In PGE’s 2013 IRP it estimated a 5% contribution to capacity, but in its 2016 IRP after implementing an ELCC methodology, that estimate jumped to 14%.  This three fold did not represent an actual increase in the capacity contribution, but only a modeling change.  </w:t>
      </w:r>
      <w:r w:rsidRPr="007A61C5">
        <w:rPr>
          <w:u w:val="single"/>
        </w:rPr>
        <w:t xml:space="preserve">Re </w:t>
      </w:r>
      <w:r>
        <w:rPr>
          <w:u w:val="single"/>
        </w:rPr>
        <w:t>Investigation to Explore Issues Related to a Renewable Generator’s Contribution to Capacity</w:t>
      </w:r>
      <w:r>
        <w:t>, OPUC Docket No. UM 1719, Order No. 16-326 at 3 (Aug. 26, 2016).</w:t>
      </w:r>
    </w:p>
  </w:footnote>
  <w:footnote w:id="37">
    <w:p w14:paraId="1494ED23" w14:textId="3665AF86" w:rsidR="00355EBF" w:rsidRDefault="00355EBF" w:rsidP="00E03812">
      <w:pPr>
        <w:pStyle w:val="FootnoteText"/>
        <w:ind w:left="720" w:hanging="720"/>
      </w:pPr>
      <w:r>
        <w:rPr>
          <w:rStyle w:val="FootnoteReference"/>
        </w:rPr>
        <w:footnoteRef/>
      </w:r>
      <w:r>
        <w:t xml:space="preserve"> </w:t>
      </w:r>
      <w:r>
        <w:tab/>
        <w:t xml:space="preserve">For PURPA alone, the issue was addressed in three orders over the course of a four-year administrative process in Oregon, including an (ultimately unsuccessful) application for reconsideration by Idaho Power Company.  </w:t>
      </w:r>
      <w:r w:rsidRPr="00704B29">
        <w:rPr>
          <w:u w:val="single"/>
        </w:rPr>
        <w:t>Re Investigation Into QF Contracting and Pricing</w:t>
      </w:r>
      <w:r w:rsidRPr="00704B29">
        <w:t xml:space="preserve">, OPUC Docket No. UM 1610, Order </w:t>
      </w:r>
      <w:r>
        <w:t xml:space="preserve">No. 14-058 at 2, 15 (Feb. 24, 2014); </w:t>
      </w:r>
      <w:r w:rsidRPr="00704B29">
        <w:rPr>
          <w:u w:val="single"/>
        </w:rPr>
        <w:t>Re Investigation Into QF Contracting and Pricing</w:t>
      </w:r>
      <w:r w:rsidRPr="00704B29">
        <w:t xml:space="preserve">, OPUC Docket No. UM 1610, Order </w:t>
      </w:r>
      <w:r>
        <w:t xml:space="preserve">No. 16-174 at 2, 12 (May 13, 2016); </w:t>
      </w:r>
      <w:r w:rsidRPr="00704B29">
        <w:rPr>
          <w:u w:val="single"/>
        </w:rPr>
        <w:t>Re Investigation Into QF Contracting and Pricing</w:t>
      </w:r>
      <w:r w:rsidRPr="00704B29">
        <w:t xml:space="preserve">, OPUC Docket No. UM 1610, Order No. </w:t>
      </w:r>
      <w:r>
        <w:t>16-337 at 3 (Sept. 8, 2016</w:t>
      </w:r>
      <w:r w:rsidRPr="00704B29">
        <w:t>)</w:t>
      </w:r>
      <w:r>
        <w:t xml:space="preserve"> (rejecting Idaho Power reconsideration). </w:t>
      </w:r>
      <w:r w:rsidRPr="00704B29">
        <w:t xml:space="preserve"> </w:t>
      </w:r>
      <w:r>
        <w:t xml:space="preserve">Although not PURPA specific, the issue was also addressed in an entirely separate proceeding regarding the capacity payments.  </w:t>
      </w:r>
      <w:r w:rsidRPr="00AF17D7">
        <w:rPr>
          <w:u w:val="single"/>
        </w:rPr>
        <w:t>Re I</w:t>
      </w:r>
      <w:r w:rsidRPr="00473871">
        <w:rPr>
          <w:u w:val="single"/>
        </w:rPr>
        <w:t>nvestigation to Explore Issues Related to a Renewable Generator’s Contribution to Capacity</w:t>
      </w:r>
      <w:r>
        <w:t>, OPUC Docket No. UM 1719, Order No. 16-326 (Aug. 26, 2016).  These cases do not include the utility IRPs, which look at resource types, but do not focus on PURPA projects.</w:t>
      </w:r>
    </w:p>
  </w:footnote>
  <w:footnote w:id="38">
    <w:p w14:paraId="3BCDD2A7" w14:textId="33B3AEA2" w:rsidR="00355EBF" w:rsidRDefault="00355EBF" w:rsidP="00AF1E73">
      <w:pPr>
        <w:pStyle w:val="FootnoteText"/>
        <w:ind w:left="720" w:hanging="720"/>
      </w:pPr>
      <w:r>
        <w:rPr>
          <w:rStyle w:val="FootnoteReference"/>
        </w:rPr>
        <w:footnoteRef/>
      </w:r>
      <w:r>
        <w:t xml:space="preserve"> </w:t>
      </w:r>
      <w:r>
        <w:tab/>
      </w:r>
      <w:r>
        <w:rPr>
          <w:u w:val="single"/>
        </w:rPr>
        <w:t>See</w:t>
      </w:r>
      <w:r w:rsidRPr="00CF1B3A">
        <w:t xml:space="preserve"> </w:t>
      </w:r>
      <w:r>
        <w:rPr>
          <w:u w:val="single"/>
        </w:rPr>
        <w:t>e.g.</w:t>
      </w:r>
      <w:r w:rsidRPr="00E6600A">
        <w:t>,</w:t>
      </w:r>
      <w:r w:rsidRPr="00CF1B3A">
        <w:t xml:space="preserve"> </w:t>
      </w:r>
      <w:r>
        <w:rPr>
          <w:u w:val="single"/>
        </w:rPr>
        <w:t>Re I</w:t>
      </w:r>
      <w:r w:rsidRPr="00473871">
        <w:rPr>
          <w:u w:val="single"/>
        </w:rPr>
        <w:t>nvestigation to Explore Issues Related to a Renewable Generator’s Contribution to Capacity</w:t>
      </w:r>
      <w:r>
        <w:t>, OPUC Docket No. UM 1719, Order No. 16-326 at 6 (Aug. 26, 2016) (allowing Idaho Power to opt out of ELCC calculations for IRP calculations).</w:t>
      </w:r>
    </w:p>
  </w:footnote>
  <w:footnote w:id="39">
    <w:p w14:paraId="385998F6" w14:textId="06F5FD7B" w:rsidR="00355EBF" w:rsidRPr="00704AC0" w:rsidRDefault="00355EBF" w:rsidP="0029746C">
      <w:pPr>
        <w:pStyle w:val="FootnoteText"/>
        <w:ind w:left="720" w:hanging="720"/>
      </w:pPr>
      <w:r>
        <w:rPr>
          <w:rStyle w:val="FootnoteReference"/>
        </w:rPr>
        <w:footnoteRef/>
      </w:r>
      <w:r>
        <w:t xml:space="preserve"> </w:t>
      </w:r>
      <w:r>
        <w:tab/>
      </w:r>
      <w:r>
        <w:rPr>
          <w:rFonts w:eastAsia="MS Mincho"/>
          <w:u w:val="single"/>
          <w:lang w:eastAsia="ja-JP"/>
        </w:rPr>
        <w:t>Re I</w:t>
      </w:r>
      <w:r w:rsidRPr="007A09CE">
        <w:rPr>
          <w:rFonts w:eastAsia="MS Mincho"/>
          <w:u w:val="single"/>
          <w:lang w:eastAsia="ja-JP"/>
        </w:rPr>
        <w:t>n</w:t>
      </w:r>
      <w:r w:rsidRPr="00704B29">
        <w:rPr>
          <w:rFonts w:eastAsia="MS Mincho"/>
          <w:u w:val="single"/>
          <w:lang w:eastAsia="ja-JP"/>
        </w:rPr>
        <w:t xml:space="preserve">vestigation Related to Electric Utility Purchases from </w:t>
      </w:r>
      <w:r>
        <w:rPr>
          <w:rFonts w:eastAsia="MS Mincho"/>
          <w:u w:val="single"/>
          <w:lang w:eastAsia="ja-JP"/>
        </w:rPr>
        <w:t>QFs</w:t>
      </w:r>
      <w:r w:rsidRPr="00704B29">
        <w:rPr>
          <w:rFonts w:eastAsia="MS Mincho"/>
          <w:lang w:eastAsia="ja-JP"/>
        </w:rPr>
        <w:t>, OPUC Docket No.  UM 1129, Order No. 05-584 at 17 (May 13, 2005) (establishing a 10 MW size threshold)</w:t>
      </w:r>
      <w:r w:rsidRPr="00704B29">
        <w:t xml:space="preserve">; </w:t>
      </w:r>
      <w:r w:rsidRPr="00704B29">
        <w:rPr>
          <w:u w:val="single"/>
        </w:rPr>
        <w:t>Re Investigation Into QF Contracting and Pricing</w:t>
      </w:r>
      <w:r w:rsidRPr="00704B29">
        <w:t>, OPUC Docket No. UM 1610, Order No. 14-058 at 7 (Feb. 24, 2014) (upholding the 10 MW size threshold);</w:t>
      </w:r>
      <w:r w:rsidRPr="001F468D">
        <w:t xml:space="preserve"> </w:t>
      </w:r>
      <w:r w:rsidRPr="00704B29">
        <w:rPr>
          <w:u w:val="single"/>
        </w:rPr>
        <w:t xml:space="preserve">Re PacifiCorp, dba Pacific Power, Application to Reduce the </w:t>
      </w:r>
      <w:r>
        <w:rPr>
          <w:u w:val="single"/>
        </w:rPr>
        <w:t>QF</w:t>
      </w:r>
      <w:r w:rsidRPr="00704B29">
        <w:rPr>
          <w:u w:val="single"/>
        </w:rPr>
        <w:t xml:space="preserve"> Contract Term and Lower the </w:t>
      </w:r>
      <w:r>
        <w:rPr>
          <w:u w:val="single"/>
        </w:rPr>
        <w:t>QF</w:t>
      </w:r>
      <w:r w:rsidRPr="00704B29">
        <w:rPr>
          <w:u w:val="single"/>
        </w:rPr>
        <w:t xml:space="preserve"> Standard Contract Eligibility Cap</w:t>
      </w:r>
      <w:r w:rsidRPr="00704B29">
        <w:t xml:space="preserve">, OPUC Docket No. UM 1734, Order No. 16-130 at 4-5 (Mar. 29, 2016) (reducing the size threshold for solar projects); </w:t>
      </w:r>
      <w:r w:rsidRPr="00704B29">
        <w:rPr>
          <w:u w:val="single"/>
        </w:rPr>
        <w:t>Re Idaho Power Application to Lower Standard Contract Eligibility Cap and to Reduce the Standard Contract Term, for Approval of Solar Integration Charge, and for Change in Resource Sufficiency Determination</w:t>
      </w:r>
      <w:r w:rsidRPr="00704B29">
        <w:t>, Docket No. UM 1725</w:t>
      </w:r>
      <w:r>
        <w:t>, Order No. 16-129 at 4-6 (Mar.</w:t>
      </w:r>
      <w:r w:rsidRPr="00704B29">
        <w:t xml:space="preserve"> 29, 2016) (reducing the size threshold for solar projects).</w:t>
      </w:r>
    </w:p>
  </w:footnote>
  <w:footnote w:id="40">
    <w:p w14:paraId="7F9D92E0" w14:textId="24F2CD02" w:rsidR="00355EBF" w:rsidRDefault="00355EBF" w:rsidP="0029746C">
      <w:pPr>
        <w:pStyle w:val="FootnoteText"/>
        <w:ind w:left="720" w:hanging="720"/>
      </w:pPr>
      <w:r>
        <w:rPr>
          <w:rStyle w:val="FootnoteReference"/>
        </w:rPr>
        <w:footnoteRef/>
      </w:r>
      <w:r>
        <w:t xml:space="preserve"> </w:t>
      </w:r>
      <w:r>
        <w:tab/>
      </w:r>
      <w:r w:rsidRPr="001F468D">
        <w:t xml:space="preserve">After entering into a number of solar PPAs in 2014 and most of 2015, PacifiCorp has not entered into an Oregon solar QF PPA since December 2015, which was soon after the Oregon Commission adopted an interim 3 MW solar size threshold on August 14, </w:t>
      </w:r>
      <w:r w:rsidRPr="007A09CE">
        <w:t xml:space="preserve">2015.  </w:t>
      </w:r>
      <w:r w:rsidRPr="00704B29">
        <w:rPr>
          <w:u w:val="single"/>
        </w:rPr>
        <w:t xml:space="preserve">Re PacifiCorp, dba Pacific Power, Application to Reduce the </w:t>
      </w:r>
      <w:r>
        <w:rPr>
          <w:u w:val="single"/>
        </w:rPr>
        <w:t>QF</w:t>
      </w:r>
      <w:r w:rsidRPr="00704B29">
        <w:rPr>
          <w:u w:val="single"/>
        </w:rPr>
        <w:t xml:space="preserve"> Contract Term and Lower the </w:t>
      </w:r>
      <w:r>
        <w:rPr>
          <w:u w:val="single"/>
        </w:rPr>
        <w:t>QF</w:t>
      </w:r>
      <w:r w:rsidRPr="00704B29">
        <w:rPr>
          <w:u w:val="single"/>
        </w:rPr>
        <w:t xml:space="preserve"> Standard Contract Eligibility Cap</w:t>
      </w:r>
      <w:r w:rsidRPr="00704B29">
        <w:t>, OPUC Docket No. UM 1734, Order No. 15-241 at 1 (Aug. 14, 2015);</w:t>
      </w:r>
      <w:r w:rsidRPr="001F468D">
        <w:t xml:space="preserve"> </w:t>
      </w:r>
      <w:r w:rsidRPr="007A09CE">
        <w:t xml:space="preserve">http://apps.puc.state.or.us/edockets/docket.asp?DocketID=19097 (list of PacifiCorp Oregon QF PPAs).  The 3 MW solar size threshold was made permanent on March 29, 2016.  </w:t>
      </w:r>
      <w:r w:rsidRPr="00704B29">
        <w:rPr>
          <w:u w:val="single"/>
        </w:rPr>
        <w:t xml:space="preserve">Re PacifiCorp, dba Pacific Power, Application to Reduce the </w:t>
      </w:r>
      <w:r>
        <w:rPr>
          <w:u w:val="single"/>
        </w:rPr>
        <w:t>QF</w:t>
      </w:r>
      <w:r w:rsidRPr="00704B29">
        <w:rPr>
          <w:u w:val="single"/>
        </w:rPr>
        <w:t xml:space="preserve"> Contract Term and Lower the </w:t>
      </w:r>
      <w:r>
        <w:rPr>
          <w:u w:val="single"/>
        </w:rPr>
        <w:t>QF</w:t>
      </w:r>
      <w:r w:rsidRPr="00704B29">
        <w:rPr>
          <w:u w:val="single"/>
        </w:rPr>
        <w:t xml:space="preserve"> Standard Contract Eligibility Cap</w:t>
      </w:r>
      <w:r w:rsidRPr="00704B29">
        <w:t>, OPUC Docket No. UM 1734, Order No. 16-130 at 4-5 (Mar. 29, 2016).</w:t>
      </w:r>
    </w:p>
  </w:footnote>
  <w:footnote w:id="41">
    <w:p w14:paraId="38D6FA14" w14:textId="6A460313" w:rsidR="00355EBF" w:rsidRDefault="00355EBF">
      <w:pPr>
        <w:pStyle w:val="FootnoteText"/>
      </w:pPr>
      <w:r>
        <w:rPr>
          <w:rStyle w:val="FootnoteReference"/>
        </w:rPr>
        <w:footnoteRef/>
      </w:r>
      <w:r>
        <w:t xml:space="preserve"> </w:t>
      </w:r>
      <w:r>
        <w:tab/>
        <w:t>PacifiCorp is 2 MW, PSE is 5 MW, and Avista is 5 MW.</w:t>
      </w:r>
    </w:p>
  </w:footnote>
  <w:footnote w:id="42">
    <w:p w14:paraId="45EDD088" w14:textId="77E12CA8" w:rsidR="00355EBF" w:rsidRDefault="00355EBF" w:rsidP="007D5CA5">
      <w:pPr>
        <w:pStyle w:val="FootnoteText"/>
        <w:ind w:left="720" w:hanging="720"/>
      </w:pPr>
      <w:r>
        <w:rPr>
          <w:rStyle w:val="FootnoteReference"/>
        </w:rPr>
        <w:footnoteRef/>
      </w:r>
      <w:r>
        <w:t xml:space="preserve"> </w:t>
      </w:r>
      <w:r>
        <w:tab/>
      </w:r>
      <w:r>
        <w:rPr>
          <w:u w:val="single"/>
        </w:rPr>
        <w:t>Winding Creek</w:t>
      </w:r>
      <w:r>
        <w:t xml:space="preserve">, 151 FERC ¶ 61,103 at P 6 (citing California Commission Decision D.10-12-035, pp. 14-15, 44-45). </w:t>
      </w:r>
    </w:p>
  </w:footnote>
  <w:footnote w:id="43">
    <w:p w14:paraId="68729C44" w14:textId="548D9601" w:rsidR="00355EBF" w:rsidRDefault="00355EBF" w:rsidP="0078398C">
      <w:pPr>
        <w:pStyle w:val="FootnoteText"/>
        <w:ind w:left="720" w:hanging="720"/>
      </w:pPr>
      <w:r>
        <w:rPr>
          <w:rStyle w:val="FootnoteReference"/>
        </w:rPr>
        <w:footnoteRef/>
      </w:r>
      <w:r>
        <w:t xml:space="preserve"> </w:t>
      </w:r>
      <w:r>
        <w:tab/>
        <w:t xml:space="preserve">PacifiCorp’s Washington service territory is geographically similar to Oregon, with one quarter the size.  As of early 2015, PacifiCorp had no PPAs with QFs above the 2 MW size threshold in Washington, and only 2 out of about 50 QF projects in Oregon were above that state’s 10 MW size threshold.  These two large Oregon QFs are both biomass projects.  As of 2015, PacifiCorp had a modest 226 nameplate MW of Oregon QF development representing a wide variety of small and mid-sized hydro, biomass, CHP, wind and methane QFs between 2 and 10 MWs. Washington is simply losing out on similar non-utility resource development because of its PURPA policies.  Information based on </w:t>
      </w:r>
      <w:r w:rsidRPr="006847A7">
        <w:rPr>
          <w:u w:val="single"/>
        </w:rPr>
        <w:t>WUTC v. Pacific Power &amp; Light Co.</w:t>
      </w:r>
      <w:r w:rsidRPr="009D0625">
        <w:t>,</w:t>
      </w:r>
      <w:r>
        <w:t xml:space="preserve"> Docket No. UE-144160, Unopposed Joint Motion to Admit Evidence at</w:t>
      </w:r>
      <w:r w:rsidRPr="007D5CA5">
        <w:t xml:space="preserve"> Exh</w:t>
      </w:r>
      <w:r>
        <w:t xml:space="preserve">ibit 1 List of QFs REDACTED (May 7, 2015), available at: </w:t>
      </w:r>
      <w:r w:rsidRPr="001279A9">
        <w:t>https://www.utc.wa.gov/docs/Pages/DocketLookup.aspx?FilingID=144160</w:t>
      </w:r>
      <w:r>
        <w:t xml:space="preserve">. </w:t>
      </w:r>
    </w:p>
  </w:footnote>
  <w:footnote w:id="44">
    <w:p w14:paraId="0498A1A9" w14:textId="352841F7" w:rsidR="00355EBF" w:rsidRDefault="00355EBF" w:rsidP="00B9553B">
      <w:pPr>
        <w:pStyle w:val="FootnoteText"/>
        <w:ind w:left="720" w:hanging="720"/>
      </w:pPr>
      <w:r>
        <w:rPr>
          <w:rStyle w:val="FootnoteReference"/>
        </w:rPr>
        <w:footnoteRef/>
      </w:r>
      <w:r>
        <w:t xml:space="preserve"> </w:t>
      </w:r>
      <w:r>
        <w:tab/>
        <w:t xml:space="preserve">PacifiCorp’s Oregon small and large rate schedules include timelines and information requirements, and the Oregon Commission has approved a specific process for setting QF large rates, and PacifiCorp’s large rate schedule for Idaho, Utah and Wyoming include specific timelines and informational requirements and those commissions have approved specific processes for setting large QF rates.   </w:t>
      </w:r>
    </w:p>
  </w:footnote>
  <w:footnote w:id="45">
    <w:p w14:paraId="072F8AD3" w14:textId="413A8BC3" w:rsidR="00355EBF" w:rsidRDefault="00355EBF" w:rsidP="00B9553B">
      <w:pPr>
        <w:pStyle w:val="FootnoteText"/>
        <w:ind w:left="720" w:hanging="720"/>
      </w:pPr>
      <w:r>
        <w:rPr>
          <w:rStyle w:val="FootnoteReference"/>
        </w:rPr>
        <w:footnoteRef/>
      </w:r>
      <w:r>
        <w:t xml:space="preserve"> </w:t>
      </w:r>
      <w:r>
        <w:tab/>
      </w:r>
      <w:r>
        <w:rPr>
          <w:rFonts w:eastAsia="MS Mincho"/>
          <w:u w:val="single"/>
          <w:lang w:eastAsia="ja-JP"/>
        </w:rPr>
        <w:t>Re I</w:t>
      </w:r>
      <w:r w:rsidRPr="009542C3">
        <w:rPr>
          <w:rFonts w:eastAsia="MS Mincho"/>
          <w:u w:val="single"/>
          <w:lang w:eastAsia="ja-JP"/>
        </w:rPr>
        <w:t>nvestigation Related to Electric Utility Purchases from QFs</w:t>
      </w:r>
      <w:r>
        <w:rPr>
          <w:rFonts w:eastAsia="MS Mincho"/>
          <w:lang w:eastAsia="ja-JP"/>
        </w:rPr>
        <w:t>, OPUC Docket No. UM 1129, Order No. 05-584 at 17 (May 13, 2005).</w:t>
      </w:r>
    </w:p>
  </w:footnote>
  <w:footnote w:id="46">
    <w:p w14:paraId="6D25749E" w14:textId="24C683A9" w:rsidR="00355EBF" w:rsidRDefault="00355EBF" w:rsidP="00B9553B">
      <w:pPr>
        <w:pStyle w:val="FootnoteText"/>
        <w:ind w:left="720" w:hanging="720"/>
      </w:pPr>
      <w:r>
        <w:rPr>
          <w:rStyle w:val="FootnoteReference"/>
        </w:rPr>
        <w:footnoteRef/>
      </w:r>
      <w:r>
        <w:t xml:space="preserve"> </w:t>
      </w:r>
      <w:r>
        <w:tab/>
      </w:r>
      <w:bookmarkStart w:id="2" w:name="_Hlk480189519"/>
      <w:r w:rsidRPr="00704B29">
        <w:rPr>
          <w:u w:val="single"/>
        </w:rPr>
        <w:t>Re Investigation Related to Electric Utili</w:t>
      </w:r>
      <w:r>
        <w:rPr>
          <w:u w:val="single"/>
        </w:rPr>
        <w:t>ty Purchases from QFs</w:t>
      </w:r>
      <w:r w:rsidRPr="00704B29">
        <w:t>, OPUC Docket No. UM 1129, Order No. 07-360 at 1 (Aug. 20, 2007).</w:t>
      </w:r>
      <w:bookmarkEnd w:id="2"/>
    </w:p>
  </w:footnote>
  <w:footnote w:id="47">
    <w:p w14:paraId="55663426" w14:textId="6326B2AD" w:rsidR="00355EBF" w:rsidRDefault="00355EBF" w:rsidP="00355EBF">
      <w:pPr>
        <w:ind w:left="720" w:hanging="720"/>
      </w:pPr>
      <w:r>
        <w:rPr>
          <w:rStyle w:val="FootnoteReference"/>
        </w:rPr>
        <w:footnoteRef/>
      </w:r>
      <w:r>
        <w:t xml:space="preserve"> </w:t>
      </w:r>
      <w:r>
        <w:tab/>
      </w:r>
      <w:r w:rsidRPr="007A09CE">
        <w:rPr>
          <w:u w:val="single"/>
        </w:rPr>
        <w:t>See</w:t>
      </w:r>
      <w:r w:rsidRPr="00E6600A">
        <w:t xml:space="preserve"> </w:t>
      </w:r>
      <w:r w:rsidRPr="007A09CE">
        <w:rPr>
          <w:u w:val="single"/>
        </w:rPr>
        <w:t>e.g.</w:t>
      </w:r>
      <w:r w:rsidRPr="007A09CE">
        <w:t xml:space="preserve">, </w:t>
      </w:r>
      <w:r w:rsidRPr="00704B29">
        <w:rPr>
          <w:u w:val="single"/>
        </w:rPr>
        <w:t>Re PacifiCorp dba Rocky Mountain Power’s Application to Approve Elec. Service Schedule No. 38 Qualifying Facility Avoided Cost Procedures</w:t>
      </w:r>
      <w:r w:rsidRPr="00704B29">
        <w:t>, IPUC Case No. PAC-E-16-01, Order No</w:t>
      </w:r>
      <w:r>
        <w:t>. 33474 at 1-4 (Mar.</w:t>
      </w:r>
      <w:r w:rsidRPr="00704B29">
        <w:t xml:space="preserve"> 3, 2016).</w:t>
      </w:r>
    </w:p>
  </w:footnote>
  <w:footnote w:id="48">
    <w:p w14:paraId="4832A115" w14:textId="6BF24FFE" w:rsidR="00355EBF" w:rsidRDefault="00355EBF" w:rsidP="00AF1E73">
      <w:pPr>
        <w:pStyle w:val="FootnoteText"/>
        <w:ind w:left="720" w:hanging="720"/>
      </w:pPr>
      <w:r>
        <w:rPr>
          <w:rStyle w:val="FootnoteReference"/>
        </w:rPr>
        <w:footnoteRef/>
      </w:r>
      <w:r>
        <w:t xml:space="preserve"> </w:t>
      </w:r>
      <w:r>
        <w:tab/>
      </w:r>
      <w:r w:rsidRPr="00704B29">
        <w:rPr>
          <w:u w:val="single"/>
        </w:rPr>
        <w:t>Re Idaho Power Application to Lower Standard Contract Eligibility Cap and to Reduce the Standard Contract Term, for Approval of Solar Integration Charge, and for Change in Resource Sufficiency Determination</w:t>
      </w:r>
      <w:r w:rsidRPr="00704B29">
        <w:t xml:space="preserve">, Docket No. UM 1725, Order No. 16-129 at 5-6 (March 29, 2016) (standard contracts provisions still available to solar QFs up to 10 MWs); </w:t>
      </w:r>
      <w:r w:rsidRPr="00704B29">
        <w:rPr>
          <w:u w:val="single"/>
        </w:rPr>
        <w:t>Re PacifiCorp, dba Pacific Power, Application t</w:t>
      </w:r>
      <w:r>
        <w:rPr>
          <w:u w:val="single"/>
        </w:rPr>
        <w:t>o Reduce the QF</w:t>
      </w:r>
      <w:r w:rsidRPr="00704B29">
        <w:rPr>
          <w:u w:val="single"/>
        </w:rPr>
        <w:t xml:space="preserve"> Contract Term an</w:t>
      </w:r>
      <w:r>
        <w:rPr>
          <w:u w:val="single"/>
        </w:rPr>
        <w:t xml:space="preserve">d Lower the QF </w:t>
      </w:r>
      <w:r w:rsidRPr="00704B29">
        <w:rPr>
          <w:u w:val="single"/>
        </w:rPr>
        <w:t>Standard Contract Eligibility Cap</w:t>
      </w:r>
      <w:r w:rsidRPr="00704B29">
        <w:t>, OPUC Docket No. UM 1734, Order No. 16-130 at 4-5 (Mar. 29, 2016) (standard contracts provisions still available to solar QFs up to 10 MWs).</w:t>
      </w:r>
    </w:p>
  </w:footnote>
  <w:footnote w:id="49">
    <w:p w14:paraId="1E15897B" w14:textId="77777777" w:rsidR="00355EBF" w:rsidRDefault="00355EBF" w:rsidP="00AF1E73">
      <w:pPr>
        <w:pStyle w:val="FootnoteText"/>
        <w:ind w:left="720" w:hanging="720"/>
      </w:pPr>
      <w:r>
        <w:rPr>
          <w:rStyle w:val="FootnoteReference"/>
        </w:rPr>
        <w:footnoteRef/>
      </w:r>
      <w:r>
        <w:t xml:space="preserve"> </w:t>
      </w:r>
      <w:r>
        <w:tab/>
      </w:r>
      <w:r w:rsidRPr="00B66AF9">
        <w:t xml:space="preserve">18 C.F.R. § 292.304(d)(2)(ii) (emphasis added).  </w:t>
      </w:r>
    </w:p>
  </w:footnote>
  <w:footnote w:id="50">
    <w:p w14:paraId="5202CFFA" w14:textId="28FF2C8C" w:rsidR="00355EBF" w:rsidRDefault="00355EBF" w:rsidP="00AF1E73">
      <w:pPr>
        <w:pStyle w:val="FootnoteText"/>
        <w:ind w:left="720" w:hanging="720"/>
      </w:pPr>
      <w:r>
        <w:rPr>
          <w:rStyle w:val="FootnoteReference"/>
        </w:rPr>
        <w:footnoteRef/>
      </w:r>
      <w:r>
        <w:t xml:space="preserve"> </w:t>
      </w:r>
      <w:r>
        <w:tab/>
        <w:t>FERC Order No. 69, at 12,224</w:t>
      </w:r>
      <w:r w:rsidRPr="00764641">
        <w:t>.</w:t>
      </w:r>
    </w:p>
  </w:footnote>
  <w:footnote w:id="51">
    <w:p w14:paraId="50F19232" w14:textId="77777777" w:rsidR="00355EBF" w:rsidRDefault="00355EBF" w:rsidP="00AF1E73">
      <w:pPr>
        <w:pStyle w:val="FootnoteText"/>
        <w:ind w:left="720" w:hanging="720"/>
      </w:pPr>
      <w:r>
        <w:rPr>
          <w:rStyle w:val="FootnoteReference"/>
        </w:rPr>
        <w:footnoteRef/>
      </w:r>
      <w:r>
        <w:t xml:space="preserve"> </w:t>
      </w:r>
      <w:r>
        <w:tab/>
      </w:r>
      <w:r w:rsidRPr="00C127E9">
        <w:rPr>
          <w:u w:val="single"/>
        </w:rPr>
        <w:t>Id.</w:t>
      </w:r>
      <w:r w:rsidRPr="00C127E9">
        <w:t xml:space="preserve"> (emphasis added).  </w:t>
      </w:r>
    </w:p>
  </w:footnote>
  <w:footnote w:id="52">
    <w:p w14:paraId="5E8262FA" w14:textId="77777777" w:rsidR="00355EBF" w:rsidRDefault="00355EBF" w:rsidP="00AF1E73">
      <w:pPr>
        <w:pStyle w:val="FootnoteText"/>
        <w:ind w:left="720" w:hanging="720"/>
      </w:pPr>
      <w:r>
        <w:rPr>
          <w:rStyle w:val="FootnoteReference"/>
        </w:rPr>
        <w:footnoteRef/>
      </w:r>
      <w:r>
        <w:t xml:space="preserve"> </w:t>
      </w:r>
      <w:r>
        <w:tab/>
      </w:r>
      <w:r w:rsidRPr="00C127E9">
        <w:rPr>
          <w:u w:val="single"/>
        </w:rPr>
        <w:t>Id.</w:t>
      </w:r>
      <w:r>
        <w:t xml:space="preserve">  </w:t>
      </w:r>
    </w:p>
  </w:footnote>
  <w:footnote w:id="53">
    <w:p w14:paraId="59469107" w14:textId="77777777" w:rsidR="00355EBF" w:rsidRDefault="00355EBF" w:rsidP="00AF1E73">
      <w:pPr>
        <w:pStyle w:val="FootnoteText"/>
        <w:ind w:left="720" w:hanging="720"/>
      </w:pPr>
      <w:r>
        <w:rPr>
          <w:rStyle w:val="FootnoteReference"/>
        </w:rPr>
        <w:footnoteRef/>
      </w:r>
      <w:r>
        <w:t xml:space="preserve"> </w:t>
      </w:r>
      <w:r>
        <w:tab/>
        <w:t xml:space="preserve">FERC Order 69 at 30,868.  </w:t>
      </w:r>
    </w:p>
  </w:footnote>
  <w:footnote w:id="54">
    <w:p w14:paraId="4B1BF05B" w14:textId="38F286E7" w:rsidR="00355EBF" w:rsidRDefault="00355EBF" w:rsidP="00AF1E73">
      <w:pPr>
        <w:pStyle w:val="FootnoteText"/>
        <w:ind w:left="720" w:hanging="720"/>
      </w:pPr>
      <w:r>
        <w:rPr>
          <w:rStyle w:val="FootnoteReference"/>
        </w:rPr>
        <w:footnoteRef/>
      </w:r>
      <w:r>
        <w:t xml:space="preserve"> </w:t>
      </w:r>
      <w:r>
        <w:tab/>
      </w:r>
      <w:r w:rsidRPr="00FC2D7E">
        <w:rPr>
          <w:u w:val="single"/>
        </w:rPr>
        <w:t>See</w:t>
      </w:r>
      <w:r w:rsidRPr="00FC2D7E">
        <w:t xml:space="preserve"> </w:t>
      </w:r>
      <w:r>
        <w:rPr>
          <w:u w:val="single"/>
        </w:rPr>
        <w:t>Va Elec.</w:t>
      </w:r>
      <w:r w:rsidRPr="00FC2D7E">
        <w:rPr>
          <w:u w:val="single"/>
        </w:rPr>
        <w:t xml:space="preserve"> and Power Co</w:t>
      </w:r>
      <w:r>
        <w:rPr>
          <w:u w:val="single"/>
        </w:rPr>
        <w:t>.</w:t>
      </w:r>
      <w:r w:rsidRPr="00FC2D7E">
        <w:t>,</w:t>
      </w:r>
      <w:r>
        <w:t xml:space="preserve"> 151 FERC ¶ 61,038, P. 24 (2015); </w:t>
      </w:r>
      <w:r>
        <w:rPr>
          <w:u w:val="single"/>
        </w:rPr>
        <w:t>Hydrodynamics</w:t>
      </w:r>
      <w:r w:rsidRPr="00FC2D7E">
        <w:t>, 146 F</w:t>
      </w:r>
      <w:r>
        <w:t>ERC ¶ 61,193 at P 31</w:t>
      </w:r>
      <w:r w:rsidRPr="00FC2D7E">
        <w:t xml:space="preserve">; </w:t>
      </w:r>
      <w:r>
        <w:rPr>
          <w:u w:val="single"/>
        </w:rPr>
        <w:t>Cedar Creek</w:t>
      </w:r>
      <w:r w:rsidRPr="00FC2D7E">
        <w:t>, 137 F</w:t>
      </w:r>
      <w:r>
        <w:t>ERC ¶ 61,006 at P 32</w:t>
      </w:r>
      <w:r w:rsidRPr="00FC2D7E">
        <w:t xml:space="preserve">; </w:t>
      </w:r>
      <w:r>
        <w:rPr>
          <w:u w:val="single"/>
        </w:rPr>
        <w:t>N.Y. State Elec.</w:t>
      </w:r>
      <w:r w:rsidRPr="00FC2D7E">
        <w:rPr>
          <w:u w:val="single"/>
        </w:rPr>
        <w:t xml:space="preserve"> &amp; Gas Corp.</w:t>
      </w:r>
      <w:r w:rsidRPr="00FC2D7E">
        <w:t>, 71 FERC</w:t>
      </w:r>
      <w:r>
        <w:t xml:space="preserve"> ¶ 61,027, 61,115-61,116 (1995).</w:t>
      </w:r>
    </w:p>
  </w:footnote>
  <w:footnote w:id="55">
    <w:p w14:paraId="09E09D3E" w14:textId="58467FAA" w:rsidR="00355EBF" w:rsidRDefault="00355EBF" w:rsidP="00AF1E73">
      <w:pPr>
        <w:pStyle w:val="FootnoteText"/>
        <w:ind w:left="720" w:hanging="720"/>
      </w:pPr>
      <w:r>
        <w:rPr>
          <w:rStyle w:val="FootnoteReference"/>
        </w:rPr>
        <w:footnoteRef/>
      </w:r>
      <w:r>
        <w:t xml:space="preserve"> </w:t>
      </w:r>
      <w:r>
        <w:tab/>
      </w:r>
      <w:r w:rsidRPr="00812CBA">
        <w:rPr>
          <w:u w:val="single"/>
        </w:rPr>
        <w:t>Hydrodynamics</w:t>
      </w:r>
      <w:r w:rsidRPr="00812CBA">
        <w:t xml:space="preserve">, 146 61,193 at P 33 (emphasis added).  </w:t>
      </w:r>
    </w:p>
  </w:footnote>
  <w:footnote w:id="56">
    <w:p w14:paraId="08FD0042" w14:textId="11C971F0" w:rsidR="00355EBF" w:rsidRDefault="00355EBF" w:rsidP="00AF1E73">
      <w:pPr>
        <w:pStyle w:val="FootnoteText"/>
        <w:ind w:left="720" w:hanging="720"/>
      </w:pPr>
      <w:r>
        <w:rPr>
          <w:rStyle w:val="FootnoteReference"/>
        </w:rPr>
        <w:footnoteRef/>
      </w:r>
      <w:r>
        <w:t xml:space="preserve"> </w:t>
      </w:r>
      <w:r>
        <w:tab/>
      </w:r>
      <w:r w:rsidRPr="00812CBA">
        <w:rPr>
          <w:u w:val="single"/>
        </w:rPr>
        <w:t>Id.</w:t>
      </w:r>
      <w:r w:rsidRPr="00812CBA">
        <w:rPr>
          <w:i/>
        </w:rPr>
        <w:t xml:space="preserve"> </w:t>
      </w:r>
      <w:r w:rsidRPr="00812CBA">
        <w:t xml:space="preserve">at P 34.  </w:t>
      </w:r>
    </w:p>
  </w:footnote>
  <w:footnote w:id="57">
    <w:p w14:paraId="53EF0028" w14:textId="42B668CE" w:rsidR="00355EBF" w:rsidRDefault="00355EBF" w:rsidP="00AF1E73">
      <w:pPr>
        <w:pStyle w:val="FootnoteText"/>
        <w:ind w:left="720" w:hanging="720"/>
      </w:pPr>
      <w:r>
        <w:rPr>
          <w:rStyle w:val="FootnoteReference"/>
        </w:rPr>
        <w:footnoteRef/>
      </w:r>
      <w:r>
        <w:t xml:space="preserve"> </w:t>
      </w:r>
      <w:r>
        <w:tab/>
      </w:r>
      <w:r w:rsidRPr="009542C3">
        <w:rPr>
          <w:u w:val="single"/>
        </w:rPr>
        <w:t>Pacific Power &amp; Light Co., Schedule 37 (Washington</w:t>
      </w:r>
      <w:r>
        <w:t xml:space="preserve">) at 2, available at: </w:t>
      </w:r>
      <w:r w:rsidRPr="00CD2D31">
        <w:t>https://www.pacificpower.net/content/dam/pacific_power/doc/About_Us/Rates_Regulation/Washington/Approved_Tariffs/Rate_Schedules/Cogeneration_and_Small_Power_Production.pdf</w:t>
      </w:r>
      <w:r>
        <w:t>.</w:t>
      </w:r>
    </w:p>
  </w:footnote>
  <w:footnote w:id="58">
    <w:p w14:paraId="61DB6996" w14:textId="3BC5BE3F" w:rsidR="00355EBF" w:rsidRDefault="00355EBF" w:rsidP="00116785">
      <w:pPr>
        <w:pStyle w:val="FootnoteText"/>
        <w:ind w:left="720" w:hanging="720"/>
      </w:pPr>
      <w:r>
        <w:rPr>
          <w:rStyle w:val="FootnoteReference"/>
        </w:rPr>
        <w:footnoteRef/>
      </w:r>
      <w:r>
        <w:t xml:space="preserve"> </w:t>
      </w:r>
      <w:r>
        <w:tab/>
      </w:r>
      <w:r>
        <w:rPr>
          <w:rFonts w:eastAsia="MS Mincho"/>
          <w:u w:val="single"/>
          <w:lang w:eastAsia="ja-JP"/>
        </w:rPr>
        <w:t>Re I</w:t>
      </w:r>
      <w:r w:rsidRPr="00704B29">
        <w:rPr>
          <w:rFonts w:eastAsia="MS Mincho"/>
          <w:u w:val="single"/>
          <w:lang w:eastAsia="ja-JP"/>
        </w:rPr>
        <w:t>nvestigation Related to Electric Utility Pur</w:t>
      </w:r>
      <w:r>
        <w:rPr>
          <w:rFonts w:eastAsia="MS Mincho"/>
          <w:u w:val="single"/>
          <w:lang w:eastAsia="ja-JP"/>
        </w:rPr>
        <w:t>chases from QF</w:t>
      </w:r>
      <w:r w:rsidRPr="00704B29">
        <w:rPr>
          <w:rFonts w:eastAsia="MS Mincho"/>
          <w:u w:val="single"/>
          <w:lang w:eastAsia="ja-JP"/>
        </w:rPr>
        <w:t>s</w:t>
      </w:r>
      <w:r w:rsidRPr="00704B29">
        <w:rPr>
          <w:rFonts w:eastAsia="MS Mincho"/>
          <w:lang w:eastAsia="ja-JP"/>
        </w:rPr>
        <w:t>, OPUC Docket No.  UM 1129, Staff Testimony of Lisa Schwartz (200-202), Staff/200, Schwartz/2-6 (Aug. 3, 2004)</w:t>
      </w:r>
      <w:r w:rsidRPr="00704B29">
        <w:t>.</w:t>
      </w:r>
    </w:p>
  </w:footnote>
  <w:footnote w:id="59">
    <w:p w14:paraId="7F61F2CE" w14:textId="6A632118" w:rsidR="00355EBF" w:rsidRDefault="00355EBF" w:rsidP="000B2B5D">
      <w:pPr>
        <w:pStyle w:val="FootnoteText"/>
        <w:ind w:left="720" w:hanging="720"/>
      </w:pPr>
      <w:r>
        <w:rPr>
          <w:rStyle w:val="FootnoteReference"/>
        </w:rPr>
        <w:footnoteRef/>
      </w:r>
      <w:r>
        <w:t xml:space="preserve"> </w:t>
      </w:r>
      <w:r>
        <w:tab/>
      </w:r>
      <w:r w:rsidRPr="00284F77">
        <w:rPr>
          <w:u w:val="single"/>
        </w:rPr>
        <w:t xml:space="preserve">Re </w:t>
      </w:r>
      <w:r w:rsidRPr="00704B29">
        <w:rPr>
          <w:rFonts w:eastAsia="MS Mincho"/>
          <w:u w:val="single"/>
          <w:lang w:eastAsia="ja-JP"/>
        </w:rPr>
        <w:t>Investigation Related to Electric U</w:t>
      </w:r>
      <w:r>
        <w:rPr>
          <w:rFonts w:eastAsia="MS Mincho"/>
          <w:u w:val="single"/>
          <w:lang w:eastAsia="ja-JP"/>
        </w:rPr>
        <w:t>tility Purchases from QF</w:t>
      </w:r>
      <w:r w:rsidRPr="00704B29">
        <w:rPr>
          <w:rFonts w:eastAsia="MS Mincho"/>
          <w:u w:val="single"/>
          <w:lang w:eastAsia="ja-JP"/>
        </w:rPr>
        <w:t>s</w:t>
      </w:r>
      <w:r w:rsidRPr="00704B29">
        <w:rPr>
          <w:rFonts w:eastAsia="MS Mincho"/>
          <w:lang w:eastAsia="ja-JP"/>
        </w:rPr>
        <w:t>, OPUC Docket No. UM 1129, Order No. 05-584 at 19 (May 13, 2005).</w:t>
      </w:r>
    </w:p>
  </w:footnote>
  <w:footnote w:id="60">
    <w:p w14:paraId="146384F4" w14:textId="4FBED7A3" w:rsidR="00355EBF" w:rsidRPr="000B2B5D" w:rsidRDefault="00355EBF" w:rsidP="00AF1E73">
      <w:pPr>
        <w:pStyle w:val="FootnoteText"/>
        <w:ind w:left="720" w:hanging="720"/>
      </w:pPr>
      <w:r>
        <w:rPr>
          <w:rStyle w:val="FootnoteReference"/>
        </w:rPr>
        <w:footnoteRef/>
      </w:r>
      <w:r>
        <w:t xml:space="preserve"> </w:t>
      </w:r>
      <w:r>
        <w:tab/>
      </w:r>
      <w:r>
        <w:rPr>
          <w:rFonts w:eastAsia="MS Mincho"/>
          <w:u w:val="single"/>
          <w:lang w:eastAsia="ja-JP"/>
        </w:rPr>
        <w:t>Id.</w:t>
      </w:r>
      <w:r>
        <w:rPr>
          <w:rFonts w:eastAsia="MS Mincho"/>
          <w:lang w:eastAsia="ja-JP"/>
        </w:rPr>
        <w:t xml:space="preserve"> at 20.</w:t>
      </w:r>
    </w:p>
  </w:footnote>
  <w:footnote w:id="61">
    <w:p w14:paraId="2CE4CA58" w14:textId="60259895" w:rsidR="00355EBF" w:rsidRDefault="00355EBF" w:rsidP="000B2B5D">
      <w:pPr>
        <w:pStyle w:val="FootnoteText"/>
        <w:ind w:left="720" w:hanging="720"/>
      </w:pPr>
      <w:r>
        <w:rPr>
          <w:rStyle w:val="FootnoteReference"/>
        </w:rPr>
        <w:footnoteRef/>
      </w:r>
      <w:r>
        <w:t xml:space="preserve"> </w:t>
      </w:r>
      <w:r>
        <w:tab/>
      </w:r>
      <w:r>
        <w:rPr>
          <w:u w:val="single"/>
        </w:rPr>
        <w:t>Id.</w:t>
      </w:r>
      <w:r w:rsidRPr="00704B29">
        <w:t xml:space="preserve">; </w:t>
      </w:r>
      <w:r w:rsidRPr="00704B29">
        <w:rPr>
          <w:u w:val="single"/>
        </w:rPr>
        <w:t>Re Investigation Into QF Contracting and Pricing</w:t>
      </w:r>
      <w:r w:rsidRPr="00704B29">
        <w:t>, OPUC Docket No. UM 1610, Order No. 14-058 at 1-2 (Feb. 24, 2014) (making no changes contract provisions, other than specifically identified);</w:t>
      </w:r>
      <w:r w:rsidRPr="001F468D">
        <w:t xml:space="preserve"> </w:t>
      </w:r>
      <w:r w:rsidRPr="00704B29">
        <w:rPr>
          <w:u w:val="single"/>
        </w:rPr>
        <w:t>Re PacifiCorp, dba Pacific Power, Application to Reduce</w:t>
      </w:r>
      <w:r>
        <w:rPr>
          <w:u w:val="single"/>
        </w:rPr>
        <w:t xml:space="preserve"> the QF</w:t>
      </w:r>
      <w:r w:rsidRPr="00704B29">
        <w:rPr>
          <w:u w:val="single"/>
        </w:rPr>
        <w:t xml:space="preserve"> Contract Term and Lower the </w:t>
      </w:r>
      <w:r>
        <w:rPr>
          <w:u w:val="single"/>
        </w:rPr>
        <w:t>QF</w:t>
      </w:r>
      <w:r w:rsidRPr="00704B29">
        <w:rPr>
          <w:u w:val="single"/>
        </w:rPr>
        <w:t xml:space="preserve"> Standard Contract Eligibility Cap</w:t>
      </w:r>
      <w:r w:rsidRPr="00704B29">
        <w:t>, OPUC Docket No. UM</w:t>
      </w:r>
      <w:r>
        <w:t xml:space="preserve"> 1734</w:t>
      </w:r>
      <w:r w:rsidRPr="00704B29">
        <w:t>, Order No. 16-130 at 1-2, 5 (Mar. 29, 2016);</w:t>
      </w:r>
      <w:r w:rsidRPr="001F468D">
        <w:t xml:space="preserve"> </w:t>
      </w:r>
      <w:r w:rsidRPr="00704B29">
        <w:rPr>
          <w:u w:val="single"/>
        </w:rPr>
        <w:t>Re Idaho Power Application to Lower Standard Contract Eligibility Cap and to Reduce the Standard Contract Term, for Approval of Solar Integration Charge, and for Change in Resource Sufficiency Determination</w:t>
      </w:r>
      <w:r w:rsidRPr="00704B29">
        <w:t>, Docket No. UM 1725, Ord</w:t>
      </w:r>
      <w:r>
        <w:t>er No. 16-129 at 1-2, 6-8 (Mar.</w:t>
      </w:r>
      <w:r w:rsidRPr="00704B29">
        <w:t xml:space="preserve"> 29, 2016).</w:t>
      </w:r>
    </w:p>
  </w:footnote>
  <w:footnote w:id="62">
    <w:p w14:paraId="09ABFAC9" w14:textId="4FCF93A9" w:rsidR="00355EBF" w:rsidRDefault="00355EBF" w:rsidP="00AF1E73">
      <w:pPr>
        <w:pStyle w:val="FootnoteText"/>
        <w:ind w:left="720" w:hanging="720"/>
      </w:pPr>
      <w:r>
        <w:rPr>
          <w:rStyle w:val="FootnoteReference"/>
        </w:rPr>
        <w:footnoteRef/>
      </w:r>
      <w:r>
        <w:t xml:space="preserve"> </w:t>
      </w:r>
      <w:r>
        <w:tab/>
      </w:r>
      <w:r>
        <w:rPr>
          <w:rFonts w:eastAsia="MS Mincho"/>
          <w:u w:val="single"/>
          <w:lang w:eastAsia="ja-JP"/>
        </w:rPr>
        <w:t>Re</w:t>
      </w:r>
      <w:r w:rsidRPr="000B2B5D">
        <w:rPr>
          <w:rFonts w:eastAsia="MS Mincho"/>
          <w:u w:val="single"/>
          <w:lang w:eastAsia="ja-JP"/>
        </w:rPr>
        <w:t xml:space="preserve"> </w:t>
      </w:r>
      <w:r w:rsidRPr="00704B29">
        <w:rPr>
          <w:rFonts w:eastAsia="MS Mincho"/>
          <w:u w:val="single"/>
          <w:lang w:eastAsia="ja-JP"/>
        </w:rPr>
        <w:t>Investigation Related to Electric Utility Pur</w:t>
      </w:r>
      <w:r>
        <w:rPr>
          <w:rFonts w:eastAsia="MS Mincho"/>
          <w:u w:val="single"/>
          <w:lang w:eastAsia="ja-JP"/>
        </w:rPr>
        <w:t>chases from QF</w:t>
      </w:r>
      <w:r w:rsidRPr="00704B29">
        <w:rPr>
          <w:rFonts w:eastAsia="MS Mincho"/>
          <w:u w:val="single"/>
          <w:lang w:eastAsia="ja-JP"/>
        </w:rPr>
        <w:t>s</w:t>
      </w:r>
      <w:r w:rsidRPr="00704B29">
        <w:rPr>
          <w:rFonts w:eastAsia="MS Mincho"/>
          <w:lang w:eastAsia="ja-JP"/>
        </w:rPr>
        <w:t>, OPUC Docket No. UM 1129, Order No. 05-584 at 19 (May 13, 2005).</w:t>
      </w:r>
    </w:p>
  </w:footnote>
  <w:footnote w:id="63">
    <w:p w14:paraId="11B17F36" w14:textId="00C16324" w:rsidR="00355EBF" w:rsidRDefault="00355EBF" w:rsidP="00AF1E73">
      <w:pPr>
        <w:pStyle w:val="FootnoteText"/>
        <w:ind w:left="720" w:hanging="720"/>
      </w:pPr>
      <w:r>
        <w:rPr>
          <w:rStyle w:val="FootnoteReference"/>
        </w:rPr>
        <w:footnoteRef/>
      </w:r>
      <w:r>
        <w:t xml:space="preserve"> </w:t>
      </w:r>
      <w:r>
        <w:tab/>
      </w:r>
      <w:r w:rsidRPr="00805184">
        <w:rPr>
          <w:u w:val="single"/>
        </w:rPr>
        <w:t>See</w:t>
      </w:r>
      <w:r w:rsidRPr="00284F77">
        <w:t xml:space="preserve"> </w:t>
      </w:r>
      <w:r w:rsidRPr="00805184">
        <w:rPr>
          <w:u w:val="single"/>
        </w:rPr>
        <w:t>Re</w:t>
      </w:r>
      <w:r w:rsidRPr="00704B29">
        <w:rPr>
          <w:u w:val="single"/>
        </w:rPr>
        <w:t xml:space="preserve"> Rocky Mountain Power for Modification of Contract Term of PURPA Power Purchase Agreements With Qualifying Facilities</w:t>
      </w:r>
      <w:r w:rsidRPr="00704B29">
        <w:t>, WPSC Docket No. 20000-481-EA-15, Record No. 14220 at 11-12 (June 23, 2016).</w:t>
      </w:r>
    </w:p>
  </w:footnote>
  <w:footnote w:id="64">
    <w:p w14:paraId="21C6179B" w14:textId="66084971" w:rsidR="00355EBF" w:rsidRPr="005D4F76" w:rsidRDefault="00355EBF" w:rsidP="00AF1E73">
      <w:pPr>
        <w:pStyle w:val="FootnoteText"/>
        <w:ind w:left="720" w:hanging="720"/>
        <w:rPr>
          <w:u w:val="single"/>
        </w:rPr>
      </w:pPr>
      <w:r>
        <w:rPr>
          <w:rStyle w:val="FootnoteReference"/>
        </w:rPr>
        <w:footnoteRef/>
      </w:r>
      <w:r>
        <w:t xml:space="preserve"> </w:t>
      </w:r>
      <w:r>
        <w:tab/>
      </w:r>
      <w:r w:rsidRPr="005D4F76">
        <w:rPr>
          <w:u w:val="single"/>
        </w:rPr>
        <w:t>Re the Application of Rocky Mountain Power for Modification of Contract Term of PURPA PPAs with QFs</w:t>
      </w:r>
      <w:r>
        <w:t xml:space="preserve">, UPSC Docket No. 15-035-53, Order at 19-20 (Jan. 7, 2016). </w:t>
      </w:r>
    </w:p>
  </w:footnote>
  <w:footnote w:id="65">
    <w:p w14:paraId="3E1C2BEE" w14:textId="64A4FA7C" w:rsidR="00355EBF" w:rsidRDefault="00355EBF" w:rsidP="00F306AA">
      <w:pPr>
        <w:pStyle w:val="FootnoteText"/>
        <w:ind w:left="720" w:hanging="720"/>
      </w:pPr>
      <w:r>
        <w:rPr>
          <w:rStyle w:val="FootnoteReference"/>
        </w:rPr>
        <w:footnoteRef/>
      </w:r>
      <w:r>
        <w:t xml:space="preserve"> </w:t>
      </w:r>
      <w:r>
        <w:tab/>
        <w:t xml:space="preserve">Standard contract terms, timelines, specificity regarding information that can be requested, and negotiation guidelines significantly reduce the risk litigation; however, disputes can still arise for a variety of reasons and there is a need for the Commission to update its LEO policies. </w:t>
      </w:r>
    </w:p>
  </w:footnote>
  <w:footnote w:id="66">
    <w:p w14:paraId="1880A996" w14:textId="77777777" w:rsidR="00355EBF" w:rsidRDefault="00355EBF" w:rsidP="00F306AA">
      <w:pPr>
        <w:pStyle w:val="FootnoteText"/>
        <w:ind w:left="720" w:hanging="720"/>
      </w:pPr>
      <w:r>
        <w:rPr>
          <w:rStyle w:val="FootnoteReference"/>
        </w:rPr>
        <w:footnoteRef/>
      </w:r>
      <w:r>
        <w:t xml:space="preserve"> </w:t>
      </w:r>
      <w:r>
        <w:tab/>
      </w:r>
      <w:r w:rsidRPr="00C218D8">
        <w:rPr>
          <w:bCs/>
          <w:u w:val="single"/>
        </w:rPr>
        <w:t>Murphy Flat Power, LLC</w:t>
      </w:r>
      <w:r w:rsidRPr="00C218D8">
        <w:rPr>
          <w:bCs/>
        </w:rPr>
        <w:t xml:space="preserve">, 141 FERC ¶ 61,145 at P 24 (2012); </w:t>
      </w:r>
      <w:r w:rsidRPr="00C218D8">
        <w:rPr>
          <w:bCs/>
          <w:u w:val="single"/>
        </w:rPr>
        <w:t>Grouse Creek</w:t>
      </w:r>
      <w:r w:rsidRPr="00C218D8">
        <w:rPr>
          <w:bCs/>
        </w:rPr>
        <w:t>, 142 FERC ¶ 61,187 at P 38.</w:t>
      </w:r>
      <w:r>
        <w:rPr>
          <w:bCs/>
        </w:rPr>
        <w:t xml:space="preserve"> </w:t>
      </w:r>
    </w:p>
  </w:footnote>
  <w:footnote w:id="67">
    <w:p w14:paraId="57468297" w14:textId="6CD8F60E" w:rsidR="00355EBF" w:rsidRDefault="00355EBF" w:rsidP="00AF1E73">
      <w:pPr>
        <w:pStyle w:val="FootnoteText"/>
        <w:ind w:left="720" w:hanging="720"/>
      </w:pPr>
      <w:r>
        <w:rPr>
          <w:rStyle w:val="FootnoteReference"/>
        </w:rPr>
        <w:footnoteRef/>
      </w:r>
      <w:r>
        <w:t xml:space="preserve"> </w:t>
      </w:r>
      <w:r>
        <w:tab/>
      </w:r>
      <w:r w:rsidRPr="00C218D8">
        <w:rPr>
          <w:bCs/>
        </w:rPr>
        <w:t xml:space="preserve">18 CFR § 292.304(d); </w:t>
      </w:r>
      <w:r>
        <w:rPr>
          <w:bCs/>
        </w:rPr>
        <w:t xml:space="preserve">FERC </w:t>
      </w:r>
      <w:r w:rsidRPr="00C218D8">
        <w:rPr>
          <w:bCs/>
        </w:rPr>
        <w:t xml:space="preserve">Order No. 69 at </w:t>
      </w:r>
      <w:r w:rsidRPr="00C218D8">
        <w:t>12,224</w:t>
      </w:r>
      <w:r>
        <w:rPr>
          <w:bCs/>
        </w:rPr>
        <w:t xml:space="preserve">; </w:t>
      </w:r>
      <w:r w:rsidRPr="001A0EF0">
        <w:rPr>
          <w:bCs/>
          <w:iCs/>
          <w:u w:val="single"/>
        </w:rPr>
        <w:t>Cedar Creek</w:t>
      </w:r>
      <w:r w:rsidRPr="001A0EF0">
        <w:rPr>
          <w:bCs/>
        </w:rPr>
        <w:t xml:space="preserve">, 137 FERC ¶ 61,006 at PP 32, 36.  </w:t>
      </w:r>
    </w:p>
  </w:footnote>
  <w:footnote w:id="68">
    <w:p w14:paraId="5E5254DA" w14:textId="55F9518D" w:rsidR="00355EBF" w:rsidRDefault="00355EBF" w:rsidP="00AF1E73">
      <w:pPr>
        <w:pStyle w:val="FootnoteText"/>
        <w:ind w:left="720" w:hanging="720"/>
      </w:pPr>
      <w:r>
        <w:rPr>
          <w:rStyle w:val="FootnoteReference"/>
        </w:rPr>
        <w:footnoteRef/>
      </w:r>
      <w:r>
        <w:t xml:space="preserve"> </w:t>
      </w:r>
      <w:r>
        <w:tab/>
      </w:r>
      <w:r w:rsidRPr="00C218D8">
        <w:rPr>
          <w:bCs/>
          <w:iCs/>
          <w:u w:val="single"/>
        </w:rPr>
        <w:t>Cedar Creek</w:t>
      </w:r>
      <w:r w:rsidRPr="00C218D8">
        <w:rPr>
          <w:bCs/>
        </w:rPr>
        <w:t>, 137 FERC ¶ 61,006 at P</w:t>
      </w:r>
      <w:r>
        <w:rPr>
          <w:bCs/>
        </w:rPr>
        <w:t>P</w:t>
      </w:r>
      <w:r w:rsidRPr="00C218D8">
        <w:rPr>
          <w:bCs/>
        </w:rPr>
        <w:t xml:space="preserve"> 36, 39; </w:t>
      </w:r>
      <w:r w:rsidRPr="00C218D8">
        <w:rPr>
          <w:bCs/>
          <w:u w:val="single"/>
        </w:rPr>
        <w:t>Snow Mountain Pine Co. v. Maudlin</w:t>
      </w:r>
      <w:r w:rsidRPr="00C218D8">
        <w:rPr>
          <w:bCs/>
        </w:rPr>
        <w:t xml:space="preserve">, 734 P.2d 1366, </w:t>
      </w:r>
      <w:r>
        <w:rPr>
          <w:bCs/>
        </w:rPr>
        <w:t>1371, 84 Or. App. 590 (</w:t>
      </w:r>
      <w:r w:rsidRPr="00C218D8">
        <w:rPr>
          <w:bCs/>
        </w:rPr>
        <w:t xml:space="preserve">1987).  </w:t>
      </w:r>
    </w:p>
  </w:footnote>
  <w:footnote w:id="69">
    <w:p w14:paraId="2BA4550D" w14:textId="15C949D8" w:rsidR="00355EBF" w:rsidRDefault="00355EBF" w:rsidP="00587A47">
      <w:pPr>
        <w:pStyle w:val="FootnoteText"/>
        <w:ind w:left="720" w:hanging="720"/>
      </w:pPr>
      <w:r>
        <w:rPr>
          <w:rStyle w:val="FootnoteReference"/>
        </w:rPr>
        <w:footnoteRef/>
      </w:r>
      <w:r>
        <w:t xml:space="preserve"> </w:t>
      </w:r>
      <w:r>
        <w:tab/>
      </w:r>
      <w:r w:rsidRPr="009542C3">
        <w:rPr>
          <w:u w:val="single"/>
        </w:rPr>
        <w:t>JD Wind 1</w:t>
      </w:r>
      <w:r>
        <w:t>, 129 FERC ¶ 61,148 at P 25.</w:t>
      </w:r>
    </w:p>
  </w:footnote>
  <w:footnote w:id="70">
    <w:p w14:paraId="7AC470C5" w14:textId="6622AA6D" w:rsidR="00355EBF" w:rsidRDefault="00355EBF" w:rsidP="00587A47">
      <w:pPr>
        <w:pStyle w:val="FootnoteText"/>
        <w:ind w:left="720" w:hanging="720"/>
      </w:pPr>
      <w:r>
        <w:rPr>
          <w:rStyle w:val="FootnoteReference"/>
        </w:rPr>
        <w:footnoteRef/>
      </w:r>
      <w:r>
        <w:t xml:space="preserve"> </w:t>
      </w:r>
      <w:r>
        <w:tab/>
      </w:r>
      <w:r>
        <w:rPr>
          <w:bCs/>
          <w:iCs/>
          <w:u w:val="single"/>
        </w:rPr>
        <w:t>I</w:t>
      </w:r>
      <w:r w:rsidRPr="001A0EF0">
        <w:rPr>
          <w:bCs/>
          <w:iCs/>
          <w:u w:val="single"/>
        </w:rPr>
        <w:t>d.</w:t>
      </w:r>
      <w:r w:rsidRPr="001A0EF0">
        <w:rPr>
          <w:bCs/>
        </w:rPr>
        <w:t>;</w:t>
      </w:r>
      <w:r>
        <w:rPr>
          <w:bCs/>
        </w:rPr>
        <w:t xml:space="preserve"> </w:t>
      </w:r>
      <w:r w:rsidRPr="00953524">
        <w:rPr>
          <w:bCs/>
          <w:u w:val="single"/>
        </w:rPr>
        <w:t>see</w:t>
      </w:r>
      <w:r>
        <w:rPr>
          <w:bCs/>
        </w:rPr>
        <w:t xml:space="preserve"> </w:t>
      </w:r>
      <w:r w:rsidRPr="00953524">
        <w:rPr>
          <w:bCs/>
          <w:u w:val="single"/>
        </w:rPr>
        <w:t>also</w:t>
      </w:r>
      <w:r w:rsidRPr="001A0EF0">
        <w:rPr>
          <w:bCs/>
        </w:rPr>
        <w:t xml:space="preserve"> </w:t>
      </w:r>
      <w:r>
        <w:rPr>
          <w:bCs/>
        </w:rPr>
        <w:t xml:space="preserve">FERC </w:t>
      </w:r>
      <w:r w:rsidRPr="001A0EF0">
        <w:rPr>
          <w:bCs/>
        </w:rPr>
        <w:t xml:space="preserve">Order No. 69 at 12,224.  </w:t>
      </w:r>
    </w:p>
  </w:footnote>
  <w:footnote w:id="71">
    <w:p w14:paraId="7DDE02AB" w14:textId="37DE2D2F" w:rsidR="00355EBF" w:rsidRDefault="00355EBF" w:rsidP="00587A47">
      <w:pPr>
        <w:pStyle w:val="FootnoteText"/>
        <w:ind w:left="720" w:hanging="720"/>
      </w:pPr>
      <w:r>
        <w:rPr>
          <w:rStyle w:val="FootnoteReference"/>
        </w:rPr>
        <w:footnoteRef/>
      </w:r>
      <w:r>
        <w:t xml:space="preserve"> </w:t>
      </w:r>
      <w:r>
        <w:tab/>
      </w:r>
      <w:r w:rsidRPr="006C26DC">
        <w:rPr>
          <w:u w:val="single"/>
        </w:rPr>
        <w:t>E.g.</w:t>
      </w:r>
      <w:r w:rsidRPr="006C26DC">
        <w:t>,</w:t>
      </w:r>
      <w:r>
        <w:t xml:space="preserve"> </w:t>
      </w:r>
      <w:r w:rsidRPr="009542C3">
        <w:rPr>
          <w:u w:val="single"/>
        </w:rPr>
        <w:t>Re Application of Rocky Mountain Power for Approval of the Power Purchase Agreement between PacifiCorp and Thayn Hydro, LLC</w:t>
      </w:r>
      <w:r>
        <w:t xml:space="preserve">, UPSC Docket No. 16-035-04, Final Order (Mar. 4, 2016) (PacifiCorp refused to finalize a PPA until after prices dropped); </w:t>
      </w:r>
      <w:r>
        <w:rPr>
          <w:u w:val="single"/>
        </w:rPr>
        <w:t>Grouse Creek</w:t>
      </w:r>
      <w:r>
        <w:t xml:space="preserve">, 142 FERC ¶ 61,187 at P 6 (Idaho Power Company argued that a fully executed PPA no longer qualified for a standard contract based on a change in Idaho state PURPA policy that occurred months after execution); </w:t>
      </w:r>
      <w:r>
        <w:rPr>
          <w:u w:val="single"/>
        </w:rPr>
        <w:t>Murphy Flat</w:t>
      </w:r>
      <w:r>
        <w:t xml:space="preserve">, 141 FERC ¶ 61,145 PP 6, 18  (Idaho Power Company argued that a fully executed PPA no longer qualified for a standard contract based on a change in Idaho state PURPA policy that occurred after execution); </w:t>
      </w:r>
      <w:r w:rsidRPr="006C26DC">
        <w:t xml:space="preserve"> </w:t>
      </w:r>
      <w:r>
        <w:rPr>
          <w:u w:val="single"/>
        </w:rPr>
        <w:t>Rainbow Ranch Wind, LLC</w:t>
      </w:r>
      <w:r>
        <w:t xml:space="preserve">, 139 FERC ¶ 61,077 at PP 6, 16 (2012) (Idaho Power Company argued that a fully executed PPA no longer qualified for a standard contract based on a change in Idaho state PURPA policy that occurred after execution); </w:t>
      </w:r>
      <w:r w:rsidRPr="004F17C8">
        <w:rPr>
          <w:u w:val="single"/>
        </w:rPr>
        <w:t>Cedar Creek</w:t>
      </w:r>
      <w:r w:rsidRPr="00C67348">
        <w:t>, 137 FERC ¶ 61,006 at P</w:t>
      </w:r>
      <w:r>
        <w:t>P</w:t>
      </w:r>
      <w:r w:rsidRPr="00C67348">
        <w:t xml:space="preserve"> </w:t>
      </w:r>
      <w:r>
        <w:t xml:space="preserve">5, 20 (Rocky Mountain Power/PacifiCorp argued that it should not be bound by PPAs that it delayed executing until after an Idaho state PURPA policy change); </w:t>
      </w:r>
      <w:r w:rsidRPr="003E6E02">
        <w:rPr>
          <w:u w:val="single"/>
        </w:rPr>
        <w:t xml:space="preserve">Re </w:t>
      </w:r>
      <w:r>
        <w:rPr>
          <w:u w:val="single"/>
        </w:rPr>
        <w:t>Farmers Irrigation District v. PacifiCorp, dba Pacific Power</w:t>
      </w:r>
      <w:r>
        <w:t xml:space="preserve">, OPUC Docket No. UM 1441, Order No. 10-493 at 2 (Dec. 27, 2010) (PacifiCorp raised a concern regarding a QF’s continued eligibility, refused to sign a new or renewed PPA until after its prices changed, and then offered only the lower rates); </w:t>
      </w:r>
      <w:r>
        <w:rPr>
          <w:u w:val="single"/>
        </w:rPr>
        <w:t>Re Swalley Irrigation District v. PacifiCorp, dba Pacific Power</w:t>
      </w:r>
      <w:r>
        <w:t xml:space="preserve">, OPUC Docket No. 1438, Order No. 09-451 at 1 (Nov. 9, 2009) (QF </w:t>
      </w:r>
      <w:r w:rsidRPr="00DD0E99">
        <w:t xml:space="preserve">had taken steps to establish a small power production facility, but </w:t>
      </w:r>
      <w:r>
        <w:t>PacifiCorp</w:t>
      </w:r>
      <w:r w:rsidRPr="00DD0E99">
        <w:t xml:space="preserve"> </w:t>
      </w:r>
      <w:r>
        <w:t xml:space="preserve">refused </w:t>
      </w:r>
      <w:r w:rsidRPr="00DD0E99">
        <w:t>to execute a completed PPA unless the agreement included new, lower rates</w:t>
      </w:r>
      <w:r>
        <w:t xml:space="preserve">); </w:t>
      </w:r>
      <w:r>
        <w:rPr>
          <w:u w:val="single"/>
        </w:rPr>
        <w:t>Re I</w:t>
      </w:r>
      <w:r w:rsidRPr="00552830">
        <w:rPr>
          <w:u w:val="single"/>
        </w:rPr>
        <w:t xml:space="preserve">nternational Paper </w:t>
      </w:r>
      <w:r>
        <w:rPr>
          <w:u w:val="single"/>
        </w:rPr>
        <w:t xml:space="preserve">Co. </w:t>
      </w:r>
      <w:r w:rsidRPr="00552830">
        <w:rPr>
          <w:u w:val="single"/>
        </w:rPr>
        <w:t>v. PacifiCorp</w:t>
      </w:r>
      <w:r>
        <w:rPr>
          <w:u w:val="single"/>
        </w:rPr>
        <w:t>, dba Pacific Power</w:t>
      </w:r>
      <w:r>
        <w:t xml:space="preserve">, OPUC Docket No. UM 1449, Order No. 09-439 at 6-7 (Nov. 4, 2009) (PacifiCorp refused to execute a PPA during a pending avoided cost rate change and then argued after the rate change that the lower rates should apply); </w:t>
      </w:r>
      <w:r w:rsidR="005C61B9">
        <w:rPr>
          <w:u w:val="single"/>
        </w:rPr>
        <w:t>Snow Mountain</w:t>
      </w:r>
      <w:r>
        <w:t>, 734 P.2d at 1370 (CP National would not execute a PPA prior to an avoided cost rate change and argued that the applicable avoided cost rates should be the avoided cost rates in effect after the rate reduction).</w:t>
      </w:r>
    </w:p>
  </w:footnote>
  <w:footnote w:id="72">
    <w:p w14:paraId="726BBAEF" w14:textId="31A3EA67" w:rsidR="00355EBF" w:rsidRDefault="00355EBF" w:rsidP="00AF1E73">
      <w:pPr>
        <w:pStyle w:val="FootnoteText"/>
        <w:ind w:left="720" w:hanging="720"/>
      </w:pPr>
      <w:r>
        <w:rPr>
          <w:rStyle w:val="FootnoteReference"/>
        </w:rPr>
        <w:footnoteRef/>
      </w:r>
      <w:r>
        <w:t xml:space="preserve"> </w:t>
      </w:r>
      <w:r>
        <w:tab/>
      </w:r>
      <w:r w:rsidRPr="00C218D8">
        <w:rPr>
          <w:bCs/>
          <w:iCs/>
          <w:u w:val="single"/>
        </w:rPr>
        <w:t>Cedar Creek</w:t>
      </w:r>
      <w:r>
        <w:rPr>
          <w:bCs/>
        </w:rPr>
        <w:t>, 137 FERC ¶ 61,006 at P 36 (holding a utility cannot refuse to sign a contract simply “so that a later and lower avoided cost is applicable”).</w:t>
      </w:r>
    </w:p>
  </w:footnote>
  <w:footnote w:id="73">
    <w:p w14:paraId="08D2B6EB" w14:textId="62EF9642" w:rsidR="00355EBF" w:rsidRDefault="00355EBF" w:rsidP="00AF1E73">
      <w:pPr>
        <w:pStyle w:val="FootnoteText"/>
        <w:ind w:left="720" w:hanging="720"/>
      </w:pPr>
      <w:r>
        <w:rPr>
          <w:rStyle w:val="FootnoteReference"/>
        </w:rPr>
        <w:footnoteRef/>
      </w:r>
      <w:r>
        <w:t xml:space="preserve"> </w:t>
      </w:r>
      <w:r>
        <w:tab/>
      </w:r>
      <w:r>
        <w:rPr>
          <w:u w:val="single"/>
        </w:rPr>
        <w:t>Id.</w:t>
      </w:r>
      <w:r>
        <w:t xml:space="preserve">; </w:t>
      </w:r>
      <w:r w:rsidRPr="009542C3">
        <w:rPr>
          <w:u w:val="single"/>
        </w:rPr>
        <w:t>Grouse Creek</w:t>
      </w:r>
      <w:r w:rsidRPr="00B51F46">
        <w:t>,</w:t>
      </w:r>
      <w:r>
        <w:t xml:space="preserve"> 142 FERC ¶ 61,187 at P 40.</w:t>
      </w:r>
    </w:p>
  </w:footnote>
  <w:footnote w:id="74">
    <w:p w14:paraId="16C012AA" w14:textId="5053CFB0" w:rsidR="00355EBF" w:rsidRDefault="00355EBF" w:rsidP="00AF1E73">
      <w:pPr>
        <w:pStyle w:val="FootnoteText"/>
        <w:ind w:left="720" w:hanging="720"/>
      </w:pPr>
      <w:r>
        <w:rPr>
          <w:rStyle w:val="FootnoteReference"/>
        </w:rPr>
        <w:footnoteRef/>
      </w:r>
      <w:r>
        <w:t xml:space="preserve"> </w:t>
      </w:r>
      <w:r>
        <w:tab/>
      </w:r>
      <w:r w:rsidRPr="0055013F">
        <w:rPr>
          <w:u w:val="single"/>
        </w:rPr>
        <w:t>E.g.</w:t>
      </w:r>
      <w:r>
        <w:t xml:space="preserve">, </w:t>
      </w:r>
      <w:r w:rsidRPr="009542C3">
        <w:rPr>
          <w:u w:val="single"/>
        </w:rPr>
        <w:t>FLS Energy</w:t>
      </w:r>
      <w:r>
        <w:t>, 157 FERC ¶ 61,211 at P 23 (“requiring a QF to tender an executed interconnection agreement is … inconsistent with PURPA and our regulations”).</w:t>
      </w:r>
    </w:p>
  </w:footnote>
  <w:footnote w:id="75">
    <w:p w14:paraId="6198CD8F" w14:textId="77EAFA36" w:rsidR="00355EBF" w:rsidRDefault="00355EBF" w:rsidP="00AF1E73">
      <w:pPr>
        <w:pStyle w:val="FootnoteText"/>
        <w:ind w:left="720" w:hanging="720"/>
      </w:pPr>
      <w:r>
        <w:rPr>
          <w:rStyle w:val="FootnoteReference"/>
        </w:rPr>
        <w:footnoteRef/>
      </w:r>
      <w:r>
        <w:t xml:space="preserve"> </w:t>
      </w:r>
      <w:r>
        <w:tab/>
      </w:r>
      <w:r w:rsidRPr="009542C3">
        <w:rPr>
          <w:u w:val="single"/>
        </w:rPr>
        <w:t>See</w:t>
      </w:r>
      <w:r>
        <w:t xml:space="preserve"> </w:t>
      </w:r>
      <w:r w:rsidRPr="009542C3">
        <w:rPr>
          <w:u w:val="single"/>
        </w:rPr>
        <w:t>Re Investigation Into QF Contracting and Pricing</w:t>
      </w:r>
      <w:r>
        <w:t xml:space="preserve">, OPUC Docket No. UM 1610, Order No. 16-174 at 24 (May 13, 2016) (citing </w:t>
      </w:r>
      <w:r>
        <w:rPr>
          <w:u w:val="single"/>
        </w:rPr>
        <w:t>Snow Mountain</w:t>
      </w:r>
      <w:r>
        <w:t>, 84 Or App at 598).</w:t>
      </w:r>
    </w:p>
  </w:footnote>
  <w:footnote w:id="76">
    <w:p w14:paraId="10946104" w14:textId="40406FA7" w:rsidR="00355EBF" w:rsidRDefault="00355EBF" w:rsidP="00AF1E73">
      <w:pPr>
        <w:pStyle w:val="FootnoteText"/>
        <w:ind w:left="720" w:hanging="720"/>
      </w:pPr>
      <w:r>
        <w:rPr>
          <w:rStyle w:val="FootnoteReference"/>
        </w:rPr>
        <w:footnoteRef/>
      </w:r>
      <w:r>
        <w:t xml:space="preserve"> </w:t>
      </w:r>
      <w:r>
        <w:tab/>
      </w:r>
      <w:r w:rsidRPr="00A7392E">
        <w:rPr>
          <w:u w:val="single"/>
        </w:rPr>
        <w:t>Cypress Creek Renewables, LLC v. PacifiCorp</w:t>
      </w:r>
      <w:r>
        <w:t>, OPUC Docket No. UM 1799, Order No. 16-378, (Oct. 12, 2016).</w:t>
      </w:r>
    </w:p>
  </w:footnote>
  <w:footnote w:id="77">
    <w:p w14:paraId="275A9060" w14:textId="55A95FEF" w:rsidR="00355EBF" w:rsidRDefault="00355EBF" w:rsidP="00AF1E73">
      <w:pPr>
        <w:pStyle w:val="FootnoteText"/>
        <w:ind w:left="720" w:hanging="720"/>
      </w:pPr>
      <w:r>
        <w:rPr>
          <w:rStyle w:val="FootnoteReference"/>
        </w:rPr>
        <w:footnoteRef/>
      </w:r>
      <w:r>
        <w:t xml:space="preserve"> </w:t>
      </w:r>
      <w:r>
        <w:tab/>
      </w:r>
      <w:r w:rsidRPr="009542C3">
        <w:rPr>
          <w:u w:val="single"/>
        </w:rPr>
        <w:t>Grouse Creek</w:t>
      </w:r>
      <w:r w:rsidRPr="008B2070">
        <w:t>,</w:t>
      </w:r>
      <w:r>
        <w:t xml:space="preserve"> 142 FERC ¶ 61,187 at P 40 (it is unreasonable for a state commission to require a QF to file a complaint to establish a LEO). </w:t>
      </w:r>
    </w:p>
  </w:footnote>
  <w:footnote w:id="78">
    <w:p w14:paraId="26BA4B50" w14:textId="12543BBC" w:rsidR="00355EBF" w:rsidRDefault="00355EBF" w:rsidP="00AF1E73">
      <w:pPr>
        <w:pStyle w:val="FootnoteText"/>
        <w:ind w:left="720" w:hanging="720"/>
      </w:pPr>
      <w:r>
        <w:rPr>
          <w:rStyle w:val="FootnoteReference"/>
        </w:rPr>
        <w:footnoteRef/>
      </w:r>
      <w:r>
        <w:t xml:space="preserve"> </w:t>
      </w:r>
      <w:r>
        <w:tab/>
      </w:r>
      <w:r w:rsidRPr="009542C3">
        <w:rPr>
          <w:u w:val="single"/>
        </w:rPr>
        <w:t>Re Application of Rocky Mountain Power for Approval of the Power Purchase Agreement between PacifiCorp and Thayn Hydro, LLC</w:t>
      </w:r>
      <w:r>
        <w:t>, UPSC Docket No. 16-035-04, Final Order at 7 (Mar. 4, 2016).</w:t>
      </w:r>
    </w:p>
  </w:footnote>
  <w:footnote w:id="79">
    <w:p w14:paraId="07B7419E" w14:textId="19FAB924" w:rsidR="00355EBF" w:rsidRDefault="00355EBF" w:rsidP="00AF1E73">
      <w:pPr>
        <w:pStyle w:val="FootnoteText"/>
        <w:ind w:left="720" w:hanging="720"/>
      </w:pPr>
      <w:r>
        <w:rPr>
          <w:rStyle w:val="FootnoteReference"/>
        </w:rPr>
        <w:footnoteRef/>
      </w:r>
      <w:r>
        <w:t xml:space="preserve"> </w:t>
      </w:r>
      <w:r>
        <w:tab/>
      </w:r>
      <w:r w:rsidRPr="001F496C">
        <w:rPr>
          <w:u w:val="single"/>
        </w:rPr>
        <w:t>Re Petition of Wheelabrator Environmental Systems, Inc. for a Declaratory Ruling and Complaint</w:t>
      </w:r>
      <w:r>
        <w:t xml:space="preserve">, Docket No. U-89-3043-F, 1989 WL 1786664 at *7 (Sept. 28, 1989) (citing </w:t>
      </w:r>
      <w:r w:rsidRPr="001F496C">
        <w:rPr>
          <w:u w:val="single"/>
        </w:rPr>
        <w:t>Empire Lumber Co. v. Washington Water Power Co.</w:t>
      </w:r>
      <w:r>
        <w:t xml:space="preserve">, IPUC Case No. U-1008-241, Order No. 20281 (Mar. 4, 1986); </w:t>
      </w:r>
      <w:r w:rsidRPr="001F496C">
        <w:rPr>
          <w:u w:val="single"/>
        </w:rPr>
        <w:t>Forest Fuel Power, Inc. v. Washington Water Power Co.</w:t>
      </w:r>
      <w:r>
        <w:t>, IPUC Case No. U-1008-246, Order No. 20486 (May 15, 1986)).</w:t>
      </w:r>
    </w:p>
  </w:footnote>
  <w:footnote w:id="80">
    <w:p w14:paraId="32BCD197" w14:textId="1AAE753C" w:rsidR="00355EBF" w:rsidRDefault="00355EBF" w:rsidP="005C61B9">
      <w:pPr>
        <w:pStyle w:val="FootnoteText"/>
      </w:pPr>
      <w:r>
        <w:rPr>
          <w:rStyle w:val="FootnoteReference"/>
        </w:rPr>
        <w:footnoteRef/>
      </w:r>
      <w:r>
        <w:t xml:space="preserve"> </w:t>
      </w:r>
      <w:r>
        <w:tab/>
      </w:r>
      <w:r w:rsidR="005C61B9">
        <w:rPr>
          <w:u w:val="single"/>
        </w:rPr>
        <w:t>Id.</w:t>
      </w:r>
      <w:r w:rsidRPr="00704B29">
        <w:t xml:space="preserve"> </w:t>
      </w:r>
      <w:r w:rsidR="005C61B9">
        <w:t>at *8</w:t>
      </w:r>
      <w:r w:rsidRPr="001F468D">
        <w:t>.</w:t>
      </w:r>
    </w:p>
  </w:footnote>
  <w:footnote w:id="81">
    <w:p w14:paraId="41324C01" w14:textId="2C53F93F" w:rsidR="00355EBF" w:rsidRDefault="00355EBF" w:rsidP="00AF1E73">
      <w:pPr>
        <w:pStyle w:val="FootnoteText"/>
        <w:ind w:left="720" w:hanging="720"/>
      </w:pPr>
      <w:r>
        <w:rPr>
          <w:rStyle w:val="FootnoteReference"/>
        </w:rPr>
        <w:footnoteRef/>
      </w:r>
      <w:r>
        <w:t xml:space="preserve"> </w:t>
      </w:r>
      <w:r>
        <w:tab/>
      </w:r>
      <w:r w:rsidRPr="0011526B">
        <w:rPr>
          <w:bCs/>
          <w:iCs/>
          <w:u w:val="single"/>
        </w:rPr>
        <w:t>Cedar Creek</w:t>
      </w:r>
      <w:r>
        <w:rPr>
          <w:bCs/>
        </w:rPr>
        <w:t>, 137 FERC ¶ 61,006 at P</w:t>
      </w:r>
      <w:r w:rsidRPr="0011526B">
        <w:rPr>
          <w:bCs/>
        </w:rPr>
        <w:t xml:space="preserve"> 36; </w:t>
      </w:r>
      <w:r>
        <w:rPr>
          <w:u w:val="single"/>
        </w:rPr>
        <w:t>Rainbow Ranch</w:t>
      </w:r>
      <w:r>
        <w:t>, 139 FERC ¶ 61,077 at PP 24-27</w:t>
      </w:r>
      <w:r w:rsidRPr="0011526B">
        <w:t xml:space="preserve">; </w:t>
      </w:r>
      <w:r w:rsidRPr="0011526B">
        <w:rPr>
          <w:bCs/>
          <w:u w:val="single"/>
        </w:rPr>
        <w:t>Grouse Creek</w:t>
      </w:r>
      <w:r>
        <w:rPr>
          <w:bCs/>
        </w:rPr>
        <w:t>, 142 FERC ¶ 61,187 at PP</w:t>
      </w:r>
      <w:r w:rsidRPr="0011526B">
        <w:rPr>
          <w:bCs/>
        </w:rPr>
        <w:t xml:space="preserve"> 37-39.</w:t>
      </w:r>
    </w:p>
  </w:footnote>
  <w:footnote w:id="82">
    <w:p w14:paraId="02B87376" w14:textId="100B8686" w:rsidR="00355EBF" w:rsidRDefault="00355EBF" w:rsidP="00AF1E73">
      <w:pPr>
        <w:pStyle w:val="FootnoteText"/>
        <w:ind w:left="720" w:hanging="720"/>
      </w:pPr>
      <w:r>
        <w:rPr>
          <w:rStyle w:val="FootnoteReference"/>
        </w:rPr>
        <w:footnoteRef/>
      </w:r>
      <w:r>
        <w:t xml:space="preserve"> </w:t>
      </w:r>
      <w:r>
        <w:tab/>
        <w:t>157 FERC ¶ 61,211 at P 23 (2016).</w:t>
      </w:r>
    </w:p>
  </w:footnote>
  <w:footnote w:id="83">
    <w:p w14:paraId="793222F9" w14:textId="77777777" w:rsidR="00355EBF" w:rsidRDefault="00355EBF" w:rsidP="00AF1E73">
      <w:pPr>
        <w:pStyle w:val="FootnoteText"/>
        <w:ind w:left="720" w:hanging="720"/>
      </w:pPr>
      <w:r>
        <w:rPr>
          <w:rStyle w:val="FootnoteReference"/>
        </w:rPr>
        <w:footnoteRef/>
      </w:r>
      <w:r>
        <w:t xml:space="preserve"> </w:t>
      </w:r>
      <w:r>
        <w:tab/>
      </w:r>
      <w:r w:rsidRPr="0028679C">
        <w:rPr>
          <w:u w:val="single"/>
        </w:rPr>
        <w:t>Id.</w:t>
      </w:r>
    </w:p>
  </w:footnote>
  <w:footnote w:id="84">
    <w:p w14:paraId="6D5DB711" w14:textId="77D568D8" w:rsidR="00355EBF" w:rsidRDefault="00355EBF" w:rsidP="00FC54D1">
      <w:pPr>
        <w:pStyle w:val="FootnoteText"/>
        <w:ind w:left="720" w:hanging="720"/>
      </w:pPr>
      <w:r>
        <w:rPr>
          <w:rStyle w:val="FootnoteReference"/>
        </w:rPr>
        <w:footnoteRef/>
      </w:r>
      <w:r>
        <w:t xml:space="preserve"> </w:t>
      </w:r>
      <w:r>
        <w:tab/>
        <w:t xml:space="preserve">For example, Cypress Creek Renewable recently filed a complaint against PacifiCorp claiming that the utility refused to even initiate PPA negotiations. </w:t>
      </w:r>
      <w:r w:rsidRPr="00A7392E">
        <w:rPr>
          <w:u w:val="single"/>
        </w:rPr>
        <w:t>Cypress Creek Renewables, LLC v. PacifiCorp</w:t>
      </w:r>
      <w:r>
        <w:t>, OPUC Docket No. UM 1799, Order No. 16-429, (Nov. 09, 2016).</w:t>
      </w:r>
    </w:p>
  </w:footnote>
  <w:footnote w:id="85">
    <w:p w14:paraId="3F971864" w14:textId="59941C8A" w:rsidR="00355EBF" w:rsidRDefault="00355EBF">
      <w:pPr>
        <w:pStyle w:val="FootnoteText"/>
      </w:pPr>
      <w:r>
        <w:rPr>
          <w:rStyle w:val="FootnoteReference"/>
        </w:rPr>
        <w:footnoteRef/>
      </w:r>
      <w:r>
        <w:t xml:space="preserve"> </w:t>
      </w:r>
      <w:r>
        <w:tab/>
        <w:t xml:space="preserve">Available at: </w:t>
      </w:r>
      <w:r w:rsidRPr="001279A9">
        <w:t>https://www.pacificpower.net/content/dam/pacific_power/doc/About_Us/Rates_Regulation/Oregon/Approved_Tariffs/PURPA_Power_Source_Agreement/Standard_Avoided_Cost_Rates_Avoided_Cost_Purchases_From_Eligible_Qualifying_Facilities.pdf</w:t>
      </w:r>
      <w:r>
        <w:t>.</w:t>
      </w:r>
    </w:p>
    <w:p w14:paraId="2A3D996F" w14:textId="77777777" w:rsidR="00355EBF" w:rsidRDefault="00355EBF">
      <w:pPr>
        <w:pStyle w:val="FootnoteText"/>
      </w:pPr>
    </w:p>
  </w:footnote>
  <w:footnote w:id="86">
    <w:p w14:paraId="00D0496F" w14:textId="37AF72DB" w:rsidR="00355EBF" w:rsidRDefault="00355EBF" w:rsidP="00587A47">
      <w:pPr>
        <w:pStyle w:val="FootnoteText"/>
        <w:ind w:left="720" w:hanging="720"/>
      </w:pPr>
      <w:r>
        <w:rPr>
          <w:rStyle w:val="FootnoteReference"/>
        </w:rPr>
        <w:footnoteRef/>
      </w:r>
      <w:r>
        <w:t xml:space="preserve"> </w:t>
      </w:r>
      <w:r>
        <w:tab/>
      </w:r>
      <w:r w:rsidRPr="00A81052">
        <w:rPr>
          <w:u w:val="single"/>
        </w:rPr>
        <w:t>PSE Advice No. 2016-31 – Schedule 91 – Cogeneration and Small Power Production</w:t>
      </w:r>
      <w:r>
        <w:t>, Docket No. UE-161240, REC Comments at 3-6 (Feb. 6, 2017).</w:t>
      </w:r>
    </w:p>
  </w:footnote>
  <w:footnote w:id="87">
    <w:p w14:paraId="39D75A39" w14:textId="6BC5C1FC" w:rsidR="00355EBF" w:rsidRDefault="00355EBF" w:rsidP="00587A47">
      <w:pPr>
        <w:pStyle w:val="FootnoteText"/>
        <w:ind w:left="720" w:hanging="720"/>
      </w:pPr>
      <w:r>
        <w:rPr>
          <w:rStyle w:val="FootnoteReference"/>
        </w:rPr>
        <w:footnoteRef/>
      </w:r>
      <w:r>
        <w:t xml:space="preserve"> </w:t>
      </w:r>
      <w:r>
        <w:tab/>
      </w:r>
      <w:r w:rsidRPr="007A09CE">
        <w:rPr>
          <w:u w:val="single"/>
        </w:rPr>
        <w:t>See</w:t>
      </w:r>
      <w:r w:rsidRPr="00E6600A">
        <w:t xml:space="preserve"> </w:t>
      </w:r>
      <w:r w:rsidRPr="007A09CE">
        <w:rPr>
          <w:u w:val="single"/>
        </w:rPr>
        <w:t>e.g.</w:t>
      </w:r>
      <w:r w:rsidRPr="00E6600A">
        <w:t xml:space="preserve">, </w:t>
      </w:r>
      <w:r w:rsidRPr="00704B29">
        <w:rPr>
          <w:u w:val="single"/>
        </w:rPr>
        <w:t>WUTC v. Pacific Power &amp; Light Co.,</w:t>
      </w:r>
      <w:r w:rsidRPr="00704B29">
        <w:t xml:space="preserve"> Docket No. UE-144160, Order 04 at 1-4 (Nov. 12, 2015)(describing process for that proceeding).</w:t>
      </w:r>
    </w:p>
  </w:footnote>
  <w:footnote w:id="88">
    <w:p w14:paraId="166BD810" w14:textId="6FDE330A" w:rsidR="00355EBF" w:rsidRDefault="00355EBF" w:rsidP="00AF1E73">
      <w:pPr>
        <w:pStyle w:val="FootnoteText"/>
        <w:ind w:left="720" w:hanging="720"/>
      </w:pPr>
      <w:r>
        <w:rPr>
          <w:rStyle w:val="FootnoteReference"/>
        </w:rPr>
        <w:footnoteRef/>
      </w:r>
      <w:r>
        <w:t xml:space="preserve"> </w:t>
      </w:r>
      <w:r>
        <w:tab/>
        <w:t xml:space="preserve">For example, in PSE’s last avoided cost rate filing, the utility eliminated capacity payments during its short-run capacity deficit time period, but did not identify that major change in its filing.  Instead, PSE inaccurately claimed that “[t]he methodology used to update the fixed-price alternative is consistent with the approach used in the 2007 through 2015 annual filings.”  </w:t>
      </w:r>
      <w:r w:rsidRPr="000E1070">
        <w:rPr>
          <w:u w:val="single"/>
        </w:rPr>
        <w:t>PSE Advice 2016-31—Schedule 91 – Cogeneration and Small Power Production</w:t>
      </w:r>
      <w:r>
        <w:t xml:space="preserve">, </w:t>
      </w:r>
      <w:r w:rsidRPr="000E1070">
        <w:t>Docket No. UE</w:t>
      </w:r>
      <w:r>
        <w:t xml:space="preserve">-161240 PSE Initial Filing at </w:t>
      </w:r>
      <w:r w:rsidRPr="000E1070">
        <w:t>2 (Nov. 23, 2016).</w:t>
      </w:r>
      <w:r>
        <w:t xml:space="preserve"> </w:t>
      </w:r>
    </w:p>
  </w:footnote>
  <w:footnote w:id="89">
    <w:p w14:paraId="2016C561" w14:textId="00713D11" w:rsidR="00355EBF" w:rsidRDefault="00355EBF" w:rsidP="00AF1E73">
      <w:pPr>
        <w:pStyle w:val="FootnoteText"/>
        <w:ind w:left="720" w:hanging="720"/>
      </w:pPr>
      <w:r>
        <w:rPr>
          <w:rStyle w:val="FootnoteReference"/>
        </w:rPr>
        <w:footnoteRef/>
      </w:r>
      <w:r>
        <w:t xml:space="preserve"> </w:t>
      </w:r>
      <w:r>
        <w:tab/>
        <w:t xml:space="preserve">In PSE’s last avoided cost rate filing, PSE refused to provide the information to REC that the utility provided to Staff, requiring REC to submit public records requests simply to review PSE’s filing and PSE’s explanations for its proposed changes.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24D"/>
    <w:multiLevelType w:val="hybridMultilevel"/>
    <w:tmpl w:val="3DB48B48"/>
    <w:lvl w:ilvl="0" w:tplc="2DDC9F0E">
      <w:start w:val="1"/>
      <w:numFmt w:val="decimal"/>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8C62A7"/>
    <w:multiLevelType w:val="hybridMultilevel"/>
    <w:tmpl w:val="B9F6B736"/>
    <w:lvl w:ilvl="0" w:tplc="04090001">
      <w:start w:val="1"/>
      <w:numFmt w:val="bullet"/>
      <w:lvlText w:val=""/>
      <w:lvlJc w:val="left"/>
      <w:pPr>
        <w:ind w:left="720" w:hanging="360"/>
      </w:pPr>
      <w:rPr>
        <w:rFonts w:ascii="Symbol" w:hAnsi="Symbol" w:hint="default"/>
      </w:rPr>
    </w:lvl>
    <w:lvl w:ilvl="1" w:tplc="DC4028BE">
      <w:start w:val="1"/>
      <w:numFmt w:val="decimal"/>
      <w:lvlText w:val="%2."/>
      <w:lvlJc w:val="left"/>
      <w:pPr>
        <w:ind w:left="2016" w:hanging="936"/>
      </w:pPr>
      <w:rPr>
        <w:rFonts w:ascii="Times New Roman" w:eastAsia="Times New Roman" w:hAnsi="Times New Roman" w:cs="Times New Roman" w:hint="default"/>
      </w:rPr>
    </w:lvl>
    <w:lvl w:ilvl="2" w:tplc="DF6A670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07FF6"/>
    <w:multiLevelType w:val="hybridMultilevel"/>
    <w:tmpl w:val="012C2C4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130E1"/>
    <w:multiLevelType w:val="multilevel"/>
    <w:tmpl w:val="66DA40B2"/>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5D4999"/>
    <w:multiLevelType w:val="hybridMultilevel"/>
    <w:tmpl w:val="B36E1A76"/>
    <w:lvl w:ilvl="0" w:tplc="6C600760">
      <w:start w:val="1"/>
      <w:numFmt w:val="decimal"/>
      <w:lvlText w:val="%1."/>
      <w:lvlJc w:val="left"/>
      <w:pPr>
        <w:ind w:left="0" w:hanging="360"/>
      </w:pPr>
      <w:rPr>
        <w:rFonts w:hint="default"/>
      </w:rPr>
    </w:lvl>
    <w:lvl w:ilvl="1" w:tplc="6C60076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7713B"/>
    <w:multiLevelType w:val="hybridMultilevel"/>
    <w:tmpl w:val="2B8AA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E3AE8"/>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26673C"/>
    <w:multiLevelType w:val="hybridMultilevel"/>
    <w:tmpl w:val="849A9B6C"/>
    <w:lvl w:ilvl="0" w:tplc="00528236">
      <w:start w:val="1"/>
      <w:numFmt w:val="decimal"/>
      <w:lvlText w:val="%1."/>
      <w:lvlJc w:val="left"/>
      <w:pPr>
        <w:ind w:left="1440" w:hanging="18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AE42DB"/>
    <w:multiLevelType w:val="multilevel"/>
    <w:tmpl w:val="EB768D30"/>
    <w:lvl w:ilvl="0">
      <w:start w:val="1"/>
      <w:numFmt w:val="decimal"/>
      <w:lvlText w:val="%1."/>
      <w:lvlJc w:val="righ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6E07AD"/>
    <w:multiLevelType w:val="hybridMultilevel"/>
    <w:tmpl w:val="AEF68E1A"/>
    <w:lvl w:ilvl="0" w:tplc="0409000F">
      <w:start w:val="1"/>
      <w:numFmt w:val="decimal"/>
      <w:lvlText w:val="%1."/>
      <w:lvlJc w:val="left"/>
      <w:pPr>
        <w:ind w:left="720" w:hanging="360"/>
      </w:pPr>
      <w:rPr>
        <w:rFonts w:hint="default"/>
      </w:rPr>
    </w:lvl>
    <w:lvl w:ilvl="1" w:tplc="2816233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A5C57"/>
    <w:multiLevelType w:val="hybridMultilevel"/>
    <w:tmpl w:val="66DA40B2"/>
    <w:lvl w:ilvl="0" w:tplc="D74AED86">
      <w:start w:val="1"/>
      <w:numFmt w:val="non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53170"/>
    <w:multiLevelType w:val="hybridMultilevel"/>
    <w:tmpl w:val="A1E69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E7A10"/>
    <w:multiLevelType w:val="hybridMultilevel"/>
    <w:tmpl w:val="2F183434"/>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4581C"/>
    <w:multiLevelType w:val="hybridMultilevel"/>
    <w:tmpl w:val="F6C2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013C2"/>
    <w:multiLevelType w:val="multilevel"/>
    <w:tmpl w:val="849A9B6C"/>
    <w:lvl w:ilvl="0">
      <w:start w:val="1"/>
      <w:numFmt w:val="decimal"/>
      <w:lvlText w:val="%1."/>
      <w:lvlJc w:val="left"/>
      <w:pPr>
        <w:ind w:left="1440" w:hanging="180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351F167A"/>
    <w:multiLevelType w:val="multilevel"/>
    <w:tmpl w:val="0186CD60"/>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5B7001"/>
    <w:multiLevelType w:val="hybridMultilevel"/>
    <w:tmpl w:val="2B8AAE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A108E"/>
    <w:multiLevelType w:val="hybridMultilevel"/>
    <w:tmpl w:val="97368E60"/>
    <w:lvl w:ilvl="0" w:tplc="6C600760">
      <w:start w:val="1"/>
      <w:numFmt w:val="decimal"/>
      <w:lvlText w:val="%1."/>
      <w:lvlJc w:val="left"/>
      <w:pPr>
        <w:ind w:left="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827790"/>
    <w:multiLevelType w:val="hybridMultilevel"/>
    <w:tmpl w:val="81504358"/>
    <w:lvl w:ilvl="0" w:tplc="0409000F">
      <w:start w:val="1"/>
      <w:numFmt w:val="decimal"/>
      <w:lvlText w:val="%1."/>
      <w:lvlJc w:val="left"/>
      <w:pPr>
        <w:ind w:left="720" w:hanging="360"/>
      </w:pPr>
    </w:lvl>
    <w:lvl w:ilvl="1" w:tplc="DC4028BE">
      <w:start w:val="1"/>
      <w:numFmt w:val="decimal"/>
      <w:lvlText w:val="%2."/>
      <w:lvlJc w:val="left"/>
      <w:pPr>
        <w:ind w:left="2016" w:hanging="936"/>
      </w:pPr>
      <w:rPr>
        <w:rFonts w:ascii="Times New Roman" w:eastAsia="Times New Roman" w:hAnsi="Times New Roman" w:cs="Times New Roman" w:hint="default"/>
      </w:rPr>
    </w:lvl>
    <w:lvl w:ilvl="2" w:tplc="DF6A6700">
      <w:start w:val="1"/>
      <w:numFmt w:val="upperLetter"/>
      <w:lvlText w:val="%3."/>
      <w:lvlJc w:val="left"/>
      <w:pPr>
        <w:ind w:left="2340" w:hanging="360"/>
      </w:pPr>
      <w:rPr>
        <w:rFonts w:hint="default"/>
      </w:rPr>
    </w:lvl>
    <w:lvl w:ilvl="3" w:tplc="9E8850E4">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3F2A6B"/>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F30150"/>
    <w:multiLevelType w:val="hybridMultilevel"/>
    <w:tmpl w:val="0186CD60"/>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116DD"/>
    <w:multiLevelType w:val="hybridMultilevel"/>
    <w:tmpl w:val="ADC637F2"/>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D3624"/>
    <w:multiLevelType w:val="multilevel"/>
    <w:tmpl w:val="3DB48B48"/>
    <w:lvl w:ilvl="0">
      <w:start w:val="1"/>
      <w:numFmt w:val="decimal"/>
      <w:lvlText w:val="%1."/>
      <w:lvlJc w:val="right"/>
      <w:pPr>
        <w:ind w:left="1440" w:hanging="36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F6A57F2"/>
    <w:multiLevelType w:val="hybridMultilevel"/>
    <w:tmpl w:val="3D6A5E4C"/>
    <w:lvl w:ilvl="0" w:tplc="565EB126">
      <w:start w:val="1"/>
      <w:numFmt w:val="decimal"/>
      <w:lvlText w:val="%1."/>
      <w:lvlJc w:val="right"/>
      <w:pPr>
        <w:ind w:left="1440" w:hanging="144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B767B2"/>
    <w:multiLevelType w:val="hybridMultilevel"/>
    <w:tmpl w:val="D9205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6B0535"/>
    <w:multiLevelType w:val="hybridMultilevel"/>
    <w:tmpl w:val="DB12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273E0"/>
    <w:multiLevelType w:val="multilevel"/>
    <w:tmpl w:val="5F86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BD0845"/>
    <w:multiLevelType w:val="hybridMultilevel"/>
    <w:tmpl w:val="EB768D3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965455"/>
    <w:multiLevelType w:val="hybridMultilevel"/>
    <w:tmpl w:val="642C8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14193"/>
    <w:multiLevelType w:val="multilevel"/>
    <w:tmpl w:val="3D6A5E4C"/>
    <w:lvl w:ilvl="0">
      <w:start w:val="1"/>
      <w:numFmt w:val="decimal"/>
      <w:lvlText w:val="%1."/>
      <w:lvlJc w:val="right"/>
      <w:pPr>
        <w:ind w:left="1440" w:hanging="144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68240538"/>
    <w:multiLevelType w:val="hybridMultilevel"/>
    <w:tmpl w:val="ED1CC8A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50CA2"/>
    <w:multiLevelType w:val="multilevel"/>
    <w:tmpl w:val="AD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A5503C2"/>
    <w:multiLevelType w:val="hybridMultilevel"/>
    <w:tmpl w:val="A9B896AA"/>
    <w:lvl w:ilvl="0" w:tplc="0409000F">
      <w:start w:val="1"/>
      <w:numFmt w:val="decimal"/>
      <w:lvlText w:val="%1."/>
      <w:lvlJc w:val="left"/>
      <w:pPr>
        <w:ind w:left="720" w:hanging="360"/>
      </w:pPr>
    </w:lvl>
    <w:lvl w:ilvl="1" w:tplc="DC4028BE">
      <w:start w:val="1"/>
      <w:numFmt w:val="decimal"/>
      <w:lvlText w:val="%2."/>
      <w:lvlJc w:val="left"/>
      <w:pPr>
        <w:ind w:left="2016" w:hanging="936"/>
      </w:pPr>
      <w:rPr>
        <w:rFonts w:ascii="Times New Roman" w:eastAsia="Times New Roman" w:hAnsi="Times New Roman" w:cs="Times New Roman" w:hint="default"/>
      </w:rPr>
    </w:lvl>
    <w:lvl w:ilvl="2" w:tplc="DF6A6700">
      <w:start w:val="1"/>
      <w:numFmt w:val="upperLetter"/>
      <w:lvlText w:val="%3."/>
      <w:lvlJc w:val="left"/>
      <w:pPr>
        <w:ind w:left="2340" w:hanging="360"/>
      </w:pPr>
      <w:rPr>
        <w:rFonts w:hint="default"/>
      </w:rPr>
    </w:lvl>
    <w:lvl w:ilvl="3" w:tplc="9E8850E4">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510EFE"/>
    <w:multiLevelType w:val="hybridMultilevel"/>
    <w:tmpl w:val="0A2224B8"/>
    <w:lvl w:ilvl="0" w:tplc="A3AEDB70">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E9A4902"/>
    <w:multiLevelType w:val="hybridMultilevel"/>
    <w:tmpl w:val="B9E05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257E51"/>
    <w:multiLevelType w:val="hybridMultilevel"/>
    <w:tmpl w:val="923A47B6"/>
    <w:lvl w:ilvl="0" w:tplc="A552C492">
      <w:start w:val="1"/>
      <w:numFmt w:val="decimal"/>
      <w:lvlText w:val="%1."/>
      <w:lvlJc w:val="right"/>
      <w:pPr>
        <w:ind w:left="0" w:firstLine="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707FB4"/>
    <w:multiLevelType w:val="hybridMultilevel"/>
    <w:tmpl w:val="E3CE190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C71166"/>
    <w:multiLevelType w:val="multilevel"/>
    <w:tmpl w:val="D92057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76D22780"/>
    <w:multiLevelType w:val="hybridMultilevel"/>
    <w:tmpl w:val="363C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33216B"/>
    <w:multiLevelType w:val="hybridMultilevel"/>
    <w:tmpl w:val="6422DCF6"/>
    <w:lvl w:ilvl="0" w:tplc="DF6A6700">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593ACF"/>
    <w:multiLevelType w:val="hybridMultilevel"/>
    <w:tmpl w:val="9E1AB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7D072B"/>
    <w:multiLevelType w:val="hybridMultilevel"/>
    <w:tmpl w:val="18D85DB6"/>
    <w:lvl w:ilvl="0" w:tplc="0409000F">
      <w:start w:val="1"/>
      <w:numFmt w:val="decimal"/>
      <w:lvlText w:val="%1."/>
      <w:lvlJc w:val="left"/>
      <w:pPr>
        <w:ind w:left="720" w:hanging="360"/>
      </w:pPr>
    </w:lvl>
    <w:lvl w:ilvl="1" w:tplc="5D2CF7C6">
      <w:start w:val="1"/>
      <w:numFmt w:val="decimal"/>
      <w:lvlText w:val="%2."/>
      <w:lvlJc w:val="left"/>
      <w:pPr>
        <w:ind w:left="2016" w:hanging="936"/>
      </w:pPr>
      <w:rPr>
        <w:rFonts w:ascii="Times New Roman" w:eastAsia="Times New Roman" w:hAnsi="Times New Roman" w:cs="Times New Roman" w:hint="default"/>
        <w:b w:val="0"/>
        <w:bCs w:val="0"/>
      </w:rPr>
    </w:lvl>
    <w:lvl w:ilvl="2" w:tplc="DF6A6700">
      <w:start w:val="1"/>
      <w:numFmt w:val="upperLetter"/>
      <w:lvlText w:val="%3."/>
      <w:lvlJc w:val="left"/>
      <w:pPr>
        <w:ind w:left="2340" w:hanging="360"/>
      </w:pPr>
      <w:rPr>
        <w:rFonts w:hint="default"/>
      </w:r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92083D"/>
    <w:multiLevelType w:val="hybridMultilevel"/>
    <w:tmpl w:val="9FFE5484"/>
    <w:lvl w:ilvl="0" w:tplc="DF6A6700">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1A4D82"/>
    <w:multiLevelType w:val="multilevel"/>
    <w:tmpl w:val="97368E60"/>
    <w:lvl w:ilvl="0">
      <w:start w:val="1"/>
      <w:numFmt w:val="decimal"/>
      <w:lvlText w:val="%1."/>
      <w:lvlJc w:val="left"/>
      <w:pPr>
        <w:ind w:left="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3"/>
  </w:num>
  <w:num w:numId="2">
    <w:abstractNumId w:val="24"/>
  </w:num>
  <w:num w:numId="3">
    <w:abstractNumId w:val="37"/>
  </w:num>
  <w:num w:numId="4">
    <w:abstractNumId w:val="7"/>
  </w:num>
  <w:num w:numId="5">
    <w:abstractNumId w:val="14"/>
  </w:num>
  <w:num w:numId="6">
    <w:abstractNumId w:val="17"/>
  </w:num>
  <w:num w:numId="7">
    <w:abstractNumId w:val="43"/>
  </w:num>
  <w:num w:numId="8">
    <w:abstractNumId w:val="2"/>
  </w:num>
  <w:num w:numId="9">
    <w:abstractNumId w:val="6"/>
  </w:num>
  <w:num w:numId="10">
    <w:abstractNumId w:val="19"/>
  </w:num>
  <w:num w:numId="11">
    <w:abstractNumId w:val="4"/>
  </w:num>
  <w:num w:numId="12">
    <w:abstractNumId w:val="12"/>
  </w:num>
  <w:num w:numId="13">
    <w:abstractNumId w:val="21"/>
  </w:num>
  <w:num w:numId="14">
    <w:abstractNumId w:val="20"/>
  </w:num>
  <w:num w:numId="15">
    <w:abstractNumId w:val="15"/>
  </w:num>
  <w:num w:numId="16">
    <w:abstractNumId w:val="36"/>
  </w:num>
  <w:num w:numId="17">
    <w:abstractNumId w:val="11"/>
  </w:num>
  <w:num w:numId="18">
    <w:abstractNumId w:val="30"/>
  </w:num>
  <w:num w:numId="19">
    <w:abstractNumId w:val="10"/>
  </w:num>
  <w:num w:numId="20">
    <w:abstractNumId w:val="3"/>
  </w:num>
  <w:num w:numId="21">
    <w:abstractNumId w:val="27"/>
  </w:num>
  <w:num w:numId="22">
    <w:abstractNumId w:val="8"/>
  </w:num>
  <w:num w:numId="23">
    <w:abstractNumId w:val="0"/>
  </w:num>
  <w:num w:numId="24">
    <w:abstractNumId w:val="22"/>
  </w:num>
  <w:num w:numId="25">
    <w:abstractNumId w:val="23"/>
  </w:num>
  <w:num w:numId="26">
    <w:abstractNumId w:val="29"/>
  </w:num>
  <w:num w:numId="27">
    <w:abstractNumId w:val="35"/>
  </w:num>
  <w:num w:numId="28">
    <w:abstractNumId w:val="25"/>
  </w:num>
  <w:num w:numId="29">
    <w:abstractNumId w:val="31"/>
  </w:num>
  <w:num w:numId="30">
    <w:abstractNumId w:val="16"/>
  </w:num>
  <w:num w:numId="31">
    <w:abstractNumId w:val="5"/>
  </w:num>
  <w:num w:numId="32">
    <w:abstractNumId w:val="26"/>
  </w:num>
  <w:num w:numId="33">
    <w:abstractNumId w:val="41"/>
  </w:num>
  <w:num w:numId="34">
    <w:abstractNumId w:val="9"/>
  </w:num>
  <w:num w:numId="35">
    <w:abstractNumId w:val="1"/>
  </w:num>
  <w:num w:numId="36">
    <w:abstractNumId w:val="40"/>
  </w:num>
  <w:num w:numId="37">
    <w:abstractNumId w:val="18"/>
  </w:num>
  <w:num w:numId="38">
    <w:abstractNumId w:val="39"/>
  </w:num>
  <w:num w:numId="39">
    <w:abstractNumId w:val="42"/>
  </w:num>
  <w:num w:numId="40">
    <w:abstractNumId w:val="32"/>
  </w:num>
  <w:num w:numId="41">
    <w:abstractNumId w:val="28"/>
  </w:num>
  <w:num w:numId="42">
    <w:abstractNumId w:val="34"/>
  </w:num>
  <w:num w:numId="43">
    <w:abstractNumId w:val="3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02"/>
    <w:rsid w:val="0000089C"/>
    <w:rsid w:val="00000A52"/>
    <w:rsid w:val="000018C6"/>
    <w:rsid w:val="000026C4"/>
    <w:rsid w:val="0000482B"/>
    <w:rsid w:val="00004ABB"/>
    <w:rsid w:val="000052D2"/>
    <w:rsid w:val="00005770"/>
    <w:rsid w:val="000064D0"/>
    <w:rsid w:val="000067DE"/>
    <w:rsid w:val="00006E49"/>
    <w:rsid w:val="00007990"/>
    <w:rsid w:val="00011194"/>
    <w:rsid w:val="00011931"/>
    <w:rsid w:val="00012C2F"/>
    <w:rsid w:val="000151E1"/>
    <w:rsid w:val="00015589"/>
    <w:rsid w:val="00015BDD"/>
    <w:rsid w:val="0001694D"/>
    <w:rsid w:val="000170D1"/>
    <w:rsid w:val="000173B1"/>
    <w:rsid w:val="00017835"/>
    <w:rsid w:val="00017A51"/>
    <w:rsid w:val="00017A94"/>
    <w:rsid w:val="00020BB6"/>
    <w:rsid w:val="00021AF5"/>
    <w:rsid w:val="00023324"/>
    <w:rsid w:val="0002356E"/>
    <w:rsid w:val="00023766"/>
    <w:rsid w:val="00024857"/>
    <w:rsid w:val="00024A8B"/>
    <w:rsid w:val="00025E8B"/>
    <w:rsid w:val="000313DB"/>
    <w:rsid w:val="00031D0A"/>
    <w:rsid w:val="000331CB"/>
    <w:rsid w:val="000335CB"/>
    <w:rsid w:val="00033C5C"/>
    <w:rsid w:val="00033E82"/>
    <w:rsid w:val="00034BCE"/>
    <w:rsid w:val="00034D54"/>
    <w:rsid w:val="000353CA"/>
    <w:rsid w:val="00035899"/>
    <w:rsid w:val="0003624D"/>
    <w:rsid w:val="00036DBB"/>
    <w:rsid w:val="00036F2E"/>
    <w:rsid w:val="0003706E"/>
    <w:rsid w:val="00037518"/>
    <w:rsid w:val="000418FA"/>
    <w:rsid w:val="00041F2B"/>
    <w:rsid w:val="00043626"/>
    <w:rsid w:val="000457F0"/>
    <w:rsid w:val="00045AE4"/>
    <w:rsid w:val="00045AEC"/>
    <w:rsid w:val="00047ABF"/>
    <w:rsid w:val="00050975"/>
    <w:rsid w:val="00050D6A"/>
    <w:rsid w:val="00052728"/>
    <w:rsid w:val="00052866"/>
    <w:rsid w:val="00055A72"/>
    <w:rsid w:val="000564BD"/>
    <w:rsid w:val="0005737C"/>
    <w:rsid w:val="000601BA"/>
    <w:rsid w:val="00060C0C"/>
    <w:rsid w:val="0006277C"/>
    <w:rsid w:val="00062FB1"/>
    <w:rsid w:val="000632C4"/>
    <w:rsid w:val="00063AF4"/>
    <w:rsid w:val="000647B0"/>
    <w:rsid w:val="00064F7A"/>
    <w:rsid w:val="000669B8"/>
    <w:rsid w:val="00066C89"/>
    <w:rsid w:val="000678A4"/>
    <w:rsid w:val="000700F1"/>
    <w:rsid w:val="00070848"/>
    <w:rsid w:val="00070BAE"/>
    <w:rsid w:val="00071502"/>
    <w:rsid w:val="000719FA"/>
    <w:rsid w:val="000721F7"/>
    <w:rsid w:val="0007348D"/>
    <w:rsid w:val="0007349E"/>
    <w:rsid w:val="00074C30"/>
    <w:rsid w:val="000765F6"/>
    <w:rsid w:val="000766FB"/>
    <w:rsid w:val="0007682B"/>
    <w:rsid w:val="00076CAD"/>
    <w:rsid w:val="000777EB"/>
    <w:rsid w:val="00083ADD"/>
    <w:rsid w:val="00084B69"/>
    <w:rsid w:val="00084FF6"/>
    <w:rsid w:val="00085042"/>
    <w:rsid w:val="00087256"/>
    <w:rsid w:val="0009077C"/>
    <w:rsid w:val="00090934"/>
    <w:rsid w:val="000909C6"/>
    <w:rsid w:val="00091A40"/>
    <w:rsid w:val="00091BC4"/>
    <w:rsid w:val="00092003"/>
    <w:rsid w:val="00092640"/>
    <w:rsid w:val="00092A51"/>
    <w:rsid w:val="00093B2F"/>
    <w:rsid w:val="000947EF"/>
    <w:rsid w:val="00094EA6"/>
    <w:rsid w:val="00096699"/>
    <w:rsid w:val="00097C45"/>
    <w:rsid w:val="000A0419"/>
    <w:rsid w:val="000A119D"/>
    <w:rsid w:val="000A2800"/>
    <w:rsid w:val="000A2E13"/>
    <w:rsid w:val="000A31B0"/>
    <w:rsid w:val="000A32D1"/>
    <w:rsid w:val="000A409C"/>
    <w:rsid w:val="000A4BD2"/>
    <w:rsid w:val="000A5192"/>
    <w:rsid w:val="000A5C55"/>
    <w:rsid w:val="000A7B05"/>
    <w:rsid w:val="000A7F54"/>
    <w:rsid w:val="000B10C5"/>
    <w:rsid w:val="000B195E"/>
    <w:rsid w:val="000B1E73"/>
    <w:rsid w:val="000B20F9"/>
    <w:rsid w:val="000B2507"/>
    <w:rsid w:val="000B2B5D"/>
    <w:rsid w:val="000B69BE"/>
    <w:rsid w:val="000B7DEC"/>
    <w:rsid w:val="000C0C2C"/>
    <w:rsid w:val="000C0FAD"/>
    <w:rsid w:val="000C1A41"/>
    <w:rsid w:val="000C1C5E"/>
    <w:rsid w:val="000C1D0C"/>
    <w:rsid w:val="000C1F96"/>
    <w:rsid w:val="000C3516"/>
    <w:rsid w:val="000C3C3C"/>
    <w:rsid w:val="000C4BB9"/>
    <w:rsid w:val="000C5EBC"/>
    <w:rsid w:val="000C63A8"/>
    <w:rsid w:val="000C64E0"/>
    <w:rsid w:val="000C6B0C"/>
    <w:rsid w:val="000C737E"/>
    <w:rsid w:val="000D018F"/>
    <w:rsid w:val="000D0B5A"/>
    <w:rsid w:val="000D133E"/>
    <w:rsid w:val="000D1562"/>
    <w:rsid w:val="000D29B1"/>
    <w:rsid w:val="000D39EE"/>
    <w:rsid w:val="000D515D"/>
    <w:rsid w:val="000D5202"/>
    <w:rsid w:val="000D56FF"/>
    <w:rsid w:val="000D581B"/>
    <w:rsid w:val="000D5E19"/>
    <w:rsid w:val="000D5F94"/>
    <w:rsid w:val="000D7A28"/>
    <w:rsid w:val="000E1070"/>
    <w:rsid w:val="000E187F"/>
    <w:rsid w:val="000E18A6"/>
    <w:rsid w:val="000E29FE"/>
    <w:rsid w:val="000E3FF3"/>
    <w:rsid w:val="000E4263"/>
    <w:rsid w:val="000E456E"/>
    <w:rsid w:val="000E4968"/>
    <w:rsid w:val="000E5B4F"/>
    <w:rsid w:val="000E6412"/>
    <w:rsid w:val="000E6A31"/>
    <w:rsid w:val="000E79AA"/>
    <w:rsid w:val="000F2D3B"/>
    <w:rsid w:val="000F3150"/>
    <w:rsid w:val="000F35CD"/>
    <w:rsid w:val="000F3A12"/>
    <w:rsid w:val="000F3D40"/>
    <w:rsid w:val="000F4E43"/>
    <w:rsid w:val="000F61ED"/>
    <w:rsid w:val="000F7427"/>
    <w:rsid w:val="000F766B"/>
    <w:rsid w:val="000F7AAD"/>
    <w:rsid w:val="0010046D"/>
    <w:rsid w:val="0010141C"/>
    <w:rsid w:val="001018DC"/>
    <w:rsid w:val="00101B75"/>
    <w:rsid w:val="00101C9A"/>
    <w:rsid w:val="00101FD6"/>
    <w:rsid w:val="00102E02"/>
    <w:rsid w:val="00102EAB"/>
    <w:rsid w:val="00103F08"/>
    <w:rsid w:val="001047F1"/>
    <w:rsid w:val="00104A16"/>
    <w:rsid w:val="00104FA7"/>
    <w:rsid w:val="001059EF"/>
    <w:rsid w:val="00105B9E"/>
    <w:rsid w:val="00106E58"/>
    <w:rsid w:val="001076C8"/>
    <w:rsid w:val="00110897"/>
    <w:rsid w:val="0011198E"/>
    <w:rsid w:val="0011248C"/>
    <w:rsid w:val="001138CA"/>
    <w:rsid w:val="001147FF"/>
    <w:rsid w:val="00114EE3"/>
    <w:rsid w:val="001152BE"/>
    <w:rsid w:val="00116785"/>
    <w:rsid w:val="001167C4"/>
    <w:rsid w:val="00116F86"/>
    <w:rsid w:val="00117A58"/>
    <w:rsid w:val="00117E20"/>
    <w:rsid w:val="00121783"/>
    <w:rsid w:val="00121817"/>
    <w:rsid w:val="00121ACC"/>
    <w:rsid w:val="0012337C"/>
    <w:rsid w:val="0012614B"/>
    <w:rsid w:val="001274A8"/>
    <w:rsid w:val="001279A9"/>
    <w:rsid w:val="00130560"/>
    <w:rsid w:val="00130904"/>
    <w:rsid w:val="0013244A"/>
    <w:rsid w:val="00133F34"/>
    <w:rsid w:val="00134961"/>
    <w:rsid w:val="00135D0A"/>
    <w:rsid w:val="00135EE8"/>
    <w:rsid w:val="00135FAE"/>
    <w:rsid w:val="00137D61"/>
    <w:rsid w:val="0014076F"/>
    <w:rsid w:val="00140C3F"/>
    <w:rsid w:val="00141E33"/>
    <w:rsid w:val="00143E88"/>
    <w:rsid w:val="001442F5"/>
    <w:rsid w:val="0014562A"/>
    <w:rsid w:val="00145654"/>
    <w:rsid w:val="001457D5"/>
    <w:rsid w:val="00145874"/>
    <w:rsid w:val="00147142"/>
    <w:rsid w:val="0014714A"/>
    <w:rsid w:val="00147A2B"/>
    <w:rsid w:val="00147A79"/>
    <w:rsid w:val="00147FB3"/>
    <w:rsid w:val="00150698"/>
    <w:rsid w:val="00150C57"/>
    <w:rsid w:val="00150E56"/>
    <w:rsid w:val="00152037"/>
    <w:rsid w:val="001556AC"/>
    <w:rsid w:val="00155AFA"/>
    <w:rsid w:val="00156ECA"/>
    <w:rsid w:val="00157C5B"/>
    <w:rsid w:val="00162292"/>
    <w:rsid w:val="001641BA"/>
    <w:rsid w:val="00164DBD"/>
    <w:rsid w:val="001658E6"/>
    <w:rsid w:val="00165EA2"/>
    <w:rsid w:val="001664D2"/>
    <w:rsid w:val="00166CB6"/>
    <w:rsid w:val="00167792"/>
    <w:rsid w:val="00170032"/>
    <w:rsid w:val="001705B7"/>
    <w:rsid w:val="00171052"/>
    <w:rsid w:val="001728B6"/>
    <w:rsid w:val="0017309F"/>
    <w:rsid w:val="001730F8"/>
    <w:rsid w:val="00174E54"/>
    <w:rsid w:val="00176555"/>
    <w:rsid w:val="00176DF0"/>
    <w:rsid w:val="001808C5"/>
    <w:rsid w:val="00181829"/>
    <w:rsid w:val="0018400B"/>
    <w:rsid w:val="001856EA"/>
    <w:rsid w:val="001920C5"/>
    <w:rsid w:val="001949BC"/>
    <w:rsid w:val="001949F8"/>
    <w:rsid w:val="0019573A"/>
    <w:rsid w:val="0019698A"/>
    <w:rsid w:val="00197344"/>
    <w:rsid w:val="00197EC7"/>
    <w:rsid w:val="001A03E0"/>
    <w:rsid w:val="001A0455"/>
    <w:rsid w:val="001A1681"/>
    <w:rsid w:val="001A398B"/>
    <w:rsid w:val="001A5A5F"/>
    <w:rsid w:val="001A65E1"/>
    <w:rsid w:val="001A665D"/>
    <w:rsid w:val="001A7B66"/>
    <w:rsid w:val="001B1372"/>
    <w:rsid w:val="001B14B7"/>
    <w:rsid w:val="001B1B49"/>
    <w:rsid w:val="001B26B5"/>
    <w:rsid w:val="001B2C89"/>
    <w:rsid w:val="001B3A92"/>
    <w:rsid w:val="001B47DB"/>
    <w:rsid w:val="001B59EB"/>
    <w:rsid w:val="001B68FB"/>
    <w:rsid w:val="001C02E5"/>
    <w:rsid w:val="001C0359"/>
    <w:rsid w:val="001C0766"/>
    <w:rsid w:val="001C0E2C"/>
    <w:rsid w:val="001C1649"/>
    <w:rsid w:val="001C190E"/>
    <w:rsid w:val="001C2725"/>
    <w:rsid w:val="001C43DD"/>
    <w:rsid w:val="001C44D9"/>
    <w:rsid w:val="001C5C8E"/>
    <w:rsid w:val="001C6553"/>
    <w:rsid w:val="001C76DC"/>
    <w:rsid w:val="001C7D66"/>
    <w:rsid w:val="001D0AB3"/>
    <w:rsid w:val="001D13A1"/>
    <w:rsid w:val="001D148E"/>
    <w:rsid w:val="001D1660"/>
    <w:rsid w:val="001D2FFB"/>
    <w:rsid w:val="001D30AE"/>
    <w:rsid w:val="001D31E4"/>
    <w:rsid w:val="001D3D3E"/>
    <w:rsid w:val="001D3DBD"/>
    <w:rsid w:val="001D437F"/>
    <w:rsid w:val="001D7560"/>
    <w:rsid w:val="001D7645"/>
    <w:rsid w:val="001D7AA5"/>
    <w:rsid w:val="001D7B0E"/>
    <w:rsid w:val="001E0681"/>
    <w:rsid w:val="001E0DFA"/>
    <w:rsid w:val="001E0F19"/>
    <w:rsid w:val="001E0FFC"/>
    <w:rsid w:val="001E15A4"/>
    <w:rsid w:val="001E16BD"/>
    <w:rsid w:val="001E29EE"/>
    <w:rsid w:val="001E2CFE"/>
    <w:rsid w:val="001E333D"/>
    <w:rsid w:val="001E5741"/>
    <w:rsid w:val="001E59E3"/>
    <w:rsid w:val="001E5D05"/>
    <w:rsid w:val="001E620C"/>
    <w:rsid w:val="001E6371"/>
    <w:rsid w:val="001E7298"/>
    <w:rsid w:val="001E740B"/>
    <w:rsid w:val="001E7A6B"/>
    <w:rsid w:val="001F2267"/>
    <w:rsid w:val="001F33A8"/>
    <w:rsid w:val="001F3B53"/>
    <w:rsid w:val="001F4AC5"/>
    <w:rsid w:val="001F516F"/>
    <w:rsid w:val="001F53C4"/>
    <w:rsid w:val="001F5F80"/>
    <w:rsid w:val="001F76CB"/>
    <w:rsid w:val="001F7BDD"/>
    <w:rsid w:val="001F7DC9"/>
    <w:rsid w:val="002023C3"/>
    <w:rsid w:val="0020696B"/>
    <w:rsid w:val="00206A52"/>
    <w:rsid w:val="00206EEB"/>
    <w:rsid w:val="00207AB6"/>
    <w:rsid w:val="00210F2F"/>
    <w:rsid w:val="00210F8A"/>
    <w:rsid w:val="00211B4E"/>
    <w:rsid w:val="002130AA"/>
    <w:rsid w:val="002152CF"/>
    <w:rsid w:val="00215911"/>
    <w:rsid w:val="002166D1"/>
    <w:rsid w:val="00221413"/>
    <w:rsid w:val="00221E6E"/>
    <w:rsid w:val="00222946"/>
    <w:rsid w:val="00222B06"/>
    <w:rsid w:val="00222B28"/>
    <w:rsid w:val="00222C62"/>
    <w:rsid w:val="00223E30"/>
    <w:rsid w:val="002243F9"/>
    <w:rsid w:val="00225F94"/>
    <w:rsid w:val="00226264"/>
    <w:rsid w:val="0022669E"/>
    <w:rsid w:val="0022790A"/>
    <w:rsid w:val="00227EB9"/>
    <w:rsid w:val="002308AC"/>
    <w:rsid w:val="002323EE"/>
    <w:rsid w:val="00232BC6"/>
    <w:rsid w:val="002333C0"/>
    <w:rsid w:val="002333FC"/>
    <w:rsid w:val="00234325"/>
    <w:rsid w:val="00234BFA"/>
    <w:rsid w:val="00234CD4"/>
    <w:rsid w:val="00235A12"/>
    <w:rsid w:val="00235EF7"/>
    <w:rsid w:val="0023756A"/>
    <w:rsid w:val="00237C7C"/>
    <w:rsid w:val="00241FE4"/>
    <w:rsid w:val="002423C2"/>
    <w:rsid w:val="00242CBA"/>
    <w:rsid w:val="00243F6C"/>
    <w:rsid w:val="00244BD3"/>
    <w:rsid w:val="00244FB2"/>
    <w:rsid w:val="0024500C"/>
    <w:rsid w:val="00245175"/>
    <w:rsid w:val="002459F4"/>
    <w:rsid w:val="00246E82"/>
    <w:rsid w:val="002472AD"/>
    <w:rsid w:val="00250AB3"/>
    <w:rsid w:val="0025103F"/>
    <w:rsid w:val="00251431"/>
    <w:rsid w:val="0025143E"/>
    <w:rsid w:val="00251BCA"/>
    <w:rsid w:val="00252880"/>
    <w:rsid w:val="00253C9E"/>
    <w:rsid w:val="00253F2C"/>
    <w:rsid w:val="0025413F"/>
    <w:rsid w:val="00254A4E"/>
    <w:rsid w:val="00254BFA"/>
    <w:rsid w:val="00255F15"/>
    <w:rsid w:val="00256128"/>
    <w:rsid w:val="00256BE5"/>
    <w:rsid w:val="00256E1A"/>
    <w:rsid w:val="00260901"/>
    <w:rsid w:val="00261F06"/>
    <w:rsid w:val="00261F0E"/>
    <w:rsid w:val="00262AAD"/>
    <w:rsid w:val="00262C05"/>
    <w:rsid w:val="00262D96"/>
    <w:rsid w:val="00262ED0"/>
    <w:rsid w:val="0026320C"/>
    <w:rsid w:val="00263237"/>
    <w:rsid w:val="00263C2E"/>
    <w:rsid w:val="002645AF"/>
    <w:rsid w:val="002651DC"/>
    <w:rsid w:val="002654DE"/>
    <w:rsid w:val="00265986"/>
    <w:rsid w:val="00265EEB"/>
    <w:rsid w:val="00266D00"/>
    <w:rsid w:val="002670B2"/>
    <w:rsid w:val="00267A25"/>
    <w:rsid w:val="002705D8"/>
    <w:rsid w:val="00270CDC"/>
    <w:rsid w:val="00272226"/>
    <w:rsid w:val="002734D7"/>
    <w:rsid w:val="00273BC0"/>
    <w:rsid w:val="00274F33"/>
    <w:rsid w:val="00275192"/>
    <w:rsid w:val="002765C2"/>
    <w:rsid w:val="00277F57"/>
    <w:rsid w:val="00281FA7"/>
    <w:rsid w:val="002822DD"/>
    <w:rsid w:val="00282AC0"/>
    <w:rsid w:val="00282E4E"/>
    <w:rsid w:val="00283B30"/>
    <w:rsid w:val="00283EF2"/>
    <w:rsid w:val="00284C22"/>
    <w:rsid w:val="00284F77"/>
    <w:rsid w:val="0028679C"/>
    <w:rsid w:val="00286B90"/>
    <w:rsid w:val="00290174"/>
    <w:rsid w:val="00290525"/>
    <w:rsid w:val="00292FA3"/>
    <w:rsid w:val="002930D0"/>
    <w:rsid w:val="002934E0"/>
    <w:rsid w:val="0029464E"/>
    <w:rsid w:val="002957E4"/>
    <w:rsid w:val="00296498"/>
    <w:rsid w:val="002969FE"/>
    <w:rsid w:val="0029746C"/>
    <w:rsid w:val="002A0658"/>
    <w:rsid w:val="002A079F"/>
    <w:rsid w:val="002A0852"/>
    <w:rsid w:val="002A0B7D"/>
    <w:rsid w:val="002A1718"/>
    <w:rsid w:val="002A17D0"/>
    <w:rsid w:val="002A1BE0"/>
    <w:rsid w:val="002A469B"/>
    <w:rsid w:val="002A4778"/>
    <w:rsid w:val="002A5C6E"/>
    <w:rsid w:val="002B133B"/>
    <w:rsid w:val="002B2175"/>
    <w:rsid w:val="002B2926"/>
    <w:rsid w:val="002B2AEE"/>
    <w:rsid w:val="002B30A3"/>
    <w:rsid w:val="002B3278"/>
    <w:rsid w:val="002B333A"/>
    <w:rsid w:val="002B3884"/>
    <w:rsid w:val="002B4DB5"/>
    <w:rsid w:val="002B53E6"/>
    <w:rsid w:val="002B6410"/>
    <w:rsid w:val="002B7606"/>
    <w:rsid w:val="002B7984"/>
    <w:rsid w:val="002C57A5"/>
    <w:rsid w:val="002C6086"/>
    <w:rsid w:val="002C64B2"/>
    <w:rsid w:val="002C6B8A"/>
    <w:rsid w:val="002C79B9"/>
    <w:rsid w:val="002C79DE"/>
    <w:rsid w:val="002D0B8C"/>
    <w:rsid w:val="002D0C25"/>
    <w:rsid w:val="002D0FBD"/>
    <w:rsid w:val="002D2873"/>
    <w:rsid w:val="002D2DA7"/>
    <w:rsid w:val="002D2E8D"/>
    <w:rsid w:val="002D3711"/>
    <w:rsid w:val="002D3D77"/>
    <w:rsid w:val="002D4256"/>
    <w:rsid w:val="002D4C01"/>
    <w:rsid w:val="002D52D4"/>
    <w:rsid w:val="002D5C89"/>
    <w:rsid w:val="002D5FDE"/>
    <w:rsid w:val="002D698D"/>
    <w:rsid w:val="002D6FC8"/>
    <w:rsid w:val="002D718B"/>
    <w:rsid w:val="002D7ADB"/>
    <w:rsid w:val="002E0B02"/>
    <w:rsid w:val="002E10EB"/>
    <w:rsid w:val="002E1AB3"/>
    <w:rsid w:val="002E2D0E"/>
    <w:rsid w:val="002E2F1B"/>
    <w:rsid w:val="002E3926"/>
    <w:rsid w:val="002E4610"/>
    <w:rsid w:val="002E4678"/>
    <w:rsid w:val="002E6011"/>
    <w:rsid w:val="002E6A68"/>
    <w:rsid w:val="002E6BD9"/>
    <w:rsid w:val="002E6C5E"/>
    <w:rsid w:val="002F0B88"/>
    <w:rsid w:val="002F4C3E"/>
    <w:rsid w:val="002F4E81"/>
    <w:rsid w:val="002F519C"/>
    <w:rsid w:val="002F5977"/>
    <w:rsid w:val="002F6048"/>
    <w:rsid w:val="002F66F6"/>
    <w:rsid w:val="0030190D"/>
    <w:rsid w:val="00301C91"/>
    <w:rsid w:val="00302680"/>
    <w:rsid w:val="00303038"/>
    <w:rsid w:val="00303EE7"/>
    <w:rsid w:val="00304FF9"/>
    <w:rsid w:val="00306589"/>
    <w:rsid w:val="00306E7A"/>
    <w:rsid w:val="00307BBB"/>
    <w:rsid w:val="0031147F"/>
    <w:rsid w:val="003119B9"/>
    <w:rsid w:val="00312782"/>
    <w:rsid w:val="0031383B"/>
    <w:rsid w:val="003138D7"/>
    <w:rsid w:val="00313936"/>
    <w:rsid w:val="003139F2"/>
    <w:rsid w:val="0031411C"/>
    <w:rsid w:val="0031421B"/>
    <w:rsid w:val="00316C68"/>
    <w:rsid w:val="00316F6E"/>
    <w:rsid w:val="00317203"/>
    <w:rsid w:val="00317405"/>
    <w:rsid w:val="0032006F"/>
    <w:rsid w:val="0032013B"/>
    <w:rsid w:val="0032028A"/>
    <w:rsid w:val="003207E7"/>
    <w:rsid w:val="0032110B"/>
    <w:rsid w:val="003216A0"/>
    <w:rsid w:val="00322150"/>
    <w:rsid w:val="0032291B"/>
    <w:rsid w:val="00324DDD"/>
    <w:rsid w:val="00326BFC"/>
    <w:rsid w:val="00326ED4"/>
    <w:rsid w:val="00330080"/>
    <w:rsid w:val="00330180"/>
    <w:rsid w:val="00332390"/>
    <w:rsid w:val="0033356E"/>
    <w:rsid w:val="00333E63"/>
    <w:rsid w:val="00333FB9"/>
    <w:rsid w:val="0033643C"/>
    <w:rsid w:val="00337F02"/>
    <w:rsid w:val="0034131D"/>
    <w:rsid w:val="00341C54"/>
    <w:rsid w:val="00350049"/>
    <w:rsid w:val="003500F5"/>
    <w:rsid w:val="003507AF"/>
    <w:rsid w:val="00352390"/>
    <w:rsid w:val="00352B09"/>
    <w:rsid w:val="003547B1"/>
    <w:rsid w:val="00354F2A"/>
    <w:rsid w:val="003557B8"/>
    <w:rsid w:val="00355EBF"/>
    <w:rsid w:val="0035630B"/>
    <w:rsid w:val="003567FF"/>
    <w:rsid w:val="00356CF3"/>
    <w:rsid w:val="00357CAE"/>
    <w:rsid w:val="0036002C"/>
    <w:rsid w:val="00360703"/>
    <w:rsid w:val="00360CFC"/>
    <w:rsid w:val="003617A1"/>
    <w:rsid w:val="00361830"/>
    <w:rsid w:val="00362720"/>
    <w:rsid w:val="00362F78"/>
    <w:rsid w:val="00364522"/>
    <w:rsid w:val="003655B9"/>
    <w:rsid w:val="003672DD"/>
    <w:rsid w:val="0037039B"/>
    <w:rsid w:val="00370CD1"/>
    <w:rsid w:val="00371117"/>
    <w:rsid w:val="00371361"/>
    <w:rsid w:val="00373533"/>
    <w:rsid w:val="003741A9"/>
    <w:rsid w:val="0037612A"/>
    <w:rsid w:val="00376703"/>
    <w:rsid w:val="00377D59"/>
    <w:rsid w:val="00377F8D"/>
    <w:rsid w:val="0038072E"/>
    <w:rsid w:val="00380930"/>
    <w:rsid w:val="00380AE4"/>
    <w:rsid w:val="003812CB"/>
    <w:rsid w:val="00381CAE"/>
    <w:rsid w:val="00382583"/>
    <w:rsid w:val="003825FB"/>
    <w:rsid w:val="00382FA2"/>
    <w:rsid w:val="003831C1"/>
    <w:rsid w:val="003832C2"/>
    <w:rsid w:val="003842F9"/>
    <w:rsid w:val="00384744"/>
    <w:rsid w:val="00385BB2"/>
    <w:rsid w:val="00385FF6"/>
    <w:rsid w:val="0038601B"/>
    <w:rsid w:val="00386565"/>
    <w:rsid w:val="0038696D"/>
    <w:rsid w:val="00386A9C"/>
    <w:rsid w:val="00387097"/>
    <w:rsid w:val="00390FE8"/>
    <w:rsid w:val="003923FD"/>
    <w:rsid w:val="003927C0"/>
    <w:rsid w:val="00393AFE"/>
    <w:rsid w:val="00394B6C"/>
    <w:rsid w:val="003954FA"/>
    <w:rsid w:val="00395ABC"/>
    <w:rsid w:val="0039681E"/>
    <w:rsid w:val="0039758D"/>
    <w:rsid w:val="003A0C16"/>
    <w:rsid w:val="003A3194"/>
    <w:rsid w:val="003A3A18"/>
    <w:rsid w:val="003A3F7A"/>
    <w:rsid w:val="003A674F"/>
    <w:rsid w:val="003A67DA"/>
    <w:rsid w:val="003A68D1"/>
    <w:rsid w:val="003A7DDC"/>
    <w:rsid w:val="003B09C5"/>
    <w:rsid w:val="003B13BA"/>
    <w:rsid w:val="003B187C"/>
    <w:rsid w:val="003B1EF9"/>
    <w:rsid w:val="003B40EF"/>
    <w:rsid w:val="003B58E0"/>
    <w:rsid w:val="003B5F91"/>
    <w:rsid w:val="003C0CCB"/>
    <w:rsid w:val="003C17CB"/>
    <w:rsid w:val="003C4048"/>
    <w:rsid w:val="003C4F42"/>
    <w:rsid w:val="003C5ACA"/>
    <w:rsid w:val="003C60AA"/>
    <w:rsid w:val="003C62E0"/>
    <w:rsid w:val="003C70E3"/>
    <w:rsid w:val="003C7BAA"/>
    <w:rsid w:val="003C7C8A"/>
    <w:rsid w:val="003D0DC4"/>
    <w:rsid w:val="003D14F4"/>
    <w:rsid w:val="003D2112"/>
    <w:rsid w:val="003D369D"/>
    <w:rsid w:val="003D3D73"/>
    <w:rsid w:val="003D47AD"/>
    <w:rsid w:val="003D59EA"/>
    <w:rsid w:val="003E170E"/>
    <w:rsid w:val="003E193E"/>
    <w:rsid w:val="003E28B0"/>
    <w:rsid w:val="003E3634"/>
    <w:rsid w:val="003E4EEB"/>
    <w:rsid w:val="003E5306"/>
    <w:rsid w:val="003E5F46"/>
    <w:rsid w:val="003E647D"/>
    <w:rsid w:val="003E6A46"/>
    <w:rsid w:val="003E71A3"/>
    <w:rsid w:val="003E76C0"/>
    <w:rsid w:val="003E7A08"/>
    <w:rsid w:val="003F0C6D"/>
    <w:rsid w:val="003F1AA7"/>
    <w:rsid w:val="003F3C58"/>
    <w:rsid w:val="003F7320"/>
    <w:rsid w:val="004008FB"/>
    <w:rsid w:val="00400B4A"/>
    <w:rsid w:val="00400F3C"/>
    <w:rsid w:val="00401268"/>
    <w:rsid w:val="00404E44"/>
    <w:rsid w:val="00405428"/>
    <w:rsid w:val="00405B9D"/>
    <w:rsid w:val="00405DDC"/>
    <w:rsid w:val="00406BC4"/>
    <w:rsid w:val="004070D6"/>
    <w:rsid w:val="00410057"/>
    <w:rsid w:val="004101A3"/>
    <w:rsid w:val="004106EA"/>
    <w:rsid w:val="0041102A"/>
    <w:rsid w:val="004115A1"/>
    <w:rsid w:val="0041480F"/>
    <w:rsid w:val="004151FF"/>
    <w:rsid w:val="004169C9"/>
    <w:rsid w:val="004172A6"/>
    <w:rsid w:val="00420B22"/>
    <w:rsid w:val="004239E1"/>
    <w:rsid w:val="00423D7B"/>
    <w:rsid w:val="00423F1F"/>
    <w:rsid w:val="00425DB7"/>
    <w:rsid w:val="004274FB"/>
    <w:rsid w:val="00427A85"/>
    <w:rsid w:val="00430BC9"/>
    <w:rsid w:val="00432052"/>
    <w:rsid w:val="004334C4"/>
    <w:rsid w:val="004336A7"/>
    <w:rsid w:val="00433962"/>
    <w:rsid w:val="004341B9"/>
    <w:rsid w:val="00434DDF"/>
    <w:rsid w:val="00435D34"/>
    <w:rsid w:val="00436250"/>
    <w:rsid w:val="00436437"/>
    <w:rsid w:val="004367D2"/>
    <w:rsid w:val="00442119"/>
    <w:rsid w:val="00442290"/>
    <w:rsid w:val="00442EE0"/>
    <w:rsid w:val="00443B3D"/>
    <w:rsid w:val="00443D43"/>
    <w:rsid w:val="00443E7B"/>
    <w:rsid w:val="00443EC1"/>
    <w:rsid w:val="00445166"/>
    <w:rsid w:val="004453A7"/>
    <w:rsid w:val="004453B9"/>
    <w:rsid w:val="00446232"/>
    <w:rsid w:val="00446D85"/>
    <w:rsid w:val="00446F52"/>
    <w:rsid w:val="0045154E"/>
    <w:rsid w:val="0045205D"/>
    <w:rsid w:val="00454353"/>
    <w:rsid w:val="00454391"/>
    <w:rsid w:val="00454D89"/>
    <w:rsid w:val="004556D8"/>
    <w:rsid w:val="004563C8"/>
    <w:rsid w:val="0045654E"/>
    <w:rsid w:val="0045673A"/>
    <w:rsid w:val="0046085E"/>
    <w:rsid w:val="00460A79"/>
    <w:rsid w:val="00463242"/>
    <w:rsid w:val="00463B03"/>
    <w:rsid w:val="00463E42"/>
    <w:rsid w:val="004655D5"/>
    <w:rsid w:val="00465707"/>
    <w:rsid w:val="004662D9"/>
    <w:rsid w:val="004666B5"/>
    <w:rsid w:val="004667C1"/>
    <w:rsid w:val="0046749C"/>
    <w:rsid w:val="00470018"/>
    <w:rsid w:val="00470815"/>
    <w:rsid w:val="00472CBD"/>
    <w:rsid w:val="00472DCB"/>
    <w:rsid w:val="00473347"/>
    <w:rsid w:val="004736A9"/>
    <w:rsid w:val="00473871"/>
    <w:rsid w:val="00474A45"/>
    <w:rsid w:val="00474BB0"/>
    <w:rsid w:val="00474C9D"/>
    <w:rsid w:val="00475F8B"/>
    <w:rsid w:val="00476194"/>
    <w:rsid w:val="00476B44"/>
    <w:rsid w:val="0047795D"/>
    <w:rsid w:val="00480AC4"/>
    <w:rsid w:val="00481513"/>
    <w:rsid w:val="00481C12"/>
    <w:rsid w:val="0048270B"/>
    <w:rsid w:val="00482D6D"/>
    <w:rsid w:val="00482EE2"/>
    <w:rsid w:val="004836C5"/>
    <w:rsid w:val="00483D62"/>
    <w:rsid w:val="00483EEB"/>
    <w:rsid w:val="0049005F"/>
    <w:rsid w:val="00490583"/>
    <w:rsid w:val="004906F8"/>
    <w:rsid w:val="00490C81"/>
    <w:rsid w:val="004923BD"/>
    <w:rsid w:val="00493C20"/>
    <w:rsid w:val="004956FB"/>
    <w:rsid w:val="0049586C"/>
    <w:rsid w:val="00496282"/>
    <w:rsid w:val="004962CF"/>
    <w:rsid w:val="004A0395"/>
    <w:rsid w:val="004A0F1A"/>
    <w:rsid w:val="004A18E5"/>
    <w:rsid w:val="004A26B2"/>
    <w:rsid w:val="004A28B4"/>
    <w:rsid w:val="004A3292"/>
    <w:rsid w:val="004A49B4"/>
    <w:rsid w:val="004A7DFC"/>
    <w:rsid w:val="004B02F9"/>
    <w:rsid w:val="004B1565"/>
    <w:rsid w:val="004B17D5"/>
    <w:rsid w:val="004B1B71"/>
    <w:rsid w:val="004B1C7C"/>
    <w:rsid w:val="004B2A3B"/>
    <w:rsid w:val="004B3DF5"/>
    <w:rsid w:val="004B3E86"/>
    <w:rsid w:val="004B49A4"/>
    <w:rsid w:val="004B539F"/>
    <w:rsid w:val="004B5B22"/>
    <w:rsid w:val="004B63FC"/>
    <w:rsid w:val="004B648C"/>
    <w:rsid w:val="004B74D2"/>
    <w:rsid w:val="004C0169"/>
    <w:rsid w:val="004C0276"/>
    <w:rsid w:val="004C1B92"/>
    <w:rsid w:val="004C2943"/>
    <w:rsid w:val="004C4C79"/>
    <w:rsid w:val="004C6803"/>
    <w:rsid w:val="004C7615"/>
    <w:rsid w:val="004C7953"/>
    <w:rsid w:val="004C79D5"/>
    <w:rsid w:val="004C7B71"/>
    <w:rsid w:val="004D00DE"/>
    <w:rsid w:val="004D0549"/>
    <w:rsid w:val="004D0CD2"/>
    <w:rsid w:val="004D0D5F"/>
    <w:rsid w:val="004D129C"/>
    <w:rsid w:val="004D1875"/>
    <w:rsid w:val="004D2C39"/>
    <w:rsid w:val="004D2E58"/>
    <w:rsid w:val="004D3F7C"/>
    <w:rsid w:val="004D4EC3"/>
    <w:rsid w:val="004D5477"/>
    <w:rsid w:val="004D6190"/>
    <w:rsid w:val="004E0500"/>
    <w:rsid w:val="004E07FC"/>
    <w:rsid w:val="004E1924"/>
    <w:rsid w:val="004E1BD3"/>
    <w:rsid w:val="004E2F8B"/>
    <w:rsid w:val="004E4074"/>
    <w:rsid w:val="004E427D"/>
    <w:rsid w:val="004E495F"/>
    <w:rsid w:val="004E5704"/>
    <w:rsid w:val="004E5719"/>
    <w:rsid w:val="004E59F1"/>
    <w:rsid w:val="004E6470"/>
    <w:rsid w:val="004E6721"/>
    <w:rsid w:val="004E68E7"/>
    <w:rsid w:val="004E791C"/>
    <w:rsid w:val="004E7A95"/>
    <w:rsid w:val="004E7B2B"/>
    <w:rsid w:val="004E7FF5"/>
    <w:rsid w:val="004F0151"/>
    <w:rsid w:val="004F0E37"/>
    <w:rsid w:val="004F1916"/>
    <w:rsid w:val="004F2849"/>
    <w:rsid w:val="004F3559"/>
    <w:rsid w:val="004F4431"/>
    <w:rsid w:val="004F537B"/>
    <w:rsid w:val="004F5D94"/>
    <w:rsid w:val="004F7955"/>
    <w:rsid w:val="0050087A"/>
    <w:rsid w:val="00500EF1"/>
    <w:rsid w:val="005014CD"/>
    <w:rsid w:val="00501FAA"/>
    <w:rsid w:val="005024C3"/>
    <w:rsid w:val="00502C26"/>
    <w:rsid w:val="00502DFF"/>
    <w:rsid w:val="00503F3B"/>
    <w:rsid w:val="005057E8"/>
    <w:rsid w:val="00505C91"/>
    <w:rsid w:val="00506F0D"/>
    <w:rsid w:val="00507975"/>
    <w:rsid w:val="00510E37"/>
    <w:rsid w:val="00510F38"/>
    <w:rsid w:val="00511131"/>
    <w:rsid w:val="005112F2"/>
    <w:rsid w:val="00513B4B"/>
    <w:rsid w:val="00513E45"/>
    <w:rsid w:val="00515203"/>
    <w:rsid w:val="0051556C"/>
    <w:rsid w:val="005174C9"/>
    <w:rsid w:val="00517D16"/>
    <w:rsid w:val="005225D4"/>
    <w:rsid w:val="00523449"/>
    <w:rsid w:val="00523A4D"/>
    <w:rsid w:val="00523DFF"/>
    <w:rsid w:val="00523F20"/>
    <w:rsid w:val="00525829"/>
    <w:rsid w:val="00525CE3"/>
    <w:rsid w:val="005261BB"/>
    <w:rsid w:val="0052690B"/>
    <w:rsid w:val="005273EA"/>
    <w:rsid w:val="00530769"/>
    <w:rsid w:val="005307A4"/>
    <w:rsid w:val="00530F6E"/>
    <w:rsid w:val="00531335"/>
    <w:rsid w:val="005336A1"/>
    <w:rsid w:val="00535375"/>
    <w:rsid w:val="00535D45"/>
    <w:rsid w:val="005360DB"/>
    <w:rsid w:val="005361EF"/>
    <w:rsid w:val="005373A7"/>
    <w:rsid w:val="005379FD"/>
    <w:rsid w:val="0054054C"/>
    <w:rsid w:val="00540F44"/>
    <w:rsid w:val="00540FC0"/>
    <w:rsid w:val="005420F0"/>
    <w:rsid w:val="0054265D"/>
    <w:rsid w:val="00542B86"/>
    <w:rsid w:val="0054453A"/>
    <w:rsid w:val="0054485C"/>
    <w:rsid w:val="00544890"/>
    <w:rsid w:val="00544BF9"/>
    <w:rsid w:val="00545585"/>
    <w:rsid w:val="00545EA0"/>
    <w:rsid w:val="00547CCE"/>
    <w:rsid w:val="0055013F"/>
    <w:rsid w:val="0055027E"/>
    <w:rsid w:val="00552B7B"/>
    <w:rsid w:val="0055315D"/>
    <w:rsid w:val="00553DC2"/>
    <w:rsid w:val="005540BF"/>
    <w:rsid w:val="00555082"/>
    <w:rsid w:val="00555B97"/>
    <w:rsid w:val="0055617D"/>
    <w:rsid w:val="00557E0D"/>
    <w:rsid w:val="005608BE"/>
    <w:rsid w:val="00560FF2"/>
    <w:rsid w:val="005620A5"/>
    <w:rsid w:val="00565626"/>
    <w:rsid w:val="00566CC6"/>
    <w:rsid w:val="00567041"/>
    <w:rsid w:val="00570159"/>
    <w:rsid w:val="005707AD"/>
    <w:rsid w:val="00570869"/>
    <w:rsid w:val="00571FC8"/>
    <w:rsid w:val="00574053"/>
    <w:rsid w:val="005742C5"/>
    <w:rsid w:val="00575A99"/>
    <w:rsid w:val="00577C9A"/>
    <w:rsid w:val="00577CB5"/>
    <w:rsid w:val="005800EF"/>
    <w:rsid w:val="0058065F"/>
    <w:rsid w:val="00581326"/>
    <w:rsid w:val="005829C8"/>
    <w:rsid w:val="00583375"/>
    <w:rsid w:val="00584087"/>
    <w:rsid w:val="00585056"/>
    <w:rsid w:val="00585A55"/>
    <w:rsid w:val="00585BB1"/>
    <w:rsid w:val="00587A47"/>
    <w:rsid w:val="005904C6"/>
    <w:rsid w:val="005939A0"/>
    <w:rsid w:val="005944A1"/>
    <w:rsid w:val="00595784"/>
    <w:rsid w:val="00595AE1"/>
    <w:rsid w:val="00595F9B"/>
    <w:rsid w:val="00597E43"/>
    <w:rsid w:val="005A1D71"/>
    <w:rsid w:val="005A1DD5"/>
    <w:rsid w:val="005A1E81"/>
    <w:rsid w:val="005A250B"/>
    <w:rsid w:val="005A2987"/>
    <w:rsid w:val="005A36AA"/>
    <w:rsid w:val="005A3897"/>
    <w:rsid w:val="005A55B1"/>
    <w:rsid w:val="005A65BE"/>
    <w:rsid w:val="005A66D9"/>
    <w:rsid w:val="005A6AB1"/>
    <w:rsid w:val="005A7B1B"/>
    <w:rsid w:val="005B096E"/>
    <w:rsid w:val="005B0B02"/>
    <w:rsid w:val="005B22E9"/>
    <w:rsid w:val="005B2E5E"/>
    <w:rsid w:val="005B46B4"/>
    <w:rsid w:val="005B51FD"/>
    <w:rsid w:val="005B56DD"/>
    <w:rsid w:val="005C388D"/>
    <w:rsid w:val="005C3C17"/>
    <w:rsid w:val="005C4328"/>
    <w:rsid w:val="005C4B6E"/>
    <w:rsid w:val="005C5FCC"/>
    <w:rsid w:val="005C6137"/>
    <w:rsid w:val="005C61B9"/>
    <w:rsid w:val="005C6560"/>
    <w:rsid w:val="005C69DD"/>
    <w:rsid w:val="005C6C0C"/>
    <w:rsid w:val="005D05A3"/>
    <w:rsid w:val="005D0F34"/>
    <w:rsid w:val="005D1430"/>
    <w:rsid w:val="005D1CBA"/>
    <w:rsid w:val="005D1E67"/>
    <w:rsid w:val="005D2A32"/>
    <w:rsid w:val="005D3357"/>
    <w:rsid w:val="005D3D1E"/>
    <w:rsid w:val="005D3DB5"/>
    <w:rsid w:val="005D4F76"/>
    <w:rsid w:val="005D5020"/>
    <w:rsid w:val="005D51D1"/>
    <w:rsid w:val="005D5217"/>
    <w:rsid w:val="005D6F5E"/>
    <w:rsid w:val="005D70A1"/>
    <w:rsid w:val="005D711E"/>
    <w:rsid w:val="005E1109"/>
    <w:rsid w:val="005E12C4"/>
    <w:rsid w:val="005E1540"/>
    <w:rsid w:val="005E1A54"/>
    <w:rsid w:val="005E24A7"/>
    <w:rsid w:val="005E2765"/>
    <w:rsid w:val="005E3183"/>
    <w:rsid w:val="005E37C8"/>
    <w:rsid w:val="005E3898"/>
    <w:rsid w:val="005E3F7E"/>
    <w:rsid w:val="005E4706"/>
    <w:rsid w:val="005E5ED1"/>
    <w:rsid w:val="005E64EB"/>
    <w:rsid w:val="005E6D07"/>
    <w:rsid w:val="005F1FDB"/>
    <w:rsid w:val="005F2887"/>
    <w:rsid w:val="005F2930"/>
    <w:rsid w:val="005F2E1B"/>
    <w:rsid w:val="005F33E9"/>
    <w:rsid w:val="005F536C"/>
    <w:rsid w:val="005F5A13"/>
    <w:rsid w:val="005F69C1"/>
    <w:rsid w:val="005F7320"/>
    <w:rsid w:val="005F7D07"/>
    <w:rsid w:val="0060017D"/>
    <w:rsid w:val="006007F5"/>
    <w:rsid w:val="00600BD8"/>
    <w:rsid w:val="006014FD"/>
    <w:rsid w:val="00601940"/>
    <w:rsid w:val="006019CF"/>
    <w:rsid w:val="0060351B"/>
    <w:rsid w:val="00603575"/>
    <w:rsid w:val="00603889"/>
    <w:rsid w:val="006043C2"/>
    <w:rsid w:val="0060476A"/>
    <w:rsid w:val="006049AE"/>
    <w:rsid w:val="006052B3"/>
    <w:rsid w:val="00605635"/>
    <w:rsid w:val="00605D23"/>
    <w:rsid w:val="00607DF9"/>
    <w:rsid w:val="00612471"/>
    <w:rsid w:val="00613818"/>
    <w:rsid w:val="00614514"/>
    <w:rsid w:val="006145E1"/>
    <w:rsid w:val="006157BB"/>
    <w:rsid w:val="00616469"/>
    <w:rsid w:val="00620716"/>
    <w:rsid w:val="00620A64"/>
    <w:rsid w:val="00620EC9"/>
    <w:rsid w:val="00621D1E"/>
    <w:rsid w:val="006230A5"/>
    <w:rsid w:val="00623809"/>
    <w:rsid w:val="0062546E"/>
    <w:rsid w:val="00625777"/>
    <w:rsid w:val="00627DA7"/>
    <w:rsid w:val="006304E1"/>
    <w:rsid w:val="00631159"/>
    <w:rsid w:val="006311E1"/>
    <w:rsid w:val="0063203E"/>
    <w:rsid w:val="00632B02"/>
    <w:rsid w:val="006336EC"/>
    <w:rsid w:val="006342D2"/>
    <w:rsid w:val="00635014"/>
    <w:rsid w:val="0063625C"/>
    <w:rsid w:val="00636D9A"/>
    <w:rsid w:val="006416C6"/>
    <w:rsid w:val="00641784"/>
    <w:rsid w:val="00641AA6"/>
    <w:rsid w:val="0064279F"/>
    <w:rsid w:val="00642DE8"/>
    <w:rsid w:val="00643752"/>
    <w:rsid w:val="00645CE9"/>
    <w:rsid w:val="00646A02"/>
    <w:rsid w:val="00653D19"/>
    <w:rsid w:val="00656B7E"/>
    <w:rsid w:val="006572A8"/>
    <w:rsid w:val="00657FEB"/>
    <w:rsid w:val="00660A4F"/>
    <w:rsid w:val="00661C2B"/>
    <w:rsid w:val="006625C8"/>
    <w:rsid w:val="00663E64"/>
    <w:rsid w:val="00664495"/>
    <w:rsid w:val="0066536E"/>
    <w:rsid w:val="00667051"/>
    <w:rsid w:val="00670A8C"/>
    <w:rsid w:val="006712A3"/>
    <w:rsid w:val="00671D7F"/>
    <w:rsid w:val="00672491"/>
    <w:rsid w:val="006743F3"/>
    <w:rsid w:val="00675EC8"/>
    <w:rsid w:val="006761D3"/>
    <w:rsid w:val="00676949"/>
    <w:rsid w:val="00676B72"/>
    <w:rsid w:val="0068029E"/>
    <w:rsid w:val="00680E63"/>
    <w:rsid w:val="006815F2"/>
    <w:rsid w:val="0068165B"/>
    <w:rsid w:val="00682682"/>
    <w:rsid w:val="00682861"/>
    <w:rsid w:val="00682C44"/>
    <w:rsid w:val="006847A7"/>
    <w:rsid w:val="00684E24"/>
    <w:rsid w:val="00685E1D"/>
    <w:rsid w:val="006866C4"/>
    <w:rsid w:val="006867DC"/>
    <w:rsid w:val="006871D4"/>
    <w:rsid w:val="0068767D"/>
    <w:rsid w:val="00687FAE"/>
    <w:rsid w:val="006911DC"/>
    <w:rsid w:val="00692CA8"/>
    <w:rsid w:val="00692D16"/>
    <w:rsid w:val="0069324F"/>
    <w:rsid w:val="00693E9F"/>
    <w:rsid w:val="006947CE"/>
    <w:rsid w:val="00694968"/>
    <w:rsid w:val="00695175"/>
    <w:rsid w:val="00695875"/>
    <w:rsid w:val="00697175"/>
    <w:rsid w:val="006A0140"/>
    <w:rsid w:val="006A0276"/>
    <w:rsid w:val="006A0867"/>
    <w:rsid w:val="006A0A6F"/>
    <w:rsid w:val="006A0E97"/>
    <w:rsid w:val="006A13A3"/>
    <w:rsid w:val="006A1BC6"/>
    <w:rsid w:val="006A2607"/>
    <w:rsid w:val="006A28C2"/>
    <w:rsid w:val="006A2A20"/>
    <w:rsid w:val="006A32EC"/>
    <w:rsid w:val="006A3AAB"/>
    <w:rsid w:val="006A452B"/>
    <w:rsid w:val="006A47D7"/>
    <w:rsid w:val="006A5E17"/>
    <w:rsid w:val="006A5F4A"/>
    <w:rsid w:val="006A61B4"/>
    <w:rsid w:val="006A7601"/>
    <w:rsid w:val="006B19A1"/>
    <w:rsid w:val="006B29E0"/>
    <w:rsid w:val="006B31F5"/>
    <w:rsid w:val="006B384B"/>
    <w:rsid w:val="006B3B5D"/>
    <w:rsid w:val="006B448A"/>
    <w:rsid w:val="006B567A"/>
    <w:rsid w:val="006B572A"/>
    <w:rsid w:val="006B59A5"/>
    <w:rsid w:val="006B63F0"/>
    <w:rsid w:val="006B683F"/>
    <w:rsid w:val="006B783F"/>
    <w:rsid w:val="006C0261"/>
    <w:rsid w:val="006C07F7"/>
    <w:rsid w:val="006C3258"/>
    <w:rsid w:val="006C3849"/>
    <w:rsid w:val="006C4AE3"/>
    <w:rsid w:val="006C5A20"/>
    <w:rsid w:val="006C5D37"/>
    <w:rsid w:val="006D1976"/>
    <w:rsid w:val="006D4091"/>
    <w:rsid w:val="006D55A0"/>
    <w:rsid w:val="006D60E4"/>
    <w:rsid w:val="006D61BC"/>
    <w:rsid w:val="006D6229"/>
    <w:rsid w:val="006E03F9"/>
    <w:rsid w:val="006E08FC"/>
    <w:rsid w:val="006E0B6C"/>
    <w:rsid w:val="006E1AC6"/>
    <w:rsid w:val="006E1F59"/>
    <w:rsid w:val="006E24AF"/>
    <w:rsid w:val="006E2551"/>
    <w:rsid w:val="006E34A5"/>
    <w:rsid w:val="006E3A75"/>
    <w:rsid w:val="006E3B52"/>
    <w:rsid w:val="006E420C"/>
    <w:rsid w:val="006E468B"/>
    <w:rsid w:val="006E5ADD"/>
    <w:rsid w:val="006E6222"/>
    <w:rsid w:val="006E6DCD"/>
    <w:rsid w:val="006E7DE5"/>
    <w:rsid w:val="006F064F"/>
    <w:rsid w:val="006F096E"/>
    <w:rsid w:val="006F0A73"/>
    <w:rsid w:val="006F1A54"/>
    <w:rsid w:val="006F286D"/>
    <w:rsid w:val="006F39BE"/>
    <w:rsid w:val="006F3E98"/>
    <w:rsid w:val="006F3F6B"/>
    <w:rsid w:val="006F456D"/>
    <w:rsid w:val="006F4CB1"/>
    <w:rsid w:val="006F5716"/>
    <w:rsid w:val="006F5891"/>
    <w:rsid w:val="006F63D8"/>
    <w:rsid w:val="006F6EAB"/>
    <w:rsid w:val="006F7DF7"/>
    <w:rsid w:val="00700075"/>
    <w:rsid w:val="00700427"/>
    <w:rsid w:val="007006E2"/>
    <w:rsid w:val="00700F39"/>
    <w:rsid w:val="00701B28"/>
    <w:rsid w:val="00701F86"/>
    <w:rsid w:val="00702860"/>
    <w:rsid w:val="0070321D"/>
    <w:rsid w:val="00703E96"/>
    <w:rsid w:val="00704AC0"/>
    <w:rsid w:val="007077B6"/>
    <w:rsid w:val="007108DA"/>
    <w:rsid w:val="00710A78"/>
    <w:rsid w:val="00711197"/>
    <w:rsid w:val="007115BB"/>
    <w:rsid w:val="00711A6F"/>
    <w:rsid w:val="0071243F"/>
    <w:rsid w:val="00712829"/>
    <w:rsid w:val="00714745"/>
    <w:rsid w:val="00715DB7"/>
    <w:rsid w:val="00715F76"/>
    <w:rsid w:val="00716AAC"/>
    <w:rsid w:val="00717032"/>
    <w:rsid w:val="007173EB"/>
    <w:rsid w:val="00717488"/>
    <w:rsid w:val="007176CC"/>
    <w:rsid w:val="0072035D"/>
    <w:rsid w:val="007209A8"/>
    <w:rsid w:val="00721A4F"/>
    <w:rsid w:val="0072300E"/>
    <w:rsid w:val="007237A1"/>
    <w:rsid w:val="007258F0"/>
    <w:rsid w:val="007261D1"/>
    <w:rsid w:val="00726DA4"/>
    <w:rsid w:val="00726E13"/>
    <w:rsid w:val="00727634"/>
    <w:rsid w:val="007312F7"/>
    <w:rsid w:val="00731509"/>
    <w:rsid w:val="00731969"/>
    <w:rsid w:val="00733566"/>
    <w:rsid w:val="007336CE"/>
    <w:rsid w:val="00734ABC"/>
    <w:rsid w:val="00734BED"/>
    <w:rsid w:val="007364A4"/>
    <w:rsid w:val="0073659E"/>
    <w:rsid w:val="00736C28"/>
    <w:rsid w:val="007403E2"/>
    <w:rsid w:val="00740D6A"/>
    <w:rsid w:val="0074140B"/>
    <w:rsid w:val="007417CD"/>
    <w:rsid w:val="00743A75"/>
    <w:rsid w:val="00743D91"/>
    <w:rsid w:val="0074442E"/>
    <w:rsid w:val="0074581F"/>
    <w:rsid w:val="00745F07"/>
    <w:rsid w:val="00746168"/>
    <w:rsid w:val="00746779"/>
    <w:rsid w:val="00747507"/>
    <w:rsid w:val="00747904"/>
    <w:rsid w:val="00747B75"/>
    <w:rsid w:val="00751641"/>
    <w:rsid w:val="00752B6A"/>
    <w:rsid w:val="00752DB4"/>
    <w:rsid w:val="0075336A"/>
    <w:rsid w:val="0075375F"/>
    <w:rsid w:val="007540CC"/>
    <w:rsid w:val="0075539D"/>
    <w:rsid w:val="00755590"/>
    <w:rsid w:val="00755E16"/>
    <w:rsid w:val="00756094"/>
    <w:rsid w:val="007560BE"/>
    <w:rsid w:val="007577D1"/>
    <w:rsid w:val="00757969"/>
    <w:rsid w:val="00757D0C"/>
    <w:rsid w:val="007618AD"/>
    <w:rsid w:val="00762726"/>
    <w:rsid w:val="00762961"/>
    <w:rsid w:val="00762C6A"/>
    <w:rsid w:val="00764EF8"/>
    <w:rsid w:val="0076569B"/>
    <w:rsid w:val="0076675C"/>
    <w:rsid w:val="00766B9C"/>
    <w:rsid w:val="007675CE"/>
    <w:rsid w:val="00770206"/>
    <w:rsid w:val="00772644"/>
    <w:rsid w:val="00772EEF"/>
    <w:rsid w:val="00774777"/>
    <w:rsid w:val="00776203"/>
    <w:rsid w:val="0077652B"/>
    <w:rsid w:val="00776C7B"/>
    <w:rsid w:val="0078035F"/>
    <w:rsid w:val="007803F1"/>
    <w:rsid w:val="00780837"/>
    <w:rsid w:val="007810CA"/>
    <w:rsid w:val="00781541"/>
    <w:rsid w:val="00782125"/>
    <w:rsid w:val="00782955"/>
    <w:rsid w:val="00783359"/>
    <w:rsid w:val="0078398C"/>
    <w:rsid w:val="00783BD1"/>
    <w:rsid w:val="007840A3"/>
    <w:rsid w:val="00784601"/>
    <w:rsid w:val="00784EAE"/>
    <w:rsid w:val="007869EA"/>
    <w:rsid w:val="00787163"/>
    <w:rsid w:val="00787385"/>
    <w:rsid w:val="00787654"/>
    <w:rsid w:val="00790546"/>
    <w:rsid w:val="00791088"/>
    <w:rsid w:val="0079151D"/>
    <w:rsid w:val="00792735"/>
    <w:rsid w:val="00792C00"/>
    <w:rsid w:val="007932B6"/>
    <w:rsid w:val="00794AA9"/>
    <w:rsid w:val="00794D97"/>
    <w:rsid w:val="0079523B"/>
    <w:rsid w:val="00797371"/>
    <w:rsid w:val="007976BD"/>
    <w:rsid w:val="00797F99"/>
    <w:rsid w:val="007A0F48"/>
    <w:rsid w:val="007A1D64"/>
    <w:rsid w:val="007A5D1A"/>
    <w:rsid w:val="007A61C5"/>
    <w:rsid w:val="007A67DE"/>
    <w:rsid w:val="007A7821"/>
    <w:rsid w:val="007B02B3"/>
    <w:rsid w:val="007B03E9"/>
    <w:rsid w:val="007B24C4"/>
    <w:rsid w:val="007B2687"/>
    <w:rsid w:val="007B2B37"/>
    <w:rsid w:val="007B31EC"/>
    <w:rsid w:val="007B485A"/>
    <w:rsid w:val="007B4F68"/>
    <w:rsid w:val="007B5CF6"/>
    <w:rsid w:val="007B7A9C"/>
    <w:rsid w:val="007B7C61"/>
    <w:rsid w:val="007C0379"/>
    <w:rsid w:val="007C0E54"/>
    <w:rsid w:val="007C2E78"/>
    <w:rsid w:val="007C38B8"/>
    <w:rsid w:val="007C42D2"/>
    <w:rsid w:val="007C47B4"/>
    <w:rsid w:val="007C5155"/>
    <w:rsid w:val="007C53C0"/>
    <w:rsid w:val="007C6BFE"/>
    <w:rsid w:val="007C6CAD"/>
    <w:rsid w:val="007C7901"/>
    <w:rsid w:val="007D04B0"/>
    <w:rsid w:val="007D0CEB"/>
    <w:rsid w:val="007D18F7"/>
    <w:rsid w:val="007D1AB9"/>
    <w:rsid w:val="007D2297"/>
    <w:rsid w:val="007D3E80"/>
    <w:rsid w:val="007D48FC"/>
    <w:rsid w:val="007D4A0A"/>
    <w:rsid w:val="007D5CA5"/>
    <w:rsid w:val="007D5E29"/>
    <w:rsid w:val="007D6456"/>
    <w:rsid w:val="007D7D4F"/>
    <w:rsid w:val="007E0C97"/>
    <w:rsid w:val="007E1B72"/>
    <w:rsid w:val="007E7C2E"/>
    <w:rsid w:val="007F2443"/>
    <w:rsid w:val="007F2612"/>
    <w:rsid w:val="007F33D3"/>
    <w:rsid w:val="007F41CC"/>
    <w:rsid w:val="007F464A"/>
    <w:rsid w:val="007F5538"/>
    <w:rsid w:val="007F587F"/>
    <w:rsid w:val="007F58E9"/>
    <w:rsid w:val="007F6C6C"/>
    <w:rsid w:val="007F7558"/>
    <w:rsid w:val="007F7844"/>
    <w:rsid w:val="007F7F9F"/>
    <w:rsid w:val="00800365"/>
    <w:rsid w:val="008036D9"/>
    <w:rsid w:val="00803B54"/>
    <w:rsid w:val="00805184"/>
    <w:rsid w:val="00806854"/>
    <w:rsid w:val="00806FF7"/>
    <w:rsid w:val="00807325"/>
    <w:rsid w:val="00810671"/>
    <w:rsid w:val="008115DE"/>
    <w:rsid w:val="00811FA4"/>
    <w:rsid w:val="00813E25"/>
    <w:rsid w:val="00817937"/>
    <w:rsid w:val="00817B03"/>
    <w:rsid w:val="00820FD6"/>
    <w:rsid w:val="008216CC"/>
    <w:rsid w:val="00822515"/>
    <w:rsid w:val="00822ED4"/>
    <w:rsid w:val="0082325A"/>
    <w:rsid w:val="008236EF"/>
    <w:rsid w:val="0082382B"/>
    <w:rsid w:val="0082482D"/>
    <w:rsid w:val="008249F9"/>
    <w:rsid w:val="00825DF0"/>
    <w:rsid w:val="00827BFB"/>
    <w:rsid w:val="008305BF"/>
    <w:rsid w:val="008309BA"/>
    <w:rsid w:val="00830AE0"/>
    <w:rsid w:val="0083106E"/>
    <w:rsid w:val="00831810"/>
    <w:rsid w:val="00831F36"/>
    <w:rsid w:val="0083222A"/>
    <w:rsid w:val="008323AE"/>
    <w:rsid w:val="00833F04"/>
    <w:rsid w:val="008341C9"/>
    <w:rsid w:val="008346BA"/>
    <w:rsid w:val="008352B2"/>
    <w:rsid w:val="0083627B"/>
    <w:rsid w:val="00837EB0"/>
    <w:rsid w:val="0084272C"/>
    <w:rsid w:val="008429ED"/>
    <w:rsid w:val="0084406E"/>
    <w:rsid w:val="0084408C"/>
    <w:rsid w:val="008440CF"/>
    <w:rsid w:val="00844B9C"/>
    <w:rsid w:val="00844D6A"/>
    <w:rsid w:val="0084654D"/>
    <w:rsid w:val="00850FB1"/>
    <w:rsid w:val="0085101F"/>
    <w:rsid w:val="008516FE"/>
    <w:rsid w:val="00851A1A"/>
    <w:rsid w:val="00851CDB"/>
    <w:rsid w:val="0085317F"/>
    <w:rsid w:val="008539F7"/>
    <w:rsid w:val="00854292"/>
    <w:rsid w:val="00855735"/>
    <w:rsid w:val="00855DCB"/>
    <w:rsid w:val="00861C01"/>
    <w:rsid w:val="00863E59"/>
    <w:rsid w:val="00864EE8"/>
    <w:rsid w:val="00865741"/>
    <w:rsid w:val="00866F16"/>
    <w:rsid w:val="00867028"/>
    <w:rsid w:val="008676AB"/>
    <w:rsid w:val="00867906"/>
    <w:rsid w:val="00867914"/>
    <w:rsid w:val="008726E2"/>
    <w:rsid w:val="008732C9"/>
    <w:rsid w:val="00873ED5"/>
    <w:rsid w:val="008743F1"/>
    <w:rsid w:val="00876C2A"/>
    <w:rsid w:val="00877ADB"/>
    <w:rsid w:val="00880676"/>
    <w:rsid w:val="0088075C"/>
    <w:rsid w:val="00880E34"/>
    <w:rsid w:val="00881FBE"/>
    <w:rsid w:val="00882725"/>
    <w:rsid w:val="00883EED"/>
    <w:rsid w:val="0088674B"/>
    <w:rsid w:val="0089049A"/>
    <w:rsid w:val="00890719"/>
    <w:rsid w:val="008910FA"/>
    <w:rsid w:val="0089141F"/>
    <w:rsid w:val="00891B4B"/>
    <w:rsid w:val="00891D41"/>
    <w:rsid w:val="00893E81"/>
    <w:rsid w:val="008943C8"/>
    <w:rsid w:val="008945FE"/>
    <w:rsid w:val="00894670"/>
    <w:rsid w:val="00896BA6"/>
    <w:rsid w:val="00896E82"/>
    <w:rsid w:val="00897715"/>
    <w:rsid w:val="0089778F"/>
    <w:rsid w:val="008A047A"/>
    <w:rsid w:val="008A0738"/>
    <w:rsid w:val="008A0870"/>
    <w:rsid w:val="008A1709"/>
    <w:rsid w:val="008A2046"/>
    <w:rsid w:val="008A21A4"/>
    <w:rsid w:val="008A253B"/>
    <w:rsid w:val="008A29C8"/>
    <w:rsid w:val="008A3AF6"/>
    <w:rsid w:val="008A49E4"/>
    <w:rsid w:val="008A4C0B"/>
    <w:rsid w:val="008A54BC"/>
    <w:rsid w:val="008B0C14"/>
    <w:rsid w:val="008B179D"/>
    <w:rsid w:val="008B1EF6"/>
    <w:rsid w:val="008B2070"/>
    <w:rsid w:val="008B2F6A"/>
    <w:rsid w:val="008B3B94"/>
    <w:rsid w:val="008B3E29"/>
    <w:rsid w:val="008B4113"/>
    <w:rsid w:val="008B5B83"/>
    <w:rsid w:val="008B6BDD"/>
    <w:rsid w:val="008C09F5"/>
    <w:rsid w:val="008C1416"/>
    <w:rsid w:val="008C29E9"/>
    <w:rsid w:val="008C3C19"/>
    <w:rsid w:val="008C47D5"/>
    <w:rsid w:val="008C4C39"/>
    <w:rsid w:val="008C52C1"/>
    <w:rsid w:val="008C6103"/>
    <w:rsid w:val="008C6375"/>
    <w:rsid w:val="008C73AB"/>
    <w:rsid w:val="008C7FB0"/>
    <w:rsid w:val="008D07F4"/>
    <w:rsid w:val="008D0887"/>
    <w:rsid w:val="008D110F"/>
    <w:rsid w:val="008D15F8"/>
    <w:rsid w:val="008D2A45"/>
    <w:rsid w:val="008D2D5B"/>
    <w:rsid w:val="008D3345"/>
    <w:rsid w:val="008D3868"/>
    <w:rsid w:val="008D6362"/>
    <w:rsid w:val="008D6874"/>
    <w:rsid w:val="008D73E0"/>
    <w:rsid w:val="008D7E50"/>
    <w:rsid w:val="008E03A2"/>
    <w:rsid w:val="008E04E6"/>
    <w:rsid w:val="008E0988"/>
    <w:rsid w:val="008E0A65"/>
    <w:rsid w:val="008E1631"/>
    <w:rsid w:val="008E1823"/>
    <w:rsid w:val="008E28E1"/>
    <w:rsid w:val="008E464B"/>
    <w:rsid w:val="008E466F"/>
    <w:rsid w:val="008E5F69"/>
    <w:rsid w:val="008F05D0"/>
    <w:rsid w:val="008F0A56"/>
    <w:rsid w:val="008F0F6B"/>
    <w:rsid w:val="008F11DE"/>
    <w:rsid w:val="008F3243"/>
    <w:rsid w:val="008F370A"/>
    <w:rsid w:val="008F4C73"/>
    <w:rsid w:val="008F512F"/>
    <w:rsid w:val="008F6463"/>
    <w:rsid w:val="008F68D2"/>
    <w:rsid w:val="008F68F6"/>
    <w:rsid w:val="008F7F63"/>
    <w:rsid w:val="0090143B"/>
    <w:rsid w:val="009032D7"/>
    <w:rsid w:val="00904175"/>
    <w:rsid w:val="0090770C"/>
    <w:rsid w:val="009107E7"/>
    <w:rsid w:val="00910A92"/>
    <w:rsid w:val="00911565"/>
    <w:rsid w:val="00912EDA"/>
    <w:rsid w:val="00913145"/>
    <w:rsid w:val="00913202"/>
    <w:rsid w:val="009134FF"/>
    <w:rsid w:val="009147EB"/>
    <w:rsid w:val="00914806"/>
    <w:rsid w:val="00915826"/>
    <w:rsid w:val="00916327"/>
    <w:rsid w:val="00916B71"/>
    <w:rsid w:val="009176FC"/>
    <w:rsid w:val="009213A6"/>
    <w:rsid w:val="00924736"/>
    <w:rsid w:val="009250B8"/>
    <w:rsid w:val="00926C46"/>
    <w:rsid w:val="00926F43"/>
    <w:rsid w:val="00927276"/>
    <w:rsid w:val="009304C7"/>
    <w:rsid w:val="0093102F"/>
    <w:rsid w:val="00934279"/>
    <w:rsid w:val="009343F3"/>
    <w:rsid w:val="0093461B"/>
    <w:rsid w:val="0093666F"/>
    <w:rsid w:val="0093705C"/>
    <w:rsid w:val="0093751B"/>
    <w:rsid w:val="00937FAD"/>
    <w:rsid w:val="00940871"/>
    <w:rsid w:val="00941C70"/>
    <w:rsid w:val="00942500"/>
    <w:rsid w:val="00942D09"/>
    <w:rsid w:val="0094439F"/>
    <w:rsid w:val="0094440C"/>
    <w:rsid w:val="00945310"/>
    <w:rsid w:val="00945696"/>
    <w:rsid w:val="00945ECE"/>
    <w:rsid w:val="0095099F"/>
    <w:rsid w:val="00950BDD"/>
    <w:rsid w:val="0095113C"/>
    <w:rsid w:val="00951636"/>
    <w:rsid w:val="00951E17"/>
    <w:rsid w:val="00951E4B"/>
    <w:rsid w:val="00952EEA"/>
    <w:rsid w:val="0095331D"/>
    <w:rsid w:val="009542C3"/>
    <w:rsid w:val="00954851"/>
    <w:rsid w:val="00954ABA"/>
    <w:rsid w:val="00954EA7"/>
    <w:rsid w:val="009560A7"/>
    <w:rsid w:val="0095713B"/>
    <w:rsid w:val="00957C7C"/>
    <w:rsid w:val="00960D62"/>
    <w:rsid w:val="00960E5D"/>
    <w:rsid w:val="00961A80"/>
    <w:rsid w:val="00961BF3"/>
    <w:rsid w:val="0096507E"/>
    <w:rsid w:val="0096593A"/>
    <w:rsid w:val="00965949"/>
    <w:rsid w:val="00966E20"/>
    <w:rsid w:val="0096748A"/>
    <w:rsid w:val="00970190"/>
    <w:rsid w:val="0097098F"/>
    <w:rsid w:val="00973AA8"/>
    <w:rsid w:val="00973BBF"/>
    <w:rsid w:val="009740B6"/>
    <w:rsid w:val="009743F1"/>
    <w:rsid w:val="009749D0"/>
    <w:rsid w:val="00974C9F"/>
    <w:rsid w:val="00976856"/>
    <w:rsid w:val="00976DA1"/>
    <w:rsid w:val="009818D7"/>
    <w:rsid w:val="00981E69"/>
    <w:rsid w:val="00982724"/>
    <w:rsid w:val="00982C36"/>
    <w:rsid w:val="00982D92"/>
    <w:rsid w:val="0098302F"/>
    <w:rsid w:val="00983161"/>
    <w:rsid w:val="00983904"/>
    <w:rsid w:val="00983A6F"/>
    <w:rsid w:val="00983B79"/>
    <w:rsid w:val="009848F1"/>
    <w:rsid w:val="00985FC7"/>
    <w:rsid w:val="00985FF5"/>
    <w:rsid w:val="00986167"/>
    <w:rsid w:val="00986487"/>
    <w:rsid w:val="0098756E"/>
    <w:rsid w:val="00987831"/>
    <w:rsid w:val="00987A32"/>
    <w:rsid w:val="00990D44"/>
    <w:rsid w:val="00992A16"/>
    <w:rsid w:val="00994EFE"/>
    <w:rsid w:val="009964CA"/>
    <w:rsid w:val="009968F0"/>
    <w:rsid w:val="00997124"/>
    <w:rsid w:val="0099752C"/>
    <w:rsid w:val="0099764D"/>
    <w:rsid w:val="00997AEF"/>
    <w:rsid w:val="00997BCE"/>
    <w:rsid w:val="009A03CC"/>
    <w:rsid w:val="009A0DF0"/>
    <w:rsid w:val="009A1CC1"/>
    <w:rsid w:val="009A26F9"/>
    <w:rsid w:val="009A288D"/>
    <w:rsid w:val="009A2C65"/>
    <w:rsid w:val="009A381C"/>
    <w:rsid w:val="009A42DA"/>
    <w:rsid w:val="009A44B4"/>
    <w:rsid w:val="009A475D"/>
    <w:rsid w:val="009A508F"/>
    <w:rsid w:val="009A5D31"/>
    <w:rsid w:val="009A6CF7"/>
    <w:rsid w:val="009A77B9"/>
    <w:rsid w:val="009B0028"/>
    <w:rsid w:val="009B357D"/>
    <w:rsid w:val="009B3B35"/>
    <w:rsid w:val="009B5615"/>
    <w:rsid w:val="009B5702"/>
    <w:rsid w:val="009B78C3"/>
    <w:rsid w:val="009C1620"/>
    <w:rsid w:val="009C214B"/>
    <w:rsid w:val="009C2D94"/>
    <w:rsid w:val="009C2F70"/>
    <w:rsid w:val="009C3CF3"/>
    <w:rsid w:val="009C6D1D"/>
    <w:rsid w:val="009D0625"/>
    <w:rsid w:val="009D0FFE"/>
    <w:rsid w:val="009D2455"/>
    <w:rsid w:val="009D2A89"/>
    <w:rsid w:val="009D34A1"/>
    <w:rsid w:val="009D4722"/>
    <w:rsid w:val="009D4723"/>
    <w:rsid w:val="009D5633"/>
    <w:rsid w:val="009D56DF"/>
    <w:rsid w:val="009D59C2"/>
    <w:rsid w:val="009D74B0"/>
    <w:rsid w:val="009D7B3A"/>
    <w:rsid w:val="009E260E"/>
    <w:rsid w:val="009E2911"/>
    <w:rsid w:val="009E46AF"/>
    <w:rsid w:val="009E483A"/>
    <w:rsid w:val="009E6A1D"/>
    <w:rsid w:val="009E7B11"/>
    <w:rsid w:val="009F0395"/>
    <w:rsid w:val="009F07A0"/>
    <w:rsid w:val="009F0B8D"/>
    <w:rsid w:val="009F1304"/>
    <w:rsid w:val="009F18C0"/>
    <w:rsid w:val="009F1B65"/>
    <w:rsid w:val="009F1CCE"/>
    <w:rsid w:val="009F2191"/>
    <w:rsid w:val="009F317F"/>
    <w:rsid w:val="009F3346"/>
    <w:rsid w:val="009F3753"/>
    <w:rsid w:val="009F3C52"/>
    <w:rsid w:val="009F4D57"/>
    <w:rsid w:val="009F63BF"/>
    <w:rsid w:val="009F63F2"/>
    <w:rsid w:val="00A01FAB"/>
    <w:rsid w:val="00A0244F"/>
    <w:rsid w:val="00A0249A"/>
    <w:rsid w:val="00A047EB"/>
    <w:rsid w:val="00A0523E"/>
    <w:rsid w:val="00A05575"/>
    <w:rsid w:val="00A05C58"/>
    <w:rsid w:val="00A06109"/>
    <w:rsid w:val="00A06254"/>
    <w:rsid w:val="00A10352"/>
    <w:rsid w:val="00A10F4E"/>
    <w:rsid w:val="00A12270"/>
    <w:rsid w:val="00A13EE6"/>
    <w:rsid w:val="00A14A89"/>
    <w:rsid w:val="00A15373"/>
    <w:rsid w:val="00A16049"/>
    <w:rsid w:val="00A20FED"/>
    <w:rsid w:val="00A23C3D"/>
    <w:rsid w:val="00A2520B"/>
    <w:rsid w:val="00A25941"/>
    <w:rsid w:val="00A30125"/>
    <w:rsid w:val="00A30F0E"/>
    <w:rsid w:val="00A326C1"/>
    <w:rsid w:val="00A33251"/>
    <w:rsid w:val="00A3427B"/>
    <w:rsid w:val="00A3442C"/>
    <w:rsid w:val="00A34A88"/>
    <w:rsid w:val="00A350CE"/>
    <w:rsid w:val="00A35E82"/>
    <w:rsid w:val="00A3680F"/>
    <w:rsid w:val="00A36CEE"/>
    <w:rsid w:val="00A37066"/>
    <w:rsid w:val="00A3766C"/>
    <w:rsid w:val="00A40276"/>
    <w:rsid w:val="00A402D9"/>
    <w:rsid w:val="00A40AD0"/>
    <w:rsid w:val="00A40BAE"/>
    <w:rsid w:val="00A42D33"/>
    <w:rsid w:val="00A43479"/>
    <w:rsid w:val="00A45098"/>
    <w:rsid w:val="00A458EA"/>
    <w:rsid w:val="00A45BD5"/>
    <w:rsid w:val="00A50471"/>
    <w:rsid w:val="00A504C6"/>
    <w:rsid w:val="00A52B34"/>
    <w:rsid w:val="00A55146"/>
    <w:rsid w:val="00A557B4"/>
    <w:rsid w:val="00A60229"/>
    <w:rsid w:val="00A61F72"/>
    <w:rsid w:val="00A6487D"/>
    <w:rsid w:val="00A649DC"/>
    <w:rsid w:val="00A6515B"/>
    <w:rsid w:val="00A6614D"/>
    <w:rsid w:val="00A663E0"/>
    <w:rsid w:val="00A66D2E"/>
    <w:rsid w:val="00A674A7"/>
    <w:rsid w:val="00A67990"/>
    <w:rsid w:val="00A67B69"/>
    <w:rsid w:val="00A70435"/>
    <w:rsid w:val="00A70FC1"/>
    <w:rsid w:val="00A71091"/>
    <w:rsid w:val="00A72521"/>
    <w:rsid w:val="00A72EB5"/>
    <w:rsid w:val="00A73257"/>
    <w:rsid w:val="00A7392E"/>
    <w:rsid w:val="00A7433D"/>
    <w:rsid w:val="00A7547D"/>
    <w:rsid w:val="00A7682D"/>
    <w:rsid w:val="00A76FFC"/>
    <w:rsid w:val="00A81052"/>
    <w:rsid w:val="00A81371"/>
    <w:rsid w:val="00A815B2"/>
    <w:rsid w:val="00A82A9B"/>
    <w:rsid w:val="00A842F3"/>
    <w:rsid w:val="00A84367"/>
    <w:rsid w:val="00A848E2"/>
    <w:rsid w:val="00A84D42"/>
    <w:rsid w:val="00A85E59"/>
    <w:rsid w:val="00A8619F"/>
    <w:rsid w:val="00A866E6"/>
    <w:rsid w:val="00A90E5C"/>
    <w:rsid w:val="00A91045"/>
    <w:rsid w:val="00A9143A"/>
    <w:rsid w:val="00A91456"/>
    <w:rsid w:val="00A93A00"/>
    <w:rsid w:val="00A93C85"/>
    <w:rsid w:val="00A95BD5"/>
    <w:rsid w:val="00AA0E85"/>
    <w:rsid w:val="00AA0EDE"/>
    <w:rsid w:val="00AA10B5"/>
    <w:rsid w:val="00AA1510"/>
    <w:rsid w:val="00AA15F5"/>
    <w:rsid w:val="00AA270A"/>
    <w:rsid w:val="00AA3666"/>
    <w:rsid w:val="00AA41DA"/>
    <w:rsid w:val="00AA43FA"/>
    <w:rsid w:val="00AA482E"/>
    <w:rsid w:val="00AA5450"/>
    <w:rsid w:val="00AA568A"/>
    <w:rsid w:val="00AA59CD"/>
    <w:rsid w:val="00AA5CDB"/>
    <w:rsid w:val="00AA6F6B"/>
    <w:rsid w:val="00AA7567"/>
    <w:rsid w:val="00AA7848"/>
    <w:rsid w:val="00AB02D0"/>
    <w:rsid w:val="00AB02D1"/>
    <w:rsid w:val="00AB0908"/>
    <w:rsid w:val="00AB0FF9"/>
    <w:rsid w:val="00AB2DE3"/>
    <w:rsid w:val="00AB3BDB"/>
    <w:rsid w:val="00AB3D04"/>
    <w:rsid w:val="00AB5093"/>
    <w:rsid w:val="00AB565B"/>
    <w:rsid w:val="00AB5B7B"/>
    <w:rsid w:val="00AB5D8E"/>
    <w:rsid w:val="00AB6179"/>
    <w:rsid w:val="00AB6BE4"/>
    <w:rsid w:val="00AC269C"/>
    <w:rsid w:val="00AC26A8"/>
    <w:rsid w:val="00AC497D"/>
    <w:rsid w:val="00AC4C61"/>
    <w:rsid w:val="00AC5193"/>
    <w:rsid w:val="00AC573A"/>
    <w:rsid w:val="00AC5C18"/>
    <w:rsid w:val="00AC6AE7"/>
    <w:rsid w:val="00AC6FB0"/>
    <w:rsid w:val="00AC707B"/>
    <w:rsid w:val="00AC7436"/>
    <w:rsid w:val="00AC7A96"/>
    <w:rsid w:val="00AC7EB2"/>
    <w:rsid w:val="00AC7EFA"/>
    <w:rsid w:val="00AD10F3"/>
    <w:rsid w:val="00AD10F4"/>
    <w:rsid w:val="00AD1A6F"/>
    <w:rsid w:val="00AD2538"/>
    <w:rsid w:val="00AD2687"/>
    <w:rsid w:val="00AD2F90"/>
    <w:rsid w:val="00AD55D7"/>
    <w:rsid w:val="00AD62ED"/>
    <w:rsid w:val="00AD6F7A"/>
    <w:rsid w:val="00AD74C7"/>
    <w:rsid w:val="00AE002E"/>
    <w:rsid w:val="00AE01C1"/>
    <w:rsid w:val="00AE040F"/>
    <w:rsid w:val="00AE0D73"/>
    <w:rsid w:val="00AE12B0"/>
    <w:rsid w:val="00AE23BA"/>
    <w:rsid w:val="00AE36CF"/>
    <w:rsid w:val="00AE5485"/>
    <w:rsid w:val="00AE55C3"/>
    <w:rsid w:val="00AE5A1B"/>
    <w:rsid w:val="00AE5D01"/>
    <w:rsid w:val="00AE5FE3"/>
    <w:rsid w:val="00AE640B"/>
    <w:rsid w:val="00AE648F"/>
    <w:rsid w:val="00AE6EF4"/>
    <w:rsid w:val="00AE7356"/>
    <w:rsid w:val="00AF04E5"/>
    <w:rsid w:val="00AF0C49"/>
    <w:rsid w:val="00AF14F3"/>
    <w:rsid w:val="00AF1736"/>
    <w:rsid w:val="00AF17D7"/>
    <w:rsid w:val="00AF1E73"/>
    <w:rsid w:val="00AF2529"/>
    <w:rsid w:val="00AF4B7D"/>
    <w:rsid w:val="00AF5780"/>
    <w:rsid w:val="00AF57BE"/>
    <w:rsid w:val="00AF5F4F"/>
    <w:rsid w:val="00AF63EF"/>
    <w:rsid w:val="00AF6668"/>
    <w:rsid w:val="00AF69C8"/>
    <w:rsid w:val="00AF7065"/>
    <w:rsid w:val="00AF713C"/>
    <w:rsid w:val="00AF7AD4"/>
    <w:rsid w:val="00AF7C16"/>
    <w:rsid w:val="00B00AA2"/>
    <w:rsid w:val="00B02F07"/>
    <w:rsid w:val="00B02F35"/>
    <w:rsid w:val="00B0472A"/>
    <w:rsid w:val="00B04CBB"/>
    <w:rsid w:val="00B0545E"/>
    <w:rsid w:val="00B069B9"/>
    <w:rsid w:val="00B1067A"/>
    <w:rsid w:val="00B10DF7"/>
    <w:rsid w:val="00B10F84"/>
    <w:rsid w:val="00B11B0A"/>
    <w:rsid w:val="00B11CD9"/>
    <w:rsid w:val="00B11EFA"/>
    <w:rsid w:val="00B12E91"/>
    <w:rsid w:val="00B131AA"/>
    <w:rsid w:val="00B1350F"/>
    <w:rsid w:val="00B138CF"/>
    <w:rsid w:val="00B149EA"/>
    <w:rsid w:val="00B17330"/>
    <w:rsid w:val="00B17981"/>
    <w:rsid w:val="00B17CD3"/>
    <w:rsid w:val="00B209FE"/>
    <w:rsid w:val="00B20ADE"/>
    <w:rsid w:val="00B20B58"/>
    <w:rsid w:val="00B21931"/>
    <w:rsid w:val="00B23291"/>
    <w:rsid w:val="00B23359"/>
    <w:rsid w:val="00B236D6"/>
    <w:rsid w:val="00B244F9"/>
    <w:rsid w:val="00B246C7"/>
    <w:rsid w:val="00B25746"/>
    <w:rsid w:val="00B2599D"/>
    <w:rsid w:val="00B26283"/>
    <w:rsid w:val="00B303F5"/>
    <w:rsid w:val="00B31B20"/>
    <w:rsid w:val="00B3334F"/>
    <w:rsid w:val="00B33746"/>
    <w:rsid w:val="00B34ABA"/>
    <w:rsid w:val="00B34C11"/>
    <w:rsid w:val="00B34F5E"/>
    <w:rsid w:val="00B356B3"/>
    <w:rsid w:val="00B35B98"/>
    <w:rsid w:val="00B365D9"/>
    <w:rsid w:val="00B3798A"/>
    <w:rsid w:val="00B37D7C"/>
    <w:rsid w:val="00B37DC0"/>
    <w:rsid w:val="00B40483"/>
    <w:rsid w:val="00B40AAD"/>
    <w:rsid w:val="00B41895"/>
    <w:rsid w:val="00B4213C"/>
    <w:rsid w:val="00B42A98"/>
    <w:rsid w:val="00B43A04"/>
    <w:rsid w:val="00B43FA2"/>
    <w:rsid w:val="00B44839"/>
    <w:rsid w:val="00B45624"/>
    <w:rsid w:val="00B45C16"/>
    <w:rsid w:val="00B45D43"/>
    <w:rsid w:val="00B4753A"/>
    <w:rsid w:val="00B47E8A"/>
    <w:rsid w:val="00B50741"/>
    <w:rsid w:val="00B51CA6"/>
    <w:rsid w:val="00B51F46"/>
    <w:rsid w:val="00B52EAD"/>
    <w:rsid w:val="00B53330"/>
    <w:rsid w:val="00B535FC"/>
    <w:rsid w:val="00B53653"/>
    <w:rsid w:val="00B6092F"/>
    <w:rsid w:val="00B60B8A"/>
    <w:rsid w:val="00B6203F"/>
    <w:rsid w:val="00B6239B"/>
    <w:rsid w:val="00B62A2A"/>
    <w:rsid w:val="00B63713"/>
    <w:rsid w:val="00B64352"/>
    <w:rsid w:val="00B658AF"/>
    <w:rsid w:val="00B67A6F"/>
    <w:rsid w:val="00B70741"/>
    <w:rsid w:val="00B71BF9"/>
    <w:rsid w:val="00B71C61"/>
    <w:rsid w:val="00B7227D"/>
    <w:rsid w:val="00B74D73"/>
    <w:rsid w:val="00B77509"/>
    <w:rsid w:val="00B80219"/>
    <w:rsid w:val="00B813AD"/>
    <w:rsid w:val="00B81470"/>
    <w:rsid w:val="00B83DE5"/>
    <w:rsid w:val="00B84190"/>
    <w:rsid w:val="00B84803"/>
    <w:rsid w:val="00B84807"/>
    <w:rsid w:val="00B8587E"/>
    <w:rsid w:val="00B85ED6"/>
    <w:rsid w:val="00B86F83"/>
    <w:rsid w:val="00B91B43"/>
    <w:rsid w:val="00B92554"/>
    <w:rsid w:val="00B9279C"/>
    <w:rsid w:val="00B92B45"/>
    <w:rsid w:val="00B93AB2"/>
    <w:rsid w:val="00B93CDB"/>
    <w:rsid w:val="00B9465C"/>
    <w:rsid w:val="00B9553B"/>
    <w:rsid w:val="00B955B0"/>
    <w:rsid w:val="00B965BD"/>
    <w:rsid w:val="00B976EE"/>
    <w:rsid w:val="00B97BC5"/>
    <w:rsid w:val="00BA0584"/>
    <w:rsid w:val="00BA0E83"/>
    <w:rsid w:val="00BA1593"/>
    <w:rsid w:val="00BA15CA"/>
    <w:rsid w:val="00BA2185"/>
    <w:rsid w:val="00BA2976"/>
    <w:rsid w:val="00BA35FD"/>
    <w:rsid w:val="00BA49CF"/>
    <w:rsid w:val="00BA6872"/>
    <w:rsid w:val="00BA75BA"/>
    <w:rsid w:val="00BA7A24"/>
    <w:rsid w:val="00BB108E"/>
    <w:rsid w:val="00BB14E0"/>
    <w:rsid w:val="00BB24CF"/>
    <w:rsid w:val="00BB2E9B"/>
    <w:rsid w:val="00BB394A"/>
    <w:rsid w:val="00BB4610"/>
    <w:rsid w:val="00BB4BF5"/>
    <w:rsid w:val="00BB4CB6"/>
    <w:rsid w:val="00BB5B1B"/>
    <w:rsid w:val="00BB60A8"/>
    <w:rsid w:val="00BB750C"/>
    <w:rsid w:val="00BC06B0"/>
    <w:rsid w:val="00BC10D5"/>
    <w:rsid w:val="00BC1DB3"/>
    <w:rsid w:val="00BC2D42"/>
    <w:rsid w:val="00BC35C9"/>
    <w:rsid w:val="00BC42A5"/>
    <w:rsid w:val="00BC43C0"/>
    <w:rsid w:val="00BC4CEF"/>
    <w:rsid w:val="00BC607F"/>
    <w:rsid w:val="00BC71FB"/>
    <w:rsid w:val="00BC7277"/>
    <w:rsid w:val="00BD0ADB"/>
    <w:rsid w:val="00BD109F"/>
    <w:rsid w:val="00BD196F"/>
    <w:rsid w:val="00BD28BA"/>
    <w:rsid w:val="00BD3560"/>
    <w:rsid w:val="00BD371E"/>
    <w:rsid w:val="00BD42A0"/>
    <w:rsid w:val="00BD47E0"/>
    <w:rsid w:val="00BD5F49"/>
    <w:rsid w:val="00BD6856"/>
    <w:rsid w:val="00BD6C0C"/>
    <w:rsid w:val="00BD6FFD"/>
    <w:rsid w:val="00BE0395"/>
    <w:rsid w:val="00BE045A"/>
    <w:rsid w:val="00BE1C80"/>
    <w:rsid w:val="00BE1E2D"/>
    <w:rsid w:val="00BE246B"/>
    <w:rsid w:val="00BE27D3"/>
    <w:rsid w:val="00BE285B"/>
    <w:rsid w:val="00BE4F56"/>
    <w:rsid w:val="00BE516B"/>
    <w:rsid w:val="00BE598D"/>
    <w:rsid w:val="00BE5FCF"/>
    <w:rsid w:val="00BE61CB"/>
    <w:rsid w:val="00BE6EE2"/>
    <w:rsid w:val="00BE733F"/>
    <w:rsid w:val="00BF0622"/>
    <w:rsid w:val="00BF0CD5"/>
    <w:rsid w:val="00BF0EA3"/>
    <w:rsid w:val="00BF0F70"/>
    <w:rsid w:val="00BF1543"/>
    <w:rsid w:val="00BF1562"/>
    <w:rsid w:val="00BF2157"/>
    <w:rsid w:val="00BF2A64"/>
    <w:rsid w:val="00BF3813"/>
    <w:rsid w:val="00BF45F8"/>
    <w:rsid w:val="00BF4CB5"/>
    <w:rsid w:val="00BF5642"/>
    <w:rsid w:val="00BF5DD9"/>
    <w:rsid w:val="00BF6316"/>
    <w:rsid w:val="00C00DE6"/>
    <w:rsid w:val="00C013EA"/>
    <w:rsid w:val="00C02820"/>
    <w:rsid w:val="00C03A64"/>
    <w:rsid w:val="00C04BF4"/>
    <w:rsid w:val="00C04F13"/>
    <w:rsid w:val="00C05C10"/>
    <w:rsid w:val="00C0620F"/>
    <w:rsid w:val="00C0738A"/>
    <w:rsid w:val="00C07888"/>
    <w:rsid w:val="00C1078A"/>
    <w:rsid w:val="00C10DB9"/>
    <w:rsid w:val="00C12203"/>
    <w:rsid w:val="00C14A38"/>
    <w:rsid w:val="00C1520C"/>
    <w:rsid w:val="00C1524E"/>
    <w:rsid w:val="00C157ED"/>
    <w:rsid w:val="00C17CB8"/>
    <w:rsid w:val="00C20747"/>
    <w:rsid w:val="00C207E7"/>
    <w:rsid w:val="00C2150F"/>
    <w:rsid w:val="00C21AB1"/>
    <w:rsid w:val="00C21B61"/>
    <w:rsid w:val="00C21D65"/>
    <w:rsid w:val="00C2296A"/>
    <w:rsid w:val="00C22C9C"/>
    <w:rsid w:val="00C23451"/>
    <w:rsid w:val="00C23639"/>
    <w:rsid w:val="00C23816"/>
    <w:rsid w:val="00C24232"/>
    <w:rsid w:val="00C30E31"/>
    <w:rsid w:val="00C31677"/>
    <w:rsid w:val="00C31CED"/>
    <w:rsid w:val="00C32D0C"/>
    <w:rsid w:val="00C34663"/>
    <w:rsid w:val="00C373BF"/>
    <w:rsid w:val="00C3767B"/>
    <w:rsid w:val="00C408FE"/>
    <w:rsid w:val="00C40A85"/>
    <w:rsid w:val="00C40CA1"/>
    <w:rsid w:val="00C41EC4"/>
    <w:rsid w:val="00C41FA4"/>
    <w:rsid w:val="00C4252F"/>
    <w:rsid w:val="00C45286"/>
    <w:rsid w:val="00C45C8E"/>
    <w:rsid w:val="00C47867"/>
    <w:rsid w:val="00C51731"/>
    <w:rsid w:val="00C52482"/>
    <w:rsid w:val="00C52A20"/>
    <w:rsid w:val="00C5591B"/>
    <w:rsid w:val="00C5615B"/>
    <w:rsid w:val="00C57A3C"/>
    <w:rsid w:val="00C57CB2"/>
    <w:rsid w:val="00C600CF"/>
    <w:rsid w:val="00C60B5E"/>
    <w:rsid w:val="00C60E3A"/>
    <w:rsid w:val="00C611A5"/>
    <w:rsid w:val="00C62428"/>
    <w:rsid w:val="00C62628"/>
    <w:rsid w:val="00C629AA"/>
    <w:rsid w:val="00C63204"/>
    <w:rsid w:val="00C635C5"/>
    <w:rsid w:val="00C641E9"/>
    <w:rsid w:val="00C65200"/>
    <w:rsid w:val="00C65CCE"/>
    <w:rsid w:val="00C66F23"/>
    <w:rsid w:val="00C675F0"/>
    <w:rsid w:val="00C6761F"/>
    <w:rsid w:val="00C6793D"/>
    <w:rsid w:val="00C67C52"/>
    <w:rsid w:val="00C67D3D"/>
    <w:rsid w:val="00C702C8"/>
    <w:rsid w:val="00C708F0"/>
    <w:rsid w:val="00C70AE9"/>
    <w:rsid w:val="00C71446"/>
    <w:rsid w:val="00C73086"/>
    <w:rsid w:val="00C730C0"/>
    <w:rsid w:val="00C74193"/>
    <w:rsid w:val="00C76410"/>
    <w:rsid w:val="00C76A9D"/>
    <w:rsid w:val="00C76C48"/>
    <w:rsid w:val="00C7737F"/>
    <w:rsid w:val="00C8000F"/>
    <w:rsid w:val="00C806DE"/>
    <w:rsid w:val="00C80F24"/>
    <w:rsid w:val="00C819E6"/>
    <w:rsid w:val="00C83295"/>
    <w:rsid w:val="00C833A4"/>
    <w:rsid w:val="00C856B7"/>
    <w:rsid w:val="00C860D0"/>
    <w:rsid w:val="00C86FE4"/>
    <w:rsid w:val="00C90EE9"/>
    <w:rsid w:val="00C93446"/>
    <w:rsid w:val="00C93A36"/>
    <w:rsid w:val="00C94119"/>
    <w:rsid w:val="00C941FE"/>
    <w:rsid w:val="00C9427D"/>
    <w:rsid w:val="00C950C0"/>
    <w:rsid w:val="00C9535E"/>
    <w:rsid w:val="00C9595F"/>
    <w:rsid w:val="00C963C4"/>
    <w:rsid w:val="00C96E9A"/>
    <w:rsid w:val="00C97C7D"/>
    <w:rsid w:val="00C97DCF"/>
    <w:rsid w:val="00CA0707"/>
    <w:rsid w:val="00CA1367"/>
    <w:rsid w:val="00CA1D92"/>
    <w:rsid w:val="00CA1E04"/>
    <w:rsid w:val="00CA1EFF"/>
    <w:rsid w:val="00CA3214"/>
    <w:rsid w:val="00CA405C"/>
    <w:rsid w:val="00CA442F"/>
    <w:rsid w:val="00CA4454"/>
    <w:rsid w:val="00CA4E82"/>
    <w:rsid w:val="00CA5158"/>
    <w:rsid w:val="00CA6225"/>
    <w:rsid w:val="00CA6E48"/>
    <w:rsid w:val="00CB02E9"/>
    <w:rsid w:val="00CB0732"/>
    <w:rsid w:val="00CB1BEF"/>
    <w:rsid w:val="00CB3907"/>
    <w:rsid w:val="00CB4004"/>
    <w:rsid w:val="00CB4AB2"/>
    <w:rsid w:val="00CB4B94"/>
    <w:rsid w:val="00CB5678"/>
    <w:rsid w:val="00CB6525"/>
    <w:rsid w:val="00CB78DB"/>
    <w:rsid w:val="00CC141E"/>
    <w:rsid w:val="00CC15DD"/>
    <w:rsid w:val="00CC1B4B"/>
    <w:rsid w:val="00CC2460"/>
    <w:rsid w:val="00CC3725"/>
    <w:rsid w:val="00CC3AA7"/>
    <w:rsid w:val="00CC4194"/>
    <w:rsid w:val="00CC46E2"/>
    <w:rsid w:val="00CC4A56"/>
    <w:rsid w:val="00CC4BF0"/>
    <w:rsid w:val="00CC59C2"/>
    <w:rsid w:val="00CC6EED"/>
    <w:rsid w:val="00CC7440"/>
    <w:rsid w:val="00CC79FD"/>
    <w:rsid w:val="00CD0366"/>
    <w:rsid w:val="00CD0792"/>
    <w:rsid w:val="00CD0B9D"/>
    <w:rsid w:val="00CD1028"/>
    <w:rsid w:val="00CD18CE"/>
    <w:rsid w:val="00CD1CF2"/>
    <w:rsid w:val="00CD1EF1"/>
    <w:rsid w:val="00CD2D31"/>
    <w:rsid w:val="00CD48C8"/>
    <w:rsid w:val="00CD55BB"/>
    <w:rsid w:val="00CD6465"/>
    <w:rsid w:val="00CD6F7B"/>
    <w:rsid w:val="00CE09BB"/>
    <w:rsid w:val="00CE1EBC"/>
    <w:rsid w:val="00CE24F1"/>
    <w:rsid w:val="00CE2955"/>
    <w:rsid w:val="00CE4090"/>
    <w:rsid w:val="00CE43D6"/>
    <w:rsid w:val="00CE468E"/>
    <w:rsid w:val="00CE6455"/>
    <w:rsid w:val="00CE702F"/>
    <w:rsid w:val="00CF0965"/>
    <w:rsid w:val="00CF0E0C"/>
    <w:rsid w:val="00CF18F1"/>
    <w:rsid w:val="00CF1B3A"/>
    <w:rsid w:val="00CF3AD3"/>
    <w:rsid w:val="00CF4DB2"/>
    <w:rsid w:val="00CF4FBF"/>
    <w:rsid w:val="00CF5895"/>
    <w:rsid w:val="00CF61E0"/>
    <w:rsid w:val="00CF66F4"/>
    <w:rsid w:val="00CF6F91"/>
    <w:rsid w:val="00CF708A"/>
    <w:rsid w:val="00CF77E0"/>
    <w:rsid w:val="00CF7FD5"/>
    <w:rsid w:val="00D019E4"/>
    <w:rsid w:val="00D03BD7"/>
    <w:rsid w:val="00D04098"/>
    <w:rsid w:val="00D04109"/>
    <w:rsid w:val="00D04330"/>
    <w:rsid w:val="00D05042"/>
    <w:rsid w:val="00D0724F"/>
    <w:rsid w:val="00D10481"/>
    <w:rsid w:val="00D11915"/>
    <w:rsid w:val="00D1552B"/>
    <w:rsid w:val="00D15840"/>
    <w:rsid w:val="00D16639"/>
    <w:rsid w:val="00D2023C"/>
    <w:rsid w:val="00D20786"/>
    <w:rsid w:val="00D21E2D"/>
    <w:rsid w:val="00D2241D"/>
    <w:rsid w:val="00D22804"/>
    <w:rsid w:val="00D22826"/>
    <w:rsid w:val="00D2355B"/>
    <w:rsid w:val="00D25B48"/>
    <w:rsid w:val="00D261A3"/>
    <w:rsid w:val="00D264AA"/>
    <w:rsid w:val="00D27986"/>
    <w:rsid w:val="00D27D8E"/>
    <w:rsid w:val="00D27DD5"/>
    <w:rsid w:val="00D301DA"/>
    <w:rsid w:val="00D30768"/>
    <w:rsid w:val="00D3163A"/>
    <w:rsid w:val="00D33B37"/>
    <w:rsid w:val="00D33DA2"/>
    <w:rsid w:val="00D35F5B"/>
    <w:rsid w:val="00D3609A"/>
    <w:rsid w:val="00D37164"/>
    <w:rsid w:val="00D407DA"/>
    <w:rsid w:val="00D40FE1"/>
    <w:rsid w:val="00D41FC5"/>
    <w:rsid w:val="00D43E01"/>
    <w:rsid w:val="00D44F6B"/>
    <w:rsid w:val="00D45C17"/>
    <w:rsid w:val="00D467EC"/>
    <w:rsid w:val="00D4698E"/>
    <w:rsid w:val="00D50E34"/>
    <w:rsid w:val="00D530C8"/>
    <w:rsid w:val="00D554C4"/>
    <w:rsid w:val="00D560CD"/>
    <w:rsid w:val="00D56E90"/>
    <w:rsid w:val="00D57046"/>
    <w:rsid w:val="00D57302"/>
    <w:rsid w:val="00D57785"/>
    <w:rsid w:val="00D62188"/>
    <w:rsid w:val="00D636BE"/>
    <w:rsid w:val="00D64BE9"/>
    <w:rsid w:val="00D652EA"/>
    <w:rsid w:val="00D660BB"/>
    <w:rsid w:val="00D6687E"/>
    <w:rsid w:val="00D66A67"/>
    <w:rsid w:val="00D66F3A"/>
    <w:rsid w:val="00D67BBE"/>
    <w:rsid w:val="00D70157"/>
    <w:rsid w:val="00D70A70"/>
    <w:rsid w:val="00D72DF9"/>
    <w:rsid w:val="00D73238"/>
    <w:rsid w:val="00D73C68"/>
    <w:rsid w:val="00D75BAE"/>
    <w:rsid w:val="00D760B7"/>
    <w:rsid w:val="00D7761E"/>
    <w:rsid w:val="00D77DDB"/>
    <w:rsid w:val="00D80357"/>
    <w:rsid w:val="00D8086B"/>
    <w:rsid w:val="00D82900"/>
    <w:rsid w:val="00D85A23"/>
    <w:rsid w:val="00D85D66"/>
    <w:rsid w:val="00D85DF3"/>
    <w:rsid w:val="00D878AD"/>
    <w:rsid w:val="00D87C72"/>
    <w:rsid w:val="00D91E3E"/>
    <w:rsid w:val="00D9206A"/>
    <w:rsid w:val="00D923E0"/>
    <w:rsid w:val="00D9308D"/>
    <w:rsid w:val="00D9572A"/>
    <w:rsid w:val="00D95C8C"/>
    <w:rsid w:val="00D96E52"/>
    <w:rsid w:val="00D97358"/>
    <w:rsid w:val="00DA042F"/>
    <w:rsid w:val="00DA0C3C"/>
    <w:rsid w:val="00DA19FC"/>
    <w:rsid w:val="00DA210D"/>
    <w:rsid w:val="00DA22B8"/>
    <w:rsid w:val="00DA260F"/>
    <w:rsid w:val="00DA42F5"/>
    <w:rsid w:val="00DA46A2"/>
    <w:rsid w:val="00DA6CAE"/>
    <w:rsid w:val="00DA6CC3"/>
    <w:rsid w:val="00DA7156"/>
    <w:rsid w:val="00DA71AC"/>
    <w:rsid w:val="00DA7243"/>
    <w:rsid w:val="00DA7BB7"/>
    <w:rsid w:val="00DA7F5B"/>
    <w:rsid w:val="00DB0CDE"/>
    <w:rsid w:val="00DB1697"/>
    <w:rsid w:val="00DB1BE2"/>
    <w:rsid w:val="00DB4199"/>
    <w:rsid w:val="00DB4F95"/>
    <w:rsid w:val="00DB65A1"/>
    <w:rsid w:val="00DB6704"/>
    <w:rsid w:val="00DB6ABF"/>
    <w:rsid w:val="00DB7F65"/>
    <w:rsid w:val="00DC1DA9"/>
    <w:rsid w:val="00DC3B6E"/>
    <w:rsid w:val="00DC48DA"/>
    <w:rsid w:val="00DC4C90"/>
    <w:rsid w:val="00DC500D"/>
    <w:rsid w:val="00DC583D"/>
    <w:rsid w:val="00DC5C4F"/>
    <w:rsid w:val="00DC7141"/>
    <w:rsid w:val="00DC7379"/>
    <w:rsid w:val="00DD07ED"/>
    <w:rsid w:val="00DD1237"/>
    <w:rsid w:val="00DD1411"/>
    <w:rsid w:val="00DD51C2"/>
    <w:rsid w:val="00DD5431"/>
    <w:rsid w:val="00DD55AE"/>
    <w:rsid w:val="00DD5AFA"/>
    <w:rsid w:val="00DE084F"/>
    <w:rsid w:val="00DE2678"/>
    <w:rsid w:val="00DE36F3"/>
    <w:rsid w:val="00DE4230"/>
    <w:rsid w:val="00DE429D"/>
    <w:rsid w:val="00DE4C4A"/>
    <w:rsid w:val="00DE51F6"/>
    <w:rsid w:val="00DF03A1"/>
    <w:rsid w:val="00DF06C2"/>
    <w:rsid w:val="00DF0919"/>
    <w:rsid w:val="00DF135D"/>
    <w:rsid w:val="00DF137B"/>
    <w:rsid w:val="00DF14C2"/>
    <w:rsid w:val="00DF19D3"/>
    <w:rsid w:val="00DF2C01"/>
    <w:rsid w:val="00DF30F6"/>
    <w:rsid w:val="00DF3617"/>
    <w:rsid w:val="00DF3D69"/>
    <w:rsid w:val="00DF5377"/>
    <w:rsid w:val="00DF66D4"/>
    <w:rsid w:val="00DF7386"/>
    <w:rsid w:val="00E00E96"/>
    <w:rsid w:val="00E01684"/>
    <w:rsid w:val="00E028EE"/>
    <w:rsid w:val="00E031ED"/>
    <w:rsid w:val="00E03812"/>
    <w:rsid w:val="00E046C8"/>
    <w:rsid w:val="00E056E8"/>
    <w:rsid w:val="00E05DDE"/>
    <w:rsid w:val="00E067BC"/>
    <w:rsid w:val="00E069AE"/>
    <w:rsid w:val="00E0709E"/>
    <w:rsid w:val="00E10BEB"/>
    <w:rsid w:val="00E11A58"/>
    <w:rsid w:val="00E11EC2"/>
    <w:rsid w:val="00E12839"/>
    <w:rsid w:val="00E14336"/>
    <w:rsid w:val="00E15BA4"/>
    <w:rsid w:val="00E204D5"/>
    <w:rsid w:val="00E20837"/>
    <w:rsid w:val="00E20BA8"/>
    <w:rsid w:val="00E20E50"/>
    <w:rsid w:val="00E22927"/>
    <w:rsid w:val="00E242C6"/>
    <w:rsid w:val="00E25ACD"/>
    <w:rsid w:val="00E26723"/>
    <w:rsid w:val="00E26F01"/>
    <w:rsid w:val="00E27131"/>
    <w:rsid w:val="00E3075A"/>
    <w:rsid w:val="00E30A6C"/>
    <w:rsid w:val="00E31AE2"/>
    <w:rsid w:val="00E31F52"/>
    <w:rsid w:val="00E32123"/>
    <w:rsid w:val="00E321B2"/>
    <w:rsid w:val="00E328D3"/>
    <w:rsid w:val="00E32D46"/>
    <w:rsid w:val="00E33CF4"/>
    <w:rsid w:val="00E33CF5"/>
    <w:rsid w:val="00E34B0B"/>
    <w:rsid w:val="00E34C41"/>
    <w:rsid w:val="00E351D4"/>
    <w:rsid w:val="00E353A7"/>
    <w:rsid w:val="00E37591"/>
    <w:rsid w:val="00E379D0"/>
    <w:rsid w:val="00E4048A"/>
    <w:rsid w:val="00E40CF7"/>
    <w:rsid w:val="00E40EC6"/>
    <w:rsid w:val="00E41B79"/>
    <w:rsid w:val="00E42000"/>
    <w:rsid w:val="00E42046"/>
    <w:rsid w:val="00E421D1"/>
    <w:rsid w:val="00E427AD"/>
    <w:rsid w:val="00E44910"/>
    <w:rsid w:val="00E44973"/>
    <w:rsid w:val="00E44BBA"/>
    <w:rsid w:val="00E451BC"/>
    <w:rsid w:val="00E46961"/>
    <w:rsid w:val="00E47E25"/>
    <w:rsid w:val="00E514B4"/>
    <w:rsid w:val="00E53514"/>
    <w:rsid w:val="00E54AB8"/>
    <w:rsid w:val="00E54D0D"/>
    <w:rsid w:val="00E55613"/>
    <w:rsid w:val="00E5620F"/>
    <w:rsid w:val="00E563FD"/>
    <w:rsid w:val="00E5642C"/>
    <w:rsid w:val="00E5652D"/>
    <w:rsid w:val="00E57655"/>
    <w:rsid w:val="00E6257C"/>
    <w:rsid w:val="00E63FA4"/>
    <w:rsid w:val="00E64089"/>
    <w:rsid w:val="00E6492E"/>
    <w:rsid w:val="00E64968"/>
    <w:rsid w:val="00E650AD"/>
    <w:rsid w:val="00E65A8B"/>
    <w:rsid w:val="00E65B92"/>
    <w:rsid w:val="00E6600A"/>
    <w:rsid w:val="00E663EC"/>
    <w:rsid w:val="00E70133"/>
    <w:rsid w:val="00E70B48"/>
    <w:rsid w:val="00E721CA"/>
    <w:rsid w:val="00E73175"/>
    <w:rsid w:val="00E73D14"/>
    <w:rsid w:val="00E73EDE"/>
    <w:rsid w:val="00E740FD"/>
    <w:rsid w:val="00E744EF"/>
    <w:rsid w:val="00E74B34"/>
    <w:rsid w:val="00E75C50"/>
    <w:rsid w:val="00E80106"/>
    <w:rsid w:val="00E80F79"/>
    <w:rsid w:val="00E80FAD"/>
    <w:rsid w:val="00E81917"/>
    <w:rsid w:val="00E829D0"/>
    <w:rsid w:val="00E8305F"/>
    <w:rsid w:val="00E83393"/>
    <w:rsid w:val="00E83B84"/>
    <w:rsid w:val="00E83C12"/>
    <w:rsid w:val="00E83F06"/>
    <w:rsid w:val="00E84B72"/>
    <w:rsid w:val="00E8503E"/>
    <w:rsid w:val="00E853B8"/>
    <w:rsid w:val="00E85885"/>
    <w:rsid w:val="00E87167"/>
    <w:rsid w:val="00E8727C"/>
    <w:rsid w:val="00E87893"/>
    <w:rsid w:val="00E87DF9"/>
    <w:rsid w:val="00E9007A"/>
    <w:rsid w:val="00E90AAB"/>
    <w:rsid w:val="00E91245"/>
    <w:rsid w:val="00E94638"/>
    <w:rsid w:val="00E95AE7"/>
    <w:rsid w:val="00EA0C11"/>
    <w:rsid w:val="00EA101E"/>
    <w:rsid w:val="00EA113F"/>
    <w:rsid w:val="00EA1266"/>
    <w:rsid w:val="00EA17EA"/>
    <w:rsid w:val="00EA4369"/>
    <w:rsid w:val="00EA47A3"/>
    <w:rsid w:val="00EA5E6F"/>
    <w:rsid w:val="00EA74D2"/>
    <w:rsid w:val="00EA79A5"/>
    <w:rsid w:val="00EA7B21"/>
    <w:rsid w:val="00EB1371"/>
    <w:rsid w:val="00EB13AA"/>
    <w:rsid w:val="00EB2DED"/>
    <w:rsid w:val="00EB364E"/>
    <w:rsid w:val="00EB3E8D"/>
    <w:rsid w:val="00EB7A44"/>
    <w:rsid w:val="00EC0362"/>
    <w:rsid w:val="00EC04EE"/>
    <w:rsid w:val="00EC0955"/>
    <w:rsid w:val="00EC1AF8"/>
    <w:rsid w:val="00EC1EC9"/>
    <w:rsid w:val="00EC2318"/>
    <w:rsid w:val="00EC23CB"/>
    <w:rsid w:val="00EC24FB"/>
    <w:rsid w:val="00EC3684"/>
    <w:rsid w:val="00EC3A18"/>
    <w:rsid w:val="00EC3A8B"/>
    <w:rsid w:val="00EC6EFD"/>
    <w:rsid w:val="00EC73BE"/>
    <w:rsid w:val="00EC7C92"/>
    <w:rsid w:val="00EC7E57"/>
    <w:rsid w:val="00ED00E5"/>
    <w:rsid w:val="00ED153A"/>
    <w:rsid w:val="00ED2AE4"/>
    <w:rsid w:val="00ED3953"/>
    <w:rsid w:val="00ED3F76"/>
    <w:rsid w:val="00ED3FA9"/>
    <w:rsid w:val="00ED47AA"/>
    <w:rsid w:val="00ED4E03"/>
    <w:rsid w:val="00ED5C2B"/>
    <w:rsid w:val="00ED6168"/>
    <w:rsid w:val="00EE0025"/>
    <w:rsid w:val="00EE12D9"/>
    <w:rsid w:val="00EE1BE3"/>
    <w:rsid w:val="00EE3435"/>
    <w:rsid w:val="00EE3CBD"/>
    <w:rsid w:val="00EE411D"/>
    <w:rsid w:val="00EE455B"/>
    <w:rsid w:val="00EE4EF6"/>
    <w:rsid w:val="00EE5AC2"/>
    <w:rsid w:val="00EE5D09"/>
    <w:rsid w:val="00EE5E0C"/>
    <w:rsid w:val="00EE67BC"/>
    <w:rsid w:val="00EE6905"/>
    <w:rsid w:val="00EE7440"/>
    <w:rsid w:val="00EF0327"/>
    <w:rsid w:val="00EF0DAF"/>
    <w:rsid w:val="00EF31C1"/>
    <w:rsid w:val="00EF6197"/>
    <w:rsid w:val="00EF6362"/>
    <w:rsid w:val="00EF73F6"/>
    <w:rsid w:val="00EF7BED"/>
    <w:rsid w:val="00F0004F"/>
    <w:rsid w:val="00F001F7"/>
    <w:rsid w:val="00F007C6"/>
    <w:rsid w:val="00F00C8B"/>
    <w:rsid w:val="00F00F5C"/>
    <w:rsid w:val="00F00F7B"/>
    <w:rsid w:val="00F01574"/>
    <w:rsid w:val="00F02E54"/>
    <w:rsid w:val="00F03A47"/>
    <w:rsid w:val="00F03A5B"/>
    <w:rsid w:val="00F0402F"/>
    <w:rsid w:val="00F04F2C"/>
    <w:rsid w:val="00F0539A"/>
    <w:rsid w:val="00F076D1"/>
    <w:rsid w:val="00F10B94"/>
    <w:rsid w:val="00F11BAB"/>
    <w:rsid w:val="00F13C02"/>
    <w:rsid w:val="00F144EF"/>
    <w:rsid w:val="00F1482F"/>
    <w:rsid w:val="00F148F3"/>
    <w:rsid w:val="00F1515C"/>
    <w:rsid w:val="00F160D2"/>
    <w:rsid w:val="00F1695B"/>
    <w:rsid w:val="00F20581"/>
    <w:rsid w:val="00F205F7"/>
    <w:rsid w:val="00F208DF"/>
    <w:rsid w:val="00F21AD0"/>
    <w:rsid w:val="00F22F4F"/>
    <w:rsid w:val="00F2383E"/>
    <w:rsid w:val="00F244AF"/>
    <w:rsid w:val="00F24668"/>
    <w:rsid w:val="00F257E3"/>
    <w:rsid w:val="00F2609D"/>
    <w:rsid w:val="00F26281"/>
    <w:rsid w:val="00F2636B"/>
    <w:rsid w:val="00F275CA"/>
    <w:rsid w:val="00F27E03"/>
    <w:rsid w:val="00F27E45"/>
    <w:rsid w:val="00F306AA"/>
    <w:rsid w:val="00F30908"/>
    <w:rsid w:val="00F30BE1"/>
    <w:rsid w:val="00F30EB7"/>
    <w:rsid w:val="00F3156B"/>
    <w:rsid w:val="00F31EA6"/>
    <w:rsid w:val="00F3257E"/>
    <w:rsid w:val="00F3263A"/>
    <w:rsid w:val="00F32BFB"/>
    <w:rsid w:val="00F32DFD"/>
    <w:rsid w:val="00F33907"/>
    <w:rsid w:val="00F33B50"/>
    <w:rsid w:val="00F35510"/>
    <w:rsid w:val="00F36092"/>
    <w:rsid w:val="00F36CA2"/>
    <w:rsid w:val="00F40093"/>
    <w:rsid w:val="00F4446C"/>
    <w:rsid w:val="00F44905"/>
    <w:rsid w:val="00F46439"/>
    <w:rsid w:val="00F478BF"/>
    <w:rsid w:val="00F47951"/>
    <w:rsid w:val="00F47ED1"/>
    <w:rsid w:val="00F50009"/>
    <w:rsid w:val="00F5011C"/>
    <w:rsid w:val="00F50DDE"/>
    <w:rsid w:val="00F512A5"/>
    <w:rsid w:val="00F51C22"/>
    <w:rsid w:val="00F521D2"/>
    <w:rsid w:val="00F53039"/>
    <w:rsid w:val="00F54925"/>
    <w:rsid w:val="00F55892"/>
    <w:rsid w:val="00F55A58"/>
    <w:rsid w:val="00F55DEB"/>
    <w:rsid w:val="00F55E26"/>
    <w:rsid w:val="00F56CA7"/>
    <w:rsid w:val="00F57496"/>
    <w:rsid w:val="00F577BD"/>
    <w:rsid w:val="00F60A27"/>
    <w:rsid w:val="00F613D2"/>
    <w:rsid w:val="00F62491"/>
    <w:rsid w:val="00F636E7"/>
    <w:rsid w:val="00F6380D"/>
    <w:rsid w:val="00F6456F"/>
    <w:rsid w:val="00F648D7"/>
    <w:rsid w:val="00F66E29"/>
    <w:rsid w:val="00F70F20"/>
    <w:rsid w:val="00F71723"/>
    <w:rsid w:val="00F71970"/>
    <w:rsid w:val="00F720E6"/>
    <w:rsid w:val="00F7232B"/>
    <w:rsid w:val="00F726CB"/>
    <w:rsid w:val="00F75492"/>
    <w:rsid w:val="00F76E05"/>
    <w:rsid w:val="00F8073F"/>
    <w:rsid w:val="00F807C3"/>
    <w:rsid w:val="00F81F53"/>
    <w:rsid w:val="00F8227C"/>
    <w:rsid w:val="00F84671"/>
    <w:rsid w:val="00F85E4D"/>
    <w:rsid w:val="00F86060"/>
    <w:rsid w:val="00F86854"/>
    <w:rsid w:val="00F90B77"/>
    <w:rsid w:val="00F9194A"/>
    <w:rsid w:val="00F92018"/>
    <w:rsid w:val="00F920E8"/>
    <w:rsid w:val="00F9253D"/>
    <w:rsid w:val="00F9342F"/>
    <w:rsid w:val="00F93449"/>
    <w:rsid w:val="00F9547E"/>
    <w:rsid w:val="00F95E8C"/>
    <w:rsid w:val="00F962A6"/>
    <w:rsid w:val="00F9699D"/>
    <w:rsid w:val="00F97CC7"/>
    <w:rsid w:val="00F97DBB"/>
    <w:rsid w:val="00FA0EBA"/>
    <w:rsid w:val="00FA1257"/>
    <w:rsid w:val="00FA3ACA"/>
    <w:rsid w:val="00FA447B"/>
    <w:rsid w:val="00FA4B33"/>
    <w:rsid w:val="00FA5C06"/>
    <w:rsid w:val="00FA6949"/>
    <w:rsid w:val="00FA6BD6"/>
    <w:rsid w:val="00FA7ACE"/>
    <w:rsid w:val="00FA7F29"/>
    <w:rsid w:val="00FB087C"/>
    <w:rsid w:val="00FB0AB9"/>
    <w:rsid w:val="00FB18AF"/>
    <w:rsid w:val="00FB19D2"/>
    <w:rsid w:val="00FB2220"/>
    <w:rsid w:val="00FB2AB1"/>
    <w:rsid w:val="00FB2E02"/>
    <w:rsid w:val="00FB2FA4"/>
    <w:rsid w:val="00FB3348"/>
    <w:rsid w:val="00FB3466"/>
    <w:rsid w:val="00FB4C09"/>
    <w:rsid w:val="00FB6BC2"/>
    <w:rsid w:val="00FC0E70"/>
    <w:rsid w:val="00FC1DDF"/>
    <w:rsid w:val="00FC351E"/>
    <w:rsid w:val="00FC3981"/>
    <w:rsid w:val="00FC3A9E"/>
    <w:rsid w:val="00FC54D1"/>
    <w:rsid w:val="00FC70B5"/>
    <w:rsid w:val="00FD025A"/>
    <w:rsid w:val="00FD0316"/>
    <w:rsid w:val="00FD21A2"/>
    <w:rsid w:val="00FD28A7"/>
    <w:rsid w:val="00FD3AE5"/>
    <w:rsid w:val="00FD3B33"/>
    <w:rsid w:val="00FD3C63"/>
    <w:rsid w:val="00FD3DA4"/>
    <w:rsid w:val="00FD3F89"/>
    <w:rsid w:val="00FD6051"/>
    <w:rsid w:val="00FD6724"/>
    <w:rsid w:val="00FD680C"/>
    <w:rsid w:val="00FD6FB3"/>
    <w:rsid w:val="00FD73C7"/>
    <w:rsid w:val="00FD788C"/>
    <w:rsid w:val="00FE07C8"/>
    <w:rsid w:val="00FE0C3D"/>
    <w:rsid w:val="00FE1489"/>
    <w:rsid w:val="00FE15BE"/>
    <w:rsid w:val="00FE1BF0"/>
    <w:rsid w:val="00FE3706"/>
    <w:rsid w:val="00FE56DF"/>
    <w:rsid w:val="00FF0B04"/>
    <w:rsid w:val="00FF2B30"/>
    <w:rsid w:val="00FF2C87"/>
    <w:rsid w:val="00FF2F3D"/>
    <w:rsid w:val="00FF498C"/>
    <w:rsid w:val="00FF7387"/>
    <w:rsid w:val="00FF7528"/>
    <w:rsid w:val="00FF7F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727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link w:val="Sub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firstLine="1440"/>
    </w:pPr>
  </w:style>
  <w:style w:type="paragraph" w:styleId="BodyText2">
    <w:name w:val="Body Text 2"/>
    <w:basedOn w:val="Normal"/>
    <w:rPr>
      <w:b/>
      <w:bCs/>
    </w:r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rPr>
  </w:style>
  <w:style w:type="paragraph" w:customStyle="1" w:styleId="wfxRecipient">
    <w:name w:val="wfxRecipient"/>
    <w:basedOn w:val="Normal"/>
    <w:rsid w:val="003A68D1"/>
    <w:pPr>
      <w:overflowPunct w:val="0"/>
      <w:autoSpaceDE w:val="0"/>
      <w:autoSpaceDN w:val="0"/>
      <w:adjustRightInd w:val="0"/>
      <w:textAlignment w:val="baseline"/>
    </w:pPr>
    <w:rPr>
      <w:rFonts w:ascii="Univers" w:hAnsi="Univers" w:cs="Univers"/>
      <w:szCs w:val="24"/>
    </w:rPr>
  </w:style>
  <w:style w:type="character" w:styleId="FollowedHyperlink">
    <w:name w:val="FollowedHyperlink"/>
    <w:basedOn w:val="DefaultParagraphFont"/>
    <w:rsid w:val="008A0870"/>
    <w:rPr>
      <w:color w:val="800080"/>
      <w:u w:val="single"/>
    </w:rPr>
  </w:style>
  <w:style w:type="paragraph" w:customStyle="1" w:styleId="StyleBottomSinglesolidlineAuto15ptLinewidthFromte">
    <w:name w:val="Style Bottom: (Single solid line Auto  1.5 pt Line width From te..."/>
    <w:basedOn w:val="Normal"/>
    <w:next w:val="Normal"/>
    <w:rsid w:val="00E242C6"/>
    <w:pPr>
      <w:pBdr>
        <w:bottom w:val="single" w:sz="12" w:space="14" w:color="auto"/>
      </w:pBdr>
      <w:spacing w:line="480" w:lineRule="auto"/>
    </w:pPr>
  </w:style>
  <w:style w:type="table" w:styleId="TableGrid">
    <w:name w:val="Table Grid"/>
    <w:basedOn w:val="TableNormal"/>
    <w:rsid w:val="00F55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F33E9"/>
    <w:rPr>
      <w:rFonts w:ascii="Tahoma" w:hAnsi="Tahoma" w:cs="Tahoma"/>
      <w:sz w:val="16"/>
      <w:szCs w:val="16"/>
    </w:rPr>
  </w:style>
  <w:style w:type="paragraph" w:styleId="ListParagraph">
    <w:name w:val="List Paragraph"/>
    <w:basedOn w:val="Normal"/>
    <w:uiPriority w:val="34"/>
    <w:qFormat/>
    <w:rsid w:val="00AF1736"/>
    <w:pPr>
      <w:ind w:left="720"/>
      <w:contextualSpacing/>
    </w:pPr>
  </w:style>
  <w:style w:type="character" w:customStyle="1" w:styleId="TitleChar">
    <w:name w:val="Title Char"/>
    <w:basedOn w:val="DefaultParagraphFont"/>
    <w:link w:val="Title"/>
    <w:rsid w:val="00A05C58"/>
    <w:rPr>
      <w:b/>
      <w:bCs/>
      <w:sz w:val="24"/>
    </w:rPr>
  </w:style>
  <w:style w:type="character" w:customStyle="1" w:styleId="SubtitleChar">
    <w:name w:val="Subtitle Char"/>
    <w:basedOn w:val="DefaultParagraphFont"/>
    <w:link w:val="Subtitle"/>
    <w:rsid w:val="00A05C58"/>
    <w:rPr>
      <w:b/>
      <w:bCs/>
      <w:sz w:val="24"/>
    </w:rPr>
  </w:style>
  <w:style w:type="paragraph" w:styleId="NormalWeb">
    <w:name w:val="Normal (Web)"/>
    <w:basedOn w:val="Normal"/>
    <w:uiPriority w:val="99"/>
    <w:semiHidden/>
    <w:unhideWhenUsed/>
    <w:rsid w:val="00103F08"/>
    <w:rPr>
      <w:szCs w:val="24"/>
    </w:rPr>
  </w:style>
  <w:style w:type="paragraph" w:styleId="FootnoteText">
    <w:name w:val="footnote text"/>
    <w:basedOn w:val="Normal"/>
    <w:link w:val="FootnoteTextChar"/>
    <w:uiPriority w:val="99"/>
    <w:unhideWhenUsed/>
    <w:rsid w:val="00B84807"/>
    <w:rPr>
      <w:szCs w:val="24"/>
    </w:rPr>
  </w:style>
  <w:style w:type="character" w:customStyle="1" w:styleId="FootnoteTextChar">
    <w:name w:val="Footnote Text Char"/>
    <w:basedOn w:val="DefaultParagraphFont"/>
    <w:link w:val="FootnoteText"/>
    <w:uiPriority w:val="99"/>
    <w:rsid w:val="00B84807"/>
    <w:rPr>
      <w:sz w:val="24"/>
      <w:szCs w:val="24"/>
    </w:rPr>
  </w:style>
  <w:style w:type="character" w:styleId="FootnoteReference">
    <w:name w:val="footnote reference"/>
    <w:basedOn w:val="DefaultParagraphFont"/>
    <w:uiPriority w:val="99"/>
    <w:unhideWhenUsed/>
    <w:rsid w:val="00B84807"/>
    <w:rPr>
      <w:vertAlign w:val="superscript"/>
    </w:rPr>
  </w:style>
  <w:style w:type="paragraph" w:styleId="CommentText">
    <w:name w:val="annotation text"/>
    <w:basedOn w:val="Normal"/>
    <w:link w:val="CommentTextChar"/>
    <w:uiPriority w:val="99"/>
    <w:semiHidden/>
    <w:unhideWhenUsed/>
    <w:rsid w:val="0026320C"/>
    <w:rPr>
      <w:szCs w:val="24"/>
    </w:rPr>
  </w:style>
  <w:style w:type="character" w:customStyle="1" w:styleId="CommentTextChar">
    <w:name w:val="Comment Text Char"/>
    <w:basedOn w:val="DefaultParagraphFont"/>
    <w:link w:val="CommentText"/>
    <w:uiPriority w:val="99"/>
    <w:semiHidden/>
    <w:rsid w:val="0026320C"/>
    <w:rPr>
      <w:sz w:val="24"/>
      <w:szCs w:val="24"/>
    </w:rPr>
  </w:style>
  <w:style w:type="paragraph" w:styleId="CommentSubject">
    <w:name w:val="annotation subject"/>
    <w:basedOn w:val="CommentText"/>
    <w:next w:val="CommentText"/>
    <w:link w:val="CommentSubjectChar"/>
    <w:uiPriority w:val="99"/>
    <w:semiHidden/>
    <w:unhideWhenUsed/>
    <w:rsid w:val="0026320C"/>
    <w:pPr>
      <w:widowControl w:val="0"/>
    </w:pPr>
    <w:rPr>
      <w:b/>
      <w:bCs/>
      <w:sz w:val="20"/>
      <w:szCs w:val="20"/>
    </w:rPr>
  </w:style>
  <w:style w:type="character" w:customStyle="1" w:styleId="CommentSubjectChar">
    <w:name w:val="Comment Subject Char"/>
    <w:basedOn w:val="CommentTextChar"/>
    <w:link w:val="CommentSubject"/>
    <w:uiPriority w:val="99"/>
    <w:semiHidden/>
    <w:rsid w:val="0026320C"/>
    <w:rPr>
      <w:b/>
      <w:bCs/>
      <w:sz w:val="24"/>
      <w:szCs w:val="24"/>
    </w:rPr>
  </w:style>
  <w:style w:type="character" w:styleId="CommentReference">
    <w:name w:val="annotation reference"/>
    <w:basedOn w:val="DefaultParagraphFont"/>
    <w:uiPriority w:val="99"/>
    <w:semiHidden/>
    <w:unhideWhenUsed/>
    <w:rsid w:val="004E0500"/>
    <w:rPr>
      <w:sz w:val="18"/>
      <w:szCs w:val="18"/>
    </w:rPr>
  </w:style>
  <w:style w:type="paragraph" w:styleId="DocumentMap">
    <w:name w:val="Document Map"/>
    <w:basedOn w:val="Normal"/>
    <w:link w:val="DocumentMapChar"/>
    <w:uiPriority w:val="99"/>
    <w:semiHidden/>
    <w:unhideWhenUsed/>
    <w:rsid w:val="000C4BB9"/>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C4BB9"/>
    <w:rPr>
      <w:rFonts w:ascii="Lucida Grande" w:hAnsi="Lucida Grande" w:cs="Lucida Grande"/>
      <w:sz w:val="24"/>
      <w:szCs w:val="24"/>
    </w:rPr>
  </w:style>
  <w:style w:type="paragraph" w:styleId="Revision">
    <w:name w:val="Revision"/>
    <w:hidden/>
    <w:uiPriority w:val="99"/>
    <w:semiHidden/>
    <w:rsid w:val="00FA7ACE"/>
    <w:rPr>
      <w:sz w:val="24"/>
    </w:rPr>
  </w:style>
  <w:style w:type="character" w:customStyle="1" w:styleId="cohl">
    <w:name w:val="co_hl"/>
    <w:basedOn w:val="DefaultParagraphFont"/>
    <w:rsid w:val="00AD74C7"/>
  </w:style>
  <w:style w:type="character" w:customStyle="1" w:styleId="HeaderChar">
    <w:name w:val="Header Char"/>
    <w:basedOn w:val="DefaultParagraphFont"/>
    <w:link w:val="Header"/>
    <w:rsid w:val="00AF69C8"/>
    <w:rPr>
      <w:sz w:val="24"/>
    </w:rPr>
  </w:style>
  <w:style w:type="paragraph" w:customStyle="1" w:styleId="p1">
    <w:name w:val="p1"/>
    <w:basedOn w:val="Normal"/>
    <w:rsid w:val="00062FB1"/>
    <w:rPr>
      <w:rFonts w:ascii="Times" w:hAnsi="Times"/>
      <w:sz w:val="15"/>
      <w:szCs w:val="15"/>
      <w:lang w:eastAsia="ja-JP"/>
    </w:rPr>
  </w:style>
  <w:style w:type="paragraph" w:customStyle="1" w:styleId="p2">
    <w:name w:val="p2"/>
    <w:basedOn w:val="Normal"/>
    <w:rsid w:val="00062FB1"/>
    <w:rPr>
      <w:rFonts w:ascii="Times" w:hAnsi="Times"/>
      <w:sz w:val="14"/>
      <w:szCs w:val="14"/>
      <w:lang w:eastAsia="ja-JP"/>
    </w:rPr>
  </w:style>
  <w:style w:type="character" w:customStyle="1" w:styleId="apple-converted-space">
    <w:name w:val="apple-converted-space"/>
    <w:basedOn w:val="DefaultParagraphFont"/>
    <w:rsid w:val="00062FB1"/>
  </w:style>
  <w:style w:type="paragraph" w:styleId="NoSpacing">
    <w:name w:val="No Spacing"/>
    <w:uiPriority w:val="1"/>
    <w:qFormat/>
    <w:rsid w:val="000E10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7089">
      <w:bodyDiv w:val="1"/>
      <w:marLeft w:val="0"/>
      <w:marRight w:val="0"/>
      <w:marTop w:val="0"/>
      <w:marBottom w:val="0"/>
      <w:divBdr>
        <w:top w:val="none" w:sz="0" w:space="0" w:color="auto"/>
        <w:left w:val="none" w:sz="0" w:space="0" w:color="auto"/>
        <w:bottom w:val="none" w:sz="0" w:space="0" w:color="auto"/>
        <w:right w:val="none" w:sz="0" w:space="0" w:color="auto"/>
      </w:divBdr>
      <w:divsChild>
        <w:div w:id="1787503085">
          <w:marLeft w:val="0"/>
          <w:marRight w:val="0"/>
          <w:marTop w:val="0"/>
          <w:marBottom w:val="0"/>
          <w:divBdr>
            <w:top w:val="none" w:sz="0" w:space="0" w:color="auto"/>
            <w:left w:val="none" w:sz="0" w:space="0" w:color="auto"/>
            <w:bottom w:val="none" w:sz="0" w:space="0" w:color="auto"/>
            <w:right w:val="none" w:sz="0" w:space="0" w:color="auto"/>
          </w:divBdr>
          <w:divsChild>
            <w:div w:id="246303827">
              <w:marLeft w:val="0"/>
              <w:marRight w:val="0"/>
              <w:marTop w:val="0"/>
              <w:marBottom w:val="0"/>
              <w:divBdr>
                <w:top w:val="none" w:sz="0" w:space="0" w:color="auto"/>
                <w:left w:val="none" w:sz="0" w:space="0" w:color="auto"/>
                <w:bottom w:val="none" w:sz="0" w:space="0" w:color="auto"/>
                <w:right w:val="none" w:sz="0" w:space="0" w:color="auto"/>
              </w:divBdr>
              <w:divsChild>
                <w:div w:id="154690968">
                  <w:marLeft w:val="0"/>
                  <w:marRight w:val="0"/>
                  <w:marTop w:val="0"/>
                  <w:marBottom w:val="0"/>
                  <w:divBdr>
                    <w:top w:val="none" w:sz="0" w:space="0" w:color="auto"/>
                    <w:left w:val="none" w:sz="0" w:space="0" w:color="auto"/>
                    <w:bottom w:val="none" w:sz="0" w:space="0" w:color="auto"/>
                    <w:right w:val="none" w:sz="0" w:space="0" w:color="auto"/>
                  </w:divBdr>
                </w:div>
              </w:divsChild>
            </w:div>
            <w:div w:id="437795214">
              <w:marLeft w:val="0"/>
              <w:marRight w:val="0"/>
              <w:marTop w:val="0"/>
              <w:marBottom w:val="0"/>
              <w:divBdr>
                <w:top w:val="none" w:sz="0" w:space="0" w:color="auto"/>
                <w:left w:val="none" w:sz="0" w:space="0" w:color="auto"/>
                <w:bottom w:val="none" w:sz="0" w:space="0" w:color="auto"/>
                <w:right w:val="none" w:sz="0" w:space="0" w:color="auto"/>
              </w:divBdr>
              <w:divsChild>
                <w:div w:id="686441874">
                  <w:marLeft w:val="0"/>
                  <w:marRight w:val="0"/>
                  <w:marTop w:val="0"/>
                  <w:marBottom w:val="0"/>
                  <w:divBdr>
                    <w:top w:val="none" w:sz="0" w:space="0" w:color="auto"/>
                    <w:left w:val="none" w:sz="0" w:space="0" w:color="auto"/>
                    <w:bottom w:val="none" w:sz="0" w:space="0" w:color="auto"/>
                    <w:right w:val="none" w:sz="0" w:space="0" w:color="auto"/>
                  </w:divBdr>
                </w:div>
              </w:divsChild>
            </w:div>
            <w:div w:id="1087192842">
              <w:marLeft w:val="0"/>
              <w:marRight w:val="0"/>
              <w:marTop w:val="0"/>
              <w:marBottom w:val="0"/>
              <w:divBdr>
                <w:top w:val="none" w:sz="0" w:space="0" w:color="auto"/>
                <w:left w:val="none" w:sz="0" w:space="0" w:color="auto"/>
                <w:bottom w:val="none" w:sz="0" w:space="0" w:color="auto"/>
                <w:right w:val="none" w:sz="0" w:space="0" w:color="auto"/>
              </w:divBdr>
              <w:divsChild>
                <w:div w:id="4829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1747">
      <w:bodyDiv w:val="1"/>
      <w:marLeft w:val="0"/>
      <w:marRight w:val="0"/>
      <w:marTop w:val="0"/>
      <w:marBottom w:val="0"/>
      <w:divBdr>
        <w:top w:val="none" w:sz="0" w:space="0" w:color="auto"/>
        <w:left w:val="none" w:sz="0" w:space="0" w:color="auto"/>
        <w:bottom w:val="none" w:sz="0" w:space="0" w:color="auto"/>
        <w:right w:val="none" w:sz="0" w:space="0" w:color="auto"/>
      </w:divBdr>
      <w:divsChild>
        <w:div w:id="751271811">
          <w:marLeft w:val="0"/>
          <w:marRight w:val="0"/>
          <w:marTop w:val="0"/>
          <w:marBottom w:val="0"/>
          <w:divBdr>
            <w:top w:val="none" w:sz="0" w:space="0" w:color="auto"/>
            <w:left w:val="none" w:sz="0" w:space="0" w:color="auto"/>
            <w:bottom w:val="none" w:sz="0" w:space="0" w:color="auto"/>
            <w:right w:val="none" w:sz="0" w:space="0" w:color="auto"/>
          </w:divBdr>
          <w:divsChild>
            <w:div w:id="1220478264">
              <w:marLeft w:val="0"/>
              <w:marRight w:val="0"/>
              <w:marTop w:val="0"/>
              <w:marBottom w:val="0"/>
              <w:divBdr>
                <w:top w:val="none" w:sz="0" w:space="0" w:color="auto"/>
                <w:left w:val="none" w:sz="0" w:space="0" w:color="auto"/>
                <w:bottom w:val="none" w:sz="0" w:space="0" w:color="auto"/>
                <w:right w:val="none" w:sz="0" w:space="0" w:color="auto"/>
              </w:divBdr>
              <w:divsChild>
                <w:div w:id="20176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3155">
      <w:bodyDiv w:val="1"/>
      <w:marLeft w:val="0"/>
      <w:marRight w:val="0"/>
      <w:marTop w:val="0"/>
      <w:marBottom w:val="0"/>
      <w:divBdr>
        <w:top w:val="none" w:sz="0" w:space="0" w:color="auto"/>
        <w:left w:val="none" w:sz="0" w:space="0" w:color="auto"/>
        <w:bottom w:val="none" w:sz="0" w:space="0" w:color="auto"/>
        <w:right w:val="none" w:sz="0" w:space="0" w:color="auto"/>
      </w:divBdr>
      <w:divsChild>
        <w:div w:id="1301417083">
          <w:marLeft w:val="0"/>
          <w:marRight w:val="0"/>
          <w:marTop w:val="0"/>
          <w:marBottom w:val="0"/>
          <w:divBdr>
            <w:top w:val="none" w:sz="0" w:space="0" w:color="auto"/>
            <w:left w:val="none" w:sz="0" w:space="0" w:color="auto"/>
            <w:bottom w:val="none" w:sz="0" w:space="0" w:color="auto"/>
            <w:right w:val="none" w:sz="0" w:space="0" w:color="auto"/>
          </w:divBdr>
        </w:div>
        <w:div w:id="1152872159">
          <w:marLeft w:val="0"/>
          <w:marRight w:val="0"/>
          <w:marTop w:val="0"/>
          <w:marBottom w:val="0"/>
          <w:divBdr>
            <w:top w:val="none" w:sz="0" w:space="0" w:color="auto"/>
            <w:left w:val="none" w:sz="0" w:space="0" w:color="auto"/>
            <w:bottom w:val="none" w:sz="0" w:space="0" w:color="auto"/>
            <w:right w:val="none" w:sz="0" w:space="0" w:color="auto"/>
          </w:divBdr>
        </w:div>
      </w:divsChild>
    </w:div>
    <w:div w:id="209153505">
      <w:bodyDiv w:val="1"/>
      <w:marLeft w:val="0"/>
      <w:marRight w:val="0"/>
      <w:marTop w:val="0"/>
      <w:marBottom w:val="0"/>
      <w:divBdr>
        <w:top w:val="none" w:sz="0" w:space="0" w:color="auto"/>
        <w:left w:val="none" w:sz="0" w:space="0" w:color="auto"/>
        <w:bottom w:val="none" w:sz="0" w:space="0" w:color="auto"/>
        <w:right w:val="none" w:sz="0" w:space="0" w:color="auto"/>
      </w:divBdr>
    </w:div>
    <w:div w:id="254021979">
      <w:bodyDiv w:val="1"/>
      <w:marLeft w:val="0"/>
      <w:marRight w:val="0"/>
      <w:marTop w:val="0"/>
      <w:marBottom w:val="0"/>
      <w:divBdr>
        <w:top w:val="none" w:sz="0" w:space="0" w:color="auto"/>
        <w:left w:val="none" w:sz="0" w:space="0" w:color="auto"/>
        <w:bottom w:val="none" w:sz="0" w:space="0" w:color="auto"/>
        <w:right w:val="none" w:sz="0" w:space="0" w:color="auto"/>
      </w:divBdr>
    </w:div>
    <w:div w:id="262346070">
      <w:bodyDiv w:val="1"/>
      <w:marLeft w:val="0"/>
      <w:marRight w:val="0"/>
      <w:marTop w:val="0"/>
      <w:marBottom w:val="0"/>
      <w:divBdr>
        <w:top w:val="none" w:sz="0" w:space="0" w:color="auto"/>
        <w:left w:val="none" w:sz="0" w:space="0" w:color="auto"/>
        <w:bottom w:val="none" w:sz="0" w:space="0" w:color="auto"/>
        <w:right w:val="none" w:sz="0" w:space="0" w:color="auto"/>
      </w:divBdr>
      <w:divsChild>
        <w:div w:id="518277896">
          <w:marLeft w:val="0"/>
          <w:marRight w:val="0"/>
          <w:marTop w:val="0"/>
          <w:marBottom w:val="0"/>
          <w:divBdr>
            <w:top w:val="none" w:sz="0" w:space="0" w:color="auto"/>
            <w:left w:val="none" w:sz="0" w:space="0" w:color="auto"/>
            <w:bottom w:val="none" w:sz="0" w:space="0" w:color="auto"/>
            <w:right w:val="none" w:sz="0" w:space="0" w:color="auto"/>
          </w:divBdr>
          <w:divsChild>
            <w:div w:id="824660942">
              <w:marLeft w:val="0"/>
              <w:marRight w:val="0"/>
              <w:marTop w:val="0"/>
              <w:marBottom w:val="0"/>
              <w:divBdr>
                <w:top w:val="none" w:sz="0" w:space="0" w:color="auto"/>
                <w:left w:val="none" w:sz="0" w:space="0" w:color="auto"/>
                <w:bottom w:val="none" w:sz="0" w:space="0" w:color="auto"/>
                <w:right w:val="none" w:sz="0" w:space="0" w:color="auto"/>
              </w:divBdr>
              <w:divsChild>
                <w:div w:id="15198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9647">
      <w:bodyDiv w:val="1"/>
      <w:marLeft w:val="0"/>
      <w:marRight w:val="0"/>
      <w:marTop w:val="0"/>
      <w:marBottom w:val="0"/>
      <w:divBdr>
        <w:top w:val="none" w:sz="0" w:space="0" w:color="auto"/>
        <w:left w:val="none" w:sz="0" w:space="0" w:color="auto"/>
        <w:bottom w:val="none" w:sz="0" w:space="0" w:color="auto"/>
        <w:right w:val="none" w:sz="0" w:space="0" w:color="auto"/>
      </w:divBdr>
      <w:divsChild>
        <w:div w:id="1667854925">
          <w:marLeft w:val="0"/>
          <w:marRight w:val="0"/>
          <w:marTop w:val="0"/>
          <w:marBottom w:val="0"/>
          <w:divBdr>
            <w:top w:val="none" w:sz="0" w:space="0" w:color="auto"/>
            <w:left w:val="none" w:sz="0" w:space="0" w:color="auto"/>
            <w:bottom w:val="none" w:sz="0" w:space="0" w:color="auto"/>
            <w:right w:val="none" w:sz="0" w:space="0" w:color="auto"/>
          </w:divBdr>
        </w:div>
        <w:div w:id="263731611">
          <w:marLeft w:val="0"/>
          <w:marRight w:val="0"/>
          <w:marTop w:val="0"/>
          <w:marBottom w:val="0"/>
          <w:divBdr>
            <w:top w:val="none" w:sz="0" w:space="0" w:color="auto"/>
            <w:left w:val="none" w:sz="0" w:space="0" w:color="auto"/>
            <w:bottom w:val="none" w:sz="0" w:space="0" w:color="auto"/>
            <w:right w:val="none" w:sz="0" w:space="0" w:color="auto"/>
          </w:divBdr>
        </w:div>
      </w:divsChild>
    </w:div>
    <w:div w:id="272832866">
      <w:bodyDiv w:val="1"/>
      <w:marLeft w:val="0"/>
      <w:marRight w:val="0"/>
      <w:marTop w:val="0"/>
      <w:marBottom w:val="0"/>
      <w:divBdr>
        <w:top w:val="none" w:sz="0" w:space="0" w:color="auto"/>
        <w:left w:val="none" w:sz="0" w:space="0" w:color="auto"/>
        <w:bottom w:val="none" w:sz="0" w:space="0" w:color="auto"/>
        <w:right w:val="none" w:sz="0" w:space="0" w:color="auto"/>
      </w:divBdr>
      <w:divsChild>
        <w:div w:id="1171599901">
          <w:marLeft w:val="0"/>
          <w:marRight w:val="0"/>
          <w:marTop w:val="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8120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049">
      <w:bodyDiv w:val="1"/>
      <w:marLeft w:val="0"/>
      <w:marRight w:val="0"/>
      <w:marTop w:val="0"/>
      <w:marBottom w:val="0"/>
      <w:divBdr>
        <w:top w:val="none" w:sz="0" w:space="0" w:color="auto"/>
        <w:left w:val="none" w:sz="0" w:space="0" w:color="auto"/>
        <w:bottom w:val="none" w:sz="0" w:space="0" w:color="auto"/>
        <w:right w:val="none" w:sz="0" w:space="0" w:color="auto"/>
      </w:divBdr>
    </w:div>
    <w:div w:id="362559105">
      <w:bodyDiv w:val="1"/>
      <w:marLeft w:val="0"/>
      <w:marRight w:val="0"/>
      <w:marTop w:val="0"/>
      <w:marBottom w:val="0"/>
      <w:divBdr>
        <w:top w:val="none" w:sz="0" w:space="0" w:color="auto"/>
        <w:left w:val="none" w:sz="0" w:space="0" w:color="auto"/>
        <w:bottom w:val="none" w:sz="0" w:space="0" w:color="auto"/>
        <w:right w:val="none" w:sz="0" w:space="0" w:color="auto"/>
      </w:divBdr>
      <w:divsChild>
        <w:div w:id="894583762">
          <w:marLeft w:val="0"/>
          <w:marRight w:val="0"/>
          <w:marTop w:val="0"/>
          <w:marBottom w:val="0"/>
          <w:divBdr>
            <w:top w:val="none" w:sz="0" w:space="0" w:color="auto"/>
            <w:left w:val="none" w:sz="0" w:space="0" w:color="auto"/>
            <w:bottom w:val="none" w:sz="0" w:space="0" w:color="auto"/>
            <w:right w:val="none" w:sz="0" w:space="0" w:color="auto"/>
          </w:divBdr>
        </w:div>
        <w:div w:id="1754624702">
          <w:marLeft w:val="0"/>
          <w:marRight w:val="0"/>
          <w:marTop w:val="0"/>
          <w:marBottom w:val="0"/>
          <w:divBdr>
            <w:top w:val="none" w:sz="0" w:space="0" w:color="auto"/>
            <w:left w:val="none" w:sz="0" w:space="0" w:color="auto"/>
            <w:bottom w:val="none" w:sz="0" w:space="0" w:color="auto"/>
            <w:right w:val="none" w:sz="0" w:space="0" w:color="auto"/>
          </w:divBdr>
        </w:div>
        <w:div w:id="373703541">
          <w:marLeft w:val="0"/>
          <w:marRight w:val="0"/>
          <w:marTop w:val="0"/>
          <w:marBottom w:val="0"/>
          <w:divBdr>
            <w:top w:val="none" w:sz="0" w:space="0" w:color="auto"/>
            <w:left w:val="none" w:sz="0" w:space="0" w:color="auto"/>
            <w:bottom w:val="none" w:sz="0" w:space="0" w:color="auto"/>
            <w:right w:val="none" w:sz="0" w:space="0" w:color="auto"/>
          </w:divBdr>
        </w:div>
        <w:div w:id="1926526022">
          <w:marLeft w:val="0"/>
          <w:marRight w:val="0"/>
          <w:marTop w:val="0"/>
          <w:marBottom w:val="0"/>
          <w:divBdr>
            <w:top w:val="none" w:sz="0" w:space="0" w:color="auto"/>
            <w:left w:val="none" w:sz="0" w:space="0" w:color="auto"/>
            <w:bottom w:val="none" w:sz="0" w:space="0" w:color="auto"/>
            <w:right w:val="none" w:sz="0" w:space="0" w:color="auto"/>
          </w:divBdr>
        </w:div>
        <w:div w:id="1405685385">
          <w:marLeft w:val="0"/>
          <w:marRight w:val="0"/>
          <w:marTop w:val="0"/>
          <w:marBottom w:val="0"/>
          <w:divBdr>
            <w:top w:val="none" w:sz="0" w:space="0" w:color="auto"/>
            <w:left w:val="none" w:sz="0" w:space="0" w:color="auto"/>
            <w:bottom w:val="none" w:sz="0" w:space="0" w:color="auto"/>
            <w:right w:val="none" w:sz="0" w:space="0" w:color="auto"/>
          </w:divBdr>
        </w:div>
        <w:div w:id="811411028">
          <w:marLeft w:val="0"/>
          <w:marRight w:val="0"/>
          <w:marTop w:val="0"/>
          <w:marBottom w:val="0"/>
          <w:divBdr>
            <w:top w:val="none" w:sz="0" w:space="0" w:color="auto"/>
            <w:left w:val="none" w:sz="0" w:space="0" w:color="auto"/>
            <w:bottom w:val="none" w:sz="0" w:space="0" w:color="auto"/>
            <w:right w:val="none" w:sz="0" w:space="0" w:color="auto"/>
          </w:divBdr>
        </w:div>
        <w:div w:id="31997266">
          <w:marLeft w:val="0"/>
          <w:marRight w:val="0"/>
          <w:marTop w:val="0"/>
          <w:marBottom w:val="0"/>
          <w:divBdr>
            <w:top w:val="none" w:sz="0" w:space="0" w:color="auto"/>
            <w:left w:val="none" w:sz="0" w:space="0" w:color="auto"/>
            <w:bottom w:val="none" w:sz="0" w:space="0" w:color="auto"/>
            <w:right w:val="none" w:sz="0" w:space="0" w:color="auto"/>
          </w:divBdr>
        </w:div>
        <w:div w:id="278681515">
          <w:marLeft w:val="0"/>
          <w:marRight w:val="0"/>
          <w:marTop w:val="0"/>
          <w:marBottom w:val="0"/>
          <w:divBdr>
            <w:top w:val="none" w:sz="0" w:space="0" w:color="auto"/>
            <w:left w:val="none" w:sz="0" w:space="0" w:color="auto"/>
            <w:bottom w:val="none" w:sz="0" w:space="0" w:color="auto"/>
            <w:right w:val="none" w:sz="0" w:space="0" w:color="auto"/>
          </w:divBdr>
        </w:div>
        <w:div w:id="1805809587">
          <w:marLeft w:val="0"/>
          <w:marRight w:val="0"/>
          <w:marTop w:val="0"/>
          <w:marBottom w:val="0"/>
          <w:divBdr>
            <w:top w:val="none" w:sz="0" w:space="0" w:color="auto"/>
            <w:left w:val="none" w:sz="0" w:space="0" w:color="auto"/>
            <w:bottom w:val="none" w:sz="0" w:space="0" w:color="auto"/>
            <w:right w:val="none" w:sz="0" w:space="0" w:color="auto"/>
          </w:divBdr>
        </w:div>
        <w:div w:id="1029722035">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593471998">
          <w:marLeft w:val="0"/>
          <w:marRight w:val="0"/>
          <w:marTop w:val="0"/>
          <w:marBottom w:val="0"/>
          <w:divBdr>
            <w:top w:val="none" w:sz="0" w:space="0" w:color="auto"/>
            <w:left w:val="none" w:sz="0" w:space="0" w:color="auto"/>
            <w:bottom w:val="none" w:sz="0" w:space="0" w:color="auto"/>
            <w:right w:val="none" w:sz="0" w:space="0" w:color="auto"/>
          </w:divBdr>
        </w:div>
        <w:div w:id="2118139051">
          <w:marLeft w:val="0"/>
          <w:marRight w:val="0"/>
          <w:marTop w:val="0"/>
          <w:marBottom w:val="0"/>
          <w:divBdr>
            <w:top w:val="none" w:sz="0" w:space="0" w:color="auto"/>
            <w:left w:val="none" w:sz="0" w:space="0" w:color="auto"/>
            <w:bottom w:val="none" w:sz="0" w:space="0" w:color="auto"/>
            <w:right w:val="none" w:sz="0" w:space="0" w:color="auto"/>
          </w:divBdr>
        </w:div>
        <w:div w:id="248276399">
          <w:marLeft w:val="0"/>
          <w:marRight w:val="0"/>
          <w:marTop w:val="0"/>
          <w:marBottom w:val="0"/>
          <w:divBdr>
            <w:top w:val="none" w:sz="0" w:space="0" w:color="auto"/>
            <w:left w:val="none" w:sz="0" w:space="0" w:color="auto"/>
            <w:bottom w:val="none" w:sz="0" w:space="0" w:color="auto"/>
            <w:right w:val="none" w:sz="0" w:space="0" w:color="auto"/>
          </w:divBdr>
        </w:div>
      </w:divsChild>
    </w:div>
    <w:div w:id="366221062">
      <w:bodyDiv w:val="1"/>
      <w:marLeft w:val="0"/>
      <w:marRight w:val="0"/>
      <w:marTop w:val="0"/>
      <w:marBottom w:val="0"/>
      <w:divBdr>
        <w:top w:val="none" w:sz="0" w:space="0" w:color="auto"/>
        <w:left w:val="none" w:sz="0" w:space="0" w:color="auto"/>
        <w:bottom w:val="none" w:sz="0" w:space="0" w:color="auto"/>
        <w:right w:val="none" w:sz="0" w:space="0" w:color="auto"/>
      </w:divBdr>
      <w:divsChild>
        <w:div w:id="1493527740">
          <w:marLeft w:val="0"/>
          <w:marRight w:val="0"/>
          <w:marTop w:val="0"/>
          <w:marBottom w:val="0"/>
          <w:divBdr>
            <w:top w:val="none" w:sz="0" w:space="0" w:color="auto"/>
            <w:left w:val="none" w:sz="0" w:space="0" w:color="auto"/>
            <w:bottom w:val="none" w:sz="0" w:space="0" w:color="auto"/>
            <w:right w:val="none" w:sz="0" w:space="0" w:color="auto"/>
          </w:divBdr>
          <w:divsChild>
            <w:div w:id="1364015414">
              <w:marLeft w:val="0"/>
              <w:marRight w:val="0"/>
              <w:marTop w:val="0"/>
              <w:marBottom w:val="0"/>
              <w:divBdr>
                <w:top w:val="none" w:sz="0" w:space="0" w:color="auto"/>
                <w:left w:val="none" w:sz="0" w:space="0" w:color="auto"/>
                <w:bottom w:val="none" w:sz="0" w:space="0" w:color="auto"/>
                <w:right w:val="none" w:sz="0" w:space="0" w:color="auto"/>
              </w:divBdr>
              <w:divsChild>
                <w:div w:id="1848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8853">
      <w:bodyDiv w:val="1"/>
      <w:marLeft w:val="0"/>
      <w:marRight w:val="0"/>
      <w:marTop w:val="0"/>
      <w:marBottom w:val="0"/>
      <w:divBdr>
        <w:top w:val="none" w:sz="0" w:space="0" w:color="auto"/>
        <w:left w:val="none" w:sz="0" w:space="0" w:color="auto"/>
        <w:bottom w:val="none" w:sz="0" w:space="0" w:color="auto"/>
        <w:right w:val="none" w:sz="0" w:space="0" w:color="auto"/>
      </w:divBdr>
    </w:div>
    <w:div w:id="470362599">
      <w:bodyDiv w:val="1"/>
      <w:marLeft w:val="0"/>
      <w:marRight w:val="0"/>
      <w:marTop w:val="0"/>
      <w:marBottom w:val="0"/>
      <w:divBdr>
        <w:top w:val="none" w:sz="0" w:space="0" w:color="auto"/>
        <w:left w:val="none" w:sz="0" w:space="0" w:color="auto"/>
        <w:bottom w:val="none" w:sz="0" w:space="0" w:color="auto"/>
        <w:right w:val="none" w:sz="0" w:space="0" w:color="auto"/>
      </w:divBdr>
      <w:divsChild>
        <w:div w:id="1030766387">
          <w:marLeft w:val="0"/>
          <w:marRight w:val="0"/>
          <w:marTop w:val="0"/>
          <w:marBottom w:val="0"/>
          <w:divBdr>
            <w:top w:val="none" w:sz="0" w:space="0" w:color="auto"/>
            <w:left w:val="none" w:sz="0" w:space="0" w:color="auto"/>
            <w:bottom w:val="none" w:sz="0" w:space="0" w:color="auto"/>
            <w:right w:val="none" w:sz="0" w:space="0" w:color="auto"/>
          </w:divBdr>
          <w:divsChild>
            <w:div w:id="81150482">
              <w:marLeft w:val="0"/>
              <w:marRight w:val="0"/>
              <w:marTop w:val="0"/>
              <w:marBottom w:val="0"/>
              <w:divBdr>
                <w:top w:val="none" w:sz="0" w:space="0" w:color="auto"/>
                <w:left w:val="none" w:sz="0" w:space="0" w:color="auto"/>
                <w:bottom w:val="none" w:sz="0" w:space="0" w:color="auto"/>
                <w:right w:val="none" w:sz="0" w:space="0" w:color="auto"/>
              </w:divBdr>
              <w:divsChild>
                <w:div w:id="3931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2128">
      <w:bodyDiv w:val="1"/>
      <w:marLeft w:val="0"/>
      <w:marRight w:val="0"/>
      <w:marTop w:val="0"/>
      <w:marBottom w:val="0"/>
      <w:divBdr>
        <w:top w:val="none" w:sz="0" w:space="0" w:color="auto"/>
        <w:left w:val="none" w:sz="0" w:space="0" w:color="auto"/>
        <w:bottom w:val="none" w:sz="0" w:space="0" w:color="auto"/>
        <w:right w:val="none" w:sz="0" w:space="0" w:color="auto"/>
      </w:divBdr>
    </w:div>
    <w:div w:id="558519393">
      <w:bodyDiv w:val="1"/>
      <w:marLeft w:val="0"/>
      <w:marRight w:val="0"/>
      <w:marTop w:val="0"/>
      <w:marBottom w:val="0"/>
      <w:divBdr>
        <w:top w:val="none" w:sz="0" w:space="0" w:color="auto"/>
        <w:left w:val="none" w:sz="0" w:space="0" w:color="auto"/>
        <w:bottom w:val="none" w:sz="0" w:space="0" w:color="auto"/>
        <w:right w:val="none" w:sz="0" w:space="0" w:color="auto"/>
      </w:divBdr>
    </w:div>
    <w:div w:id="560022309">
      <w:bodyDiv w:val="1"/>
      <w:marLeft w:val="0"/>
      <w:marRight w:val="0"/>
      <w:marTop w:val="0"/>
      <w:marBottom w:val="0"/>
      <w:divBdr>
        <w:top w:val="none" w:sz="0" w:space="0" w:color="auto"/>
        <w:left w:val="none" w:sz="0" w:space="0" w:color="auto"/>
        <w:bottom w:val="none" w:sz="0" w:space="0" w:color="auto"/>
        <w:right w:val="none" w:sz="0" w:space="0" w:color="auto"/>
      </w:divBdr>
    </w:div>
    <w:div w:id="577399752">
      <w:bodyDiv w:val="1"/>
      <w:marLeft w:val="0"/>
      <w:marRight w:val="0"/>
      <w:marTop w:val="0"/>
      <w:marBottom w:val="0"/>
      <w:divBdr>
        <w:top w:val="none" w:sz="0" w:space="0" w:color="auto"/>
        <w:left w:val="none" w:sz="0" w:space="0" w:color="auto"/>
        <w:bottom w:val="none" w:sz="0" w:space="0" w:color="auto"/>
        <w:right w:val="none" w:sz="0" w:space="0" w:color="auto"/>
      </w:divBdr>
      <w:divsChild>
        <w:div w:id="856580627">
          <w:marLeft w:val="0"/>
          <w:marRight w:val="0"/>
          <w:marTop w:val="0"/>
          <w:marBottom w:val="0"/>
          <w:divBdr>
            <w:top w:val="none" w:sz="0" w:space="0" w:color="auto"/>
            <w:left w:val="none" w:sz="0" w:space="0" w:color="auto"/>
            <w:bottom w:val="none" w:sz="0" w:space="0" w:color="auto"/>
            <w:right w:val="none" w:sz="0" w:space="0" w:color="auto"/>
          </w:divBdr>
          <w:divsChild>
            <w:div w:id="1625161789">
              <w:marLeft w:val="0"/>
              <w:marRight w:val="0"/>
              <w:marTop w:val="0"/>
              <w:marBottom w:val="0"/>
              <w:divBdr>
                <w:top w:val="none" w:sz="0" w:space="0" w:color="auto"/>
                <w:left w:val="none" w:sz="0" w:space="0" w:color="auto"/>
                <w:bottom w:val="none" w:sz="0" w:space="0" w:color="auto"/>
                <w:right w:val="none" w:sz="0" w:space="0" w:color="auto"/>
              </w:divBdr>
              <w:divsChild>
                <w:div w:id="635186021">
                  <w:marLeft w:val="0"/>
                  <w:marRight w:val="0"/>
                  <w:marTop w:val="0"/>
                  <w:marBottom w:val="0"/>
                  <w:divBdr>
                    <w:top w:val="none" w:sz="0" w:space="0" w:color="auto"/>
                    <w:left w:val="none" w:sz="0" w:space="0" w:color="auto"/>
                    <w:bottom w:val="none" w:sz="0" w:space="0" w:color="auto"/>
                    <w:right w:val="none" w:sz="0" w:space="0" w:color="auto"/>
                  </w:divBdr>
                  <w:divsChild>
                    <w:div w:id="18353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938088">
      <w:bodyDiv w:val="1"/>
      <w:marLeft w:val="0"/>
      <w:marRight w:val="0"/>
      <w:marTop w:val="0"/>
      <w:marBottom w:val="0"/>
      <w:divBdr>
        <w:top w:val="none" w:sz="0" w:space="0" w:color="auto"/>
        <w:left w:val="none" w:sz="0" w:space="0" w:color="auto"/>
        <w:bottom w:val="none" w:sz="0" w:space="0" w:color="auto"/>
        <w:right w:val="none" w:sz="0" w:space="0" w:color="auto"/>
      </w:divBdr>
    </w:div>
    <w:div w:id="608127319">
      <w:bodyDiv w:val="1"/>
      <w:marLeft w:val="0"/>
      <w:marRight w:val="0"/>
      <w:marTop w:val="0"/>
      <w:marBottom w:val="0"/>
      <w:divBdr>
        <w:top w:val="none" w:sz="0" w:space="0" w:color="auto"/>
        <w:left w:val="none" w:sz="0" w:space="0" w:color="auto"/>
        <w:bottom w:val="none" w:sz="0" w:space="0" w:color="auto"/>
        <w:right w:val="none" w:sz="0" w:space="0" w:color="auto"/>
      </w:divBdr>
    </w:div>
    <w:div w:id="695351930">
      <w:bodyDiv w:val="1"/>
      <w:marLeft w:val="0"/>
      <w:marRight w:val="0"/>
      <w:marTop w:val="0"/>
      <w:marBottom w:val="0"/>
      <w:divBdr>
        <w:top w:val="none" w:sz="0" w:space="0" w:color="auto"/>
        <w:left w:val="none" w:sz="0" w:space="0" w:color="auto"/>
        <w:bottom w:val="none" w:sz="0" w:space="0" w:color="auto"/>
        <w:right w:val="none" w:sz="0" w:space="0" w:color="auto"/>
      </w:divBdr>
      <w:divsChild>
        <w:div w:id="1592356449">
          <w:marLeft w:val="0"/>
          <w:marRight w:val="0"/>
          <w:marTop w:val="0"/>
          <w:marBottom w:val="0"/>
          <w:divBdr>
            <w:top w:val="none" w:sz="0" w:space="0" w:color="auto"/>
            <w:left w:val="none" w:sz="0" w:space="0" w:color="auto"/>
            <w:bottom w:val="none" w:sz="0" w:space="0" w:color="auto"/>
            <w:right w:val="none" w:sz="0" w:space="0" w:color="auto"/>
          </w:divBdr>
          <w:divsChild>
            <w:div w:id="224462457">
              <w:marLeft w:val="0"/>
              <w:marRight w:val="0"/>
              <w:marTop w:val="0"/>
              <w:marBottom w:val="0"/>
              <w:divBdr>
                <w:top w:val="none" w:sz="0" w:space="0" w:color="auto"/>
                <w:left w:val="none" w:sz="0" w:space="0" w:color="auto"/>
                <w:bottom w:val="none" w:sz="0" w:space="0" w:color="auto"/>
                <w:right w:val="none" w:sz="0" w:space="0" w:color="auto"/>
              </w:divBdr>
              <w:divsChild>
                <w:div w:id="1034766398">
                  <w:marLeft w:val="0"/>
                  <w:marRight w:val="0"/>
                  <w:marTop w:val="0"/>
                  <w:marBottom w:val="0"/>
                  <w:divBdr>
                    <w:top w:val="none" w:sz="0" w:space="0" w:color="auto"/>
                    <w:left w:val="none" w:sz="0" w:space="0" w:color="auto"/>
                    <w:bottom w:val="none" w:sz="0" w:space="0" w:color="auto"/>
                    <w:right w:val="none" w:sz="0" w:space="0" w:color="auto"/>
                  </w:divBdr>
                  <w:divsChild>
                    <w:div w:id="4484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956">
      <w:bodyDiv w:val="1"/>
      <w:marLeft w:val="0"/>
      <w:marRight w:val="0"/>
      <w:marTop w:val="0"/>
      <w:marBottom w:val="0"/>
      <w:divBdr>
        <w:top w:val="none" w:sz="0" w:space="0" w:color="auto"/>
        <w:left w:val="none" w:sz="0" w:space="0" w:color="auto"/>
        <w:bottom w:val="none" w:sz="0" w:space="0" w:color="auto"/>
        <w:right w:val="none" w:sz="0" w:space="0" w:color="auto"/>
      </w:divBdr>
    </w:div>
    <w:div w:id="736055294">
      <w:bodyDiv w:val="1"/>
      <w:marLeft w:val="0"/>
      <w:marRight w:val="0"/>
      <w:marTop w:val="0"/>
      <w:marBottom w:val="0"/>
      <w:divBdr>
        <w:top w:val="none" w:sz="0" w:space="0" w:color="auto"/>
        <w:left w:val="none" w:sz="0" w:space="0" w:color="auto"/>
        <w:bottom w:val="none" w:sz="0" w:space="0" w:color="auto"/>
        <w:right w:val="none" w:sz="0" w:space="0" w:color="auto"/>
      </w:divBdr>
    </w:div>
    <w:div w:id="741370225">
      <w:bodyDiv w:val="1"/>
      <w:marLeft w:val="0"/>
      <w:marRight w:val="0"/>
      <w:marTop w:val="0"/>
      <w:marBottom w:val="0"/>
      <w:divBdr>
        <w:top w:val="none" w:sz="0" w:space="0" w:color="auto"/>
        <w:left w:val="none" w:sz="0" w:space="0" w:color="auto"/>
        <w:bottom w:val="none" w:sz="0" w:space="0" w:color="auto"/>
        <w:right w:val="none" w:sz="0" w:space="0" w:color="auto"/>
      </w:divBdr>
      <w:divsChild>
        <w:div w:id="937955609">
          <w:marLeft w:val="0"/>
          <w:marRight w:val="0"/>
          <w:marTop w:val="0"/>
          <w:marBottom w:val="0"/>
          <w:divBdr>
            <w:top w:val="none" w:sz="0" w:space="0" w:color="auto"/>
            <w:left w:val="none" w:sz="0" w:space="0" w:color="auto"/>
            <w:bottom w:val="none" w:sz="0" w:space="0" w:color="auto"/>
            <w:right w:val="none" w:sz="0" w:space="0" w:color="auto"/>
          </w:divBdr>
        </w:div>
        <w:div w:id="1861241664">
          <w:marLeft w:val="0"/>
          <w:marRight w:val="0"/>
          <w:marTop w:val="0"/>
          <w:marBottom w:val="0"/>
          <w:divBdr>
            <w:top w:val="none" w:sz="0" w:space="0" w:color="auto"/>
            <w:left w:val="none" w:sz="0" w:space="0" w:color="auto"/>
            <w:bottom w:val="none" w:sz="0" w:space="0" w:color="auto"/>
            <w:right w:val="none" w:sz="0" w:space="0" w:color="auto"/>
          </w:divBdr>
        </w:div>
        <w:div w:id="99569533">
          <w:marLeft w:val="0"/>
          <w:marRight w:val="0"/>
          <w:marTop w:val="0"/>
          <w:marBottom w:val="0"/>
          <w:divBdr>
            <w:top w:val="none" w:sz="0" w:space="0" w:color="auto"/>
            <w:left w:val="none" w:sz="0" w:space="0" w:color="auto"/>
            <w:bottom w:val="none" w:sz="0" w:space="0" w:color="auto"/>
            <w:right w:val="none" w:sz="0" w:space="0" w:color="auto"/>
          </w:divBdr>
        </w:div>
        <w:div w:id="41684462">
          <w:marLeft w:val="0"/>
          <w:marRight w:val="0"/>
          <w:marTop w:val="0"/>
          <w:marBottom w:val="0"/>
          <w:divBdr>
            <w:top w:val="none" w:sz="0" w:space="0" w:color="auto"/>
            <w:left w:val="none" w:sz="0" w:space="0" w:color="auto"/>
            <w:bottom w:val="none" w:sz="0" w:space="0" w:color="auto"/>
            <w:right w:val="none" w:sz="0" w:space="0" w:color="auto"/>
          </w:divBdr>
        </w:div>
        <w:div w:id="1561558443">
          <w:marLeft w:val="0"/>
          <w:marRight w:val="0"/>
          <w:marTop w:val="0"/>
          <w:marBottom w:val="0"/>
          <w:divBdr>
            <w:top w:val="none" w:sz="0" w:space="0" w:color="auto"/>
            <w:left w:val="none" w:sz="0" w:space="0" w:color="auto"/>
            <w:bottom w:val="none" w:sz="0" w:space="0" w:color="auto"/>
            <w:right w:val="none" w:sz="0" w:space="0" w:color="auto"/>
          </w:divBdr>
        </w:div>
        <w:div w:id="967928988">
          <w:marLeft w:val="0"/>
          <w:marRight w:val="0"/>
          <w:marTop w:val="0"/>
          <w:marBottom w:val="0"/>
          <w:divBdr>
            <w:top w:val="none" w:sz="0" w:space="0" w:color="auto"/>
            <w:left w:val="none" w:sz="0" w:space="0" w:color="auto"/>
            <w:bottom w:val="none" w:sz="0" w:space="0" w:color="auto"/>
            <w:right w:val="none" w:sz="0" w:space="0" w:color="auto"/>
          </w:divBdr>
        </w:div>
        <w:div w:id="1082072218">
          <w:marLeft w:val="0"/>
          <w:marRight w:val="0"/>
          <w:marTop w:val="0"/>
          <w:marBottom w:val="0"/>
          <w:divBdr>
            <w:top w:val="none" w:sz="0" w:space="0" w:color="auto"/>
            <w:left w:val="none" w:sz="0" w:space="0" w:color="auto"/>
            <w:bottom w:val="none" w:sz="0" w:space="0" w:color="auto"/>
            <w:right w:val="none" w:sz="0" w:space="0" w:color="auto"/>
          </w:divBdr>
        </w:div>
        <w:div w:id="1571577065">
          <w:marLeft w:val="0"/>
          <w:marRight w:val="0"/>
          <w:marTop w:val="0"/>
          <w:marBottom w:val="0"/>
          <w:divBdr>
            <w:top w:val="none" w:sz="0" w:space="0" w:color="auto"/>
            <w:left w:val="none" w:sz="0" w:space="0" w:color="auto"/>
            <w:bottom w:val="none" w:sz="0" w:space="0" w:color="auto"/>
            <w:right w:val="none" w:sz="0" w:space="0" w:color="auto"/>
          </w:divBdr>
        </w:div>
        <w:div w:id="2013408161">
          <w:marLeft w:val="0"/>
          <w:marRight w:val="0"/>
          <w:marTop w:val="0"/>
          <w:marBottom w:val="0"/>
          <w:divBdr>
            <w:top w:val="none" w:sz="0" w:space="0" w:color="auto"/>
            <w:left w:val="none" w:sz="0" w:space="0" w:color="auto"/>
            <w:bottom w:val="none" w:sz="0" w:space="0" w:color="auto"/>
            <w:right w:val="none" w:sz="0" w:space="0" w:color="auto"/>
          </w:divBdr>
        </w:div>
        <w:div w:id="1716195070">
          <w:marLeft w:val="0"/>
          <w:marRight w:val="0"/>
          <w:marTop w:val="0"/>
          <w:marBottom w:val="0"/>
          <w:divBdr>
            <w:top w:val="none" w:sz="0" w:space="0" w:color="auto"/>
            <w:left w:val="none" w:sz="0" w:space="0" w:color="auto"/>
            <w:bottom w:val="none" w:sz="0" w:space="0" w:color="auto"/>
            <w:right w:val="none" w:sz="0" w:space="0" w:color="auto"/>
          </w:divBdr>
        </w:div>
        <w:div w:id="942804274">
          <w:marLeft w:val="0"/>
          <w:marRight w:val="0"/>
          <w:marTop w:val="0"/>
          <w:marBottom w:val="0"/>
          <w:divBdr>
            <w:top w:val="none" w:sz="0" w:space="0" w:color="auto"/>
            <w:left w:val="none" w:sz="0" w:space="0" w:color="auto"/>
            <w:bottom w:val="none" w:sz="0" w:space="0" w:color="auto"/>
            <w:right w:val="none" w:sz="0" w:space="0" w:color="auto"/>
          </w:divBdr>
        </w:div>
        <w:div w:id="899940767">
          <w:marLeft w:val="0"/>
          <w:marRight w:val="0"/>
          <w:marTop w:val="0"/>
          <w:marBottom w:val="0"/>
          <w:divBdr>
            <w:top w:val="none" w:sz="0" w:space="0" w:color="auto"/>
            <w:left w:val="none" w:sz="0" w:space="0" w:color="auto"/>
            <w:bottom w:val="none" w:sz="0" w:space="0" w:color="auto"/>
            <w:right w:val="none" w:sz="0" w:space="0" w:color="auto"/>
          </w:divBdr>
        </w:div>
        <w:div w:id="923806544">
          <w:marLeft w:val="0"/>
          <w:marRight w:val="0"/>
          <w:marTop w:val="0"/>
          <w:marBottom w:val="0"/>
          <w:divBdr>
            <w:top w:val="none" w:sz="0" w:space="0" w:color="auto"/>
            <w:left w:val="none" w:sz="0" w:space="0" w:color="auto"/>
            <w:bottom w:val="none" w:sz="0" w:space="0" w:color="auto"/>
            <w:right w:val="none" w:sz="0" w:space="0" w:color="auto"/>
          </w:divBdr>
        </w:div>
      </w:divsChild>
    </w:div>
    <w:div w:id="746271571">
      <w:bodyDiv w:val="1"/>
      <w:marLeft w:val="0"/>
      <w:marRight w:val="0"/>
      <w:marTop w:val="0"/>
      <w:marBottom w:val="0"/>
      <w:divBdr>
        <w:top w:val="none" w:sz="0" w:space="0" w:color="auto"/>
        <w:left w:val="none" w:sz="0" w:space="0" w:color="auto"/>
        <w:bottom w:val="none" w:sz="0" w:space="0" w:color="auto"/>
        <w:right w:val="none" w:sz="0" w:space="0" w:color="auto"/>
      </w:divBdr>
    </w:div>
    <w:div w:id="781219048">
      <w:bodyDiv w:val="1"/>
      <w:marLeft w:val="0"/>
      <w:marRight w:val="0"/>
      <w:marTop w:val="0"/>
      <w:marBottom w:val="0"/>
      <w:divBdr>
        <w:top w:val="none" w:sz="0" w:space="0" w:color="auto"/>
        <w:left w:val="none" w:sz="0" w:space="0" w:color="auto"/>
        <w:bottom w:val="none" w:sz="0" w:space="0" w:color="auto"/>
        <w:right w:val="none" w:sz="0" w:space="0" w:color="auto"/>
      </w:divBdr>
    </w:div>
    <w:div w:id="836072807">
      <w:bodyDiv w:val="1"/>
      <w:marLeft w:val="0"/>
      <w:marRight w:val="0"/>
      <w:marTop w:val="0"/>
      <w:marBottom w:val="0"/>
      <w:divBdr>
        <w:top w:val="none" w:sz="0" w:space="0" w:color="auto"/>
        <w:left w:val="none" w:sz="0" w:space="0" w:color="auto"/>
        <w:bottom w:val="none" w:sz="0" w:space="0" w:color="auto"/>
        <w:right w:val="none" w:sz="0" w:space="0" w:color="auto"/>
      </w:divBdr>
      <w:divsChild>
        <w:div w:id="1010258194">
          <w:marLeft w:val="0"/>
          <w:marRight w:val="0"/>
          <w:marTop w:val="0"/>
          <w:marBottom w:val="0"/>
          <w:divBdr>
            <w:top w:val="none" w:sz="0" w:space="0" w:color="auto"/>
            <w:left w:val="none" w:sz="0" w:space="0" w:color="auto"/>
            <w:bottom w:val="none" w:sz="0" w:space="0" w:color="auto"/>
            <w:right w:val="none" w:sz="0" w:space="0" w:color="auto"/>
          </w:divBdr>
          <w:divsChild>
            <w:div w:id="1056201566">
              <w:marLeft w:val="0"/>
              <w:marRight w:val="0"/>
              <w:marTop w:val="0"/>
              <w:marBottom w:val="0"/>
              <w:divBdr>
                <w:top w:val="none" w:sz="0" w:space="0" w:color="auto"/>
                <w:left w:val="none" w:sz="0" w:space="0" w:color="auto"/>
                <w:bottom w:val="none" w:sz="0" w:space="0" w:color="auto"/>
                <w:right w:val="none" w:sz="0" w:space="0" w:color="auto"/>
              </w:divBdr>
              <w:divsChild>
                <w:div w:id="159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7719">
      <w:bodyDiv w:val="1"/>
      <w:marLeft w:val="0"/>
      <w:marRight w:val="0"/>
      <w:marTop w:val="0"/>
      <w:marBottom w:val="0"/>
      <w:divBdr>
        <w:top w:val="none" w:sz="0" w:space="0" w:color="auto"/>
        <w:left w:val="none" w:sz="0" w:space="0" w:color="auto"/>
        <w:bottom w:val="none" w:sz="0" w:space="0" w:color="auto"/>
        <w:right w:val="none" w:sz="0" w:space="0" w:color="auto"/>
      </w:divBdr>
    </w:div>
    <w:div w:id="907693339">
      <w:bodyDiv w:val="1"/>
      <w:marLeft w:val="0"/>
      <w:marRight w:val="0"/>
      <w:marTop w:val="0"/>
      <w:marBottom w:val="0"/>
      <w:divBdr>
        <w:top w:val="none" w:sz="0" w:space="0" w:color="auto"/>
        <w:left w:val="none" w:sz="0" w:space="0" w:color="auto"/>
        <w:bottom w:val="none" w:sz="0" w:space="0" w:color="auto"/>
        <w:right w:val="none" w:sz="0" w:space="0" w:color="auto"/>
      </w:divBdr>
    </w:div>
    <w:div w:id="929587397">
      <w:bodyDiv w:val="1"/>
      <w:marLeft w:val="0"/>
      <w:marRight w:val="0"/>
      <w:marTop w:val="0"/>
      <w:marBottom w:val="0"/>
      <w:divBdr>
        <w:top w:val="none" w:sz="0" w:space="0" w:color="auto"/>
        <w:left w:val="none" w:sz="0" w:space="0" w:color="auto"/>
        <w:bottom w:val="none" w:sz="0" w:space="0" w:color="auto"/>
        <w:right w:val="none" w:sz="0" w:space="0" w:color="auto"/>
      </w:divBdr>
    </w:div>
    <w:div w:id="930356666">
      <w:bodyDiv w:val="1"/>
      <w:marLeft w:val="0"/>
      <w:marRight w:val="0"/>
      <w:marTop w:val="0"/>
      <w:marBottom w:val="0"/>
      <w:divBdr>
        <w:top w:val="none" w:sz="0" w:space="0" w:color="auto"/>
        <w:left w:val="none" w:sz="0" w:space="0" w:color="auto"/>
        <w:bottom w:val="none" w:sz="0" w:space="0" w:color="auto"/>
        <w:right w:val="none" w:sz="0" w:space="0" w:color="auto"/>
      </w:divBdr>
      <w:divsChild>
        <w:div w:id="332955435">
          <w:marLeft w:val="0"/>
          <w:marRight w:val="0"/>
          <w:marTop w:val="0"/>
          <w:marBottom w:val="0"/>
          <w:divBdr>
            <w:top w:val="none" w:sz="0" w:space="0" w:color="auto"/>
            <w:left w:val="none" w:sz="0" w:space="0" w:color="auto"/>
            <w:bottom w:val="none" w:sz="0" w:space="0" w:color="auto"/>
            <w:right w:val="none" w:sz="0" w:space="0" w:color="auto"/>
          </w:divBdr>
          <w:divsChild>
            <w:div w:id="786244341">
              <w:marLeft w:val="0"/>
              <w:marRight w:val="0"/>
              <w:marTop w:val="0"/>
              <w:marBottom w:val="0"/>
              <w:divBdr>
                <w:top w:val="none" w:sz="0" w:space="0" w:color="auto"/>
                <w:left w:val="none" w:sz="0" w:space="0" w:color="auto"/>
                <w:bottom w:val="none" w:sz="0" w:space="0" w:color="auto"/>
                <w:right w:val="none" w:sz="0" w:space="0" w:color="auto"/>
              </w:divBdr>
              <w:divsChild>
                <w:div w:id="20792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79319">
      <w:bodyDiv w:val="1"/>
      <w:marLeft w:val="0"/>
      <w:marRight w:val="0"/>
      <w:marTop w:val="0"/>
      <w:marBottom w:val="0"/>
      <w:divBdr>
        <w:top w:val="none" w:sz="0" w:space="0" w:color="auto"/>
        <w:left w:val="none" w:sz="0" w:space="0" w:color="auto"/>
        <w:bottom w:val="none" w:sz="0" w:space="0" w:color="auto"/>
        <w:right w:val="none" w:sz="0" w:space="0" w:color="auto"/>
      </w:divBdr>
    </w:div>
    <w:div w:id="1045761418">
      <w:bodyDiv w:val="1"/>
      <w:marLeft w:val="0"/>
      <w:marRight w:val="0"/>
      <w:marTop w:val="0"/>
      <w:marBottom w:val="0"/>
      <w:divBdr>
        <w:top w:val="none" w:sz="0" w:space="0" w:color="auto"/>
        <w:left w:val="none" w:sz="0" w:space="0" w:color="auto"/>
        <w:bottom w:val="none" w:sz="0" w:space="0" w:color="auto"/>
        <w:right w:val="none" w:sz="0" w:space="0" w:color="auto"/>
      </w:divBdr>
    </w:div>
    <w:div w:id="1111626790">
      <w:bodyDiv w:val="1"/>
      <w:marLeft w:val="0"/>
      <w:marRight w:val="0"/>
      <w:marTop w:val="0"/>
      <w:marBottom w:val="0"/>
      <w:divBdr>
        <w:top w:val="none" w:sz="0" w:space="0" w:color="auto"/>
        <w:left w:val="none" w:sz="0" w:space="0" w:color="auto"/>
        <w:bottom w:val="none" w:sz="0" w:space="0" w:color="auto"/>
        <w:right w:val="none" w:sz="0" w:space="0" w:color="auto"/>
      </w:divBdr>
    </w:div>
    <w:div w:id="1120145813">
      <w:bodyDiv w:val="1"/>
      <w:marLeft w:val="0"/>
      <w:marRight w:val="0"/>
      <w:marTop w:val="0"/>
      <w:marBottom w:val="0"/>
      <w:divBdr>
        <w:top w:val="none" w:sz="0" w:space="0" w:color="auto"/>
        <w:left w:val="none" w:sz="0" w:space="0" w:color="auto"/>
        <w:bottom w:val="none" w:sz="0" w:space="0" w:color="auto"/>
        <w:right w:val="none" w:sz="0" w:space="0" w:color="auto"/>
      </w:divBdr>
      <w:divsChild>
        <w:div w:id="1215116907">
          <w:marLeft w:val="0"/>
          <w:marRight w:val="0"/>
          <w:marTop w:val="0"/>
          <w:marBottom w:val="0"/>
          <w:divBdr>
            <w:top w:val="none" w:sz="0" w:space="0" w:color="auto"/>
            <w:left w:val="none" w:sz="0" w:space="0" w:color="auto"/>
            <w:bottom w:val="none" w:sz="0" w:space="0" w:color="auto"/>
            <w:right w:val="none" w:sz="0" w:space="0" w:color="auto"/>
          </w:divBdr>
          <w:divsChild>
            <w:div w:id="748386334">
              <w:marLeft w:val="0"/>
              <w:marRight w:val="0"/>
              <w:marTop w:val="0"/>
              <w:marBottom w:val="0"/>
              <w:divBdr>
                <w:top w:val="none" w:sz="0" w:space="0" w:color="auto"/>
                <w:left w:val="none" w:sz="0" w:space="0" w:color="auto"/>
                <w:bottom w:val="none" w:sz="0" w:space="0" w:color="auto"/>
                <w:right w:val="none" w:sz="0" w:space="0" w:color="auto"/>
              </w:divBdr>
              <w:divsChild>
                <w:div w:id="419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0975">
      <w:bodyDiv w:val="1"/>
      <w:marLeft w:val="0"/>
      <w:marRight w:val="0"/>
      <w:marTop w:val="0"/>
      <w:marBottom w:val="0"/>
      <w:divBdr>
        <w:top w:val="none" w:sz="0" w:space="0" w:color="auto"/>
        <w:left w:val="none" w:sz="0" w:space="0" w:color="auto"/>
        <w:bottom w:val="none" w:sz="0" w:space="0" w:color="auto"/>
        <w:right w:val="none" w:sz="0" w:space="0" w:color="auto"/>
      </w:divBdr>
    </w:div>
    <w:div w:id="1196310011">
      <w:bodyDiv w:val="1"/>
      <w:marLeft w:val="0"/>
      <w:marRight w:val="0"/>
      <w:marTop w:val="0"/>
      <w:marBottom w:val="0"/>
      <w:divBdr>
        <w:top w:val="none" w:sz="0" w:space="0" w:color="auto"/>
        <w:left w:val="none" w:sz="0" w:space="0" w:color="auto"/>
        <w:bottom w:val="none" w:sz="0" w:space="0" w:color="auto"/>
        <w:right w:val="none" w:sz="0" w:space="0" w:color="auto"/>
      </w:divBdr>
    </w:div>
    <w:div w:id="1208955442">
      <w:bodyDiv w:val="1"/>
      <w:marLeft w:val="0"/>
      <w:marRight w:val="0"/>
      <w:marTop w:val="0"/>
      <w:marBottom w:val="0"/>
      <w:divBdr>
        <w:top w:val="none" w:sz="0" w:space="0" w:color="auto"/>
        <w:left w:val="none" w:sz="0" w:space="0" w:color="auto"/>
        <w:bottom w:val="none" w:sz="0" w:space="0" w:color="auto"/>
        <w:right w:val="none" w:sz="0" w:space="0" w:color="auto"/>
      </w:divBdr>
      <w:divsChild>
        <w:div w:id="568273017">
          <w:marLeft w:val="0"/>
          <w:marRight w:val="0"/>
          <w:marTop w:val="0"/>
          <w:marBottom w:val="0"/>
          <w:divBdr>
            <w:top w:val="none" w:sz="0" w:space="0" w:color="auto"/>
            <w:left w:val="none" w:sz="0" w:space="0" w:color="auto"/>
            <w:bottom w:val="none" w:sz="0" w:space="0" w:color="auto"/>
            <w:right w:val="none" w:sz="0" w:space="0" w:color="auto"/>
          </w:divBdr>
          <w:divsChild>
            <w:div w:id="1793477585">
              <w:marLeft w:val="0"/>
              <w:marRight w:val="0"/>
              <w:marTop w:val="0"/>
              <w:marBottom w:val="0"/>
              <w:divBdr>
                <w:top w:val="none" w:sz="0" w:space="0" w:color="auto"/>
                <w:left w:val="none" w:sz="0" w:space="0" w:color="auto"/>
                <w:bottom w:val="none" w:sz="0" w:space="0" w:color="auto"/>
                <w:right w:val="none" w:sz="0" w:space="0" w:color="auto"/>
              </w:divBdr>
              <w:divsChild>
                <w:div w:id="18002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273">
      <w:bodyDiv w:val="1"/>
      <w:marLeft w:val="0"/>
      <w:marRight w:val="0"/>
      <w:marTop w:val="0"/>
      <w:marBottom w:val="0"/>
      <w:divBdr>
        <w:top w:val="none" w:sz="0" w:space="0" w:color="auto"/>
        <w:left w:val="none" w:sz="0" w:space="0" w:color="auto"/>
        <w:bottom w:val="none" w:sz="0" w:space="0" w:color="auto"/>
        <w:right w:val="none" w:sz="0" w:space="0" w:color="auto"/>
      </w:divBdr>
    </w:div>
    <w:div w:id="1260942617">
      <w:bodyDiv w:val="1"/>
      <w:marLeft w:val="0"/>
      <w:marRight w:val="0"/>
      <w:marTop w:val="0"/>
      <w:marBottom w:val="0"/>
      <w:divBdr>
        <w:top w:val="none" w:sz="0" w:space="0" w:color="auto"/>
        <w:left w:val="none" w:sz="0" w:space="0" w:color="auto"/>
        <w:bottom w:val="none" w:sz="0" w:space="0" w:color="auto"/>
        <w:right w:val="none" w:sz="0" w:space="0" w:color="auto"/>
      </w:divBdr>
      <w:divsChild>
        <w:div w:id="1184171851">
          <w:marLeft w:val="0"/>
          <w:marRight w:val="0"/>
          <w:marTop w:val="0"/>
          <w:marBottom w:val="0"/>
          <w:divBdr>
            <w:top w:val="none" w:sz="0" w:space="0" w:color="auto"/>
            <w:left w:val="none" w:sz="0" w:space="0" w:color="auto"/>
            <w:bottom w:val="none" w:sz="0" w:space="0" w:color="auto"/>
            <w:right w:val="none" w:sz="0" w:space="0" w:color="auto"/>
          </w:divBdr>
          <w:divsChild>
            <w:div w:id="502360540">
              <w:marLeft w:val="0"/>
              <w:marRight w:val="0"/>
              <w:marTop w:val="0"/>
              <w:marBottom w:val="0"/>
              <w:divBdr>
                <w:top w:val="none" w:sz="0" w:space="0" w:color="auto"/>
                <w:left w:val="none" w:sz="0" w:space="0" w:color="auto"/>
                <w:bottom w:val="none" w:sz="0" w:space="0" w:color="auto"/>
                <w:right w:val="none" w:sz="0" w:space="0" w:color="auto"/>
              </w:divBdr>
              <w:divsChild>
                <w:div w:id="787508135">
                  <w:marLeft w:val="0"/>
                  <w:marRight w:val="0"/>
                  <w:marTop w:val="0"/>
                  <w:marBottom w:val="0"/>
                  <w:divBdr>
                    <w:top w:val="none" w:sz="0" w:space="0" w:color="auto"/>
                    <w:left w:val="none" w:sz="0" w:space="0" w:color="auto"/>
                    <w:bottom w:val="none" w:sz="0" w:space="0" w:color="auto"/>
                    <w:right w:val="none" w:sz="0" w:space="0" w:color="auto"/>
                  </w:divBdr>
                  <w:divsChild>
                    <w:div w:id="2122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9556">
      <w:bodyDiv w:val="1"/>
      <w:marLeft w:val="0"/>
      <w:marRight w:val="0"/>
      <w:marTop w:val="0"/>
      <w:marBottom w:val="0"/>
      <w:divBdr>
        <w:top w:val="none" w:sz="0" w:space="0" w:color="auto"/>
        <w:left w:val="none" w:sz="0" w:space="0" w:color="auto"/>
        <w:bottom w:val="none" w:sz="0" w:space="0" w:color="auto"/>
        <w:right w:val="none" w:sz="0" w:space="0" w:color="auto"/>
      </w:divBdr>
    </w:div>
    <w:div w:id="1274367527">
      <w:bodyDiv w:val="1"/>
      <w:marLeft w:val="0"/>
      <w:marRight w:val="0"/>
      <w:marTop w:val="0"/>
      <w:marBottom w:val="0"/>
      <w:divBdr>
        <w:top w:val="none" w:sz="0" w:space="0" w:color="auto"/>
        <w:left w:val="none" w:sz="0" w:space="0" w:color="auto"/>
        <w:bottom w:val="none" w:sz="0" w:space="0" w:color="auto"/>
        <w:right w:val="none" w:sz="0" w:space="0" w:color="auto"/>
      </w:divBdr>
      <w:divsChild>
        <w:div w:id="1230767076">
          <w:marLeft w:val="0"/>
          <w:marRight w:val="0"/>
          <w:marTop w:val="0"/>
          <w:marBottom w:val="0"/>
          <w:divBdr>
            <w:top w:val="none" w:sz="0" w:space="0" w:color="auto"/>
            <w:left w:val="none" w:sz="0" w:space="0" w:color="auto"/>
            <w:bottom w:val="none" w:sz="0" w:space="0" w:color="auto"/>
            <w:right w:val="none" w:sz="0" w:space="0" w:color="auto"/>
          </w:divBdr>
          <w:divsChild>
            <w:div w:id="1351101674">
              <w:marLeft w:val="0"/>
              <w:marRight w:val="0"/>
              <w:marTop w:val="0"/>
              <w:marBottom w:val="0"/>
              <w:divBdr>
                <w:top w:val="none" w:sz="0" w:space="0" w:color="auto"/>
                <w:left w:val="none" w:sz="0" w:space="0" w:color="auto"/>
                <w:bottom w:val="none" w:sz="0" w:space="0" w:color="auto"/>
                <w:right w:val="none" w:sz="0" w:space="0" w:color="auto"/>
              </w:divBdr>
              <w:divsChild>
                <w:div w:id="417599324">
                  <w:marLeft w:val="0"/>
                  <w:marRight w:val="0"/>
                  <w:marTop w:val="0"/>
                  <w:marBottom w:val="0"/>
                  <w:divBdr>
                    <w:top w:val="none" w:sz="0" w:space="0" w:color="auto"/>
                    <w:left w:val="none" w:sz="0" w:space="0" w:color="auto"/>
                    <w:bottom w:val="none" w:sz="0" w:space="0" w:color="auto"/>
                    <w:right w:val="none" w:sz="0" w:space="0" w:color="auto"/>
                  </w:divBdr>
                </w:div>
              </w:divsChild>
            </w:div>
            <w:div w:id="2086757902">
              <w:marLeft w:val="0"/>
              <w:marRight w:val="0"/>
              <w:marTop w:val="0"/>
              <w:marBottom w:val="0"/>
              <w:divBdr>
                <w:top w:val="none" w:sz="0" w:space="0" w:color="auto"/>
                <w:left w:val="none" w:sz="0" w:space="0" w:color="auto"/>
                <w:bottom w:val="none" w:sz="0" w:space="0" w:color="auto"/>
                <w:right w:val="none" w:sz="0" w:space="0" w:color="auto"/>
              </w:divBdr>
              <w:divsChild>
                <w:div w:id="4283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5012">
      <w:bodyDiv w:val="1"/>
      <w:marLeft w:val="0"/>
      <w:marRight w:val="0"/>
      <w:marTop w:val="0"/>
      <w:marBottom w:val="0"/>
      <w:divBdr>
        <w:top w:val="none" w:sz="0" w:space="0" w:color="auto"/>
        <w:left w:val="none" w:sz="0" w:space="0" w:color="auto"/>
        <w:bottom w:val="none" w:sz="0" w:space="0" w:color="auto"/>
        <w:right w:val="none" w:sz="0" w:space="0" w:color="auto"/>
      </w:divBdr>
      <w:divsChild>
        <w:div w:id="2000186678">
          <w:marLeft w:val="0"/>
          <w:marRight w:val="0"/>
          <w:marTop w:val="0"/>
          <w:marBottom w:val="0"/>
          <w:divBdr>
            <w:top w:val="none" w:sz="0" w:space="0" w:color="auto"/>
            <w:left w:val="none" w:sz="0" w:space="0" w:color="auto"/>
            <w:bottom w:val="none" w:sz="0" w:space="0" w:color="auto"/>
            <w:right w:val="none" w:sz="0" w:space="0" w:color="auto"/>
          </w:divBdr>
          <w:divsChild>
            <w:div w:id="1679311642">
              <w:marLeft w:val="0"/>
              <w:marRight w:val="0"/>
              <w:marTop w:val="0"/>
              <w:marBottom w:val="0"/>
              <w:divBdr>
                <w:top w:val="none" w:sz="0" w:space="0" w:color="auto"/>
                <w:left w:val="none" w:sz="0" w:space="0" w:color="auto"/>
                <w:bottom w:val="none" w:sz="0" w:space="0" w:color="auto"/>
                <w:right w:val="none" w:sz="0" w:space="0" w:color="auto"/>
              </w:divBdr>
              <w:divsChild>
                <w:div w:id="238288982">
                  <w:marLeft w:val="0"/>
                  <w:marRight w:val="0"/>
                  <w:marTop w:val="0"/>
                  <w:marBottom w:val="0"/>
                  <w:divBdr>
                    <w:top w:val="none" w:sz="0" w:space="0" w:color="auto"/>
                    <w:left w:val="none" w:sz="0" w:space="0" w:color="auto"/>
                    <w:bottom w:val="none" w:sz="0" w:space="0" w:color="auto"/>
                    <w:right w:val="none" w:sz="0" w:space="0" w:color="auto"/>
                  </w:divBdr>
                </w:div>
              </w:divsChild>
            </w:div>
            <w:div w:id="2069378673">
              <w:marLeft w:val="0"/>
              <w:marRight w:val="0"/>
              <w:marTop w:val="0"/>
              <w:marBottom w:val="0"/>
              <w:divBdr>
                <w:top w:val="none" w:sz="0" w:space="0" w:color="auto"/>
                <w:left w:val="none" w:sz="0" w:space="0" w:color="auto"/>
                <w:bottom w:val="none" w:sz="0" w:space="0" w:color="auto"/>
                <w:right w:val="none" w:sz="0" w:space="0" w:color="auto"/>
              </w:divBdr>
              <w:divsChild>
                <w:div w:id="1673217793">
                  <w:marLeft w:val="0"/>
                  <w:marRight w:val="0"/>
                  <w:marTop w:val="0"/>
                  <w:marBottom w:val="0"/>
                  <w:divBdr>
                    <w:top w:val="none" w:sz="0" w:space="0" w:color="auto"/>
                    <w:left w:val="none" w:sz="0" w:space="0" w:color="auto"/>
                    <w:bottom w:val="none" w:sz="0" w:space="0" w:color="auto"/>
                    <w:right w:val="none" w:sz="0" w:space="0" w:color="auto"/>
                  </w:divBdr>
                </w:div>
              </w:divsChild>
            </w:div>
            <w:div w:id="1299802005">
              <w:marLeft w:val="0"/>
              <w:marRight w:val="0"/>
              <w:marTop w:val="0"/>
              <w:marBottom w:val="0"/>
              <w:divBdr>
                <w:top w:val="none" w:sz="0" w:space="0" w:color="auto"/>
                <w:left w:val="none" w:sz="0" w:space="0" w:color="auto"/>
                <w:bottom w:val="none" w:sz="0" w:space="0" w:color="auto"/>
                <w:right w:val="none" w:sz="0" w:space="0" w:color="auto"/>
              </w:divBdr>
              <w:divsChild>
                <w:div w:id="7493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0806">
      <w:bodyDiv w:val="1"/>
      <w:marLeft w:val="0"/>
      <w:marRight w:val="0"/>
      <w:marTop w:val="0"/>
      <w:marBottom w:val="0"/>
      <w:divBdr>
        <w:top w:val="none" w:sz="0" w:space="0" w:color="auto"/>
        <w:left w:val="none" w:sz="0" w:space="0" w:color="auto"/>
        <w:bottom w:val="none" w:sz="0" w:space="0" w:color="auto"/>
        <w:right w:val="none" w:sz="0" w:space="0" w:color="auto"/>
      </w:divBdr>
      <w:divsChild>
        <w:div w:id="666252957">
          <w:marLeft w:val="0"/>
          <w:marRight w:val="0"/>
          <w:marTop w:val="0"/>
          <w:marBottom w:val="0"/>
          <w:divBdr>
            <w:top w:val="none" w:sz="0" w:space="0" w:color="auto"/>
            <w:left w:val="none" w:sz="0" w:space="0" w:color="auto"/>
            <w:bottom w:val="none" w:sz="0" w:space="0" w:color="auto"/>
            <w:right w:val="none" w:sz="0" w:space="0" w:color="auto"/>
          </w:divBdr>
          <w:divsChild>
            <w:div w:id="1414277170">
              <w:marLeft w:val="0"/>
              <w:marRight w:val="0"/>
              <w:marTop w:val="0"/>
              <w:marBottom w:val="0"/>
              <w:divBdr>
                <w:top w:val="none" w:sz="0" w:space="0" w:color="auto"/>
                <w:left w:val="none" w:sz="0" w:space="0" w:color="auto"/>
                <w:bottom w:val="none" w:sz="0" w:space="0" w:color="auto"/>
                <w:right w:val="none" w:sz="0" w:space="0" w:color="auto"/>
              </w:divBdr>
              <w:divsChild>
                <w:div w:id="511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1161">
      <w:bodyDiv w:val="1"/>
      <w:marLeft w:val="0"/>
      <w:marRight w:val="0"/>
      <w:marTop w:val="0"/>
      <w:marBottom w:val="0"/>
      <w:divBdr>
        <w:top w:val="none" w:sz="0" w:space="0" w:color="auto"/>
        <w:left w:val="none" w:sz="0" w:space="0" w:color="auto"/>
        <w:bottom w:val="none" w:sz="0" w:space="0" w:color="auto"/>
        <w:right w:val="none" w:sz="0" w:space="0" w:color="auto"/>
      </w:divBdr>
      <w:divsChild>
        <w:div w:id="1461076355">
          <w:marLeft w:val="0"/>
          <w:marRight w:val="0"/>
          <w:marTop w:val="0"/>
          <w:marBottom w:val="0"/>
          <w:divBdr>
            <w:top w:val="none" w:sz="0" w:space="0" w:color="auto"/>
            <w:left w:val="none" w:sz="0" w:space="0" w:color="auto"/>
            <w:bottom w:val="none" w:sz="0" w:space="0" w:color="auto"/>
            <w:right w:val="none" w:sz="0" w:space="0" w:color="auto"/>
          </w:divBdr>
          <w:divsChild>
            <w:div w:id="1277256226">
              <w:marLeft w:val="0"/>
              <w:marRight w:val="0"/>
              <w:marTop w:val="0"/>
              <w:marBottom w:val="0"/>
              <w:divBdr>
                <w:top w:val="none" w:sz="0" w:space="0" w:color="auto"/>
                <w:left w:val="none" w:sz="0" w:space="0" w:color="auto"/>
                <w:bottom w:val="none" w:sz="0" w:space="0" w:color="auto"/>
                <w:right w:val="none" w:sz="0" w:space="0" w:color="auto"/>
              </w:divBdr>
              <w:divsChild>
                <w:div w:id="1417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8389">
      <w:bodyDiv w:val="1"/>
      <w:marLeft w:val="0"/>
      <w:marRight w:val="0"/>
      <w:marTop w:val="0"/>
      <w:marBottom w:val="0"/>
      <w:divBdr>
        <w:top w:val="none" w:sz="0" w:space="0" w:color="auto"/>
        <w:left w:val="none" w:sz="0" w:space="0" w:color="auto"/>
        <w:bottom w:val="none" w:sz="0" w:space="0" w:color="auto"/>
        <w:right w:val="none" w:sz="0" w:space="0" w:color="auto"/>
      </w:divBdr>
    </w:div>
    <w:div w:id="1463646768">
      <w:bodyDiv w:val="1"/>
      <w:marLeft w:val="0"/>
      <w:marRight w:val="0"/>
      <w:marTop w:val="0"/>
      <w:marBottom w:val="0"/>
      <w:divBdr>
        <w:top w:val="none" w:sz="0" w:space="0" w:color="auto"/>
        <w:left w:val="none" w:sz="0" w:space="0" w:color="auto"/>
        <w:bottom w:val="none" w:sz="0" w:space="0" w:color="auto"/>
        <w:right w:val="none" w:sz="0" w:space="0" w:color="auto"/>
      </w:divBdr>
      <w:divsChild>
        <w:div w:id="221870891">
          <w:marLeft w:val="0"/>
          <w:marRight w:val="0"/>
          <w:marTop w:val="0"/>
          <w:marBottom w:val="0"/>
          <w:divBdr>
            <w:top w:val="none" w:sz="0" w:space="0" w:color="auto"/>
            <w:left w:val="none" w:sz="0" w:space="0" w:color="auto"/>
            <w:bottom w:val="none" w:sz="0" w:space="0" w:color="auto"/>
            <w:right w:val="none" w:sz="0" w:space="0" w:color="auto"/>
          </w:divBdr>
          <w:divsChild>
            <w:div w:id="2033074024">
              <w:marLeft w:val="0"/>
              <w:marRight w:val="0"/>
              <w:marTop w:val="0"/>
              <w:marBottom w:val="0"/>
              <w:divBdr>
                <w:top w:val="none" w:sz="0" w:space="0" w:color="auto"/>
                <w:left w:val="none" w:sz="0" w:space="0" w:color="auto"/>
                <w:bottom w:val="none" w:sz="0" w:space="0" w:color="auto"/>
                <w:right w:val="none" w:sz="0" w:space="0" w:color="auto"/>
              </w:divBdr>
              <w:divsChild>
                <w:div w:id="13245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63968">
      <w:bodyDiv w:val="1"/>
      <w:marLeft w:val="0"/>
      <w:marRight w:val="0"/>
      <w:marTop w:val="0"/>
      <w:marBottom w:val="0"/>
      <w:divBdr>
        <w:top w:val="none" w:sz="0" w:space="0" w:color="auto"/>
        <w:left w:val="none" w:sz="0" w:space="0" w:color="auto"/>
        <w:bottom w:val="none" w:sz="0" w:space="0" w:color="auto"/>
        <w:right w:val="none" w:sz="0" w:space="0" w:color="auto"/>
      </w:divBdr>
      <w:divsChild>
        <w:div w:id="1936357967">
          <w:marLeft w:val="0"/>
          <w:marRight w:val="0"/>
          <w:marTop w:val="0"/>
          <w:marBottom w:val="0"/>
          <w:divBdr>
            <w:top w:val="none" w:sz="0" w:space="0" w:color="auto"/>
            <w:left w:val="none" w:sz="0" w:space="0" w:color="auto"/>
            <w:bottom w:val="none" w:sz="0" w:space="0" w:color="auto"/>
            <w:right w:val="none" w:sz="0" w:space="0" w:color="auto"/>
          </w:divBdr>
          <w:divsChild>
            <w:div w:id="151651281">
              <w:marLeft w:val="0"/>
              <w:marRight w:val="0"/>
              <w:marTop w:val="0"/>
              <w:marBottom w:val="0"/>
              <w:divBdr>
                <w:top w:val="none" w:sz="0" w:space="0" w:color="auto"/>
                <w:left w:val="none" w:sz="0" w:space="0" w:color="auto"/>
                <w:bottom w:val="none" w:sz="0" w:space="0" w:color="auto"/>
                <w:right w:val="none" w:sz="0" w:space="0" w:color="auto"/>
              </w:divBdr>
              <w:divsChild>
                <w:div w:id="1754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36181">
      <w:bodyDiv w:val="1"/>
      <w:marLeft w:val="0"/>
      <w:marRight w:val="0"/>
      <w:marTop w:val="0"/>
      <w:marBottom w:val="0"/>
      <w:divBdr>
        <w:top w:val="none" w:sz="0" w:space="0" w:color="auto"/>
        <w:left w:val="none" w:sz="0" w:space="0" w:color="auto"/>
        <w:bottom w:val="none" w:sz="0" w:space="0" w:color="auto"/>
        <w:right w:val="none" w:sz="0" w:space="0" w:color="auto"/>
      </w:divBdr>
    </w:div>
    <w:div w:id="1622110446">
      <w:bodyDiv w:val="1"/>
      <w:marLeft w:val="0"/>
      <w:marRight w:val="0"/>
      <w:marTop w:val="0"/>
      <w:marBottom w:val="0"/>
      <w:divBdr>
        <w:top w:val="none" w:sz="0" w:space="0" w:color="auto"/>
        <w:left w:val="none" w:sz="0" w:space="0" w:color="auto"/>
        <w:bottom w:val="none" w:sz="0" w:space="0" w:color="auto"/>
        <w:right w:val="none" w:sz="0" w:space="0" w:color="auto"/>
      </w:divBdr>
      <w:divsChild>
        <w:div w:id="472796975">
          <w:marLeft w:val="0"/>
          <w:marRight w:val="0"/>
          <w:marTop w:val="0"/>
          <w:marBottom w:val="0"/>
          <w:divBdr>
            <w:top w:val="none" w:sz="0" w:space="0" w:color="auto"/>
            <w:left w:val="none" w:sz="0" w:space="0" w:color="auto"/>
            <w:bottom w:val="none" w:sz="0" w:space="0" w:color="auto"/>
            <w:right w:val="none" w:sz="0" w:space="0" w:color="auto"/>
          </w:divBdr>
          <w:divsChild>
            <w:div w:id="2077824306">
              <w:marLeft w:val="0"/>
              <w:marRight w:val="0"/>
              <w:marTop w:val="0"/>
              <w:marBottom w:val="0"/>
              <w:divBdr>
                <w:top w:val="none" w:sz="0" w:space="0" w:color="auto"/>
                <w:left w:val="none" w:sz="0" w:space="0" w:color="auto"/>
                <w:bottom w:val="none" w:sz="0" w:space="0" w:color="auto"/>
                <w:right w:val="none" w:sz="0" w:space="0" w:color="auto"/>
              </w:divBdr>
              <w:divsChild>
                <w:div w:id="19375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13126">
      <w:bodyDiv w:val="1"/>
      <w:marLeft w:val="0"/>
      <w:marRight w:val="0"/>
      <w:marTop w:val="0"/>
      <w:marBottom w:val="0"/>
      <w:divBdr>
        <w:top w:val="none" w:sz="0" w:space="0" w:color="auto"/>
        <w:left w:val="none" w:sz="0" w:space="0" w:color="auto"/>
        <w:bottom w:val="none" w:sz="0" w:space="0" w:color="auto"/>
        <w:right w:val="none" w:sz="0" w:space="0" w:color="auto"/>
      </w:divBdr>
      <w:divsChild>
        <w:div w:id="258757684">
          <w:marLeft w:val="0"/>
          <w:marRight w:val="0"/>
          <w:marTop w:val="0"/>
          <w:marBottom w:val="0"/>
          <w:divBdr>
            <w:top w:val="none" w:sz="0" w:space="0" w:color="auto"/>
            <w:left w:val="none" w:sz="0" w:space="0" w:color="auto"/>
            <w:bottom w:val="none" w:sz="0" w:space="0" w:color="auto"/>
            <w:right w:val="none" w:sz="0" w:space="0" w:color="auto"/>
          </w:divBdr>
          <w:divsChild>
            <w:div w:id="1992900906">
              <w:marLeft w:val="0"/>
              <w:marRight w:val="0"/>
              <w:marTop w:val="0"/>
              <w:marBottom w:val="0"/>
              <w:divBdr>
                <w:top w:val="none" w:sz="0" w:space="0" w:color="auto"/>
                <w:left w:val="none" w:sz="0" w:space="0" w:color="auto"/>
                <w:bottom w:val="none" w:sz="0" w:space="0" w:color="auto"/>
                <w:right w:val="none" w:sz="0" w:space="0" w:color="auto"/>
              </w:divBdr>
              <w:divsChild>
                <w:div w:id="1736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09525">
      <w:bodyDiv w:val="1"/>
      <w:marLeft w:val="0"/>
      <w:marRight w:val="0"/>
      <w:marTop w:val="0"/>
      <w:marBottom w:val="0"/>
      <w:divBdr>
        <w:top w:val="none" w:sz="0" w:space="0" w:color="auto"/>
        <w:left w:val="none" w:sz="0" w:space="0" w:color="auto"/>
        <w:bottom w:val="none" w:sz="0" w:space="0" w:color="auto"/>
        <w:right w:val="none" w:sz="0" w:space="0" w:color="auto"/>
      </w:divBdr>
      <w:divsChild>
        <w:div w:id="1592542279">
          <w:marLeft w:val="0"/>
          <w:marRight w:val="0"/>
          <w:marTop w:val="0"/>
          <w:marBottom w:val="0"/>
          <w:divBdr>
            <w:top w:val="none" w:sz="0" w:space="0" w:color="auto"/>
            <w:left w:val="none" w:sz="0" w:space="0" w:color="auto"/>
            <w:bottom w:val="none" w:sz="0" w:space="0" w:color="auto"/>
            <w:right w:val="none" w:sz="0" w:space="0" w:color="auto"/>
          </w:divBdr>
          <w:divsChild>
            <w:div w:id="865025975">
              <w:marLeft w:val="0"/>
              <w:marRight w:val="0"/>
              <w:marTop w:val="0"/>
              <w:marBottom w:val="0"/>
              <w:divBdr>
                <w:top w:val="none" w:sz="0" w:space="0" w:color="auto"/>
                <w:left w:val="none" w:sz="0" w:space="0" w:color="auto"/>
                <w:bottom w:val="none" w:sz="0" w:space="0" w:color="auto"/>
                <w:right w:val="none" w:sz="0" w:space="0" w:color="auto"/>
              </w:divBdr>
              <w:divsChild>
                <w:div w:id="359355196">
                  <w:marLeft w:val="0"/>
                  <w:marRight w:val="0"/>
                  <w:marTop w:val="0"/>
                  <w:marBottom w:val="0"/>
                  <w:divBdr>
                    <w:top w:val="none" w:sz="0" w:space="0" w:color="auto"/>
                    <w:left w:val="none" w:sz="0" w:space="0" w:color="auto"/>
                    <w:bottom w:val="none" w:sz="0" w:space="0" w:color="auto"/>
                    <w:right w:val="none" w:sz="0" w:space="0" w:color="auto"/>
                  </w:divBdr>
                  <w:divsChild>
                    <w:div w:id="10239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0188">
      <w:bodyDiv w:val="1"/>
      <w:marLeft w:val="0"/>
      <w:marRight w:val="0"/>
      <w:marTop w:val="0"/>
      <w:marBottom w:val="0"/>
      <w:divBdr>
        <w:top w:val="none" w:sz="0" w:space="0" w:color="auto"/>
        <w:left w:val="none" w:sz="0" w:space="0" w:color="auto"/>
        <w:bottom w:val="none" w:sz="0" w:space="0" w:color="auto"/>
        <w:right w:val="none" w:sz="0" w:space="0" w:color="auto"/>
      </w:divBdr>
    </w:div>
    <w:div w:id="1677342670">
      <w:bodyDiv w:val="1"/>
      <w:marLeft w:val="0"/>
      <w:marRight w:val="0"/>
      <w:marTop w:val="0"/>
      <w:marBottom w:val="0"/>
      <w:divBdr>
        <w:top w:val="none" w:sz="0" w:space="0" w:color="auto"/>
        <w:left w:val="none" w:sz="0" w:space="0" w:color="auto"/>
        <w:bottom w:val="none" w:sz="0" w:space="0" w:color="auto"/>
        <w:right w:val="none" w:sz="0" w:space="0" w:color="auto"/>
      </w:divBdr>
    </w:div>
    <w:div w:id="1706978623">
      <w:bodyDiv w:val="1"/>
      <w:marLeft w:val="0"/>
      <w:marRight w:val="0"/>
      <w:marTop w:val="0"/>
      <w:marBottom w:val="0"/>
      <w:divBdr>
        <w:top w:val="none" w:sz="0" w:space="0" w:color="auto"/>
        <w:left w:val="none" w:sz="0" w:space="0" w:color="auto"/>
        <w:bottom w:val="none" w:sz="0" w:space="0" w:color="auto"/>
        <w:right w:val="none" w:sz="0" w:space="0" w:color="auto"/>
      </w:divBdr>
      <w:divsChild>
        <w:div w:id="707880870">
          <w:marLeft w:val="0"/>
          <w:marRight w:val="0"/>
          <w:marTop w:val="0"/>
          <w:marBottom w:val="0"/>
          <w:divBdr>
            <w:top w:val="none" w:sz="0" w:space="0" w:color="auto"/>
            <w:left w:val="none" w:sz="0" w:space="0" w:color="auto"/>
            <w:bottom w:val="none" w:sz="0" w:space="0" w:color="auto"/>
            <w:right w:val="none" w:sz="0" w:space="0" w:color="auto"/>
          </w:divBdr>
          <w:divsChild>
            <w:div w:id="1550536931">
              <w:marLeft w:val="0"/>
              <w:marRight w:val="0"/>
              <w:marTop w:val="0"/>
              <w:marBottom w:val="0"/>
              <w:divBdr>
                <w:top w:val="none" w:sz="0" w:space="0" w:color="auto"/>
                <w:left w:val="none" w:sz="0" w:space="0" w:color="auto"/>
                <w:bottom w:val="none" w:sz="0" w:space="0" w:color="auto"/>
                <w:right w:val="none" w:sz="0" w:space="0" w:color="auto"/>
              </w:divBdr>
              <w:divsChild>
                <w:div w:id="4317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40034">
      <w:bodyDiv w:val="1"/>
      <w:marLeft w:val="0"/>
      <w:marRight w:val="0"/>
      <w:marTop w:val="0"/>
      <w:marBottom w:val="0"/>
      <w:divBdr>
        <w:top w:val="none" w:sz="0" w:space="0" w:color="auto"/>
        <w:left w:val="none" w:sz="0" w:space="0" w:color="auto"/>
        <w:bottom w:val="none" w:sz="0" w:space="0" w:color="auto"/>
        <w:right w:val="none" w:sz="0" w:space="0" w:color="auto"/>
      </w:divBdr>
      <w:divsChild>
        <w:div w:id="1112944913">
          <w:marLeft w:val="0"/>
          <w:marRight w:val="0"/>
          <w:marTop w:val="0"/>
          <w:marBottom w:val="0"/>
          <w:divBdr>
            <w:top w:val="none" w:sz="0" w:space="0" w:color="auto"/>
            <w:left w:val="none" w:sz="0" w:space="0" w:color="auto"/>
            <w:bottom w:val="none" w:sz="0" w:space="0" w:color="auto"/>
            <w:right w:val="none" w:sz="0" w:space="0" w:color="auto"/>
          </w:divBdr>
          <w:divsChild>
            <w:div w:id="926423490">
              <w:marLeft w:val="0"/>
              <w:marRight w:val="0"/>
              <w:marTop w:val="0"/>
              <w:marBottom w:val="0"/>
              <w:divBdr>
                <w:top w:val="none" w:sz="0" w:space="0" w:color="auto"/>
                <w:left w:val="none" w:sz="0" w:space="0" w:color="auto"/>
                <w:bottom w:val="none" w:sz="0" w:space="0" w:color="auto"/>
                <w:right w:val="none" w:sz="0" w:space="0" w:color="auto"/>
              </w:divBdr>
              <w:divsChild>
                <w:div w:id="19600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66">
          <w:marLeft w:val="0"/>
          <w:marRight w:val="0"/>
          <w:marTop w:val="0"/>
          <w:marBottom w:val="0"/>
          <w:divBdr>
            <w:top w:val="none" w:sz="0" w:space="0" w:color="auto"/>
            <w:left w:val="none" w:sz="0" w:space="0" w:color="auto"/>
            <w:bottom w:val="none" w:sz="0" w:space="0" w:color="auto"/>
            <w:right w:val="none" w:sz="0" w:space="0" w:color="auto"/>
          </w:divBdr>
          <w:divsChild>
            <w:div w:id="1603106027">
              <w:marLeft w:val="0"/>
              <w:marRight w:val="0"/>
              <w:marTop w:val="0"/>
              <w:marBottom w:val="0"/>
              <w:divBdr>
                <w:top w:val="none" w:sz="0" w:space="0" w:color="auto"/>
                <w:left w:val="none" w:sz="0" w:space="0" w:color="auto"/>
                <w:bottom w:val="none" w:sz="0" w:space="0" w:color="auto"/>
                <w:right w:val="none" w:sz="0" w:space="0" w:color="auto"/>
              </w:divBdr>
              <w:divsChild>
                <w:div w:id="515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333">
      <w:bodyDiv w:val="1"/>
      <w:marLeft w:val="0"/>
      <w:marRight w:val="0"/>
      <w:marTop w:val="0"/>
      <w:marBottom w:val="0"/>
      <w:divBdr>
        <w:top w:val="none" w:sz="0" w:space="0" w:color="auto"/>
        <w:left w:val="none" w:sz="0" w:space="0" w:color="auto"/>
        <w:bottom w:val="none" w:sz="0" w:space="0" w:color="auto"/>
        <w:right w:val="none" w:sz="0" w:space="0" w:color="auto"/>
      </w:divBdr>
      <w:divsChild>
        <w:div w:id="163398053">
          <w:marLeft w:val="0"/>
          <w:marRight w:val="0"/>
          <w:marTop w:val="0"/>
          <w:marBottom w:val="0"/>
          <w:divBdr>
            <w:top w:val="none" w:sz="0" w:space="0" w:color="auto"/>
            <w:left w:val="none" w:sz="0" w:space="0" w:color="auto"/>
            <w:bottom w:val="none" w:sz="0" w:space="0" w:color="auto"/>
            <w:right w:val="none" w:sz="0" w:space="0" w:color="auto"/>
          </w:divBdr>
          <w:divsChild>
            <w:div w:id="1204833065">
              <w:marLeft w:val="0"/>
              <w:marRight w:val="0"/>
              <w:marTop w:val="0"/>
              <w:marBottom w:val="0"/>
              <w:divBdr>
                <w:top w:val="none" w:sz="0" w:space="0" w:color="auto"/>
                <w:left w:val="none" w:sz="0" w:space="0" w:color="auto"/>
                <w:bottom w:val="none" w:sz="0" w:space="0" w:color="auto"/>
                <w:right w:val="none" w:sz="0" w:space="0" w:color="auto"/>
              </w:divBdr>
              <w:divsChild>
                <w:div w:id="2082411356">
                  <w:marLeft w:val="0"/>
                  <w:marRight w:val="0"/>
                  <w:marTop w:val="0"/>
                  <w:marBottom w:val="0"/>
                  <w:divBdr>
                    <w:top w:val="none" w:sz="0" w:space="0" w:color="auto"/>
                    <w:left w:val="none" w:sz="0" w:space="0" w:color="auto"/>
                    <w:bottom w:val="none" w:sz="0" w:space="0" w:color="auto"/>
                    <w:right w:val="none" w:sz="0" w:space="0" w:color="auto"/>
                  </w:divBdr>
                  <w:divsChild>
                    <w:div w:id="14974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81526">
      <w:bodyDiv w:val="1"/>
      <w:marLeft w:val="0"/>
      <w:marRight w:val="0"/>
      <w:marTop w:val="0"/>
      <w:marBottom w:val="0"/>
      <w:divBdr>
        <w:top w:val="none" w:sz="0" w:space="0" w:color="auto"/>
        <w:left w:val="none" w:sz="0" w:space="0" w:color="auto"/>
        <w:bottom w:val="none" w:sz="0" w:space="0" w:color="auto"/>
        <w:right w:val="none" w:sz="0" w:space="0" w:color="auto"/>
      </w:divBdr>
      <w:divsChild>
        <w:div w:id="803078984">
          <w:marLeft w:val="0"/>
          <w:marRight w:val="0"/>
          <w:marTop w:val="0"/>
          <w:marBottom w:val="0"/>
          <w:divBdr>
            <w:top w:val="none" w:sz="0" w:space="0" w:color="auto"/>
            <w:left w:val="none" w:sz="0" w:space="0" w:color="auto"/>
            <w:bottom w:val="none" w:sz="0" w:space="0" w:color="auto"/>
            <w:right w:val="none" w:sz="0" w:space="0" w:color="auto"/>
          </w:divBdr>
          <w:divsChild>
            <w:div w:id="803036578">
              <w:marLeft w:val="0"/>
              <w:marRight w:val="0"/>
              <w:marTop w:val="0"/>
              <w:marBottom w:val="0"/>
              <w:divBdr>
                <w:top w:val="none" w:sz="0" w:space="0" w:color="auto"/>
                <w:left w:val="none" w:sz="0" w:space="0" w:color="auto"/>
                <w:bottom w:val="none" w:sz="0" w:space="0" w:color="auto"/>
                <w:right w:val="none" w:sz="0" w:space="0" w:color="auto"/>
              </w:divBdr>
              <w:divsChild>
                <w:div w:id="15099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9384">
      <w:bodyDiv w:val="1"/>
      <w:marLeft w:val="0"/>
      <w:marRight w:val="0"/>
      <w:marTop w:val="0"/>
      <w:marBottom w:val="0"/>
      <w:divBdr>
        <w:top w:val="none" w:sz="0" w:space="0" w:color="auto"/>
        <w:left w:val="none" w:sz="0" w:space="0" w:color="auto"/>
        <w:bottom w:val="none" w:sz="0" w:space="0" w:color="auto"/>
        <w:right w:val="none" w:sz="0" w:space="0" w:color="auto"/>
      </w:divBdr>
      <w:divsChild>
        <w:div w:id="345712632">
          <w:marLeft w:val="0"/>
          <w:marRight w:val="0"/>
          <w:marTop w:val="0"/>
          <w:marBottom w:val="0"/>
          <w:divBdr>
            <w:top w:val="none" w:sz="0" w:space="0" w:color="auto"/>
            <w:left w:val="none" w:sz="0" w:space="0" w:color="auto"/>
            <w:bottom w:val="none" w:sz="0" w:space="0" w:color="auto"/>
            <w:right w:val="none" w:sz="0" w:space="0" w:color="auto"/>
          </w:divBdr>
          <w:divsChild>
            <w:div w:id="1193543164">
              <w:marLeft w:val="0"/>
              <w:marRight w:val="0"/>
              <w:marTop w:val="0"/>
              <w:marBottom w:val="0"/>
              <w:divBdr>
                <w:top w:val="none" w:sz="0" w:space="0" w:color="auto"/>
                <w:left w:val="none" w:sz="0" w:space="0" w:color="auto"/>
                <w:bottom w:val="none" w:sz="0" w:space="0" w:color="auto"/>
                <w:right w:val="none" w:sz="0" w:space="0" w:color="auto"/>
              </w:divBdr>
              <w:divsChild>
                <w:div w:id="1738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7799">
      <w:bodyDiv w:val="1"/>
      <w:marLeft w:val="0"/>
      <w:marRight w:val="0"/>
      <w:marTop w:val="0"/>
      <w:marBottom w:val="0"/>
      <w:divBdr>
        <w:top w:val="none" w:sz="0" w:space="0" w:color="auto"/>
        <w:left w:val="none" w:sz="0" w:space="0" w:color="auto"/>
        <w:bottom w:val="none" w:sz="0" w:space="0" w:color="auto"/>
        <w:right w:val="none" w:sz="0" w:space="0" w:color="auto"/>
      </w:divBdr>
      <w:divsChild>
        <w:div w:id="1513183845">
          <w:marLeft w:val="0"/>
          <w:marRight w:val="0"/>
          <w:marTop w:val="0"/>
          <w:marBottom w:val="0"/>
          <w:divBdr>
            <w:top w:val="none" w:sz="0" w:space="0" w:color="auto"/>
            <w:left w:val="none" w:sz="0" w:space="0" w:color="auto"/>
            <w:bottom w:val="none" w:sz="0" w:space="0" w:color="auto"/>
            <w:right w:val="none" w:sz="0" w:space="0" w:color="auto"/>
          </w:divBdr>
          <w:divsChild>
            <w:div w:id="744836270">
              <w:marLeft w:val="0"/>
              <w:marRight w:val="0"/>
              <w:marTop w:val="0"/>
              <w:marBottom w:val="0"/>
              <w:divBdr>
                <w:top w:val="none" w:sz="0" w:space="0" w:color="auto"/>
                <w:left w:val="none" w:sz="0" w:space="0" w:color="auto"/>
                <w:bottom w:val="none" w:sz="0" w:space="0" w:color="auto"/>
                <w:right w:val="none" w:sz="0" w:space="0" w:color="auto"/>
              </w:divBdr>
              <w:divsChild>
                <w:div w:id="19305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77926">
      <w:bodyDiv w:val="1"/>
      <w:marLeft w:val="0"/>
      <w:marRight w:val="0"/>
      <w:marTop w:val="0"/>
      <w:marBottom w:val="0"/>
      <w:divBdr>
        <w:top w:val="none" w:sz="0" w:space="0" w:color="auto"/>
        <w:left w:val="none" w:sz="0" w:space="0" w:color="auto"/>
        <w:bottom w:val="none" w:sz="0" w:space="0" w:color="auto"/>
        <w:right w:val="none" w:sz="0" w:space="0" w:color="auto"/>
      </w:divBdr>
      <w:divsChild>
        <w:div w:id="1786461258">
          <w:marLeft w:val="0"/>
          <w:marRight w:val="0"/>
          <w:marTop w:val="0"/>
          <w:marBottom w:val="0"/>
          <w:divBdr>
            <w:top w:val="none" w:sz="0" w:space="0" w:color="auto"/>
            <w:left w:val="none" w:sz="0" w:space="0" w:color="auto"/>
            <w:bottom w:val="none" w:sz="0" w:space="0" w:color="auto"/>
            <w:right w:val="none" w:sz="0" w:space="0" w:color="auto"/>
          </w:divBdr>
          <w:divsChild>
            <w:div w:id="361781427">
              <w:marLeft w:val="0"/>
              <w:marRight w:val="0"/>
              <w:marTop w:val="0"/>
              <w:marBottom w:val="0"/>
              <w:divBdr>
                <w:top w:val="none" w:sz="0" w:space="0" w:color="auto"/>
                <w:left w:val="none" w:sz="0" w:space="0" w:color="auto"/>
                <w:bottom w:val="none" w:sz="0" w:space="0" w:color="auto"/>
                <w:right w:val="none" w:sz="0" w:space="0" w:color="auto"/>
              </w:divBdr>
              <w:divsChild>
                <w:div w:id="10072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78696">
      <w:bodyDiv w:val="1"/>
      <w:marLeft w:val="0"/>
      <w:marRight w:val="0"/>
      <w:marTop w:val="0"/>
      <w:marBottom w:val="0"/>
      <w:divBdr>
        <w:top w:val="none" w:sz="0" w:space="0" w:color="auto"/>
        <w:left w:val="none" w:sz="0" w:space="0" w:color="auto"/>
        <w:bottom w:val="none" w:sz="0" w:space="0" w:color="auto"/>
        <w:right w:val="none" w:sz="0" w:space="0" w:color="auto"/>
      </w:divBdr>
    </w:div>
    <w:div w:id="1798597290">
      <w:bodyDiv w:val="1"/>
      <w:marLeft w:val="0"/>
      <w:marRight w:val="0"/>
      <w:marTop w:val="0"/>
      <w:marBottom w:val="0"/>
      <w:divBdr>
        <w:top w:val="none" w:sz="0" w:space="0" w:color="auto"/>
        <w:left w:val="none" w:sz="0" w:space="0" w:color="auto"/>
        <w:bottom w:val="none" w:sz="0" w:space="0" w:color="auto"/>
        <w:right w:val="none" w:sz="0" w:space="0" w:color="auto"/>
      </w:divBdr>
    </w:div>
    <w:div w:id="1800344415">
      <w:bodyDiv w:val="1"/>
      <w:marLeft w:val="0"/>
      <w:marRight w:val="0"/>
      <w:marTop w:val="0"/>
      <w:marBottom w:val="0"/>
      <w:divBdr>
        <w:top w:val="none" w:sz="0" w:space="0" w:color="auto"/>
        <w:left w:val="none" w:sz="0" w:space="0" w:color="auto"/>
        <w:bottom w:val="none" w:sz="0" w:space="0" w:color="auto"/>
        <w:right w:val="none" w:sz="0" w:space="0" w:color="auto"/>
      </w:divBdr>
      <w:divsChild>
        <w:div w:id="1801653823">
          <w:marLeft w:val="0"/>
          <w:marRight w:val="0"/>
          <w:marTop w:val="0"/>
          <w:marBottom w:val="0"/>
          <w:divBdr>
            <w:top w:val="none" w:sz="0" w:space="0" w:color="auto"/>
            <w:left w:val="none" w:sz="0" w:space="0" w:color="auto"/>
            <w:bottom w:val="none" w:sz="0" w:space="0" w:color="auto"/>
            <w:right w:val="none" w:sz="0" w:space="0" w:color="auto"/>
          </w:divBdr>
        </w:div>
        <w:div w:id="525944951">
          <w:marLeft w:val="0"/>
          <w:marRight w:val="0"/>
          <w:marTop w:val="0"/>
          <w:marBottom w:val="0"/>
          <w:divBdr>
            <w:top w:val="none" w:sz="0" w:space="0" w:color="auto"/>
            <w:left w:val="none" w:sz="0" w:space="0" w:color="auto"/>
            <w:bottom w:val="none" w:sz="0" w:space="0" w:color="auto"/>
            <w:right w:val="none" w:sz="0" w:space="0" w:color="auto"/>
          </w:divBdr>
        </w:div>
        <w:div w:id="757597211">
          <w:marLeft w:val="0"/>
          <w:marRight w:val="0"/>
          <w:marTop w:val="0"/>
          <w:marBottom w:val="0"/>
          <w:divBdr>
            <w:top w:val="none" w:sz="0" w:space="0" w:color="auto"/>
            <w:left w:val="none" w:sz="0" w:space="0" w:color="auto"/>
            <w:bottom w:val="none" w:sz="0" w:space="0" w:color="auto"/>
            <w:right w:val="none" w:sz="0" w:space="0" w:color="auto"/>
          </w:divBdr>
        </w:div>
        <w:div w:id="35860962">
          <w:marLeft w:val="0"/>
          <w:marRight w:val="0"/>
          <w:marTop w:val="0"/>
          <w:marBottom w:val="0"/>
          <w:divBdr>
            <w:top w:val="none" w:sz="0" w:space="0" w:color="auto"/>
            <w:left w:val="none" w:sz="0" w:space="0" w:color="auto"/>
            <w:bottom w:val="none" w:sz="0" w:space="0" w:color="auto"/>
            <w:right w:val="none" w:sz="0" w:space="0" w:color="auto"/>
          </w:divBdr>
        </w:div>
        <w:div w:id="1229875755">
          <w:marLeft w:val="0"/>
          <w:marRight w:val="0"/>
          <w:marTop w:val="0"/>
          <w:marBottom w:val="0"/>
          <w:divBdr>
            <w:top w:val="none" w:sz="0" w:space="0" w:color="auto"/>
            <w:left w:val="none" w:sz="0" w:space="0" w:color="auto"/>
            <w:bottom w:val="none" w:sz="0" w:space="0" w:color="auto"/>
            <w:right w:val="none" w:sz="0" w:space="0" w:color="auto"/>
          </w:divBdr>
        </w:div>
        <w:div w:id="512955660">
          <w:marLeft w:val="0"/>
          <w:marRight w:val="0"/>
          <w:marTop w:val="0"/>
          <w:marBottom w:val="0"/>
          <w:divBdr>
            <w:top w:val="none" w:sz="0" w:space="0" w:color="auto"/>
            <w:left w:val="none" w:sz="0" w:space="0" w:color="auto"/>
            <w:bottom w:val="none" w:sz="0" w:space="0" w:color="auto"/>
            <w:right w:val="none" w:sz="0" w:space="0" w:color="auto"/>
          </w:divBdr>
        </w:div>
        <w:div w:id="233974614">
          <w:marLeft w:val="0"/>
          <w:marRight w:val="0"/>
          <w:marTop w:val="0"/>
          <w:marBottom w:val="0"/>
          <w:divBdr>
            <w:top w:val="none" w:sz="0" w:space="0" w:color="auto"/>
            <w:left w:val="none" w:sz="0" w:space="0" w:color="auto"/>
            <w:bottom w:val="none" w:sz="0" w:space="0" w:color="auto"/>
            <w:right w:val="none" w:sz="0" w:space="0" w:color="auto"/>
          </w:divBdr>
        </w:div>
        <w:div w:id="93064227">
          <w:marLeft w:val="0"/>
          <w:marRight w:val="0"/>
          <w:marTop w:val="0"/>
          <w:marBottom w:val="0"/>
          <w:divBdr>
            <w:top w:val="none" w:sz="0" w:space="0" w:color="auto"/>
            <w:left w:val="none" w:sz="0" w:space="0" w:color="auto"/>
            <w:bottom w:val="none" w:sz="0" w:space="0" w:color="auto"/>
            <w:right w:val="none" w:sz="0" w:space="0" w:color="auto"/>
          </w:divBdr>
        </w:div>
        <w:div w:id="508495136">
          <w:marLeft w:val="0"/>
          <w:marRight w:val="0"/>
          <w:marTop w:val="0"/>
          <w:marBottom w:val="0"/>
          <w:divBdr>
            <w:top w:val="none" w:sz="0" w:space="0" w:color="auto"/>
            <w:left w:val="none" w:sz="0" w:space="0" w:color="auto"/>
            <w:bottom w:val="none" w:sz="0" w:space="0" w:color="auto"/>
            <w:right w:val="none" w:sz="0" w:space="0" w:color="auto"/>
          </w:divBdr>
        </w:div>
        <w:div w:id="321592737">
          <w:marLeft w:val="0"/>
          <w:marRight w:val="0"/>
          <w:marTop w:val="0"/>
          <w:marBottom w:val="0"/>
          <w:divBdr>
            <w:top w:val="none" w:sz="0" w:space="0" w:color="auto"/>
            <w:left w:val="none" w:sz="0" w:space="0" w:color="auto"/>
            <w:bottom w:val="none" w:sz="0" w:space="0" w:color="auto"/>
            <w:right w:val="none" w:sz="0" w:space="0" w:color="auto"/>
          </w:divBdr>
        </w:div>
        <w:div w:id="829642221">
          <w:marLeft w:val="0"/>
          <w:marRight w:val="0"/>
          <w:marTop w:val="0"/>
          <w:marBottom w:val="0"/>
          <w:divBdr>
            <w:top w:val="none" w:sz="0" w:space="0" w:color="auto"/>
            <w:left w:val="none" w:sz="0" w:space="0" w:color="auto"/>
            <w:bottom w:val="none" w:sz="0" w:space="0" w:color="auto"/>
            <w:right w:val="none" w:sz="0" w:space="0" w:color="auto"/>
          </w:divBdr>
        </w:div>
        <w:div w:id="1939487375">
          <w:marLeft w:val="0"/>
          <w:marRight w:val="0"/>
          <w:marTop w:val="0"/>
          <w:marBottom w:val="0"/>
          <w:divBdr>
            <w:top w:val="none" w:sz="0" w:space="0" w:color="auto"/>
            <w:left w:val="none" w:sz="0" w:space="0" w:color="auto"/>
            <w:bottom w:val="none" w:sz="0" w:space="0" w:color="auto"/>
            <w:right w:val="none" w:sz="0" w:space="0" w:color="auto"/>
          </w:divBdr>
        </w:div>
        <w:div w:id="163479110">
          <w:marLeft w:val="0"/>
          <w:marRight w:val="0"/>
          <w:marTop w:val="0"/>
          <w:marBottom w:val="0"/>
          <w:divBdr>
            <w:top w:val="none" w:sz="0" w:space="0" w:color="auto"/>
            <w:left w:val="none" w:sz="0" w:space="0" w:color="auto"/>
            <w:bottom w:val="none" w:sz="0" w:space="0" w:color="auto"/>
            <w:right w:val="none" w:sz="0" w:space="0" w:color="auto"/>
          </w:divBdr>
        </w:div>
        <w:div w:id="1672947888">
          <w:marLeft w:val="0"/>
          <w:marRight w:val="0"/>
          <w:marTop w:val="0"/>
          <w:marBottom w:val="0"/>
          <w:divBdr>
            <w:top w:val="none" w:sz="0" w:space="0" w:color="auto"/>
            <w:left w:val="none" w:sz="0" w:space="0" w:color="auto"/>
            <w:bottom w:val="none" w:sz="0" w:space="0" w:color="auto"/>
            <w:right w:val="none" w:sz="0" w:space="0" w:color="auto"/>
          </w:divBdr>
        </w:div>
      </w:divsChild>
    </w:div>
    <w:div w:id="1844588305">
      <w:bodyDiv w:val="1"/>
      <w:marLeft w:val="0"/>
      <w:marRight w:val="0"/>
      <w:marTop w:val="0"/>
      <w:marBottom w:val="0"/>
      <w:divBdr>
        <w:top w:val="none" w:sz="0" w:space="0" w:color="auto"/>
        <w:left w:val="none" w:sz="0" w:space="0" w:color="auto"/>
        <w:bottom w:val="none" w:sz="0" w:space="0" w:color="auto"/>
        <w:right w:val="none" w:sz="0" w:space="0" w:color="auto"/>
      </w:divBdr>
    </w:div>
    <w:div w:id="1876505118">
      <w:bodyDiv w:val="1"/>
      <w:marLeft w:val="0"/>
      <w:marRight w:val="0"/>
      <w:marTop w:val="0"/>
      <w:marBottom w:val="0"/>
      <w:divBdr>
        <w:top w:val="none" w:sz="0" w:space="0" w:color="auto"/>
        <w:left w:val="none" w:sz="0" w:space="0" w:color="auto"/>
        <w:bottom w:val="none" w:sz="0" w:space="0" w:color="auto"/>
        <w:right w:val="none" w:sz="0" w:space="0" w:color="auto"/>
      </w:divBdr>
    </w:div>
    <w:div w:id="1879199561">
      <w:bodyDiv w:val="1"/>
      <w:marLeft w:val="0"/>
      <w:marRight w:val="0"/>
      <w:marTop w:val="0"/>
      <w:marBottom w:val="0"/>
      <w:divBdr>
        <w:top w:val="none" w:sz="0" w:space="0" w:color="auto"/>
        <w:left w:val="none" w:sz="0" w:space="0" w:color="auto"/>
        <w:bottom w:val="none" w:sz="0" w:space="0" w:color="auto"/>
        <w:right w:val="none" w:sz="0" w:space="0" w:color="auto"/>
      </w:divBdr>
    </w:div>
    <w:div w:id="1888879346">
      <w:bodyDiv w:val="1"/>
      <w:marLeft w:val="0"/>
      <w:marRight w:val="0"/>
      <w:marTop w:val="0"/>
      <w:marBottom w:val="0"/>
      <w:divBdr>
        <w:top w:val="none" w:sz="0" w:space="0" w:color="auto"/>
        <w:left w:val="none" w:sz="0" w:space="0" w:color="auto"/>
        <w:bottom w:val="none" w:sz="0" w:space="0" w:color="auto"/>
        <w:right w:val="none" w:sz="0" w:space="0" w:color="auto"/>
      </w:divBdr>
    </w:div>
    <w:div w:id="1909655875">
      <w:bodyDiv w:val="1"/>
      <w:marLeft w:val="0"/>
      <w:marRight w:val="0"/>
      <w:marTop w:val="0"/>
      <w:marBottom w:val="0"/>
      <w:divBdr>
        <w:top w:val="none" w:sz="0" w:space="0" w:color="auto"/>
        <w:left w:val="none" w:sz="0" w:space="0" w:color="auto"/>
        <w:bottom w:val="none" w:sz="0" w:space="0" w:color="auto"/>
        <w:right w:val="none" w:sz="0" w:space="0" w:color="auto"/>
      </w:divBdr>
    </w:div>
    <w:div w:id="1927424450">
      <w:bodyDiv w:val="1"/>
      <w:marLeft w:val="0"/>
      <w:marRight w:val="0"/>
      <w:marTop w:val="0"/>
      <w:marBottom w:val="0"/>
      <w:divBdr>
        <w:top w:val="none" w:sz="0" w:space="0" w:color="auto"/>
        <w:left w:val="none" w:sz="0" w:space="0" w:color="auto"/>
        <w:bottom w:val="none" w:sz="0" w:space="0" w:color="auto"/>
        <w:right w:val="none" w:sz="0" w:space="0" w:color="auto"/>
      </w:divBdr>
      <w:divsChild>
        <w:div w:id="95759936">
          <w:marLeft w:val="0"/>
          <w:marRight w:val="0"/>
          <w:marTop w:val="0"/>
          <w:marBottom w:val="0"/>
          <w:divBdr>
            <w:top w:val="none" w:sz="0" w:space="0" w:color="auto"/>
            <w:left w:val="none" w:sz="0" w:space="0" w:color="auto"/>
            <w:bottom w:val="none" w:sz="0" w:space="0" w:color="auto"/>
            <w:right w:val="none" w:sz="0" w:space="0" w:color="auto"/>
          </w:divBdr>
        </w:div>
        <w:div w:id="1896155688">
          <w:marLeft w:val="0"/>
          <w:marRight w:val="0"/>
          <w:marTop w:val="0"/>
          <w:marBottom w:val="0"/>
          <w:divBdr>
            <w:top w:val="none" w:sz="0" w:space="0" w:color="auto"/>
            <w:left w:val="none" w:sz="0" w:space="0" w:color="auto"/>
            <w:bottom w:val="none" w:sz="0" w:space="0" w:color="auto"/>
            <w:right w:val="none" w:sz="0" w:space="0" w:color="auto"/>
          </w:divBdr>
        </w:div>
        <w:div w:id="853954180">
          <w:marLeft w:val="0"/>
          <w:marRight w:val="0"/>
          <w:marTop w:val="0"/>
          <w:marBottom w:val="0"/>
          <w:divBdr>
            <w:top w:val="none" w:sz="0" w:space="0" w:color="auto"/>
            <w:left w:val="none" w:sz="0" w:space="0" w:color="auto"/>
            <w:bottom w:val="none" w:sz="0" w:space="0" w:color="auto"/>
            <w:right w:val="none" w:sz="0" w:space="0" w:color="auto"/>
          </w:divBdr>
        </w:div>
        <w:div w:id="1242452200">
          <w:marLeft w:val="0"/>
          <w:marRight w:val="0"/>
          <w:marTop w:val="0"/>
          <w:marBottom w:val="0"/>
          <w:divBdr>
            <w:top w:val="none" w:sz="0" w:space="0" w:color="auto"/>
            <w:left w:val="none" w:sz="0" w:space="0" w:color="auto"/>
            <w:bottom w:val="none" w:sz="0" w:space="0" w:color="auto"/>
            <w:right w:val="none" w:sz="0" w:space="0" w:color="auto"/>
          </w:divBdr>
        </w:div>
        <w:div w:id="41635418">
          <w:marLeft w:val="0"/>
          <w:marRight w:val="0"/>
          <w:marTop w:val="0"/>
          <w:marBottom w:val="0"/>
          <w:divBdr>
            <w:top w:val="none" w:sz="0" w:space="0" w:color="auto"/>
            <w:left w:val="none" w:sz="0" w:space="0" w:color="auto"/>
            <w:bottom w:val="none" w:sz="0" w:space="0" w:color="auto"/>
            <w:right w:val="none" w:sz="0" w:space="0" w:color="auto"/>
          </w:divBdr>
        </w:div>
        <w:div w:id="51657673">
          <w:marLeft w:val="0"/>
          <w:marRight w:val="0"/>
          <w:marTop w:val="0"/>
          <w:marBottom w:val="0"/>
          <w:divBdr>
            <w:top w:val="none" w:sz="0" w:space="0" w:color="auto"/>
            <w:left w:val="none" w:sz="0" w:space="0" w:color="auto"/>
            <w:bottom w:val="none" w:sz="0" w:space="0" w:color="auto"/>
            <w:right w:val="none" w:sz="0" w:space="0" w:color="auto"/>
          </w:divBdr>
        </w:div>
        <w:div w:id="413167885">
          <w:marLeft w:val="0"/>
          <w:marRight w:val="0"/>
          <w:marTop w:val="0"/>
          <w:marBottom w:val="0"/>
          <w:divBdr>
            <w:top w:val="none" w:sz="0" w:space="0" w:color="auto"/>
            <w:left w:val="none" w:sz="0" w:space="0" w:color="auto"/>
            <w:bottom w:val="none" w:sz="0" w:space="0" w:color="auto"/>
            <w:right w:val="none" w:sz="0" w:space="0" w:color="auto"/>
          </w:divBdr>
        </w:div>
        <w:div w:id="709112859">
          <w:marLeft w:val="0"/>
          <w:marRight w:val="0"/>
          <w:marTop w:val="0"/>
          <w:marBottom w:val="0"/>
          <w:divBdr>
            <w:top w:val="none" w:sz="0" w:space="0" w:color="auto"/>
            <w:left w:val="none" w:sz="0" w:space="0" w:color="auto"/>
            <w:bottom w:val="none" w:sz="0" w:space="0" w:color="auto"/>
            <w:right w:val="none" w:sz="0" w:space="0" w:color="auto"/>
          </w:divBdr>
        </w:div>
        <w:div w:id="401175065">
          <w:marLeft w:val="0"/>
          <w:marRight w:val="0"/>
          <w:marTop w:val="0"/>
          <w:marBottom w:val="0"/>
          <w:divBdr>
            <w:top w:val="none" w:sz="0" w:space="0" w:color="auto"/>
            <w:left w:val="none" w:sz="0" w:space="0" w:color="auto"/>
            <w:bottom w:val="none" w:sz="0" w:space="0" w:color="auto"/>
            <w:right w:val="none" w:sz="0" w:space="0" w:color="auto"/>
          </w:divBdr>
        </w:div>
        <w:div w:id="1242522696">
          <w:marLeft w:val="0"/>
          <w:marRight w:val="0"/>
          <w:marTop w:val="0"/>
          <w:marBottom w:val="0"/>
          <w:divBdr>
            <w:top w:val="none" w:sz="0" w:space="0" w:color="auto"/>
            <w:left w:val="none" w:sz="0" w:space="0" w:color="auto"/>
            <w:bottom w:val="none" w:sz="0" w:space="0" w:color="auto"/>
            <w:right w:val="none" w:sz="0" w:space="0" w:color="auto"/>
          </w:divBdr>
        </w:div>
        <w:div w:id="1032926125">
          <w:marLeft w:val="0"/>
          <w:marRight w:val="0"/>
          <w:marTop w:val="0"/>
          <w:marBottom w:val="0"/>
          <w:divBdr>
            <w:top w:val="none" w:sz="0" w:space="0" w:color="auto"/>
            <w:left w:val="none" w:sz="0" w:space="0" w:color="auto"/>
            <w:bottom w:val="none" w:sz="0" w:space="0" w:color="auto"/>
            <w:right w:val="none" w:sz="0" w:space="0" w:color="auto"/>
          </w:divBdr>
        </w:div>
        <w:div w:id="343170515">
          <w:marLeft w:val="0"/>
          <w:marRight w:val="0"/>
          <w:marTop w:val="0"/>
          <w:marBottom w:val="0"/>
          <w:divBdr>
            <w:top w:val="none" w:sz="0" w:space="0" w:color="auto"/>
            <w:left w:val="none" w:sz="0" w:space="0" w:color="auto"/>
            <w:bottom w:val="none" w:sz="0" w:space="0" w:color="auto"/>
            <w:right w:val="none" w:sz="0" w:space="0" w:color="auto"/>
          </w:divBdr>
        </w:div>
        <w:div w:id="2086144750">
          <w:marLeft w:val="0"/>
          <w:marRight w:val="0"/>
          <w:marTop w:val="0"/>
          <w:marBottom w:val="0"/>
          <w:divBdr>
            <w:top w:val="none" w:sz="0" w:space="0" w:color="auto"/>
            <w:left w:val="none" w:sz="0" w:space="0" w:color="auto"/>
            <w:bottom w:val="none" w:sz="0" w:space="0" w:color="auto"/>
            <w:right w:val="none" w:sz="0" w:space="0" w:color="auto"/>
          </w:divBdr>
        </w:div>
        <w:div w:id="1622565979">
          <w:marLeft w:val="0"/>
          <w:marRight w:val="0"/>
          <w:marTop w:val="0"/>
          <w:marBottom w:val="0"/>
          <w:divBdr>
            <w:top w:val="none" w:sz="0" w:space="0" w:color="auto"/>
            <w:left w:val="none" w:sz="0" w:space="0" w:color="auto"/>
            <w:bottom w:val="none" w:sz="0" w:space="0" w:color="auto"/>
            <w:right w:val="none" w:sz="0" w:space="0" w:color="auto"/>
          </w:divBdr>
        </w:div>
        <w:div w:id="456720571">
          <w:marLeft w:val="0"/>
          <w:marRight w:val="0"/>
          <w:marTop w:val="0"/>
          <w:marBottom w:val="0"/>
          <w:divBdr>
            <w:top w:val="none" w:sz="0" w:space="0" w:color="auto"/>
            <w:left w:val="none" w:sz="0" w:space="0" w:color="auto"/>
            <w:bottom w:val="none" w:sz="0" w:space="0" w:color="auto"/>
            <w:right w:val="none" w:sz="0" w:space="0" w:color="auto"/>
          </w:divBdr>
        </w:div>
        <w:div w:id="120417527">
          <w:marLeft w:val="0"/>
          <w:marRight w:val="0"/>
          <w:marTop w:val="0"/>
          <w:marBottom w:val="0"/>
          <w:divBdr>
            <w:top w:val="none" w:sz="0" w:space="0" w:color="auto"/>
            <w:left w:val="none" w:sz="0" w:space="0" w:color="auto"/>
            <w:bottom w:val="none" w:sz="0" w:space="0" w:color="auto"/>
            <w:right w:val="none" w:sz="0" w:space="0" w:color="auto"/>
          </w:divBdr>
        </w:div>
      </w:divsChild>
    </w:div>
    <w:div w:id="1944222735">
      <w:bodyDiv w:val="1"/>
      <w:marLeft w:val="0"/>
      <w:marRight w:val="0"/>
      <w:marTop w:val="0"/>
      <w:marBottom w:val="0"/>
      <w:divBdr>
        <w:top w:val="none" w:sz="0" w:space="0" w:color="auto"/>
        <w:left w:val="none" w:sz="0" w:space="0" w:color="auto"/>
        <w:bottom w:val="none" w:sz="0" w:space="0" w:color="auto"/>
        <w:right w:val="none" w:sz="0" w:space="0" w:color="auto"/>
      </w:divBdr>
      <w:divsChild>
        <w:div w:id="1656493674">
          <w:marLeft w:val="0"/>
          <w:marRight w:val="0"/>
          <w:marTop w:val="0"/>
          <w:marBottom w:val="0"/>
          <w:divBdr>
            <w:top w:val="none" w:sz="0" w:space="0" w:color="auto"/>
            <w:left w:val="none" w:sz="0" w:space="0" w:color="auto"/>
            <w:bottom w:val="none" w:sz="0" w:space="0" w:color="auto"/>
            <w:right w:val="none" w:sz="0" w:space="0" w:color="auto"/>
          </w:divBdr>
          <w:divsChild>
            <w:div w:id="678315252">
              <w:marLeft w:val="0"/>
              <w:marRight w:val="0"/>
              <w:marTop w:val="0"/>
              <w:marBottom w:val="0"/>
              <w:divBdr>
                <w:top w:val="none" w:sz="0" w:space="0" w:color="auto"/>
                <w:left w:val="none" w:sz="0" w:space="0" w:color="auto"/>
                <w:bottom w:val="none" w:sz="0" w:space="0" w:color="auto"/>
                <w:right w:val="none" w:sz="0" w:space="0" w:color="auto"/>
              </w:divBdr>
              <w:divsChild>
                <w:div w:id="770324131">
                  <w:marLeft w:val="0"/>
                  <w:marRight w:val="0"/>
                  <w:marTop w:val="0"/>
                  <w:marBottom w:val="0"/>
                  <w:divBdr>
                    <w:top w:val="none" w:sz="0" w:space="0" w:color="auto"/>
                    <w:left w:val="none" w:sz="0" w:space="0" w:color="auto"/>
                    <w:bottom w:val="none" w:sz="0" w:space="0" w:color="auto"/>
                    <w:right w:val="none" w:sz="0" w:space="0" w:color="auto"/>
                  </w:divBdr>
                  <w:divsChild>
                    <w:div w:id="1675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30181">
      <w:bodyDiv w:val="1"/>
      <w:marLeft w:val="0"/>
      <w:marRight w:val="0"/>
      <w:marTop w:val="0"/>
      <w:marBottom w:val="0"/>
      <w:divBdr>
        <w:top w:val="none" w:sz="0" w:space="0" w:color="auto"/>
        <w:left w:val="none" w:sz="0" w:space="0" w:color="auto"/>
        <w:bottom w:val="none" w:sz="0" w:space="0" w:color="auto"/>
        <w:right w:val="none" w:sz="0" w:space="0" w:color="auto"/>
      </w:divBdr>
      <w:divsChild>
        <w:div w:id="431978647">
          <w:marLeft w:val="0"/>
          <w:marRight w:val="0"/>
          <w:marTop w:val="0"/>
          <w:marBottom w:val="0"/>
          <w:divBdr>
            <w:top w:val="none" w:sz="0" w:space="0" w:color="auto"/>
            <w:left w:val="none" w:sz="0" w:space="0" w:color="auto"/>
            <w:bottom w:val="none" w:sz="0" w:space="0" w:color="auto"/>
            <w:right w:val="none" w:sz="0" w:space="0" w:color="auto"/>
          </w:divBdr>
          <w:divsChild>
            <w:div w:id="1518081710">
              <w:marLeft w:val="0"/>
              <w:marRight w:val="0"/>
              <w:marTop w:val="0"/>
              <w:marBottom w:val="0"/>
              <w:divBdr>
                <w:top w:val="none" w:sz="0" w:space="0" w:color="auto"/>
                <w:left w:val="none" w:sz="0" w:space="0" w:color="auto"/>
                <w:bottom w:val="none" w:sz="0" w:space="0" w:color="auto"/>
                <w:right w:val="none" w:sz="0" w:space="0" w:color="auto"/>
              </w:divBdr>
              <w:divsChild>
                <w:div w:id="9991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4310">
      <w:bodyDiv w:val="1"/>
      <w:marLeft w:val="0"/>
      <w:marRight w:val="0"/>
      <w:marTop w:val="0"/>
      <w:marBottom w:val="0"/>
      <w:divBdr>
        <w:top w:val="none" w:sz="0" w:space="0" w:color="auto"/>
        <w:left w:val="none" w:sz="0" w:space="0" w:color="auto"/>
        <w:bottom w:val="none" w:sz="0" w:space="0" w:color="auto"/>
        <w:right w:val="none" w:sz="0" w:space="0" w:color="auto"/>
      </w:divBdr>
    </w:div>
    <w:div w:id="2005551045">
      <w:bodyDiv w:val="1"/>
      <w:marLeft w:val="0"/>
      <w:marRight w:val="0"/>
      <w:marTop w:val="0"/>
      <w:marBottom w:val="0"/>
      <w:divBdr>
        <w:top w:val="none" w:sz="0" w:space="0" w:color="auto"/>
        <w:left w:val="none" w:sz="0" w:space="0" w:color="auto"/>
        <w:bottom w:val="none" w:sz="0" w:space="0" w:color="auto"/>
        <w:right w:val="none" w:sz="0" w:space="0" w:color="auto"/>
      </w:divBdr>
    </w:div>
    <w:div w:id="2013875503">
      <w:bodyDiv w:val="1"/>
      <w:marLeft w:val="0"/>
      <w:marRight w:val="0"/>
      <w:marTop w:val="0"/>
      <w:marBottom w:val="0"/>
      <w:divBdr>
        <w:top w:val="none" w:sz="0" w:space="0" w:color="auto"/>
        <w:left w:val="none" w:sz="0" w:space="0" w:color="auto"/>
        <w:bottom w:val="none" w:sz="0" w:space="0" w:color="auto"/>
        <w:right w:val="none" w:sz="0" w:space="0" w:color="auto"/>
      </w:divBdr>
      <w:divsChild>
        <w:div w:id="369107279">
          <w:marLeft w:val="0"/>
          <w:marRight w:val="0"/>
          <w:marTop w:val="0"/>
          <w:marBottom w:val="0"/>
          <w:divBdr>
            <w:top w:val="none" w:sz="0" w:space="0" w:color="auto"/>
            <w:left w:val="none" w:sz="0" w:space="0" w:color="auto"/>
            <w:bottom w:val="none" w:sz="0" w:space="0" w:color="auto"/>
            <w:right w:val="none" w:sz="0" w:space="0" w:color="auto"/>
          </w:divBdr>
          <w:divsChild>
            <w:div w:id="895510062">
              <w:marLeft w:val="0"/>
              <w:marRight w:val="0"/>
              <w:marTop w:val="0"/>
              <w:marBottom w:val="0"/>
              <w:divBdr>
                <w:top w:val="none" w:sz="0" w:space="0" w:color="auto"/>
                <w:left w:val="none" w:sz="0" w:space="0" w:color="auto"/>
                <w:bottom w:val="none" w:sz="0" w:space="0" w:color="auto"/>
                <w:right w:val="none" w:sz="0" w:space="0" w:color="auto"/>
              </w:divBdr>
              <w:divsChild>
                <w:div w:id="15637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51838">
      <w:bodyDiv w:val="1"/>
      <w:marLeft w:val="0"/>
      <w:marRight w:val="0"/>
      <w:marTop w:val="0"/>
      <w:marBottom w:val="0"/>
      <w:divBdr>
        <w:top w:val="none" w:sz="0" w:space="0" w:color="auto"/>
        <w:left w:val="none" w:sz="0" w:space="0" w:color="auto"/>
        <w:bottom w:val="none" w:sz="0" w:space="0" w:color="auto"/>
        <w:right w:val="none" w:sz="0" w:space="0" w:color="auto"/>
      </w:divBdr>
      <w:divsChild>
        <w:div w:id="1412701606">
          <w:marLeft w:val="0"/>
          <w:marRight w:val="0"/>
          <w:marTop w:val="0"/>
          <w:marBottom w:val="0"/>
          <w:divBdr>
            <w:top w:val="none" w:sz="0" w:space="0" w:color="auto"/>
            <w:left w:val="none" w:sz="0" w:space="0" w:color="auto"/>
            <w:bottom w:val="none" w:sz="0" w:space="0" w:color="auto"/>
            <w:right w:val="none" w:sz="0" w:space="0" w:color="auto"/>
          </w:divBdr>
          <w:divsChild>
            <w:div w:id="1360820331">
              <w:marLeft w:val="0"/>
              <w:marRight w:val="0"/>
              <w:marTop w:val="0"/>
              <w:marBottom w:val="0"/>
              <w:divBdr>
                <w:top w:val="none" w:sz="0" w:space="0" w:color="auto"/>
                <w:left w:val="none" w:sz="0" w:space="0" w:color="auto"/>
                <w:bottom w:val="none" w:sz="0" w:space="0" w:color="auto"/>
                <w:right w:val="none" w:sz="0" w:space="0" w:color="auto"/>
              </w:divBdr>
              <w:divsChild>
                <w:div w:id="470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5291">
      <w:bodyDiv w:val="1"/>
      <w:marLeft w:val="0"/>
      <w:marRight w:val="0"/>
      <w:marTop w:val="0"/>
      <w:marBottom w:val="0"/>
      <w:divBdr>
        <w:top w:val="none" w:sz="0" w:space="0" w:color="auto"/>
        <w:left w:val="none" w:sz="0" w:space="0" w:color="auto"/>
        <w:bottom w:val="none" w:sz="0" w:space="0" w:color="auto"/>
        <w:right w:val="none" w:sz="0" w:space="0" w:color="auto"/>
      </w:divBdr>
      <w:divsChild>
        <w:div w:id="350685047">
          <w:marLeft w:val="0"/>
          <w:marRight w:val="0"/>
          <w:marTop w:val="0"/>
          <w:marBottom w:val="0"/>
          <w:divBdr>
            <w:top w:val="none" w:sz="0" w:space="0" w:color="auto"/>
            <w:left w:val="none" w:sz="0" w:space="0" w:color="auto"/>
            <w:bottom w:val="none" w:sz="0" w:space="0" w:color="auto"/>
            <w:right w:val="none" w:sz="0" w:space="0" w:color="auto"/>
          </w:divBdr>
          <w:divsChild>
            <w:div w:id="448671948">
              <w:marLeft w:val="0"/>
              <w:marRight w:val="0"/>
              <w:marTop w:val="0"/>
              <w:marBottom w:val="0"/>
              <w:divBdr>
                <w:top w:val="none" w:sz="0" w:space="0" w:color="auto"/>
                <w:left w:val="none" w:sz="0" w:space="0" w:color="auto"/>
                <w:bottom w:val="none" w:sz="0" w:space="0" w:color="auto"/>
                <w:right w:val="none" w:sz="0" w:space="0" w:color="auto"/>
              </w:divBdr>
              <w:divsChild>
                <w:div w:id="14568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7810">
      <w:bodyDiv w:val="1"/>
      <w:marLeft w:val="0"/>
      <w:marRight w:val="0"/>
      <w:marTop w:val="0"/>
      <w:marBottom w:val="0"/>
      <w:divBdr>
        <w:top w:val="none" w:sz="0" w:space="0" w:color="auto"/>
        <w:left w:val="none" w:sz="0" w:space="0" w:color="auto"/>
        <w:bottom w:val="none" w:sz="0" w:space="0" w:color="auto"/>
        <w:right w:val="none" w:sz="0" w:space="0" w:color="auto"/>
      </w:divBdr>
    </w:div>
    <w:div w:id="2134129118">
      <w:bodyDiv w:val="1"/>
      <w:marLeft w:val="0"/>
      <w:marRight w:val="0"/>
      <w:marTop w:val="0"/>
      <w:marBottom w:val="0"/>
      <w:divBdr>
        <w:top w:val="none" w:sz="0" w:space="0" w:color="auto"/>
        <w:left w:val="none" w:sz="0" w:space="0" w:color="auto"/>
        <w:bottom w:val="none" w:sz="0" w:space="0" w:color="auto"/>
        <w:right w:val="none" w:sz="0" w:space="0" w:color="auto"/>
      </w:divBdr>
    </w:div>
    <w:div w:id="2140297995">
      <w:bodyDiv w:val="1"/>
      <w:marLeft w:val="0"/>
      <w:marRight w:val="0"/>
      <w:marTop w:val="0"/>
      <w:marBottom w:val="0"/>
      <w:divBdr>
        <w:top w:val="none" w:sz="0" w:space="0" w:color="auto"/>
        <w:left w:val="none" w:sz="0" w:space="0" w:color="auto"/>
        <w:bottom w:val="none" w:sz="0" w:space="0" w:color="auto"/>
        <w:right w:val="none" w:sz="0" w:space="0" w:color="auto"/>
      </w:divBdr>
      <w:divsChild>
        <w:div w:id="729883794">
          <w:marLeft w:val="0"/>
          <w:marRight w:val="0"/>
          <w:marTop w:val="0"/>
          <w:marBottom w:val="0"/>
          <w:divBdr>
            <w:top w:val="none" w:sz="0" w:space="0" w:color="auto"/>
            <w:left w:val="none" w:sz="0" w:space="0" w:color="auto"/>
            <w:bottom w:val="none" w:sz="0" w:space="0" w:color="auto"/>
            <w:right w:val="none" w:sz="0" w:space="0" w:color="auto"/>
          </w:divBdr>
          <w:divsChild>
            <w:div w:id="1056900780">
              <w:marLeft w:val="0"/>
              <w:marRight w:val="0"/>
              <w:marTop w:val="0"/>
              <w:marBottom w:val="0"/>
              <w:divBdr>
                <w:top w:val="none" w:sz="0" w:space="0" w:color="auto"/>
                <w:left w:val="none" w:sz="0" w:space="0" w:color="auto"/>
                <w:bottom w:val="none" w:sz="0" w:space="0" w:color="auto"/>
                <w:right w:val="none" w:sz="0" w:space="0" w:color="auto"/>
              </w:divBdr>
              <w:divsChild>
                <w:div w:id="701441548">
                  <w:marLeft w:val="0"/>
                  <w:marRight w:val="0"/>
                  <w:marTop w:val="0"/>
                  <w:marBottom w:val="0"/>
                  <w:divBdr>
                    <w:top w:val="none" w:sz="0" w:space="0" w:color="auto"/>
                    <w:left w:val="none" w:sz="0" w:space="0" w:color="auto"/>
                    <w:bottom w:val="none" w:sz="0" w:space="0" w:color="auto"/>
                    <w:right w:val="none" w:sz="0" w:space="0" w:color="auto"/>
                  </w:divBdr>
                </w:div>
              </w:divsChild>
            </w:div>
            <w:div w:id="1542589321">
              <w:marLeft w:val="0"/>
              <w:marRight w:val="0"/>
              <w:marTop w:val="0"/>
              <w:marBottom w:val="0"/>
              <w:divBdr>
                <w:top w:val="none" w:sz="0" w:space="0" w:color="auto"/>
                <w:left w:val="none" w:sz="0" w:space="0" w:color="auto"/>
                <w:bottom w:val="none" w:sz="0" w:space="0" w:color="auto"/>
                <w:right w:val="none" w:sz="0" w:space="0" w:color="auto"/>
              </w:divBdr>
              <w:divsChild>
                <w:div w:id="280918187">
                  <w:marLeft w:val="0"/>
                  <w:marRight w:val="0"/>
                  <w:marTop w:val="0"/>
                  <w:marBottom w:val="0"/>
                  <w:divBdr>
                    <w:top w:val="none" w:sz="0" w:space="0" w:color="auto"/>
                    <w:left w:val="none" w:sz="0" w:space="0" w:color="auto"/>
                    <w:bottom w:val="none" w:sz="0" w:space="0" w:color="auto"/>
                    <w:right w:val="none" w:sz="0" w:space="0" w:color="auto"/>
                  </w:divBdr>
                </w:div>
              </w:divsChild>
            </w:div>
            <w:div w:id="1874733680">
              <w:marLeft w:val="0"/>
              <w:marRight w:val="0"/>
              <w:marTop w:val="0"/>
              <w:marBottom w:val="0"/>
              <w:divBdr>
                <w:top w:val="none" w:sz="0" w:space="0" w:color="auto"/>
                <w:left w:val="none" w:sz="0" w:space="0" w:color="auto"/>
                <w:bottom w:val="none" w:sz="0" w:space="0" w:color="auto"/>
                <w:right w:val="none" w:sz="0" w:space="0" w:color="auto"/>
              </w:divBdr>
              <w:divsChild>
                <w:div w:id="1314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6700">
      <w:bodyDiv w:val="1"/>
      <w:marLeft w:val="0"/>
      <w:marRight w:val="0"/>
      <w:marTop w:val="0"/>
      <w:marBottom w:val="0"/>
      <w:divBdr>
        <w:top w:val="none" w:sz="0" w:space="0" w:color="auto"/>
        <w:left w:val="none" w:sz="0" w:space="0" w:color="auto"/>
        <w:bottom w:val="none" w:sz="0" w:space="0" w:color="auto"/>
        <w:right w:val="none" w:sz="0" w:space="0" w:color="auto"/>
      </w:divBdr>
      <w:divsChild>
        <w:div w:id="1209998253">
          <w:marLeft w:val="0"/>
          <w:marRight w:val="0"/>
          <w:marTop w:val="0"/>
          <w:marBottom w:val="0"/>
          <w:divBdr>
            <w:top w:val="none" w:sz="0" w:space="0" w:color="auto"/>
            <w:left w:val="none" w:sz="0" w:space="0" w:color="auto"/>
            <w:bottom w:val="none" w:sz="0" w:space="0" w:color="auto"/>
            <w:right w:val="none" w:sz="0" w:space="0" w:color="auto"/>
          </w:divBdr>
        </w:div>
        <w:div w:id="1049189496">
          <w:marLeft w:val="0"/>
          <w:marRight w:val="0"/>
          <w:marTop w:val="0"/>
          <w:marBottom w:val="0"/>
          <w:divBdr>
            <w:top w:val="none" w:sz="0" w:space="0" w:color="auto"/>
            <w:left w:val="none" w:sz="0" w:space="0" w:color="auto"/>
            <w:bottom w:val="none" w:sz="0" w:space="0" w:color="auto"/>
            <w:right w:val="none" w:sz="0" w:space="0" w:color="auto"/>
          </w:divBdr>
        </w:div>
        <w:div w:id="492840351">
          <w:marLeft w:val="0"/>
          <w:marRight w:val="0"/>
          <w:marTop w:val="0"/>
          <w:marBottom w:val="0"/>
          <w:divBdr>
            <w:top w:val="none" w:sz="0" w:space="0" w:color="auto"/>
            <w:left w:val="none" w:sz="0" w:space="0" w:color="auto"/>
            <w:bottom w:val="none" w:sz="0" w:space="0" w:color="auto"/>
            <w:right w:val="none" w:sz="0" w:space="0" w:color="auto"/>
          </w:divBdr>
        </w:div>
        <w:div w:id="1202594455">
          <w:marLeft w:val="0"/>
          <w:marRight w:val="0"/>
          <w:marTop w:val="0"/>
          <w:marBottom w:val="0"/>
          <w:divBdr>
            <w:top w:val="none" w:sz="0" w:space="0" w:color="auto"/>
            <w:left w:val="none" w:sz="0" w:space="0" w:color="auto"/>
            <w:bottom w:val="none" w:sz="0" w:space="0" w:color="auto"/>
            <w:right w:val="none" w:sz="0" w:space="0" w:color="auto"/>
          </w:divBdr>
        </w:div>
        <w:div w:id="256526002">
          <w:marLeft w:val="0"/>
          <w:marRight w:val="0"/>
          <w:marTop w:val="0"/>
          <w:marBottom w:val="0"/>
          <w:divBdr>
            <w:top w:val="none" w:sz="0" w:space="0" w:color="auto"/>
            <w:left w:val="none" w:sz="0" w:space="0" w:color="auto"/>
            <w:bottom w:val="none" w:sz="0" w:space="0" w:color="auto"/>
            <w:right w:val="none" w:sz="0" w:space="0" w:color="auto"/>
          </w:divBdr>
        </w:div>
        <w:div w:id="614823564">
          <w:marLeft w:val="0"/>
          <w:marRight w:val="0"/>
          <w:marTop w:val="0"/>
          <w:marBottom w:val="0"/>
          <w:divBdr>
            <w:top w:val="none" w:sz="0" w:space="0" w:color="auto"/>
            <w:left w:val="none" w:sz="0" w:space="0" w:color="auto"/>
            <w:bottom w:val="none" w:sz="0" w:space="0" w:color="auto"/>
            <w:right w:val="none" w:sz="0" w:space="0" w:color="auto"/>
          </w:divBdr>
        </w:div>
        <w:div w:id="193018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2017-04-18T07:00:00+00:00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DFC2622-0A9E-9147-B755-C0CCCD6D5AD6}">
  <ds:schemaRefs>
    <ds:schemaRef ds:uri="http://schemas.openxmlformats.org/officeDocument/2006/bibliography"/>
  </ds:schemaRefs>
</ds:datastoreItem>
</file>

<file path=customXml/itemProps2.xml><?xml version="1.0" encoding="utf-8"?>
<ds:datastoreItem xmlns:ds="http://schemas.openxmlformats.org/officeDocument/2006/customXml" ds:itemID="{13CE8A3C-CD0E-4D9C-89BF-44BCC32E6170}"/>
</file>

<file path=customXml/itemProps3.xml><?xml version="1.0" encoding="utf-8"?>
<ds:datastoreItem xmlns:ds="http://schemas.openxmlformats.org/officeDocument/2006/customXml" ds:itemID="{38128AB3-9391-4E36-8AEA-2486B599FDF5}"/>
</file>

<file path=customXml/itemProps4.xml><?xml version="1.0" encoding="utf-8"?>
<ds:datastoreItem xmlns:ds="http://schemas.openxmlformats.org/officeDocument/2006/customXml" ds:itemID="{AD219D5A-A05F-456C-88B8-84EFCB50769B}"/>
</file>

<file path=customXml/itemProps5.xml><?xml version="1.0" encoding="utf-8"?>
<ds:datastoreItem xmlns:ds="http://schemas.openxmlformats.org/officeDocument/2006/customXml" ds:itemID="{B2947571-C44C-41F3-8DBE-ECD03F8BDDD3}"/>
</file>

<file path=docProps/app.xml><?xml version="1.0" encoding="utf-8"?>
<Properties xmlns="http://schemas.openxmlformats.org/officeDocument/2006/extended-properties" xmlns:vt="http://schemas.openxmlformats.org/officeDocument/2006/docPropsVTypes">
  <Template>Normal.dotm</Template>
  <TotalTime>307</TotalTime>
  <Pages>50</Pages>
  <Words>10973</Words>
  <Characters>62550</Characters>
  <Application>Microsoft Macintosh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BEFORE THE PUBLIC UTILITY COMMISSION</vt:lpstr>
    </vt:vector>
  </TitlesOfParts>
  <Company>Davison Van Cleve</Company>
  <LinksUpToDate>false</LinksUpToDate>
  <CharactersWithSpaces>73377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dc:title>
  <dc:creator>Linda Vitale</dc:creator>
  <cp:lastModifiedBy>sidney villanueva</cp:lastModifiedBy>
  <cp:revision>33</cp:revision>
  <cp:lastPrinted>2016-10-25T22:08:00Z</cp:lastPrinted>
  <dcterms:created xsi:type="dcterms:W3CDTF">2017-04-15T15:13:00Z</dcterms:created>
  <dcterms:modified xsi:type="dcterms:W3CDTF">2017-04-18T03:47:00Z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