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953B9F" w:rsidP="005172AD">
      <w:pPr>
        <w:rPr>
          <w:rFonts w:ascii="Times New Roman" w:hAnsi="Times New Roman"/>
        </w:rPr>
      </w:pPr>
      <w:r>
        <w:rPr>
          <w:rFonts w:ascii="Times New Roman" w:hAnsi="Times New Roman"/>
        </w:rPr>
        <w:t>August 2</w:t>
      </w:r>
      <w:r w:rsidR="007E18F8">
        <w:rPr>
          <w:rFonts w:ascii="Times New Roman" w:hAnsi="Times New Roman"/>
        </w:rPr>
        <w:t>,</w:t>
      </w:r>
      <w:r w:rsidR="00B90CFC">
        <w:rPr>
          <w:rFonts w:ascii="Times New Roman" w:hAnsi="Times New Roman"/>
        </w:rPr>
        <w:t xml:space="preserve"> 2012</w:t>
      </w:r>
      <w:r>
        <w:rPr>
          <w:rFonts w:ascii="Times New Roman" w:hAnsi="Times New Roman"/>
        </w:rPr>
        <w:t xml:space="preserve"> </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EC4DD1" w:rsidRDefault="00964072" w:rsidP="00C76DB9">
      <w:pPr>
        <w:pStyle w:val="NoSpacing"/>
        <w:rPr>
          <w:rFonts w:ascii="Times New Roman" w:hAnsi="Times New Roman" w:cs="Times New Roman"/>
          <w:b/>
          <w:sz w:val="24"/>
          <w:szCs w:val="24"/>
        </w:rPr>
      </w:pPr>
      <w:r w:rsidRPr="003F18B3">
        <w:rPr>
          <w:rFonts w:ascii="Times New Roman" w:hAnsi="Times New Roman"/>
          <w:b/>
        </w:rPr>
        <w:t>RE:</w:t>
      </w:r>
      <w:r w:rsidRPr="003F18B3">
        <w:rPr>
          <w:rFonts w:ascii="Times New Roman" w:hAnsi="Times New Roman"/>
          <w:b/>
        </w:rPr>
        <w:tab/>
      </w:r>
      <w:r w:rsidR="00EC4DD1">
        <w:rPr>
          <w:rFonts w:ascii="Times New Roman" w:hAnsi="Times New Roman" w:cs="Times New Roman"/>
          <w:b/>
          <w:sz w:val="24"/>
          <w:szCs w:val="24"/>
        </w:rPr>
        <w:t xml:space="preserve">Docket No. UE-100170 – </w:t>
      </w:r>
      <w:r w:rsidR="00A2112D">
        <w:rPr>
          <w:rFonts w:ascii="Times New Roman" w:hAnsi="Times New Roman" w:cs="Times New Roman"/>
          <w:b/>
          <w:sz w:val="24"/>
          <w:szCs w:val="24"/>
        </w:rPr>
        <w:t>PacifiCorp 2010-2011 Biennial Conservation Report</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563105" w:rsidRDefault="007E18F8" w:rsidP="007E18F8">
      <w:pPr>
        <w:pStyle w:val="NoSpacing"/>
        <w:jc w:val="both"/>
        <w:rPr>
          <w:rFonts w:ascii="Times New Roman" w:hAnsi="Times New Roman" w:cs="Times New Roman"/>
          <w:sz w:val="24"/>
          <w:szCs w:val="24"/>
        </w:rPr>
      </w:pPr>
      <w:r w:rsidRPr="0066295E">
        <w:rPr>
          <w:rFonts w:ascii="Times New Roman" w:hAnsi="Times New Roman" w:cs="Times New Roman"/>
          <w:sz w:val="24"/>
          <w:szCs w:val="24"/>
        </w:rPr>
        <w:t xml:space="preserve">PacifiCorp d.b.a. Pacific Power &amp; Light Company (PacifiCorp or Company) submits the following </w:t>
      </w:r>
      <w:r w:rsidR="00EC4DD1">
        <w:rPr>
          <w:rFonts w:ascii="Times New Roman" w:hAnsi="Times New Roman" w:cs="Times New Roman"/>
          <w:sz w:val="24"/>
          <w:szCs w:val="24"/>
        </w:rPr>
        <w:t>comments</w:t>
      </w:r>
      <w:r w:rsidR="00A2112D">
        <w:rPr>
          <w:rFonts w:ascii="Times New Roman" w:hAnsi="Times New Roman" w:cs="Times New Roman"/>
          <w:sz w:val="24"/>
          <w:szCs w:val="24"/>
        </w:rPr>
        <w:t xml:space="preserve"> </w:t>
      </w:r>
      <w:r w:rsidR="00563105">
        <w:rPr>
          <w:rFonts w:ascii="Times New Roman" w:hAnsi="Times New Roman" w:cs="Times New Roman"/>
          <w:sz w:val="24"/>
          <w:szCs w:val="24"/>
        </w:rPr>
        <w:t>in response to discussion</w:t>
      </w:r>
      <w:r w:rsidR="009F7D7C">
        <w:rPr>
          <w:rFonts w:ascii="Times New Roman" w:hAnsi="Times New Roman" w:cs="Times New Roman"/>
          <w:sz w:val="24"/>
          <w:szCs w:val="24"/>
        </w:rPr>
        <w:t>s</w:t>
      </w:r>
      <w:r w:rsidR="00563105">
        <w:rPr>
          <w:rFonts w:ascii="Times New Roman" w:hAnsi="Times New Roman" w:cs="Times New Roman"/>
          <w:sz w:val="24"/>
          <w:szCs w:val="24"/>
        </w:rPr>
        <w:t xml:space="preserve"> held at the Washington Utilities and Transportation Commission (Commission) at its July 27, 2012</w:t>
      </w:r>
      <w:r w:rsidR="00984093">
        <w:rPr>
          <w:rFonts w:ascii="Times New Roman" w:hAnsi="Times New Roman" w:cs="Times New Roman"/>
          <w:sz w:val="24"/>
          <w:szCs w:val="24"/>
        </w:rPr>
        <w:t>,</w:t>
      </w:r>
      <w:r w:rsidR="00563105">
        <w:rPr>
          <w:rFonts w:ascii="Times New Roman" w:hAnsi="Times New Roman" w:cs="Times New Roman"/>
          <w:sz w:val="24"/>
          <w:szCs w:val="24"/>
        </w:rPr>
        <w:t xml:space="preserve"> open meeting </w:t>
      </w:r>
      <w:r w:rsidR="00933E9F">
        <w:rPr>
          <w:rFonts w:ascii="Times New Roman" w:hAnsi="Times New Roman" w:cs="Times New Roman"/>
          <w:sz w:val="24"/>
          <w:szCs w:val="24"/>
        </w:rPr>
        <w:t>regarding the Company’s 2010-2011 Biennial Conservation Report (</w:t>
      </w:r>
      <w:r w:rsidR="007C6777">
        <w:rPr>
          <w:rFonts w:ascii="Times New Roman" w:hAnsi="Times New Roman" w:cs="Times New Roman"/>
          <w:sz w:val="24"/>
          <w:szCs w:val="24"/>
        </w:rPr>
        <w:t>BCR</w:t>
      </w:r>
      <w:r w:rsidR="00933E9F">
        <w:rPr>
          <w:rFonts w:ascii="Times New Roman" w:hAnsi="Times New Roman" w:cs="Times New Roman"/>
          <w:sz w:val="24"/>
          <w:szCs w:val="24"/>
        </w:rPr>
        <w:t xml:space="preserve">). </w:t>
      </w:r>
      <w:r w:rsidR="00563105">
        <w:rPr>
          <w:rFonts w:ascii="Times New Roman" w:hAnsi="Times New Roman" w:cs="Times New Roman"/>
          <w:sz w:val="24"/>
          <w:szCs w:val="24"/>
        </w:rPr>
        <w:t xml:space="preserve"> Where noted, the comments </w:t>
      </w:r>
      <w:r w:rsidR="00984093">
        <w:rPr>
          <w:rFonts w:ascii="Times New Roman" w:hAnsi="Times New Roman" w:cs="Times New Roman"/>
          <w:sz w:val="24"/>
          <w:szCs w:val="24"/>
        </w:rPr>
        <w:t xml:space="preserve">below </w:t>
      </w:r>
      <w:r w:rsidR="00563105">
        <w:rPr>
          <w:rFonts w:ascii="Times New Roman" w:hAnsi="Times New Roman" w:cs="Times New Roman"/>
          <w:sz w:val="24"/>
          <w:szCs w:val="24"/>
        </w:rPr>
        <w:t>are also responsive to comments filed on July 16, 2012</w:t>
      </w:r>
      <w:r w:rsidR="00984093">
        <w:rPr>
          <w:rFonts w:ascii="Times New Roman" w:hAnsi="Times New Roman" w:cs="Times New Roman"/>
          <w:sz w:val="24"/>
          <w:szCs w:val="24"/>
        </w:rPr>
        <w:t>,</w:t>
      </w:r>
      <w:r w:rsidR="00563105">
        <w:rPr>
          <w:rFonts w:ascii="Times New Roman" w:hAnsi="Times New Roman" w:cs="Times New Roman"/>
          <w:sz w:val="24"/>
          <w:szCs w:val="24"/>
        </w:rPr>
        <w:t xml:space="preserve"> by Commission Staff (Staff)</w:t>
      </w:r>
      <w:r w:rsidR="00C76DB9">
        <w:rPr>
          <w:rFonts w:ascii="Times New Roman" w:hAnsi="Times New Roman" w:cs="Times New Roman"/>
          <w:sz w:val="24"/>
          <w:szCs w:val="24"/>
        </w:rPr>
        <w:t>, Public Counsel</w:t>
      </w:r>
      <w:r w:rsidR="00563105">
        <w:rPr>
          <w:rFonts w:ascii="Times New Roman" w:hAnsi="Times New Roman" w:cs="Times New Roman"/>
          <w:sz w:val="24"/>
          <w:szCs w:val="24"/>
        </w:rPr>
        <w:t xml:space="preserve"> and the Northwest Energy Coalition (NWEC).</w:t>
      </w:r>
    </w:p>
    <w:p w:rsidR="00563105" w:rsidRDefault="00563105" w:rsidP="007E18F8">
      <w:pPr>
        <w:pStyle w:val="NoSpacing"/>
        <w:jc w:val="both"/>
        <w:rPr>
          <w:rFonts w:ascii="Times New Roman" w:hAnsi="Times New Roman" w:cs="Times New Roman"/>
          <w:sz w:val="24"/>
          <w:szCs w:val="24"/>
        </w:rPr>
      </w:pPr>
    </w:p>
    <w:p w:rsidR="00563105" w:rsidRDefault="00A2112D" w:rsidP="007E18F8">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Following the July 27, 2012 open meeting, interested parties developed a list of issues associated with utilities’ filings of their </w:t>
      </w:r>
      <w:r w:rsidR="00563105">
        <w:rPr>
          <w:rFonts w:ascii="Times New Roman" w:hAnsi="Times New Roman" w:cs="Times New Roman"/>
          <w:sz w:val="24"/>
          <w:szCs w:val="24"/>
        </w:rPr>
        <w:t>renewable</w:t>
      </w:r>
      <w:r>
        <w:rPr>
          <w:rFonts w:ascii="Times New Roman" w:hAnsi="Times New Roman" w:cs="Times New Roman"/>
          <w:sz w:val="24"/>
          <w:szCs w:val="24"/>
        </w:rPr>
        <w:t xml:space="preserve"> and conservation achievement reports under the energy independence act (EIA), RCW 19.285 and WAC 480-109.  Staff requested that parties address in their comm</w:t>
      </w:r>
      <w:r w:rsidR="005754DD">
        <w:rPr>
          <w:rFonts w:ascii="Times New Roman" w:hAnsi="Times New Roman" w:cs="Times New Roman"/>
          <w:sz w:val="24"/>
          <w:szCs w:val="24"/>
        </w:rPr>
        <w:t>ents</w:t>
      </w:r>
      <w:r>
        <w:rPr>
          <w:rFonts w:ascii="Times New Roman" w:hAnsi="Times New Roman" w:cs="Times New Roman"/>
          <w:sz w:val="24"/>
          <w:szCs w:val="24"/>
        </w:rPr>
        <w:t xml:space="preserve"> whether each issue needs to be addressed by the Commission now, prior to issuing an </w:t>
      </w:r>
      <w:r w:rsidR="0068565F">
        <w:rPr>
          <w:rFonts w:ascii="Times New Roman" w:hAnsi="Times New Roman" w:cs="Times New Roman"/>
          <w:sz w:val="24"/>
          <w:szCs w:val="24"/>
        </w:rPr>
        <w:t>o</w:t>
      </w:r>
      <w:r>
        <w:rPr>
          <w:rFonts w:ascii="Times New Roman" w:hAnsi="Times New Roman" w:cs="Times New Roman"/>
          <w:sz w:val="24"/>
          <w:szCs w:val="24"/>
        </w:rPr>
        <w:t>rder, or could be resolved at later time.  In addition, Staff requested comment</w:t>
      </w:r>
      <w:r w:rsidR="007C6777">
        <w:rPr>
          <w:rFonts w:ascii="Times New Roman" w:hAnsi="Times New Roman" w:cs="Times New Roman"/>
          <w:sz w:val="24"/>
          <w:szCs w:val="24"/>
        </w:rPr>
        <w:t>s</w:t>
      </w:r>
      <w:r>
        <w:rPr>
          <w:rFonts w:ascii="Times New Roman" w:hAnsi="Times New Roman" w:cs="Times New Roman"/>
          <w:sz w:val="24"/>
          <w:szCs w:val="24"/>
        </w:rPr>
        <w:t xml:space="preserve"> on what process should be utilized in order to address issues to be resolved at a later time.  </w:t>
      </w:r>
    </w:p>
    <w:p w:rsidR="005754DD" w:rsidRDefault="005754DD" w:rsidP="007E18F8">
      <w:pPr>
        <w:pStyle w:val="NoSpacing"/>
        <w:jc w:val="both"/>
        <w:rPr>
          <w:rFonts w:ascii="Times New Roman" w:hAnsi="Times New Roman" w:cs="Times New Roman"/>
          <w:sz w:val="24"/>
          <w:szCs w:val="24"/>
        </w:rPr>
      </w:pPr>
    </w:p>
    <w:p w:rsidR="00BD418D" w:rsidRDefault="00321A20" w:rsidP="006D2D34">
      <w:pPr>
        <w:pStyle w:val="NoSpacing"/>
        <w:jc w:val="both"/>
        <w:rPr>
          <w:rFonts w:ascii="Times New Roman" w:hAnsi="Times New Roman" w:cs="Times New Roman"/>
          <w:b/>
          <w:sz w:val="24"/>
          <w:szCs w:val="24"/>
        </w:rPr>
      </w:pPr>
      <w:r>
        <w:rPr>
          <w:rFonts w:ascii="Times New Roman" w:hAnsi="Times New Roman" w:cs="Times New Roman"/>
          <w:b/>
          <w:sz w:val="24"/>
          <w:szCs w:val="24"/>
        </w:rPr>
        <w:t>Responses to Issues List</w:t>
      </w:r>
    </w:p>
    <w:p w:rsidR="00BD418D" w:rsidRDefault="00BD418D" w:rsidP="00BD418D">
      <w:pPr>
        <w:pStyle w:val="NoSpacing"/>
        <w:jc w:val="both"/>
        <w:rPr>
          <w:rFonts w:ascii="Times New Roman" w:hAnsi="Times New Roman" w:cs="Times New Roman"/>
          <w:b/>
          <w:sz w:val="24"/>
          <w:szCs w:val="24"/>
        </w:rPr>
      </w:pPr>
    </w:p>
    <w:p w:rsidR="00BD418D" w:rsidRDefault="007C6777"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Northwest Energy Efficiency Alliance (</w:t>
      </w:r>
      <w:r w:rsidR="00BD418D">
        <w:rPr>
          <w:rFonts w:ascii="Times New Roman" w:hAnsi="Times New Roman" w:cs="Times New Roman"/>
          <w:b/>
          <w:i/>
          <w:sz w:val="24"/>
          <w:szCs w:val="24"/>
        </w:rPr>
        <w:t>NEEA</w:t>
      </w:r>
      <w:r>
        <w:rPr>
          <w:rFonts w:ascii="Times New Roman" w:hAnsi="Times New Roman" w:cs="Times New Roman"/>
          <w:b/>
          <w:i/>
          <w:sz w:val="24"/>
          <w:szCs w:val="24"/>
        </w:rPr>
        <w:t>)</w:t>
      </w:r>
      <w:r w:rsidR="00BD418D">
        <w:rPr>
          <w:rFonts w:ascii="Times New Roman" w:hAnsi="Times New Roman" w:cs="Times New Roman"/>
          <w:b/>
          <w:i/>
          <w:sz w:val="24"/>
          <w:szCs w:val="24"/>
        </w:rPr>
        <w:t xml:space="preserve"> savings</w:t>
      </w:r>
    </w:p>
    <w:p w:rsidR="00E82BC9" w:rsidRDefault="00E82BC9" w:rsidP="00E82BC9">
      <w:pPr>
        <w:pStyle w:val="NoSpacing"/>
        <w:jc w:val="both"/>
        <w:rPr>
          <w:rFonts w:ascii="Times New Roman" w:hAnsi="Times New Roman" w:cs="Times New Roman"/>
          <w:b/>
          <w:i/>
          <w:sz w:val="24"/>
          <w:szCs w:val="24"/>
        </w:rPr>
      </w:pPr>
    </w:p>
    <w:p w:rsidR="00E82BC9" w:rsidRDefault="00E82BC9" w:rsidP="00E82BC9">
      <w:pPr>
        <w:rPr>
          <w:rFonts w:ascii="Times New Roman" w:hAnsi="Times New Roman"/>
          <w:szCs w:val="24"/>
        </w:rPr>
      </w:pPr>
      <w:r w:rsidRPr="001B1B9E">
        <w:rPr>
          <w:rFonts w:ascii="Times New Roman" w:hAnsi="Times New Roman"/>
          <w:szCs w:val="24"/>
        </w:rPr>
        <w:t xml:space="preserve">The Company is </w:t>
      </w:r>
      <w:r w:rsidR="00DC427A">
        <w:rPr>
          <w:rFonts w:ascii="Times New Roman" w:hAnsi="Times New Roman"/>
          <w:szCs w:val="24"/>
        </w:rPr>
        <w:t xml:space="preserve">agreeable </w:t>
      </w:r>
      <w:r w:rsidRPr="001B1B9E">
        <w:rPr>
          <w:rFonts w:ascii="Times New Roman" w:hAnsi="Times New Roman"/>
          <w:szCs w:val="24"/>
        </w:rPr>
        <w:t xml:space="preserve">to discuss avenues for reporting NEEA savings contributions in a consistent manner </w:t>
      </w:r>
      <w:r>
        <w:rPr>
          <w:rFonts w:ascii="Times New Roman" w:hAnsi="Times New Roman"/>
          <w:szCs w:val="24"/>
        </w:rPr>
        <w:t>(across utilities)</w:t>
      </w:r>
      <w:r w:rsidR="00DC427A">
        <w:rPr>
          <w:rFonts w:ascii="Times New Roman" w:hAnsi="Times New Roman"/>
          <w:szCs w:val="24"/>
        </w:rPr>
        <w:t>;</w:t>
      </w:r>
      <w:r>
        <w:rPr>
          <w:rFonts w:ascii="Times New Roman" w:hAnsi="Times New Roman"/>
          <w:szCs w:val="24"/>
        </w:rPr>
        <w:t xml:space="preserve"> however</w:t>
      </w:r>
      <w:r w:rsidR="00984093">
        <w:rPr>
          <w:rFonts w:ascii="Times New Roman" w:hAnsi="Times New Roman"/>
          <w:szCs w:val="24"/>
        </w:rPr>
        <w:t>, the Company</w:t>
      </w:r>
      <w:r>
        <w:rPr>
          <w:rFonts w:ascii="Times New Roman" w:hAnsi="Times New Roman"/>
          <w:szCs w:val="24"/>
        </w:rPr>
        <w:t xml:space="preserve"> does</w:t>
      </w:r>
      <w:r w:rsidR="007C6777">
        <w:rPr>
          <w:rFonts w:ascii="Times New Roman" w:hAnsi="Times New Roman"/>
          <w:szCs w:val="24"/>
        </w:rPr>
        <w:t xml:space="preserve"> not</w:t>
      </w:r>
      <w:r>
        <w:rPr>
          <w:rFonts w:ascii="Times New Roman" w:hAnsi="Times New Roman"/>
          <w:szCs w:val="24"/>
        </w:rPr>
        <w:t xml:space="preserve"> </w:t>
      </w:r>
      <w:r w:rsidR="009F7D7C">
        <w:rPr>
          <w:rFonts w:ascii="Times New Roman" w:hAnsi="Times New Roman"/>
          <w:szCs w:val="24"/>
        </w:rPr>
        <w:t xml:space="preserve">believe </w:t>
      </w:r>
      <w:r>
        <w:rPr>
          <w:rFonts w:ascii="Times New Roman" w:hAnsi="Times New Roman"/>
          <w:szCs w:val="24"/>
        </w:rPr>
        <w:t>it</w:t>
      </w:r>
      <w:r w:rsidR="007C6777">
        <w:rPr>
          <w:rFonts w:ascii="Times New Roman" w:hAnsi="Times New Roman"/>
          <w:szCs w:val="24"/>
        </w:rPr>
        <w:t xml:space="preserve"> i</w:t>
      </w:r>
      <w:r>
        <w:rPr>
          <w:rFonts w:ascii="Times New Roman" w:hAnsi="Times New Roman"/>
          <w:szCs w:val="24"/>
        </w:rPr>
        <w:t xml:space="preserve">s necessary to resolve this </w:t>
      </w:r>
      <w:r w:rsidR="007C6777">
        <w:rPr>
          <w:rFonts w:ascii="Times New Roman" w:hAnsi="Times New Roman"/>
          <w:szCs w:val="24"/>
        </w:rPr>
        <w:t>matter</w:t>
      </w:r>
      <w:r>
        <w:rPr>
          <w:rFonts w:ascii="Times New Roman" w:hAnsi="Times New Roman"/>
          <w:szCs w:val="24"/>
        </w:rPr>
        <w:t xml:space="preserve"> before issuing a ruling on the 2010-2011 </w:t>
      </w:r>
      <w:r w:rsidR="00514D9B" w:rsidRPr="008C596A">
        <w:rPr>
          <w:rFonts w:ascii="Times New Roman" w:hAnsi="Times New Roman"/>
          <w:szCs w:val="24"/>
        </w:rPr>
        <w:t>BCR</w:t>
      </w:r>
      <w:r>
        <w:rPr>
          <w:rFonts w:ascii="Times New Roman" w:hAnsi="Times New Roman"/>
          <w:szCs w:val="24"/>
        </w:rPr>
        <w:t xml:space="preserve">. </w:t>
      </w:r>
      <w:r w:rsidR="00C76DB9">
        <w:rPr>
          <w:rFonts w:ascii="Times New Roman" w:hAnsi="Times New Roman"/>
          <w:szCs w:val="24"/>
        </w:rPr>
        <w:t xml:space="preserve"> </w:t>
      </w:r>
      <w:r>
        <w:rPr>
          <w:rFonts w:ascii="Times New Roman" w:hAnsi="Times New Roman"/>
          <w:szCs w:val="24"/>
        </w:rPr>
        <w:t xml:space="preserve">The Company recommends </w:t>
      </w:r>
      <w:r w:rsidR="00984093">
        <w:rPr>
          <w:rFonts w:ascii="Times New Roman" w:hAnsi="Times New Roman"/>
          <w:szCs w:val="24"/>
        </w:rPr>
        <w:t xml:space="preserve">that </w:t>
      </w:r>
      <w:r>
        <w:rPr>
          <w:rFonts w:ascii="Times New Roman" w:hAnsi="Times New Roman"/>
          <w:szCs w:val="24"/>
        </w:rPr>
        <w:t xml:space="preserve">any discussions be targeted to inform the </w:t>
      </w:r>
      <w:r w:rsidRPr="001B1B9E">
        <w:rPr>
          <w:rFonts w:ascii="Times New Roman" w:hAnsi="Times New Roman"/>
          <w:szCs w:val="24"/>
        </w:rPr>
        <w:t>2014-2015 biennial</w:t>
      </w:r>
      <w:r>
        <w:rPr>
          <w:rFonts w:ascii="Times New Roman" w:hAnsi="Times New Roman"/>
          <w:szCs w:val="24"/>
        </w:rPr>
        <w:t xml:space="preserve"> </w:t>
      </w:r>
      <w:r w:rsidRPr="001B1B9E">
        <w:rPr>
          <w:rFonts w:ascii="Times New Roman" w:hAnsi="Times New Roman"/>
          <w:szCs w:val="24"/>
        </w:rPr>
        <w:t>forecast and target</w:t>
      </w:r>
      <w:r>
        <w:rPr>
          <w:rFonts w:ascii="Times New Roman" w:hAnsi="Times New Roman"/>
          <w:szCs w:val="24"/>
        </w:rPr>
        <w:t xml:space="preserve"> process </w:t>
      </w:r>
      <w:r w:rsidR="00DC427A">
        <w:rPr>
          <w:rFonts w:ascii="Times New Roman" w:hAnsi="Times New Roman"/>
          <w:szCs w:val="24"/>
        </w:rPr>
        <w:t xml:space="preserve">rather than </w:t>
      </w:r>
      <w:r>
        <w:rPr>
          <w:rFonts w:ascii="Times New Roman" w:hAnsi="Times New Roman"/>
          <w:szCs w:val="24"/>
        </w:rPr>
        <w:t>filing revisions to the 2012-2013 biennial forecast and target</w:t>
      </w:r>
      <w:r w:rsidRPr="001B1B9E">
        <w:rPr>
          <w:rFonts w:ascii="Times New Roman" w:hAnsi="Times New Roman"/>
          <w:szCs w:val="24"/>
        </w:rPr>
        <w:t xml:space="preserve">. </w:t>
      </w:r>
    </w:p>
    <w:p w:rsidR="00E82BC9" w:rsidRDefault="00E82BC9" w:rsidP="00E82BC9">
      <w:pPr>
        <w:pStyle w:val="NoSpacing"/>
        <w:jc w:val="both"/>
        <w:rPr>
          <w:rFonts w:ascii="Times New Roman" w:hAnsi="Times New Roman" w:cs="Times New Roman"/>
          <w:b/>
          <w:i/>
          <w:sz w:val="24"/>
          <w:szCs w:val="24"/>
        </w:rPr>
      </w:pPr>
    </w:p>
    <w:p w:rsidR="004550AC" w:rsidRDefault="004550AC">
      <w:pPr>
        <w:rPr>
          <w:rFonts w:ascii="Times New Roman" w:eastAsiaTheme="minorHAnsi" w:hAnsi="Times New Roman"/>
          <w:b/>
          <w:i/>
          <w:szCs w:val="24"/>
        </w:rPr>
      </w:pPr>
      <w:r>
        <w:rPr>
          <w:rFonts w:ascii="Times New Roman" w:hAnsi="Times New Roman"/>
          <w:b/>
          <w:i/>
          <w:szCs w:val="24"/>
        </w:rPr>
        <w:br w:type="page"/>
      </w:r>
    </w:p>
    <w:p w:rsidR="00E82BC9"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lastRenderedPageBreak/>
        <w:t>Adjustments to reported savings</w:t>
      </w:r>
    </w:p>
    <w:p w:rsidR="00E82BC9" w:rsidRDefault="00E82BC9" w:rsidP="00E82BC9">
      <w:pPr>
        <w:pStyle w:val="NoSpacing"/>
        <w:ind w:left="720"/>
        <w:jc w:val="both"/>
        <w:rPr>
          <w:rFonts w:ascii="Times New Roman" w:hAnsi="Times New Roman" w:cs="Times New Roman"/>
          <w:b/>
          <w:i/>
          <w:sz w:val="24"/>
          <w:szCs w:val="24"/>
        </w:rPr>
      </w:pPr>
    </w:p>
    <w:p w:rsidR="00AD4DF2" w:rsidRDefault="00AD4DF2" w:rsidP="00AD4DF2">
      <w:pPr>
        <w:autoSpaceDE w:val="0"/>
        <w:autoSpaceDN w:val="0"/>
        <w:adjustRightInd w:val="0"/>
        <w:rPr>
          <w:rFonts w:ascii="Times New Roman" w:hAnsi="Times New Roman"/>
          <w:szCs w:val="24"/>
        </w:rPr>
      </w:pPr>
      <w:r>
        <w:rPr>
          <w:rFonts w:ascii="Times New Roman" w:hAnsi="Times New Roman"/>
          <w:szCs w:val="24"/>
        </w:rPr>
        <w:t>During the 2011 Washington Conservation Working Group, parties agreed “to the extent</w:t>
      </w:r>
    </w:p>
    <w:p w:rsidR="00AD4DF2" w:rsidRDefault="00AD4DF2" w:rsidP="00AD4DF2">
      <w:pPr>
        <w:autoSpaceDE w:val="0"/>
        <w:autoSpaceDN w:val="0"/>
        <w:adjustRightInd w:val="0"/>
        <w:rPr>
          <w:rFonts w:ascii="Times New Roman" w:hAnsi="Times New Roman"/>
          <w:szCs w:val="24"/>
        </w:rPr>
      </w:pPr>
      <w:r>
        <w:rPr>
          <w:rFonts w:ascii="Times New Roman" w:hAnsi="Times New Roman"/>
          <w:szCs w:val="24"/>
        </w:rPr>
        <w:t>practicable, there should be consistency between the use of prescriptive unit energy</w:t>
      </w:r>
    </w:p>
    <w:p w:rsidR="00AD4DF2" w:rsidRDefault="00AD4DF2" w:rsidP="00AD4DF2">
      <w:pPr>
        <w:autoSpaceDE w:val="0"/>
        <w:autoSpaceDN w:val="0"/>
        <w:adjustRightInd w:val="0"/>
        <w:rPr>
          <w:rFonts w:ascii="Times New Roman" w:hAnsi="Times New Roman"/>
          <w:szCs w:val="24"/>
        </w:rPr>
      </w:pPr>
      <w:r>
        <w:rPr>
          <w:rFonts w:ascii="Times New Roman" w:hAnsi="Times New Roman"/>
          <w:szCs w:val="24"/>
        </w:rPr>
        <w:t>savings estimates in the establishment of the biennial target and the reliance on those</w:t>
      </w:r>
    </w:p>
    <w:p w:rsidR="002D50DE" w:rsidRDefault="00AD4DF2" w:rsidP="00AD4DF2">
      <w:pPr>
        <w:autoSpaceDE w:val="0"/>
        <w:autoSpaceDN w:val="0"/>
        <w:adjustRightInd w:val="0"/>
        <w:rPr>
          <w:rFonts w:ascii="Times New Roman" w:hAnsi="Times New Roman"/>
          <w:szCs w:val="24"/>
        </w:rPr>
      </w:pPr>
      <w:r>
        <w:rPr>
          <w:rFonts w:ascii="Times New Roman" w:hAnsi="Times New Roman"/>
          <w:szCs w:val="24"/>
        </w:rPr>
        <w:t xml:space="preserve">same savings estimates in the utility’s demonstration that it met the biennial target.” </w:t>
      </w:r>
      <w:r w:rsidR="002D50DE">
        <w:rPr>
          <w:rFonts w:ascii="Times New Roman" w:hAnsi="Times New Roman"/>
          <w:szCs w:val="24"/>
        </w:rPr>
        <w:t xml:space="preserve">This agreement was not reached until well into the second year of the 2010-2011 biennial period. </w:t>
      </w:r>
      <w:r>
        <w:rPr>
          <w:rFonts w:ascii="Times New Roman" w:hAnsi="Times New Roman"/>
          <w:szCs w:val="24"/>
        </w:rPr>
        <w:t>The 2010-2011 and 2012-2013 biennial target</w:t>
      </w:r>
      <w:r w:rsidR="002D50DE">
        <w:rPr>
          <w:rFonts w:ascii="Times New Roman" w:hAnsi="Times New Roman"/>
          <w:szCs w:val="24"/>
        </w:rPr>
        <w:t>s</w:t>
      </w:r>
      <w:r>
        <w:rPr>
          <w:rFonts w:ascii="Times New Roman" w:hAnsi="Times New Roman"/>
          <w:szCs w:val="24"/>
        </w:rPr>
        <w:t xml:space="preserve"> and forecasts</w:t>
      </w:r>
      <w:r w:rsidR="00F44568">
        <w:rPr>
          <w:rFonts w:ascii="Times New Roman" w:hAnsi="Times New Roman"/>
          <w:szCs w:val="24"/>
        </w:rPr>
        <w:t>,</w:t>
      </w:r>
      <w:r>
        <w:rPr>
          <w:rFonts w:ascii="Times New Roman" w:hAnsi="Times New Roman"/>
          <w:szCs w:val="24"/>
        </w:rPr>
        <w:t xml:space="preserve"> </w:t>
      </w:r>
      <w:r w:rsidR="002D50DE">
        <w:rPr>
          <w:rFonts w:ascii="Times New Roman" w:hAnsi="Times New Roman"/>
          <w:szCs w:val="24"/>
        </w:rPr>
        <w:t>therefore</w:t>
      </w:r>
      <w:r w:rsidR="00F44568">
        <w:rPr>
          <w:rFonts w:ascii="Times New Roman" w:hAnsi="Times New Roman"/>
          <w:szCs w:val="24"/>
        </w:rPr>
        <w:t>,</w:t>
      </w:r>
      <w:r w:rsidR="002D50DE">
        <w:rPr>
          <w:rFonts w:ascii="Times New Roman" w:hAnsi="Times New Roman"/>
          <w:szCs w:val="24"/>
        </w:rPr>
        <w:t xml:space="preserve"> </w:t>
      </w:r>
      <w:r>
        <w:rPr>
          <w:rFonts w:ascii="Times New Roman" w:hAnsi="Times New Roman"/>
          <w:szCs w:val="24"/>
        </w:rPr>
        <w:t xml:space="preserve">were not informed by </w:t>
      </w:r>
      <w:r w:rsidR="002D50DE">
        <w:rPr>
          <w:rFonts w:ascii="Times New Roman" w:hAnsi="Times New Roman"/>
          <w:szCs w:val="24"/>
        </w:rPr>
        <w:t xml:space="preserve">this until near the end of this first biennial period. As </w:t>
      </w:r>
      <w:r w:rsidR="00C76DB9">
        <w:rPr>
          <w:rFonts w:ascii="Times New Roman" w:hAnsi="Times New Roman"/>
          <w:szCs w:val="24"/>
        </w:rPr>
        <w:t xml:space="preserve">the Company </w:t>
      </w:r>
      <w:r w:rsidR="002D50DE">
        <w:rPr>
          <w:rFonts w:ascii="Times New Roman" w:hAnsi="Times New Roman"/>
          <w:szCs w:val="24"/>
        </w:rPr>
        <w:t>complete</w:t>
      </w:r>
      <w:r w:rsidR="00C76DB9">
        <w:rPr>
          <w:rFonts w:ascii="Times New Roman" w:hAnsi="Times New Roman"/>
          <w:szCs w:val="24"/>
        </w:rPr>
        <w:t>s</w:t>
      </w:r>
      <w:r w:rsidR="002D50DE">
        <w:rPr>
          <w:rFonts w:ascii="Times New Roman" w:hAnsi="Times New Roman"/>
          <w:szCs w:val="24"/>
        </w:rPr>
        <w:t xml:space="preserve"> the 2010-2011 biennial cycle and move</w:t>
      </w:r>
      <w:r w:rsidR="00C76DB9">
        <w:rPr>
          <w:rFonts w:ascii="Times New Roman" w:hAnsi="Times New Roman"/>
          <w:szCs w:val="24"/>
        </w:rPr>
        <w:t>s</w:t>
      </w:r>
      <w:r w:rsidR="002D50DE">
        <w:rPr>
          <w:rFonts w:ascii="Times New Roman" w:hAnsi="Times New Roman"/>
          <w:szCs w:val="24"/>
        </w:rPr>
        <w:t xml:space="preserve"> to the next</w:t>
      </w:r>
      <w:r w:rsidR="00C76DB9">
        <w:rPr>
          <w:rFonts w:ascii="Times New Roman" w:hAnsi="Times New Roman"/>
          <w:szCs w:val="24"/>
        </w:rPr>
        <w:t xml:space="preserve"> cycle</w:t>
      </w:r>
      <w:r w:rsidR="00B1481F">
        <w:rPr>
          <w:rFonts w:ascii="Times New Roman" w:hAnsi="Times New Roman"/>
          <w:szCs w:val="24"/>
        </w:rPr>
        <w:t>,</w:t>
      </w:r>
      <w:r w:rsidR="002D50DE">
        <w:rPr>
          <w:rFonts w:ascii="Times New Roman" w:hAnsi="Times New Roman"/>
          <w:szCs w:val="24"/>
        </w:rPr>
        <w:t xml:space="preserve"> parties should expect the </w:t>
      </w:r>
      <w:r>
        <w:rPr>
          <w:rFonts w:ascii="Times New Roman" w:hAnsi="Times New Roman"/>
          <w:szCs w:val="24"/>
        </w:rPr>
        <w:t xml:space="preserve">need for such adjustments </w:t>
      </w:r>
      <w:r w:rsidR="002D50DE">
        <w:rPr>
          <w:rFonts w:ascii="Times New Roman" w:hAnsi="Times New Roman"/>
          <w:szCs w:val="24"/>
        </w:rPr>
        <w:t xml:space="preserve">to </w:t>
      </w:r>
      <w:r>
        <w:rPr>
          <w:rFonts w:ascii="Times New Roman" w:hAnsi="Times New Roman"/>
          <w:szCs w:val="24"/>
        </w:rPr>
        <w:t>diminish</w:t>
      </w:r>
      <w:r w:rsidR="002D50DE">
        <w:rPr>
          <w:rFonts w:ascii="Times New Roman" w:hAnsi="Times New Roman"/>
          <w:szCs w:val="24"/>
        </w:rPr>
        <w:t xml:space="preserve"> over time as the lessons learned are incorporated earlier in the conservation potential assessment and forecast planning efforts. </w:t>
      </w:r>
    </w:p>
    <w:p w:rsidR="002D50DE" w:rsidRDefault="002D50DE" w:rsidP="00AD4DF2">
      <w:pPr>
        <w:autoSpaceDE w:val="0"/>
        <w:autoSpaceDN w:val="0"/>
        <w:adjustRightInd w:val="0"/>
        <w:rPr>
          <w:rFonts w:ascii="Times New Roman" w:hAnsi="Times New Roman"/>
          <w:szCs w:val="24"/>
        </w:rPr>
      </w:pPr>
    </w:p>
    <w:p w:rsidR="00BD418D"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Prudence</w:t>
      </w:r>
    </w:p>
    <w:p w:rsidR="002D50DE" w:rsidRDefault="002D50DE" w:rsidP="002D50DE">
      <w:pPr>
        <w:pStyle w:val="NoSpacing"/>
        <w:jc w:val="both"/>
        <w:rPr>
          <w:rFonts w:ascii="Times New Roman" w:hAnsi="Times New Roman" w:cs="Times New Roman"/>
          <w:b/>
          <w:i/>
          <w:sz w:val="24"/>
          <w:szCs w:val="24"/>
        </w:rPr>
      </w:pPr>
    </w:p>
    <w:p w:rsidR="002D50DE" w:rsidRPr="00417657" w:rsidRDefault="00441E08" w:rsidP="002D50DE">
      <w:pPr>
        <w:rPr>
          <w:color w:val="FF0000"/>
        </w:rPr>
      </w:pPr>
      <w:r>
        <w:rPr>
          <w:color w:val="000000" w:themeColor="text1"/>
        </w:rPr>
        <w:t>The p</w:t>
      </w:r>
      <w:r w:rsidR="00A245A4" w:rsidRPr="00F7254D">
        <w:rPr>
          <w:color w:val="000000" w:themeColor="text1"/>
        </w:rPr>
        <w:t xml:space="preserve">rudency of PacifiCorp’s conservation </w:t>
      </w:r>
      <w:r w:rsidR="005C6EBB">
        <w:rPr>
          <w:color w:val="000000" w:themeColor="text1"/>
        </w:rPr>
        <w:t xml:space="preserve">expenditures and </w:t>
      </w:r>
      <w:r w:rsidR="00A245A4" w:rsidRPr="00F7254D">
        <w:rPr>
          <w:color w:val="000000" w:themeColor="text1"/>
        </w:rPr>
        <w:t>investments occurs in Schedule 191 filings</w:t>
      </w:r>
      <w:r>
        <w:rPr>
          <w:color w:val="000000" w:themeColor="text1"/>
        </w:rPr>
        <w:t xml:space="preserve">.  </w:t>
      </w:r>
      <w:r w:rsidR="002D50DE" w:rsidRPr="00F7254D">
        <w:rPr>
          <w:color w:val="000000" w:themeColor="text1"/>
        </w:rPr>
        <w:t xml:space="preserve">PacifiCorp </w:t>
      </w:r>
      <w:r w:rsidR="00A245A4" w:rsidRPr="00F7254D">
        <w:rPr>
          <w:color w:val="000000" w:themeColor="text1"/>
        </w:rPr>
        <w:t xml:space="preserve">supports </w:t>
      </w:r>
      <w:r w:rsidR="00C76DB9">
        <w:rPr>
          <w:color w:val="000000" w:themeColor="text1"/>
        </w:rPr>
        <w:t>S</w:t>
      </w:r>
      <w:r w:rsidR="00C76DB9" w:rsidRPr="00F7254D">
        <w:rPr>
          <w:color w:val="000000" w:themeColor="text1"/>
        </w:rPr>
        <w:t xml:space="preserve">taff’s </w:t>
      </w:r>
      <w:r w:rsidR="00A245A4" w:rsidRPr="00F7254D">
        <w:rPr>
          <w:color w:val="000000" w:themeColor="text1"/>
        </w:rPr>
        <w:t xml:space="preserve">characterization that the </w:t>
      </w:r>
      <w:r w:rsidR="002D50DE" w:rsidRPr="00F7254D">
        <w:rPr>
          <w:color w:val="000000" w:themeColor="text1"/>
        </w:rPr>
        <w:t xml:space="preserve">tools </w:t>
      </w:r>
      <w:r w:rsidR="00A245A4" w:rsidRPr="00F7254D">
        <w:rPr>
          <w:color w:val="000000" w:themeColor="text1"/>
        </w:rPr>
        <w:t xml:space="preserve">and rigor </w:t>
      </w:r>
      <w:r w:rsidR="002D50DE" w:rsidRPr="00F7254D">
        <w:rPr>
          <w:color w:val="000000" w:themeColor="text1"/>
        </w:rPr>
        <w:t xml:space="preserve">to adequately assess prudency, the transparency of operations available as a result of the implementation of Washington’s EIA, </w:t>
      </w:r>
      <w:r w:rsidR="00A245A4" w:rsidRPr="00F7254D">
        <w:rPr>
          <w:color w:val="000000" w:themeColor="text1"/>
        </w:rPr>
        <w:t>c</w:t>
      </w:r>
      <w:r w:rsidR="002D50DE" w:rsidRPr="00F7254D">
        <w:rPr>
          <w:color w:val="000000" w:themeColor="text1"/>
        </w:rPr>
        <w:t>an</w:t>
      </w:r>
      <w:r w:rsidR="00A245A4" w:rsidRPr="00F7254D">
        <w:rPr>
          <w:color w:val="000000" w:themeColor="text1"/>
        </w:rPr>
        <w:t xml:space="preserve"> provide valuable evidence and information to inform </w:t>
      </w:r>
      <w:r w:rsidR="00F7254D" w:rsidRPr="00F7254D">
        <w:rPr>
          <w:color w:val="000000" w:themeColor="text1"/>
        </w:rPr>
        <w:t xml:space="preserve">the approval of the Company’s </w:t>
      </w:r>
      <w:r w:rsidR="00A245A4" w:rsidRPr="00F7254D">
        <w:rPr>
          <w:color w:val="000000" w:themeColor="text1"/>
        </w:rPr>
        <w:t xml:space="preserve">Schedule 191 filings. </w:t>
      </w:r>
      <w:r w:rsidR="002D50DE" w:rsidRPr="00F7254D">
        <w:rPr>
          <w:color w:val="000000" w:themeColor="text1"/>
        </w:rPr>
        <w:t xml:space="preserve">However, as prudency generally relates to </w:t>
      </w:r>
      <w:r w:rsidR="005C6EBB">
        <w:rPr>
          <w:color w:val="000000" w:themeColor="text1"/>
        </w:rPr>
        <w:t>a</w:t>
      </w:r>
      <w:r w:rsidR="002D50DE" w:rsidRPr="00F7254D">
        <w:rPr>
          <w:color w:val="000000" w:themeColor="text1"/>
        </w:rPr>
        <w:t xml:space="preserve"> </w:t>
      </w:r>
      <w:r w:rsidR="00A245A4" w:rsidRPr="00F7254D">
        <w:rPr>
          <w:color w:val="000000" w:themeColor="text1"/>
        </w:rPr>
        <w:t>utility</w:t>
      </w:r>
      <w:r w:rsidR="005C6EBB">
        <w:rPr>
          <w:color w:val="000000" w:themeColor="text1"/>
        </w:rPr>
        <w:t>’s</w:t>
      </w:r>
      <w:r w:rsidR="00A245A4" w:rsidRPr="00F7254D">
        <w:rPr>
          <w:color w:val="000000" w:themeColor="text1"/>
        </w:rPr>
        <w:t xml:space="preserve"> expenditures, burdening </w:t>
      </w:r>
      <w:r w:rsidR="002D50DE" w:rsidRPr="00F7254D">
        <w:rPr>
          <w:color w:val="000000" w:themeColor="text1"/>
        </w:rPr>
        <w:t>th</w:t>
      </w:r>
      <w:r w:rsidR="00A245A4" w:rsidRPr="00F7254D">
        <w:rPr>
          <w:color w:val="000000" w:themeColor="text1"/>
        </w:rPr>
        <w:t xml:space="preserve">is </w:t>
      </w:r>
      <w:r w:rsidR="00F7254D" w:rsidRPr="00F7254D">
        <w:rPr>
          <w:color w:val="000000" w:themeColor="text1"/>
        </w:rPr>
        <w:t xml:space="preserve">approval process </w:t>
      </w:r>
      <w:r w:rsidR="00B1481F">
        <w:rPr>
          <w:color w:val="000000" w:themeColor="text1"/>
        </w:rPr>
        <w:t xml:space="preserve">with </w:t>
      </w:r>
      <w:r w:rsidR="002D50DE" w:rsidRPr="00F7254D">
        <w:rPr>
          <w:color w:val="000000" w:themeColor="text1"/>
        </w:rPr>
        <w:t xml:space="preserve">redundant requirements such as whether a utility </w:t>
      </w:r>
      <w:r w:rsidR="00B1481F">
        <w:rPr>
          <w:color w:val="000000" w:themeColor="text1"/>
        </w:rPr>
        <w:t xml:space="preserve">has </w:t>
      </w:r>
      <w:r w:rsidR="002D50DE" w:rsidRPr="00F7254D">
        <w:rPr>
          <w:color w:val="000000" w:themeColor="text1"/>
        </w:rPr>
        <w:t xml:space="preserve">properly established its conservation potential, pursuant to RCW 19.285.040(1), is </w:t>
      </w:r>
      <w:r w:rsidR="007C6777" w:rsidRPr="00F7254D">
        <w:rPr>
          <w:color w:val="000000" w:themeColor="text1"/>
        </w:rPr>
        <w:t>un</w:t>
      </w:r>
      <w:r w:rsidR="007C6777">
        <w:rPr>
          <w:color w:val="000000" w:themeColor="text1"/>
        </w:rPr>
        <w:t>necessary</w:t>
      </w:r>
      <w:r w:rsidR="00A245A4" w:rsidRPr="00F7254D">
        <w:rPr>
          <w:color w:val="000000" w:themeColor="text1"/>
        </w:rPr>
        <w:t xml:space="preserve">. </w:t>
      </w:r>
      <w:r w:rsidR="002D50DE" w:rsidRPr="00F7254D">
        <w:rPr>
          <w:color w:val="000000" w:themeColor="text1"/>
        </w:rPr>
        <w:t xml:space="preserve"> </w:t>
      </w:r>
    </w:p>
    <w:p w:rsidR="002D50DE" w:rsidRDefault="002D50DE" w:rsidP="002D50DE">
      <w:pPr>
        <w:pStyle w:val="NoSpacing"/>
        <w:jc w:val="both"/>
        <w:rPr>
          <w:rFonts w:ascii="Times New Roman" w:hAnsi="Times New Roman" w:cs="Times New Roman"/>
          <w:b/>
          <w:i/>
          <w:sz w:val="24"/>
          <w:szCs w:val="24"/>
        </w:rPr>
      </w:pPr>
    </w:p>
    <w:p w:rsidR="00BD418D"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 xml:space="preserve">Baseline/adaptive management </w:t>
      </w:r>
    </w:p>
    <w:p w:rsidR="00582766" w:rsidRDefault="00582766" w:rsidP="00582766">
      <w:pPr>
        <w:pStyle w:val="NoSpacing"/>
        <w:jc w:val="both"/>
        <w:rPr>
          <w:rFonts w:ascii="Times New Roman" w:hAnsi="Times New Roman" w:cs="Times New Roman"/>
          <w:sz w:val="24"/>
          <w:szCs w:val="24"/>
        </w:rPr>
      </w:pPr>
    </w:p>
    <w:p w:rsidR="00582766" w:rsidRDefault="00582766" w:rsidP="005827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PacifiCorp supports </w:t>
      </w:r>
      <w:r w:rsidR="00C843B3">
        <w:rPr>
          <w:rFonts w:ascii="Times New Roman" w:hAnsi="Times New Roman" w:cs="Times New Roman"/>
          <w:sz w:val="24"/>
          <w:szCs w:val="24"/>
        </w:rPr>
        <w:t>a</w:t>
      </w:r>
      <w:r>
        <w:rPr>
          <w:rFonts w:ascii="Times New Roman" w:hAnsi="Times New Roman" w:cs="Times New Roman"/>
          <w:sz w:val="24"/>
          <w:szCs w:val="24"/>
        </w:rPr>
        <w:t xml:space="preserve"> frozen baseline assumption </w:t>
      </w:r>
      <w:r w:rsidR="00C843B3">
        <w:rPr>
          <w:rFonts w:ascii="Times New Roman" w:hAnsi="Times New Roman" w:cs="Times New Roman"/>
          <w:sz w:val="24"/>
          <w:szCs w:val="24"/>
        </w:rPr>
        <w:t xml:space="preserve">between </w:t>
      </w:r>
      <w:r>
        <w:rPr>
          <w:rFonts w:ascii="Times New Roman" w:hAnsi="Times New Roman" w:cs="Times New Roman"/>
          <w:sz w:val="24"/>
          <w:szCs w:val="24"/>
        </w:rPr>
        <w:t>the establishment of conservation forecasts and reporting of conservation savings within a biennium period. This p</w:t>
      </w:r>
      <w:r w:rsidR="00C843B3">
        <w:rPr>
          <w:rFonts w:ascii="Times New Roman" w:hAnsi="Times New Roman" w:cs="Times New Roman"/>
          <w:sz w:val="24"/>
          <w:szCs w:val="24"/>
        </w:rPr>
        <w:t xml:space="preserve">osition </w:t>
      </w:r>
      <w:r>
        <w:rPr>
          <w:rFonts w:ascii="Times New Roman" w:hAnsi="Times New Roman" w:cs="Times New Roman"/>
          <w:sz w:val="24"/>
          <w:szCs w:val="24"/>
        </w:rPr>
        <w:t xml:space="preserve">was one of the </w:t>
      </w:r>
      <w:r w:rsidR="00C843B3">
        <w:rPr>
          <w:rFonts w:ascii="Times New Roman" w:hAnsi="Times New Roman" w:cs="Times New Roman"/>
          <w:sz w:val="24"/>
          <w:szCs w:val="24"/>
        </w:rPr>
        <w:t xml:space="preserve">major </w:t>
      </w:r>
      <w:r>
        <w:rPr>
          <w:rFonts w:ascii="Times New Roman" w:hAnsi="Times New Roman" w:cs="Times New Roman"/>
          <w:sz w:val="24"/>
          <w:szCs w:val="24"/>
        </w:rPr>
        <w:t xml:space="preserve">agreements between parties </w:t>
      </w:r>
      <w:r w:rsidR="00C843B3">
        <w:rPr>
          <w:rFonts w:ascii="Times New Roman" w:hAnsi="Times New Roman" w:cs="Times New Roman"/>
          <w:sz w:val="24"/>
          <w:szCs w:val="24"/>
        </w:rPr>
        <w:t xml:space="preserve">participating in the </w:t>
      </w:r>
      <w:r>
        <w:rPr>
          <w:rFonts w:ascii="Times New Roman" w:hAnsi="Times New Roman" w:cs="Times New Roman"/>
          <w:sz w:val="24"/>
          <w:szCs w:val="24"/>
        </w:rPr>
        <w:t xml:space="preserve">2011 Conservation Working Group meetings and </w:t>
      </w:r>
      <w:r w:rsidR="00C843B3">
        <w:rPr>
          <w:rFonts w:ascii="Times New Roman" w:hAnsi="Times New Roman" w:cs="Times New Roman"/>
          <w:sz w:val="24"/>
          <w:szCs w:val="24"/>
        </w:rPr>
        <w:t xml:space="preserve">is well </w:t>
      </w:r>
      <w:r>
        <w:rPr>
          <w:rFonts w:ascii="Times New Roman" w:hAnsi="Times New Roman" w:cs="Times New Roman"/>
          <w:sz w:val="24"/>
          <w:szCs w:val="24"/>
        </w:rPr>
        <w:t xml:space="preserve">documented in the </w:t>
      </w:r>
      <w:r w:rsidR="007C6777">
        <w:rPr>
          <w:rFonts w:ascii="Times New Roman" w:hAnsi="Times New Roman" w:cs="Times New Roman"/>
          <w:sz w:val="24"/>
          <w:szCs w:val="24"/>
        </w:rPr>
        <w:t>S</w:t>
      </w:r>
      <w:r>
        <w:rPr>
          <w:rFonts w:ascii="Times New Roman" w:hAnsi="Times New Roman" w:cs="Times New Roman"/>
          <w:sz w:val="24"/>
          <w:szCs w:val="24"/>
        </w:rPr>
        <w:t>taff report on those meetings.</w:t>
      </w:r>
      <w:r w:rsidR="00C843B3">
        <w:rPr>
          <w:rFonts w:ascii="Times New Roman" w:hAnsi="Times New Roman" w:cs="Times New Roman"/>
          <w:sz w:val="24"/>
          <w:szCs w:val="24"/>
        </w:rPr>
        <w:t xml:space="preserve"> The Company is not clear what the outstanding issue is</w:t>
      </w:r>
      <w:r w:rsidR="00B1481F">
        <w:rPr>
          <w:rFonts w:ascii="Times New Roman" w:hAnsi="Times New Roman" w:cs="Times New Roman"/>
          <w:sz w:val="24"/>
          <w:szCs w:val="24"/>
        </w:rPr>
        <w:t xml:space="preserve"> in </w:t>
      </w:r>
      <w:r w:rsidR="00C843B3">
        <w:rPr>
          <w:rFonts w:ascii="Times New Roman" w:hAnsi="Times New Roman" w:cs="Times New Roman"/>
          <w:sz w:val="24"/>
          <w:szCs w:val="24"/>
        </w:rPr>
        <w:t>regard</w:t>
      </w:r>
      <w:r w:rsidR="00B1481F">
        <w:rPr>
          <w:rFonts w:ascii="Times New Roman" w:hAnsi="Times New Roman" w:cs="Times New Roman"/>
          <w:sz w:val="24"/>
          <w:szCs w:val="24"/>
        </w:rPr>
        <w:t>ing</w:t>
      </w:r>
      <w:r w:rsidR="006D2D34">
        <w:rPr>
          <w:rFonts w:ascii="Times New Roman" w:hAnsi="Times New Roman" w:cs="Times New Roman"/>
          <w:sz w:val="24"/>
          <w:szCs w:val="24"/>
        </w:rPr>
        <w:t xml:space="preserve"> </w:t>
      </w:r>
      <w:r w:rsidR="00C843B3">
        <w:rPr>
          <w:rFonts w:ascii="Times New Roman" w:hAnsi="Times New Roman" w:cs="Times New Roman"/>
          <w:sz w:val="24"/>
          <w:szCs w:val="24"/>
        </w:rPr>
        <w:t>support of this planning and reporting practice.</w:t>
      </w:r>
    </w:p>
    <w:p w:rsidR="00582766" w:rsidRPr="00582766" w:rsidRDefault="00582766" w:rsidP="00582766">
      <w:pPr>
        <w:pStyle w:val="NoSpacing"/>
        <w:jc w:val="both"/>
        <w:rPr>
          <w:rFonts w:ascii="Times New Roman" w:hAnsi="Times New Roman" w:cs="Times New Roman"/>
          <w:sz w:val="24"/>
          <w:szCs w:val="24"/>
        </w:rPr>
      </w:pPr>
    </w:p>
    <w:p w:rsidR="005C5CF3" w:rsidRDefault="005C5CF3"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Confidentiality</w:t>
      </w:r>
    </w:p>
    <w:p w:rsidR="00430180" w:rsidRDefault="00430180">
      <w:pPr>
        <w:pStyle w:val="NoSpacing"/>
        <w:ind w:left="720"/>
        <w:jc w:val="both"/>
        <w:rPr>
          <w:rFonts w:ascii="Times New Roman" w:hAnsi="Times New Roman" w:cs="Times New Roman"/>
          <w:b/>
          <w:i/>
          <w:sz w:val="24"/>
          <w:szCs w:val="24"/>
        </w:rPr>
      </w:pPr>
    </w:p>
    <w:p w:rsidR="005C5CF3" w:rsidRDefault="005C5CF3" w:rsidP="005C5CF3">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While the Company is willing to continue the existing process of entering into bilateral confidentiality agreements with intervenors in order to protect confidential information, this is cumbersome and not the optimal solution for protecting confidential data.  Instead, the Company requests that the Commission allow parties to request a protective order in dockets opened to review renewable and conservation reports.  This allows for greater transparency and is significantly less administratively burdensome than negotiating multiple bilateral agreements.  The Company is not aware of an administrative rule that precludes the Commission from issuing </w:t>
      </w:r>
      <w:r w:rsidR="007C6777">
        <w:rPr>
          <w:rFonts w:ascii="Times New Roman" w:hAnsi="Times New Roman" w:cs="Times New Roman"/>
          <w:sz w:val="24"/>
          <w:szCs w:val="24"/>
        </w:rPr>
        <w:t xml:space="preserve">a </w:t>
      </w:r>
      <w:r>
        <w:rPr>
          <w:rFonts w:ascii="Times New Roman" w:hAnsi="Times New Roman" w:cs="Times New Roman"/>
          <w:sz w:val="24"/>
          <w:szCs w:val="24"/>
        </w:rPr>
        <w:t>protective order in a non-adjudicative proceeding.</w:t>
      </w:r>
    </w:p>
    <w:p w:rsidR="00430180" w:rsidRDefault="00430180">
      <w:pPr>
        <w:pStyle w:val="NoSpacing"/>
        <w:ind w:left="720"/>
        <w:jc w:val="both"/>
        <w:rPr>
          <w:rFonts w:ascii="Times New Roman" w:hAnsi="Times New Roman" w:cs="Times New Roman"/>
          <w:sz w:val="24"/>
          <w:szCs w:val="24"/>
        </w:rPr>
      </w:pPr>
    </w:p>
    <w:p w:rsidR="005C5CF3" w:rsidRDefault="005C5CF3" w:rsidP="005C5CF3">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issue should be addressed now by the Commission so that parties may have some certainty </w:t>
      </w:r>
      <w:r w:rsidR="007C6777">
        <w:rPr>
          <w:rFonts w:ascii="Times New Roman" w:hAnsi="Times New Roman" w:cs="Times New Roman"/>
          <w:sz w:val="24"/>
          <w:szCs w:val="24"/>
        </w:rPr>
        <w:t>for</w:t>
      </w:r>
      <w:r>
        <w:rPr>
          <w:rFonts w:ascii="Times New Roman" w:hAnsi="Times New Roman" w:cs="Times New Roman"/>
          <w:sz w:val="24"/>
          <w:szCs w:val="24"/>
        </w:rPr>
        <w:t xml:space="preserve"> subsequent reports.</w:t>
      </w:r>
    </w:p>
    <w:p w:rsidR="005C5CF3" w:rsidRDefault="005C5CF3" w:rsidP="005C5CF3">
      <w:pPr>
        <w:pStyle w:val="NoSpacing"/>
        <w:jc w:val="both"/>
        <w:rPr>
          <w:rFonts w:ascii="Times New Roman" w:hAnsi="Times New Roman" w:cs="Times New Roman"/>
          <w:b/>
          <w:i/>
          <w:sz w:val="24"/>
          <w:szCs w:val="24"/>
        </w:rPr>
      </w:pPr>
    </w:p>
    <w:p w:rsidR="00BD418D"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Consistency of EM&amp;V frameworks</w:t>
      </w:r>
    </w:p>
    <w:p w:rsidR="00C843B3" w:rsidRDefault="00C843B3" w:rsidP="00C843B3">
      <w:pPr>
        <w:pStyle w:val="NoSpacing"/>
        <w:jc w:val="both"/>
        <w:rPr>
          <w:rFonts w:ascii="Times New Roman" w:hAnsi="Times New Roman" w:cs="Times New Roman"/>
          <w:b/>
          <w:i/>
          <w:sz w:val="24"/>
          <w:szCs w:val="24"/>
        </w:rPr>
      </w:pPr>
    </w:p>
    <w:p w:rsidR="00F673CD" w:rsidRDefault="00F673CD" w:rsidP="00C843B3">
      <w:pPr>
        <w:pStyle w:val="NoSpacing"/>
        <w:jc w:val="both"/>
        <w:rPr>
          <w:rFonts w:ascii="Times New Roman" w:hAnsi="Times New Roman"/>
          <w:szCs w:val="24"/>
        </w:rPr>
      </w:pPr>
      <w:r>
        <w:rPr>
          <w:rFonts w:ascii="Times New Roman" w:hAnsi="Times New Roman" w:cs="Times New Roman"/>
          <w:sz w:val="24"/>
          <w:szCs w:val="24"/>
        </w:rPr>
        <w:t xml:space="preserve">All three utilities have </w:t>
      </w:r>
      <w:r w:rsidR="00C843B3">
        <w:rPr>
          <w:rFonts w:ascii="Times New Roman" w:hAnsi="Times New Roman" w:cs="Times New Roman"/>
          <w:sz w:val="24"/>
          <w:szCs w:val="24"/>
        </w:rPr>
        <w:t xml:space="preserve">developed and currently operate within </w:t>
      </w:r>
      <w:r>
        <w:rPr>
          <w:rFonts w:ascii="Times New Roman" w:hAnsi="Times New Roman" w:cs="Times New Roman"/>
          <w:sz w:val="24"/>
          <w:szCs w:val="24"/>
        </w:rPr>
        <w:t>advisory group</w:t>
      </w:r>
      <w:r w:rsidR="00B1481F">
        <w:rPr>
          <w:rFonts w:ascii="Times New Roman" w:hAnsi="Times New Roman" w:cs="Times New Roman"/>
          <w:sz w:val="24"/>
          <w:szCs w:val="24"/>
        </w:rPr>
        <w:t>-</w:t>
      </w:r>
      <w:r>
        <w:rPr>
          <w:rFonts w:ascii="Times New Roman" w:hAnsi="Times New Roman" w:cs="Times New Roman"/>
          <w:sz w:val="24"/>
          <w:szCs w:val="24"/>
        </w:rPr>
        <w:t xml:space="preserve">reviewed </w:t>
      </w:r>
      <w:r w:rsidR="00377C91">
        <w:rPr>
          <w:rFonts w:ascii="Times New Roman" w:hAnsi="Times New Roman" w:cs="Times New Roman"/>
          <w:sz w:val="24"/>
          <w:szCs w:val="24"/>
        </w:rPr>
        <w:t>evaluation, measurement and verification (</w:t>
      </w:r>
      <w:r w:rsidR="00C843B3">
        <w:rPr>
          <w:rFonts w:ascii="Times New Roman" w:hAnsi="Times New Roman" w:cs="Times New Roman"/>
          <w:sz w:val="24"/>
          <w:szCs w:val="24"/>
        </w:rPr>
        <w:t>EM&amp;V</w:t>
      </w:r>
      <w:r w:rsidR="00377C91">
        <w:rPr>
          <w:rFonts w:ascii="Times New Roman" w:hAnsi="Times New Roman" w:cs="Times New Roman"/>
          <w:sz w:val="24"/>
          <w:szCs w:val="24"/>
        </w:rPr>
        <w:t>)</w:t>
      </w:r>
      <w:r w:rsidR="00C843B3">
        <w:rPr>
          <w:rFonts w:ascii="Times New Roman" w:hAnsi="Times New Roman" w:cs="Times New Roman"/>
          <w:sz w:val="24"/>
          <w:szCs w:val="24"/>
        </w:rPr>
        <w:t xml:space="preserve"> frameworks</w:t>
      </w:r>
      <w:r>
        <w:rPr>
          <w:rFonts w:ascii="Times New Roman" w:hAnsi="Times New Roman" w:cs="Times New Roman"/>
          <w:sz w:val="24"/>
          <w:szCs w:val="24"/>
        </w:rPr>
        <w:t xml:space="preserve">. </w:t>
      </w:r>
      <w:r w:rsidR="00C843B3">
        <w:rPr>
          <w:rFonts w:ascii="Times New Roman" w:hAnsi="Times New Roman" w:cs="Times New Roman"/>
          <w:sz w:val="24"/>
          <w:szCs w:val="24"/>
        </w:rPr>
        <w:t>PacifiCorp’s</w:t>
      </w:r>
      <w:r w:rsidR="002E4BD4">
        <w:rPr>
          <w:rFonts w:ascii="Times New Roman" w:hAnsi="Times New Roman" w:cs="Times New Roman"/>
          <w:sz w:val="24"/>
          <w:szCs w:val="24"/>
        </w:rPr>
        <w:t xml:space="preserve"> framework</w:t>
      </w:r>
      <w:r w:rsidR="00C843B3">
        <w:rPr>
          <w:rFonts w:ascii="Times New Roman" w:hAnsi="Times New Roman" w:cs="Times New Roman"/>
          <w:sz w:val="24"/>
          <w:szCs w:val="24"/>
        </w:rPr>
        <w:t xml:space="preserve"> </w:t>
      </w:r>
      <w:r w:rsidR="005C6EBB">
        <w:rPr>
          <w:rFonts w:ascii="Times New Roman" w:hAnsi="Times New Roman" w:cs="Times New Roman"/>
          <w:sz w:val="24"/>
          <w:szCs w:val="24"/>
        </w:rPr>
        <w:t>was the last</w:t>
      </w:r>
      <w:r w:rsidR="00C843B3">
        <w:rPr>
          <w:rFonts w:ascii="Times New Roman" w:hAnsi="Times New Roman" w:cs="Times New Roman"/>
          <w:sz w:val="24"/>
          <w:szCs w:val="24"/>
        </w:rPr>
        <w:t xml:space="preserve"> </w:t>
      </w:r>
      <w:r w:rsidR="005C6EBB">
        <w:rPr>
          <w:rFonts w:ascii="Times New Roman" w:hAnsi="Times New Roman" w:cs="Times New Roman"/>
          <w:sz w:val="24"/>
          <w:szCs w:val="24"/>
        </w:rPr>
        <w:t xml:space="preserve">framework </w:t>
      </w:r>
      <w:r w:rsidR="00C843B3">
        <w:rPr>
          <w:rFonts w:ascii="Times New Roman" w:hAnsi="Times New Roman" w:cs="Times New Roman"/>
          <w:sz w:val="24"/>
          <w:szCs w:val="24"/>
        </w:rPr>
        <w:t xml:space="preserve">to </w:t>
      </w:r>
      <w:r>
        <w:rPr>
          <w:rFonts w:ascii="Times New Roman" w:hAnsi="Times New Roman" w:cs="Times New Roman"/>
          <w:sz w:val="24"/>
          <w:szCs w:val="24"/>
        </w:rPr>
        <w:t xml:space="preserve">have been </w:t>
      </w:r>
      <w:r w:rsidR="00C843B3">
        <w:rPr>
          <w:rFonts w:ascii="Times New Roman" w:hAnsi="Times New Roman" w:cs="Times New Roman"/>
          <w:sz w:val="24"/>
          <w:szCs w:val="24"/>
        </w:rPr>
        <w:t xml:space="preserve">developed and </w:t>
      </w:r>
      <w:r>
        <w:rPr>
          <w:rFonts w:ascii="Times New Roman" w:hAnsi="Times New Roman" w:cs="Times New Roman"/>
          <w:sz w:val="24"/>
          <w:szCs w:val="24"/>
        </w:rPr>
        <w:t>as such</w:t>
      </w:r>
      <w:r w:rsidR="000E6E39">
        <w:rPr>
          <w:rFonts w:ascii="Times New Roman" w:hAnsi="Times New Roman" w:cs="Times New Roman"/>
          <w:sz w:val="24"/>
          <w:szCs w:val="24"/>
        </w:rPr>
        <w:t xml:space="preserve">, </w:t>
      </w:r>
      <w:r w:rsidR="005C6EBB">
        <w:rPr>
          <w:rFonts w:ascii="Times New Roman" w:hAnsi="Times New Roman" w:cs="Times New Roman"/>
          <w:sz w:val="24"/>
          <w:szCs w:val="24"/>
        </w:rPr>
        <w:t>includes</w:t>
      </w:r>
      <w:r w:rsidR="00C843B3">
        <w:rPr>
          <w:rFonts w:ascii="Times New Roman" w:hAnsi="Times New Roman" w:cs="Times New Roman"/>
          <w:sz w:val="24"/>
          <w:szCs w:val="24"/>
        </w:rPr>
        <w:t xml:space="preserve"> many of the components found in the frameworks of Avista and P</w:t>
      </w:r>
      <w:r w:rsidR="00C76DB9">
        <w:rPr>
          <w:rFonts w:ascii="Times New Roman" w:hAnsi="Times New Roman" w:cs="Times New Roman"/>
          <w:sz w:val="24"/>
          <w:szCs w:val="24"/>
        </w:rPr>
        <w:t xml:space="preserve">uget Sound </w:t>
      </w:r>
      <w:r w:rsidR="00C843B3">
        <w:rPr>
          <w:rFonts w:ascii="Times New Roman" w:hAnsi="Times New Roman" w:cs="Times New Roman"/>
          <w:sz w:val="24"/>
          <w:szCs w:val="24"/>
        </w:rPr>
        <w:t>E</w:t>
      </w:r>
      <w:r w:rsidR="00C76DB9">
        <w:rPr>
          <w:rFonts w:ascii="Times New Roman" w:hAnsi="Times New Roman" w:cs="Times New Roman"/>
          <w:sz w:val="24"/>
          <w:szCs w:val="24"/>
        </w:rPr>
        <w:t>nergy, Inc. (PSE)</w:t>
      </w:r>
      <w:r w:rsidR="00C843B3">
        <w:rPr>
          <w:rFonts w:ascii="Times New Roman" w:hAnsi="Times New Roman" w:cs="Times New Roman"/>
          <w:sz w:val="24"/>
          <w:szCs w:val="24"/>
        </w:rPr>
        <w:t xml:space="preserve">. The documents are considered </w:t>
      </w:r>
      <w:r w:rsidR="000E6E39">
        <w:rPr>
          <w:rFonts w:ascii="Times New Roman" w:hAnsi="Times New Roman" w:cs="Times New Roman"/>
          <w:sz w:val="24"/>
          <w:szCs w:val="24"/>
        </w:rPr>
        <w:t xml:space="preserve">to be </w:t>
      </w:r>
      <w:r>
        <w:rPr>
          <w:rFonts w:ascii="Times New Roman" w:hAnsi="Times New Roman" w:cs="Times New Roman"/>
          <w:sz w:val="24"/>
          <w:szCs w:val="24"/>
        </w:rPr>
        <w:t>works</w:t>
      </w:r>
      <w:r w:rsidR="000E6E39">
        <w:rPr>
          <w:rFonts w:ascii="Times New Roman" w:hAnsi="Times New Roman" w:cs="Times New Roman"/>
          <w:sz w:val="24"/>
          <w:szCs w:val="24"/>
        </w:rPr>
        <w:t>-</w:t>
      </w:r>
      <w:r>
        <w:rPr>
          <w:rFonts w:ascii="Times New Roman" w:hAnsi="Times New Roman" w:cs="Times New Roman"/>
          <w:sz w:val="24"/>
          <w:szCs w:val="24"/>
        </w:rPr>
        <w:t>in</w:t>
      </w:r>
      <w:r w:rsidR="000E6E39">
        <w:rPr>
          <w:rFonts w:ascii="Times New Roman" w:hAnsi="Times New Roman" w:cs="Times New Roman"/>
          <w:sz w:val="24"/>
          <w:szCs w:val="24"/>
        </w:rPr>
        <w:t>-</w:t>
      </w:r>
      <w:r>
        <w:rPr>
          <w:rFonts w:ascii="Times New Roman" w:hAnsi="Times New Roman" w:cs="Times New Roman"/>
          <w:sz w:val="24"/>
          <w:szCs w:val="24"/>
        </w:rPr>
        <w:t xml:space="preserve">progress and all parties expect they will </w:t>
      </w:r>
      <w:r w:rsidR="00C843B3">
        <w:rPr>
          <w:rFonts w:ascii="Times New Roman" w:hAnsi="Times New Roman" w:cs="Times New Roman"/>
          <w:sz w:val="24"/>
          <w:szCs w:val="24"/>
        </w:rPr>
        <w:t xml:space="preserve">evolve over time as conditions warrant. </w:t>
      </w:r>
      <w:r>
        <w:rPr>
          <w:rFonts w:ascii="Times New Roman" w:hAnsi="Times New Roman" w:cs="Times New Roman"/>
          <w:sz w:val="24"/>
          <w:szCs w:val="24"/>
        </w:rPr>
        <w:t xml:space="preserve">The </w:t>
      </w:r>
      <w:r w:rsidRPr="002E4BD4">
        <w:rPr>
          <w:rFonts w:ascii="Times New Roman" w:hAnsi="Times New Roman" w:cs="Times New Roman"/>
          <w:sz w:val="24"/>
          <w:szCs w:val="24"/>
        </w:rPr>
        <w:t xml:space="preserve">Company is </w:t>
      </w:r>
      <w:r w:rsidR="000E6E39" w:rsidRPr="002E4BD4">
        <w:rPr>
          <w:rFonts w:ascii="Times New Roman" w:hAnsi="Times New Roman" w:cs="Times New Roman"/>
          <w:sz w:val="24"/>
          <w:szCs w:val="24"/>
        </w:rPr>
        <w:t xml:space="preserve">not </w:t>
      </w:r>
      <w:r w:rsidRPr="002E4BD4">
        <w:rPr>
          <w:rFonts w:ascii="Times New Roman" w:hAnsi="Times New Roman" w:cs="Times New Roman"/>
          <w:sz w:val="24"/>
          <w:szCs w:val="24"/>
        </w:rPr>
        <w:t xml:space="preserve">aware of </w:t>
      </w:r>
      <w:r w:rsidR="000E6E39" w:rsidRPr="002E4BD4">
        <w:rPr>
          <w:rFonts w:ascii="Times New Roman" w:hAnsi="Times New Roman" w:cs="Times New Roman"/>
          <w:sz w:val="24"/>
          <w:szCs w:val="24"/>
        </w:rPr>
        <w:t>any</w:t>
      </w:r>
      <w:r w:rsidRPr="002E4BD4">
        <w:rPr>
          <w:rFonts w:ascii="Times New Roman" w:hAnsi="Times New Roman" w:cs="Times New Roman"/>
          <w:sz w:val="24"/>
          <w:szCs w:val="24"/>
        </w:rPr>
        <w:t xml:space="preserve"> issues with the EM&amp;V frameworks that would require resolution prior to the Commission issuing a</w:t>
      </w:r>
      <w:r w:rsidR="007A474A" w:rsidRPr="007A474A">
        <w:rPr>
          <w:rFonts w:ascii="Times New Roman" w:hAnsi="Times New Roman"/>
          <w:sz w:val="24"/>
          <w:szCs w:val="24"/>
        </w:rPr>
        <w:t xml:space="preserve"> ruling on the 2010-2011 BCRs.</w:t>
      </w:r>
      <w:r>
        <w:rPr>
          <w:rFonts w:ascii="Times New Roman" w:hAnsi="Times New Roman"/>
          <w:szCs w:val="24"/>
        </w:rPr>
        <w:t xml:space="preserve"> </w:t>
      </w:r>
    </w:p>
    <w:p w:rsidR="00C843B3" w:rsidRPr="00C843B3" w:rsidRDefault="00C843B3" w:rsidP="00C843B3">
      <w:pPr>
        <w:pStyle w:val="NoSpacing"/>
        <w:jc w:val="both"/>
        <w:rPr>
          <w:rFonts w:ascii="Times New Roman" w:hAnsi="Times New Roman" w:cs="Times New Roman"/>
          <w:sz w:val="24"/>
          <w:szCs w:val="24"/>
        </w:rPr>
      </w:pPr>
    </w:p>
    <w:p w:rsidR="00F673CD" w:rsidRDefault="00BD418D" w:rsidP="00F673CD">
      <w:pPr>
        <w:pStyle w:val="NoSpacing"/>
        <w:numPr>
          <w:ilvl w:val="0"/>
          <w:numId w:val="16"/>
        </w:numPr>
        <w:jc w:val="both"/>
        <w:rPr>
          <w:rFonts w:ascii="Times New Roman" w:hAnsi="Times New Roman" w:cs="Times New Roman"/>
          <w:b/>
          <w:i/>
          <w:sz w:val="24"/>
          <w:szCs w:val="24"/>
        </w:rPr>
      </w:pPr>
      <w:r w:rsidRPr="00F673CD">
        <w:rPr>
          <w:rFonts w:ascii="Times New Roman" w:hAnsi="Times New Roman" w:cs="Times New Roman"/>
          <w:b/>
          <w:i/>
          <w:sz w:val="24"/>
          <w:szCs w:val="24"/>
        </w:rPr>
        <w:t>Reporting documentation requirements</w:t>
      </w:r>
    </w:p>
    <w:p w:rsidR="00BD418D" w:rsidRDefault="00BD418D" w:rsidP="00F673CD">
      <w:pPr>
        <w:pStyle w:val="NoSpacing"/>
        <w:jc w:val="both"/>
        <w:rPr>
          <w:rFonts w:ascii="Times New Roman" w:hAnsi="Times New Roman" w:cs="Times New Roman"/>
          <w:b/>
          <w:i/>
          <w:sz w:val="24"/>
          <w:szCs w:val="24"/>
        </w:rPr>
      </w:pPr>
      <w:r w:rsidRPr="00F673CD">
        <w:rPr>
          <w:rFonts w:ascii="Times New Roman" w:hAnsi="Times New Roman" w:cs="Times New Roman"/>
          <w:b/>
          <w:i/>
          <w:sz w:val="24"/>
          <w:szCs w:val="24"/>
        </w:rPr>
        <w:t xml:space="preserve"> </w:t>
      </w:r>
    </w:p>
    <w:p w:rsidR="00C7130C" w:rsidRPr="00C7130C" w:rsidRDefault="00C76DB9" w:rsidP="00F673CD">
      <w:pPr>
        <w:pStyle w:val="NoSpacing"/>
        <w:jc w:val="both"/>
        <w:rPr>
          <w:rFonts w:ascii="Times New Roman" w:hAnsi="Times New Roman" w:cs="Times New Roman"/>
          <w:sz w:val="24"/>
          <w:szCs w:val="24"/>
        </w:rPr>
      </w:pPr>
      <w:r>
        <w:rPr>
          <w:rFonts w:ascii="Times New Roman" w:hAnsi="Times New Roman" w:cs="Times New Roman"/>
          <w:sz w:val="24"/>
          <w:szCs w:val="24"/>
        </w:rPr>
        <w:t>The Company</w:t>
      </w:r>
      <w:r w:rsidR="000E6E39">
        <w:rPr>
          <w:rFonts w:ascii="Times New Roman" w:hAnsi="Times New Roman" w:cs="Times New Roman"/>
          <w:sz w:val="24"/>
          <w:szCs w:val="24"/>
        </w:rPr>
        <w:t xml:space="preserve"> provided documentation </w:t>
      </w:r>
      <w:r>
        <w:rPr>
          <w:rFonts w:ascii="Times New Roman" w:hAnsi="Times New Roman" w:cs="Times New Roman"/>
          <w:sz w:val="24"/>
          <w:szCs w:val="24"/>
        </w:rPr>
        <w:t xml:space="preserve">as requested </w:t>
      </w:r>
      <w:r w:rsidR="000E6E39">
        <w:rPr>
          <w:rFonts w:ascii="Times New Roman" w:hAnsi="Times New Roman" w:cs="Times New Roman"/>
          <w:sz w:val="24"/>
          <w:szCs w:val="24"/>
        </w:rPr>
        <w:t>with its report to allow Staff and other parties to review all assumptions and determine that the Company was in compliance with the reporting requirements and on target to meet the BCRs.</w:t>
      </w:r>
      <w:r>
        <w:rPr>
          <w:rFonts w:ascii="Times New Roman" w:hAnsi="Times New Roman" w:cs="Times New Roman"/>
          <w:sz w:val="24"/>
          <w:szCs w:val="24"/>
        </w:rPr>
        <w:t xml:space="preserve">  To the extent additional documentation is requested by Staff in order to review and provide recommendation on the Company’s </w:t>
      </w:r>
      <w:r w:rsidR="005C6EBB">
        <w:rPr>
          <w:rFonts w:ascii="Times New Roman" w:hAnsi="Times New Roman" w:cs="Times New Roman"/>
          <w:sz w:val="24"/>
          <w:szCs w:val="24"/>
        </w:rPr>
        <w:t>BCR</w:t>
      </w:r>
      <w:r>
        <w:rPr>
          <w:rFonts w:ascii="Times New Roman" w:hAnsi="Times New Roman" w:cs="Times New Roman"/>
          <w:sz w:val="24"/>
          <w:szCs w:val="24"/>
        </w:rPr>
        <w:t>, the Company will work with Staff in order to ensure that the desired information is included in future conservation reports.</w:t>
      </w:r>
    </w:p>
    <w:p w:rsidR="00C7130C" w:rsidRPr="00F673CD" w:rsidRDefault="00C7130C" w:rsidP="00F673CD">
      <w:pPr>
        <w:pStyle w:val="NoSpacing"/>
        <w:jc w:val="both"/>
        <w:rPr>
          <w:rFonts w:ascii="Times New Roman" w:hAnsi="Times New Roman" w:cs="Times New Roman"/>
          <w:b/>
          <w:i/>
          <w:sz w:val="24"/>
          <w:szCs w:val="24"/>
        </w:rPr>
      </w:pPr>
    </w:p>
    <w:p w:rsidR="00F673CD"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“Pursue all” conservation resources</w:t>
      </w:r>
    </w:p>
    <w:p w:rsidR="00F673CD" w:rsidRDefault="00F673CD" w:rsidP="00F673CD">
      <w:pPr>
        <w:rPr>
          <w:rFonts w:ascii="Times New Roman" w:hAnsi="Times New Roman"/>
          <w:b/>
          <w:i/>
          <w:szCs w:val="24"/>
        </w:rPr>
      </w:pPr>
    </w:p>
    <w:p w:rsidR="00F673CD" w:rsidRDefault="00F673CD" w:rsidP="00F673CD">
      <w:pPr>
        <w:rPr>
          <w:color w:val="000000" w:themeColor="text1"/>
        </w:rPr>
      </w:pPr>
      <w:r w:rsidRPr="00F673CD">
        <w:rPr>
          <w:color w:val="000000" w:themeColor="text1"/>
        </w:rPr>
        <w:t>PacifiCorp does</w:t>
      </w:r>
      <w:r w:rsidR="005C6EBB">
        <w:rPr>
          <w:color w:val="000000" w:themeColor="text1"/>
        </w:rPr>
        <w:t xml:space="preserve"> no</w:t>
      </w:r>
      <w:r w:rsidRPr="00F673CD">
        <w:rPr>
          <w:color w:val="000000" w:themeColor="text1"/>
        </w:rPr>
        <w:t>t believe there is a need for further clarification as to what constitutes the pursuit of “…all available conservation that is cost-effective, reliable and feasible.</w:t>
      </w:r>
      <w:r w:rsidR="005C6EBB">
        <w:rPr>
          <w:color w:val="000000" w:themeColor="text1"/>
        </w:rPr>
        <w:t>”</w:t>
      </w:r>
      <w:r w:rsidRPr="00F673CD">
        <w:rPr>
          <w:color w:val="000000" w:themeColor="text1"/>
        </w:rPr>
        <w:t xml:space="preserve"> The Company believes </w:t>
      </w:r>
      <w:r>
        <w:rPr>
          <w:color w:val="000000" w:themeColor="text1"/>
        </w:rPr>
        <w:t xml:space="preserve">the EIA </w:t>
      </w:r>
      <w:r w:rsidRPr="00F673CD">
        <w:rPr>
          <w:color w:val="000000" w:themeColor="text1"/>
        </w:rPr>
        <w:t>language, inclusive of limited sources that can be used in the establishment of a utilit</w:t>
      </w:r>
      <w:r w:rsidR="000E6E39">
        <w:rPr>
          <w:color w:val="000000" w:themeColor="text1"/>
        </w:rPr>
        <w:t>y’s</w:t>
      </w:r>
      <w:r w:rsidRPr="00F673CD">
        <w:rPr>
          <w:color w:val="000000" w:themeColor="text1"/>
        </w:rPr>
        <w:t xml:space="preserve"> conservation forecast, coupled with the regulatory review</w:t>
      </w:r>
      <w:r w:rsidR="002E4BD4">
        <w:rPr>
          <w:color w:val="000000" w:themeColor="text1"/>
        </w:rPr>
        <w:t xml:space="preserve">, Commission </w:t>
      </w:r>
      <w:r w:rsidRPr="00F673CD">
        <w:rPr>
          <w:color w:val="000000" w:themeColor="text1"/>
        </w:rPr>
        <w:t>orders,</w:t>
      </w:r>
      <w:r w:rsidR="002E4BD4">
        <w:rPr>
          <w:color w:val="000000" w:themeColor="text1"/>
        </w:rPr>
        <w:t xml:space="preserve"> </w:t>
      </w:r>
      <w:r w:rsidRPr="00F673CD">
        <w:rPr>
          <w:color w:val="000000" w:themeColor="text1"/>
        </w:rPr>
        <w:t>procedures, reports and EM&amp;V requirements, more than adequately ensure that when the Commission approves a utilit</w:t>
      </w:r>
      <w:r w:rsidR="002E4BD4">
        <w:rPr>
          <w:color w:val="000000" w:themeColor="text1"/>
        </w:rPr>
        <w:t>y’s</w:t>
      </w:r>
      <w:r w:rsidRPr="00F673CD">
        <w:rPr>
          <w:color w:val="000000" w:themeColor="text1"/>
        </w:rPr>
        <w:t xml:space="preserve"> ten-year conservation forecast and biennial target that the level of rigor envisioned under the “…pursue all…” has been reasonably addressed.  </w:t>
      </w:r>
    </w:p>
    <w:p w:rsidR="00321A20" w:rsidRDefault="00321A20" w:rsidP="00F673CD">
      <w:pPr>
        <w:rPr>
          <w:color w:val="000000" w:themeColor="text1"/>
        </w:rPr>
      </w:pPr>
    </w:p>
    <w:p w:rsidR="00177BEC" w:rsidRDefault="00321A20" w:rsidP="00F673CD">
      <w:pPr>
        <w:rPr>
          <w:color w:val="000000" w:themeColor="text1"/>
        </w:rPr>
      </w:pPr>
      <w:r>
        <w:rPr>
          <w:color w:val="000000" w:themeColor="text1"/>
        </w:rPr>
        <w:t xml:space="preserve">At the July 27, 2012 open meeting, a question was raised with respect to whether “all available” conservation could be conservation beyond that identified in the biennial target.  Within the existing conservation planning process, it is simply </w:t>
      </w:r>
      <w:r w:rsidR="005C6EBB">
        <w:rPr>
          <w:color w:val="000000" w:themeColor="text1"/>
        </w:rPr>
        <w:t>un</w:t>
      </w:r>
      <w:r>
        <w:rPr>
          <w:color w:val="000000" w:themeColor="text1"/>
        </w:rPr>
        <w:t xml:space="preserve">reasonable to require utilities to </w:t>
      </w:r>
      <w:r w:rsidR="00177BEC">
        <w:rPr>
          <w:color w:val="000000" w:themeColor="text1"/>
        </w:rPr>
        <w:t xml:space="preserve">be held accountable for </w:t>
      </w:r>
      <w:r>
        <w:rPr>
          <w:color w:val="000000" w:themeColor="text1"/>
        </w:rPr>
        <w:t xml:space="preserve">conservation </w:t>
      </w:r>
      <w:r w:rsidR="00177BEC">
        <w:rPr>
          <w:color w:val="000000" w:themeColor="text1"/>
        </w:rPr>
        <w:t>savings</w:t>
      </w:r>
      <w:r>
        <w:rPr>
          <w:color w:val="000000" w:themeColor="text1"/>
        </w:rPr>
        <w:t xml:space="preserve"> </w:t>
      </w:r>
      <w:r w:rsidR="00177BEC">
        <w:rPr>
          <w:color w:val="000000" w:themeColor="text1"/>
        </w:rPr>
        <w:t xml:space="preserve">assumed available </w:t>
      </w:r>
      <w:r>
        <w:rPr>
          <w:color w:val="000000" w:themeColor="text1"/>
        </w:rPr>
        <w:t xml:space="preserve">beyond those that are identified in the biennial target.  This would leave utilities in the position of having to continually re-evaluate </w:t>
      </w:r>
      <w:r w:rsidR="005C6EBB">
        <w:rPr>
          <w:color w:val="000000" w:themeColor="text1"/>
        </w:rPr>
        <w:t xml:space="preserve">their </w:t>
      </w:r>
      <w:r>
        <w:rPr>
          <w:color w:val="000000" w:themeColor="text1"/>
        </w:rPr>
        <w:t xml:space="preserve">conservation potential and somehow ensure that any conservation potential somehow “missed” when setting the biennial target is </w:t>
      </w:r>
      <w:r w:rsidR="00177BEC">
        <w:rPr>
          <w:color w:val="000000" w:themeColor="text1"/>
        </w:rPr>
        <w:t>acquired. The Commission and utilities need certainty in how success is to be measured, and once set</w:t>
      </w:r>
      <w:r w:rsidR="005C6EBB">
        <w:rPr>
          <w:color w:val="000000" w:themeColor="text1"/>
        </w:rPr>
        <w:t>,</w:t>
      </w:r>
      <w:r w:rsidR="00177BEC">
        <w:rPr>
          <w:color w:val="000000" w:themeColor="text1"/>
        </w:rPr>
        <w:t xml:space="preserve"> this measurement (a utility’s biennial target) must serve as a proxy for the definition of “all cost-effective” for that biennium. </w:t>
      </w:r>
    </w:p>
    <w:p w:rsidR="00BD418D" w:rsidRDefault="00BD418D" w:rsidP="001F6ED4">
      <w:pPr>
        <w:pStyle w:val="NoSpacing"/>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8C596A" w:rsidRDefault="008C596A">
      <w:pPr>
        <w:rPr>
          <w:rFonts w:ascii="Times New Roman" w:eastAsiaTheme="minorHAnsi" w:hAnsi="Times New Roman"/>
          <w:b/>
          <w:i/>
          <w:szCs w:val="24"/>
        </w:rPr>
      </w:pPr>
      <w:r>
        <w:rPr>
          <w:rFonts w:ascii="Times New Roman" w:hAnsi="Times New Roman"/>
          <w:b/>
          <w:i/>
          <w:szCs w:val="24"/>
        </w:rPr>
        <w:br w:type="page"/>
      </w:r>
    </w:p>
    <w:p w:rsidR="00213D44"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C</w:t>
      </w:r>
      <w:r w:rsidR="005C6EBB">
        <w:rPr>
          <w:rFonts w:ascii="Times New Roman" w:hAnsi="Times New Roman" w:cs="Times New Roman"/>
          <w:b/>
          <w:i/>
          <w:sz w:val="24"/>
          <w:szCs w:val="24"/>
        </w:rPr>
        <w:t xml:space="preserve">onservation </w:t>
      </w:r>
      <w:r>
        <w:rPr>
          <w:rFonts w:ascii="Times New Roman" w:hAnsi="Times New Roman" w:cs="Times New Roman"/>
          <w:b/>
          <w:i/>
          <w:sz w:val="24"/>
          <w:szCs w:val="24"/>
        </w:rPr>
        <w:t>W</w:t>
      </w:r>
      <w:r w:rsidR="005C6EBB">
        <w:rPr>
          <w:rFonts w:ascii="Times New Roman" w:hAnsi="Times New Roman" w:cs="Times New Roman"/>
          <w:b/>
          <w:i/>
          <w:sz w:val="24"/>
          <w:szCs w:val="24"/>
        </w:rPr>
        <w:t xml:space="preserve">orking </w:t>
      </w:r>
      <w:r>
        <w:rPr>
          <w:rFonts w:ascii="Times New Roman" w:hAnsi="Times New Roman" w:cs="Times New Roman"/>
          <w:b/>
          <w:i/>
          <w:sz w:val="24"/>
          <w:szCs w:val="24"/>
        </w:rPr>
        <w:t>G</w:t>
      </w:r>
      <w:r w:rsidR="005C6EBB">
        <w:rPr>
          <w:rFonts w:ascii="Times New Roman" w:hAnsi="Times New Roman" w:cs="Times New Roman"/>
          <w:b/>
          <w:i/>
          <w:sz w:val="24"/>
          <w:szCs w:val="24"/>
        </w:rPr>
        <w:t>roup</w:t>
      </w:r>
    </w:p>
    <w:p w:rsidR="00213D44" w:rsidRDefault="00213D44" w:rsidP="00213D44">
      <w:pPr>
        <w:pStyle w:val="NoSpacing"/>
        <w:jc w:val="both"/>
        <w:rPr>
          <w:rFonts w:ascii="Times New Roman" w:hAnsi="Times New Roman" w:cs="Times New Roman"/>
          <w:color w:val="000000" w:themeColor="text1"/>
          <w:sz w:val="24"/>
          <w:szCs w:val="24"/>
        </w:rPr>
      </w:pPr>
    </w:p>
    <w:p w:rsidR="00213D44" w:rsidRDefault="00213D44" w:rsidP="00213D44">
      <w:pPr>
        <w:pStyle w:val="NoSpacing"/>
        <w:jc w:val="both"/>
        <w:rPr>
          <w:rFonts w:ascii="Times New Roman" w:hAnsi="Times New Roman" w:cs="Times New Roman"/>
          <w:color w:val="000000" w:themeColor="text1"/>
          <w:sz w:val="24"/>
          <w:szCs w:val="24"/>
        </w:rPr>
      </w:pPr>
      <w:r w:rsidRPr="00213D44">
        <w:rPr>
          <w:rFonts w:ascii="Times New Roman" w:hAnsi="Times New Roman" w:cs="Times New Roman"/>
          <w:color w:val="000000" w:themeColor="text1"/>
          <w:sz w:val="24"/>
          <w:szCs w:val="24"/>
        </w:rPr>
        <w:t>PacifiCorp does</w:t>
      </w:r>
      <w:r w:rsidR="00873C9E">
        <w:rPr>
          <w:rFonts w:ascii="Times New Roman" w:hAnsi="Times New Roman" w:cs="Times New Roman"/>
          <w:color w:val="000000" w:themeColor="text1"/>
          <w:sz w:val="24"/>
          <w:szCs w:val="24"/>
        </w:rPr>
        <w:t xml:space="preserve"> </w:t>
      </w:r>
      <w:r w:rsidRPr="00213D44">
        <w:rPr>
          <w:rFonts w:ascii="Times New Roman" w:hAnsi="Times New Roman" w:cs="Times New Roman"/>
          <w:color w:val="000000" w:themeColor="text1"/>
          <w:sz w:val="24"/>
          <w:szCs w:val="24"/>
        </w:rPr>
        <w:t>n</w:t>
      </w:r>
      <w:r w:rsidR="00873C9E">
        <w:rPr>
          <w:rFonts w:ascii="Times New Roman" w:hAnsi="Times New Roman" w:cs="Times New Roman"/>
          <w:color w:val="000000" w:themeColor="text1"/>
          <w:sz w:val="24"/>
          <w:szCs w:val="24"/>
        </w:rPr>
        <w:t>o</w:t>
      </w:r>
      <w:r w:rsidRPr="00213D44">
        <w:rPr>
          <w:rFonts w:ascii="Times New Roman" w:hAnsi="Times New Roman" w:cs="Times New Roman"/>
          <w:color w:val="000000" w:themeColor="text1"/>
          <w:sz w:val="24"/>
          <w:szCs w:val="24"/>
        </w:rPr>
        <w:t xml:space="preserve">t see </w:t>
      </w:r>
      <w:r w:rsidR="000E6E39">
        <w:rPr>
          <w:rFonts w:ascii="Times New Roman" w:hAnsi="Times New Roman" w:cs="Times New Roman"/>
          <w:color w:val="000000" w:themeColor="text1"/>
          <w:sz w:val="24"/>
          <w:szCs w:val="24"/>
        </w:rPr>
        <w:t xml:space="preserve">any </w:t>
      </w:r>
      <w:r w:rsidRPr="00213D44">
        <w:rPr>
          <w:rFonts w:ascii="Times New Roman" w:hAnsi="Times New Roman" w:cs="Times New Roman"/>
          <w:color w:val="000000" w:themeColor="text1"/>
          <w:sz w:val="24"/>
          <w:szCs w:val="24"/>
        </w:rPr>
        <w:t xml:space="preserve">immediate value </w:t>
      </w:r>
      <w:r w:rsidR="000E6E39">
        <w:rPr>
          <w:rFonts w:ascii="Times New Roman" w:hAnsi="Times New Roman" w:cs="Times New Roman"/>
          <w:color w:val="000000" w:themeColor="text1"/>
          <w:sz w:val="24"/>
          <w:szCs w:val="24"/>
        </w:rPr>
        <w:t xml:space="preserve">in </w:t>
      </w:r>
      <w:r w:rsidRPr="00213D44">
        <w:rPr>
          <w:rFonts w:ascii="Times New Roman" w:hAnsi="Times New Roman" w:cs="Times New Roman"/>
          <w:color w:val="000000" w:themeColor="text1"/>
          <w:sz w:val="24"/>
          <w:szCs w:val="24"/>
        </w:rPr>
        <w:t xml:space="preserve">reconvening the Conservation Working Group at this time. The </w:t>
      </w:r>
      <w:r w:rsidR="001F6ED4">
        <w:rPr>
          <w:rFonts w:ascii="Times New Roman" w:hAnsi="Times New Roman" w:cs="Times New Roman"/>
          <w:color w:val="000000" w:themeColor="text1"/>
          <w:sz w:val="24"/>
          <w:szCs w:val="24"/>
        </w:rPr>
        <w:t xml:space="preserve">same </w:t>
      </w:r>
      <w:r w:rsidRPr="00213D44">
        <w:rPr>
          <w:rFonts w:ascii="Times New Roman" w:hAnsi="Times New Roman" w:cs="Times New Roman"/>
          <w:color w:val="000000" w:themeColor="text1"/>
          <w:sz w:val="24"/>
          <w:szCs w:val="24"/>
        </w:rPr>
        <w:t xml:space="preserve">topics and issues </w:t>
      </w:r>
      <w:r w:rsidR="00873C9E">
        <w:rPr>
          <w:rFonts w:ascii="Times New Roman" w:hAnsi="Times New Roman" w:cs="Times New Roman"/>
          <w:color w:val="000000" w:themeColor="text1"/>
          <w:sz w:val="24"/>
          <w:szCs w:val="24"/>
        </w:rPr>
        <w:t xml:space="preserve">now being discussed </w:t>
      </w:r>
      <w:r w:rsidRPr="00213D44">
        <w:rPr>
          <w:rFonts w:ascii="Times New Roman" w:hAnsi="Times New Roman" w:cs="Times New Roman"/>
          <w:color w:val="000000" w:themeColor="text1"/>
          <w:sz w:val="24"/>
          <w:szCs w:val="24"/>
        </w:rPr>
        <w:t xml:space="preserve">were addressed in 2011. The remaining issues are best left to each of the three utility advisory groups to address as they are not well founded or supported within </w:t>
      </w:r>
      <w:r>
        <w:rPr>
          <w:rFonts w:ascii="Times New Roman" w:hAnsi="Times New Roman" w:cs="Times New Roman"/>
          <w:color w:val="000000" w:themeColor="text1"/>
          <w:sz w:val="24"/>
          <w:szCs w:val="24"/>
        </w:rPr>
        <w:t xml:space="preserve">EIA </w:t>
      </w:r>
      <w:r w:rsidRPr="00213D44">
        <w:rPr>
          <w:rFonts w:ascii="Times New Roman" w:hAnsi="Times New Roman" w:cs="Times New Roman"/>
          <w:color w:val="000000" w:themeColor="text1"/>
          <w:sz w:val="24"/>
          <w:szCs w:val="24"/>
        </w:rPr>
        <w:t xml:space="preserve">language </w:t>
      </w:r>
      <w:r>
        <w:rPr>
          <w:rFonts w:ascii="Times New Roman" w:hAnsi="Times New Roman" w:cs="Times New Roman"/>
          <w:color w:val="000000" w:themeColor="text1"/>
          <w:sz w:val="24"/>
          <w:szCs w:val="24"/>
        </w:rPr>
        <w:t>and/</w:t>
      </w:r>
      <w:r w:rsidRPr="00213D44">
        <w:rPr>
          <w:rFonts w:ascii="Times New Roman" w:hAnsi="Times New Roman" w:cs="Times New Roman"/>
          <w:color w:val="000000" w:themeColor="text1"/>
          <w:sz w:val="24"/>
          <w:szCs w:val="24"/>
        </w:rPr>
        <w:t xml:space="preserve">or the respective regulatory conditions under which each utility administers their EIA requirements. Adding yet another administrative oversight committee would detract from the resources available to pursue and administratively manage the conservation resource acquisition process. </w:t>
      </w:r>
    </w:p>
    <w:p w:rsidR="00BD418D" w:rsidRPr="00213D44" w:rsidRDefault="00213D44" w:rsidP="00213D44">
      <w:pPr>
        <w:pStyle w:val="NoSpacing"/>
        <w:jc w:val="both"/>
        <w:rPr>
          <w:rFonts w:ascii="Times New Roman" w:hAnsi="Times New Roman" w:cs="Times New Roman"/>
          <w:b/>
          <w:i/>
          <w:color w:val="000000" w:themeColor="text1"/>
          <w:sz w:val="24"/>
          <w:szCs w:val="24"/>
        </w:rPr>
      </w:pPr>
      <w:r w:rsidRPr="00213D44">
        <w:rPr>
          <w:rFonts w:ascii="Times New Roman" w:hAnsi="Times New Roman" w:cs="Times New Roman"/>
          <w:color w:val="000000" w:themeColor="text1"/>
          <w:sz w:val="24"/>
          <w:szCs w:val="24"/>
        </w:rPr>
        <w:t xml:space="preserve"> </w:t>
      </w:r>
      <w:r w:rsidR="00BD418D" w:rsidRPr="00213D44">
        <w:rPr>
          <w:rFonts w:ascii="Times New Roman" w:hAnsi="Times New Roman" w:cs="Times New Roman"/>
          <w:b/>
          <w:i/>
          <w:color w:val="000000" w:themeColor="text1"/>
          <w:sz w:val="24"/>
          <w:szCs w:val="24"/>
        </w:rPr>
        <w:t xml:space="preserve"> </w:t>
      </w:r>
    </w:p>
    <w:p w:rsidR="00BD418D" w:rsidRDefault="00BD418D" w:rsidP="00BD418D">
      <w:pPr>
        <w:pStyle w:val="NoSpacing"/>
        <w:numPr>
          <w:ilvl w:val="0"/>
          <w:numId w:val="16"/>
        </w:numPr>
        <w:jc w:val="both"/>
        <w:rPr>
          <w:rFonts w:ascii="Times New Roman" w:hAnsi="Times New Roman" w:cs="Times New Roman"/>
          <w:b/>
          <w:i/>
          <w:sz w:val="24"/>
          <w:szCs w:val="24"/>
        </w:rPr>
      </w:pPr>
      <w:r>
        <w:rPr>
          <w:rFonts w:ascii="Times New Roman" w:hAnsi="Times New Roman" w:cs="Times New Roman"/>
          <w:b/>
          <w:i/>
          <w:sz w:val="24"/>
          <w:szCs w:val="24"/>
        </w:rPr>
        <w:t xml:space="preserve">Advisory group role in prudence review </w:t>
      </w:r>
    </w:p>
    <w:p w:rsidR="00321A20" w:rsidRDefault="00321A20" w:rsidP="00213D44">
      <w:pPr>
        <w:pStyle w:val="NoSpacing"/>
        <w:jc w:val="both"/>
        <w:rPr>
          <w:rFonts w:ascii="Times New Roman" w:hAnsi="Times New Roman" w:cs="Times New Roman"/>
          <w:color w:val="000000" w:themeColor="text1"/>
          <w:sz w:val="24"/>
          <w:szCs w:val="24"/>
        </w:rPr>
      </w:pPr>
    </w:p>
    <w:p w:rsidR="00213D44" w:rsidRDefault="0070733F" w:rsidP="00213D44">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See the Company’s response to </w:t>
      </w:r>
      <w:r w:rsidR="00DC427A">
        <w:rPr>
          <w:rFonts w:ascii="Times New Roman" w:hAnsi="Times New Roman" w:cs="Times New Roman"/>
          <w:color w:val="000000" w:themeColor="text1"/>
          <w:sz w:val="24"/>
          <w:szCs w:val="24"/>
        </w:rPr>
        <w:t>#3 P</w:t>
      </w:r>
      <w:r>
        <w:rPr>
          <w:rFonts w:ascii="Times New Roman" w:hAnsi="Times New Roman" w:cs="Times New Roman"/>
          <w:color w:val="000000" w:themeColor="text1"/>
          <w:sz w:val="24"/>
          <w:szCs w:val="24"/>
        </w:rPr>
        <w:t>rudence</w:t>
      </w:r>
      <w:r w:rsidR="00873C9E">
        <w:rPr>
          <w:rFonts w:ascii="Times New Roman" w:hAnsi="Times New Roman" w:cs="Times New Roman"/>
          <w:color w:val="000000" w:themeColor="text1"/>
          <w:sz w:val="24"/>
          <w:szCs w:val="24"/>
        </w:rPr>
        <w:t xml:space="preserve"> above</w:t>
      </w:r>
      <w:r>
        <w:rPr>
          <w:rFonts w:ascii="Times New Roman" w:hAnsi="Times New Roman" w:cs="Times New Roman"/>
          <w:color w:val="000000" w:themeColor="text1"/>
          <w:sz w:val="24"/>
          <w:szCs w:val="24"/>
        </w:rPr>
        <w:t xml:space="preserve">. </w:t>
      </w:r>
    </w:p>
    <w:p w:rsidR="0070733F" w:rsidRPr="0070733F" w:rsidRDefault="0070733F" w:rsidP="00213D44">
      <w:pPr>
        <w:pStyle w:val="NoSpacing"/>
        <w:jc w:val="both"/>
        <w:rPr>
          <w:rFonts w:ascii="Times New Roman" w:hAnsi="Times New Roman" w:cs="Times New Roman"/>
          <w:color w:val="000000" w:themeColor="text1"/>
          <w:sz w:val="24"/>
          <w:szCs w:val="24"/>
        </w:rPr>
      </w:pPr>
    </w:p>
    <w:p w:rsidR="0070733F" w:rsidRPr="0098195B" w:rsidRDefault="00BD418D" w:rsidP="0070733F">
      <w:pPr>
        <w:pStyle w:val="NoSpacing"/>
        <w:numPr>
          <w:ilvl w:val="0"/>
          <w:numId w:val="16"/>
        </w:numPr>
        <w:jc w:val="both"/>
        <w:rPr>
          <w:rFonts w:ascii="Times New Roman" w:hAnsi="Times New Roman" w:cs="Times New Roman"/>
          <w:b/>
          <w:i/>
          <w:sz w:val="24"/>
          <w:szCs w:val="24"/>
        </w:rPr>
      </w:pPr>
      <w:r w:rsidRPr="0070733F">
        <w:rPr>
          <w:rFonts w:ascii="Times New Roman" w:hAnsi="Times New Roman" w:cs="Times New Roman"/>
          <w:b/>
          <w:i/>
          <w:sz w:val="24"/>
          <w:szCs w:val="24"/>
        </w:rPr>
        <w:t>Demand side resources RFP review</w:t>
      </w:r>
      <w:r w:rsidR="0070733F" w:rsidRPr="0070733F">
        <w:rPr>
          <w:rFonts w:ascii="Times New Roman" w:hAnsi="Times New Roman" w:cs="Times New Roman"/>
          <w:b/>
          <w:i/>
          <w:sz w:val="24"/>
          <w:szCs w:val="24"/>
        </w:rPr>
        <w:t xml:space="preserve"> </w:t>
      </w:r>
    </w:p>
    <w:p w:rsidR="0070733F" w:rsidRDefault="0070733F" w:rsidP="0070733F">
      <w:pPr>
        <w:pStyle w:val="NoSpacing"/>
        <w:jc w:val="both"/>
        <w:rPr>
          <w:rFonts w:ascii="Times New Roman" w:hAnsi="Times New Roman" w:cs="Times New Roman"/>
          <w:b/>
          <w:i/>
          <w:sz w:val="24"/>
          <w:szCs w:val="24"/>
        </w:rPr>
      </w:pPr>
    </w:p>
    <w:p w:rsidR="00172293" w:rsidRDefault="0070733F" w:rsidP="0070733F">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PacifiCorp is not opposed to providing its advisory group an overview of </w:t>
      </w:r>
      <w:r w:rsidR="00172293">
        <w:rPr>
          <w:rFonts w:ascii="Times New Roman" w:hAnsi="Times New Roman" w:cs="Times New Roman"/>
          <w:sz w:val="24"/>
          <w:szCs w:val="24"/>
        </w:rPr>
        <w:t xml:space="preserve">the procurement and </w:t>
      </w:r>
      <w:r>
        <w:rPr>
          <w:rFonts w:ascii="Times New Roman" w:hAnsi="Times New Roman" w:cs="Times New Roman"/>
          <w:sz w:val="24"/>
          <w:szCs w:val="24"/>
        </w:rPr>
        <w:t xml:space="preserve">RFP </w:t>
      </w:r>
      <w:r w:rsidR="00172293">
        <w:rPr>
          <w:rFonts w:ascii="Times New Roman" w:hAnsi="Times New Roman" w:cs="Times New Roman"/>
          <w:sz w:val="24"/>
          <w:szCs w:val="24"/>
        </w:rPr>
        <w:t xml:space="preserve">guidelines and </w:t>
      </w:r>
      <w:r>
        <w:rPr>
          <w:rFonts w:ascii="Times New Roman" w:hAnsi="Times New Roman" w:cs="Times New Roman"/>
          <w:sz w:val="24"/>
          <w:szCs w:val="24"/>
        </w:rPr>
        <w:t>processes</w:t>
      </w:r>
      <w:r w:rsidR="000E6E39">
        <w:rPr>
          <w:rFonts w:ascii="Times New Roman" w:hAnsi="Times New Roman" w:cs="Times New Roman"/>
          <w:sz w:val="24"/>
          <w:szCs w:val="24"/>
        </w:rPr>
        <w:t>,</w:t>
      </w:r>
      <w:r>
        <w:rPr>
          <w:rFonts w:ascii="Times New Roman" w:hAnsi="Times New Roman" w:cs="Times New Roman"/>
          <w:sz w:val="24"/>
          <w:szCs w:val="24"/>
        </w:rPr>
        <w:t xml:space="preserve"> however</w:t>
      </w:r>
      <w:r w:rsidR="000E6E39">
        <w:rPr>
          <w:rFonts w:ascii="Times New Roman" w:hAnsi="Times New Roman" w:cs="Times New Roman"/>
          <w:sz w:val="24"/>
          <w:szCs w:val="24"/>
        </w:rPr>
        <w:t>, the Company</w:t>
      </w:r>
      <w:r>
        <w:rPr>
          <w:rFonts w:ascii="Times New Roman" w:hAnsi="Times New Roman" w:cs="Times New Roman"/>
          <w:sz w:val="24"/>
          <w:szCs w:val="24"/>
        </w:rPr>
        <w:t xml:space="preserve"> does not believe including an advisory group member in the </w:t>
      </w:r>
      <w:r w:rsidR="00172293">
        <w:rPr>
          <w:rFonts w:ascii="Times New Roman" w:hAnsi="Times New Roman" w:cs="Times New Roman"/>
          <w:sz w:val="24"/>
          <w:szCs w:val="24"/>
        </w:rPr>
        <w:t xml:space="preserve">proposal review process, in any role, </w:t>
      </w:r>
      <w:r>
        <w:rPr>
          <w:rFonts w:ascii="Times New Roman" w:hAnsi="Times New Roman" w:cs="Times New Roman"/>
          <w:sz w:val="24"/>
          <w:szCs w:val="24"/>
        </w:rPr>
        <w:t>is necessary</w:t>
      </w:r>
      <w:r w:rsidR="00172293">
        <w:rPr>
          <w:rFonts w:ascii="Times New Roman" w:hAnsi="Times New Roman" w:cs="Times New Roman"/>
          <w:sz w:val="24"/>
          <w:szCs w:val="24"/>
        </w:rPr>
        <w:t xml:space="preserve"> or justified. Such a practice could lead to compromising the competitive bid process by parties who do</w:t>
      </w:r>
      <w:r w:rsidR="00873C9E">
        <w:rPr>
          <w:rFonts w:ascii="Times New Roman" w:hAnsi="Times New Roman" w:cs="Times New Roman"/>
          <w:sz w:val="24"/>
          <w:szCs w:val="24"/>
        </w:rPr>
        <w:t xml:space="preserve"> no</w:t>
      </w:r>
      <w:r w:rsidR="00172293">
        <w:rPr>
          <w:rFonts w:ascii="Times New Roman" w:hAnsi="Times New Roman" w:cs="Times New Roman"/>
          <w:sz w:val="24"/>
          <w:szCs w:val="24"/>
        </w:rPr>
        <w:t xml:space="preserve">t share the associated risk of delivering the </w:t>
      </w:r>
      <w:r w:rsidR="00F07D1E">
        <w:rPr>
          <w:rFonts w:ascii="Times New Roman" w:hAnsi="Times New Roman" w:cs="Times New Roman"/>
          <w:sz w:val="24"/>
          <w:szCs w:val="24"/>
        </w:rPr>
        <w:t>conservation t</w:t>
      </w:r>
      <w:r w:rsidR="00172293">
        <w:rPr>
          <w:rFonts w:ascii="Times New Roman" w:hAnsi="Times New Roman" w:cs="Times New Roman"/>
          <w:sz w:val="24"/>
          <w:szCs w:val="24"/>
        </w:rPr>
        <w:t xml:space="preserve">argets. </w:t>
      </w:r>
    </w:p>
    <w:p w:rsidR="00172293" w:rsidRDefault="00172293" w:rsidP="0070733F">
      <w:pPr>
        <w:pStyle w:val="NoSpacing"/>
        <w:jc w:val="both"/>
        <w:rPr>
          <w:rFonts w:ascii="Times New Roman" w:hAnsi="Times New Roman" w:cs="Times New Roman"/>
          <w:sz w:val="24"/>
          <w:szCs w:val="24"/>
        </w:rPr>
      </w:pPr>
    </w:p>
    <w:p w:rsidR="004876E6" w:rsidRDefault="00575E33" w:rsidP="007E18F8">
      <w:pPr>
        <w:pStyle w:val="NoSpacing"/>
        <w:jc w:val="both"/>
        <w:rPr>
          <w:rFonts w:ascii="Times New Roman" w:hAnsi="Times New Roman" w:cs="Times New Roman"/>
          <w:sz w:val="24"/>
          <w:szCs w:val="24"/>
        </w:rPr>
      </w:pPr>
      <w:r w:rsidRPr="00575E33">
        <w:rPr>
          <w:rFonts w:ascii="Times New Roman" w:hAnsi="Times New Roman" w:cs="Times New Roman"/>
          <w:b/>
          <w:sz w:val="24"/>
          <w:szCs w:val="24"/>
        </w:rPr>
        <w:t>Responses to Part</w:t>
      </w:r>
      <w:r w:rsidR="002D2DD7">
        <w:rPr>
          <w:rFonts w:ascii="Times New Roman" w:hAnsi="Times New Roman" w:cs="Times New Roman"/>
          <w:b/>
          <w:sz w:val="24"/>
          <w:szCs w:val="24"/>
        </w:rPr>
        <w:t>ies’</w:t>
      </w:r>
      <w:r w:rsidRPr="00575E33">
        <w:rPr>
          <w:rFonts w:ascii="Times New Roman" w:hAnsi="Times New Roman" w:cs="Times New Roman"/>
          <w:b/>
          <w:sz w:val="24"/>
          <w:szCs w:val="24"/>
        </w:rPr>
        <w:t xml:space="preserve"> Comments</w:t>
      </w:r>
      <w:r w:rsidR="00321A20">
        <w:rPr>
          <w:rFonts w:ascii="Times New Roman" w:hAnsi="Times New Roman" w:cs="Times New Roman"/>
          <w:sz w:val="24"/>
          <w:szCs w:val="24"/>
        </w:rPr>
        <w:t xml:space="preserve"> </w:t>
      </w:r>
    </w:p>
    <w:p w:rsidR="004D5F3B" w:rsidRDefault="004D5F3B">
      <w:pPr>
        <w:rPr>
          <w:rFonts w:ascii="Times New Roman" w:eastAsiaTheme="minorHAnsi" w:hAnsi="Times New Roman"/>
          <w:szCs w:val="24"/>
        </w:rPr>
      </w:pPr>
    </w:p>
    <w:p w:rsidR="004D5F3B" w:rsidRDefault="004876E6">
      <w:pPr>
        <w:rPr>
          <w:rFonts w:ascii="Times New Roman" w:eastAsiaTheme="minorHAnsi" w:hAnsi="Times New Roman"/>
          <w:szCs w:val="24"/>
        </w:rPr>
      </w:pPr>
      <w:r>
        <w:rPr>
          <w:rFonts w:ascii="Times New Roman" w:eastAsiaTheme="minorHAnsi" w:hAnsi="Times New Roman"/>
          <w:szCs w:val="24"/>
        </w:rPr>
        <w:t>Public Counsel commented that PacifiCorp did not fully address all conditions under Order 02 in Appendix 2 to the Company’s BCR documents</w:t>
      </w:r>
      <w:r w:rsidR="00FD544F">
        <w:rPr>
          <w:rFonts w:ascii="Times New Roman" w:eastAsiaTheme="minorHAnsi" w:hAnsi="Times New Roman"/>
          <w:szCs w:val="24"/>
        </w:rPr>
        <w:t>.</w:t>
      </w:r>
    </w:p>
    <w:p w:rsidR="004D5F3B" w:rsidRDefault="004D5F3B">
      <w:pPr>
        <w:rPr>
          <w:b/>
        </w:rPr>
      </w:pPr>
    </w:p>
    <w:p w:rsidR="004D5F3B" w:rsidRDefault="00FD544F">
      <w:pPr>
        <w:pStyle w:val="ListParagraph"/>
        <w:numPr>
          <w:ilvl w:val="0"/>
          <w:numId w:val="19"/>
        </w:numPr>
        <w:rPr>
          <w:rFonts w:ascii="Times New Roman" w:hAnsi="Times New Roman"/>
          <w:szCs w:val="24"/>
        </w:rPr>
      </w:pPr>
      <w:r>
        <w:rPr>
          <w:rFonts w:ascii="Times New Roman" w:hAnsi="Times New Roman" w:cs="Times New Roman"/>
          <w:sz w:val="24"/>
          <w:szCs w:val="24"/>
        </w:rPr>
        <w:t>Public Counsel contends that t</w:t>
      </w:r>
      <w:r w:rsidRPr="00E0392A">
        <w:rPr>
          <w:rFonts w:ascii="Times New Roman" w:hAnsi="Times New Roman" w:cs="Times New Roman"/>
          <w:sz w:val="24"/>
          <w:szCs w:val="24"/>
        </w:rPr>
        <w:t xml:space="preserve">he </w:t>
      </w:r>
      <w:r w:rsidR="00141E5B">
        <w:rPr>
          <w:rFonts w:ascii="Times New Roman" w:hAnsi="Times New Roman" w:cs="Times New Roman"/>
          <w:sz w:val="24"/>
          <w:szCs w:val="24"/>
        </w:rPr>
        <w:t>C</w:t>
      </w:r>
      <w:r w:rsidR="00E0392A" w:rsidRPr="00E0392A">
        <w:rPr>
          <w:rFonts w:ascii="Times New Roman" w:hAnsi="Times New Roman" w:cs="Times New Roman"/>
          <w:sz w:val="24"/>
          <w:szCs w:val="24"/>
        </w:rPr>
        <w:t xml:space="preserve">ompany </w:t>
      </w:r>
      <w:r>
        <w:rPr>
          <w:rFonts w:ascii="Times New Roman" w:hAnsi="Times New Roman" w:cs="Times New Roman"/>
          <w:sz w:val="24"/>
          <w:szCs w:val="24"/>
        </w:rPr>
        <w:t>did not</w:t>
      </w:r>
      <w:r w:rsidR="00E0392A" w:rsidRPr="00E0392A">
        <w:rPr>
          <w:rFonts w:ascii="Times New Roman" w:hAnsi="Times New Roman" w:cs="Times New Roman"/>
          <w:sz w:val="24"/>
          <w:szCs w:val="24"/>
        </w:rPr>
        <w:t xml:space="preserve"> identify expenditures under Condition 7(d), budget dollars on programs whose savings impact has not yet been measured citing the Company’s Energy Education in Schools program and the Company’s reclassification of the program </w:t>
      </w:r>
      <w:r w:rsidR="004876E6">
        <w:rPr>
          <w:rFonts w:ascii="Times New Roman" w:hAnsi="Times New Roman" w:cs="Times New Roman"/>
          <w:sz w:val="24"/>
          <w:szCs w:val="24"/>
        </w:rPr>
        <w:t xml:space="preserve">as </w:t>
      </w:r>
      <w:r w:rsidR="00E0392A" w:rsidRPr="00E0392A">
        <w:rPr>
          <w:rFonts w:ascii="Times New Roman" w:hAnsi="Times New Roman" w:cs="Times New Roman"/>
          <w:sz w:val="24"/>
          <w:szCs w:val="24"/>
        </w:rPr>
        <w:t>a</w:t>
      </w:r>
      <w:r w:rsidR="004876E6">
        <w:rPr>
          <w:rFonts w:ascii="Times New Roman" w:hAnsi="Times New Roman" w:cs="Times New Roman"/>
          <w:sz w:val="24"/>
          <w:szCs w:val="24"/>
        </w:rPr>
        <w:t>n</w:t>
      </w:r>
      <w:r w:rsidR="00E0392A" w:rsidRPr="00E0392A">
        <w:rPr>
          <w:rFonts w:ascii="Times New Roman" w:hAnsi="Times New Roman" w:cs="Times New Roman"/>
          <w:sz w:val="24"/>
          <w:szCs w:val="24"/>
        </w:rPr>
        <w:t xml:space="preserve"> “education only” program in late 2011. </w:t>
      </w:r>
    </w:p>
    <w:p w:rsidR="00CD5F4E" w:rsidRDefault="00321A20" w:rsidP="00646318">
      <w:pPr>
        <w:rPr>
          <w:rFonts w:ascii="Times New Roman" w:hAnsi="Times New Roman"/>
        </w:rPr>
      </w:pPr>
      <w:r>
        <w:rPr>
          <w:rFonts w:ascii="Times New Roman" w:hAnsi="Times New Roman"/>
        </w:rPr>
        <w:t>The</w:t>
      </w:r>
      <w:r w:rsidR="00E0392A" w:rsidRPr="00E0392A">
        <w:rPr>
          <w:rFonts w:ascii="Times New Roman" w:hAnsi="Times New Roman"/>
        </w:rPr>
        <w:t xml:space="preserve"> statement in </w:t>
      </w:r>
      <w:r w:rsidR="00E0392A" w:rsidRPr="008B6DAB">
        <w:rPr>
          <w:rFonts w:ascii="Times New Roman" w:eastAsiaTheme="minorHAnsi" w:hAnsi="Times New Roman"/>
          <w:szCs w:val="24"/>
        </w:rPr>
        <w:t>Appendix 2 of the Company’s 2010-2011 Biennium Conservation Report regarding Condition 7(d)</w:t>
      </w:r>
      <w:r w:rsidR="00CD5F4E">
        <w:rPr>
          <w:rFonts w:ascii="Times New Roman" w:eastAsiaTheme="minorHAnsi" w:hAnsi="Times New Roman"/>
          <w:szCs w:val="24"/>
        </w:rPr>
        <w:t xml:space="preserve"> is true and accurate.</w:t>
      </w:r>
      <w:r w:rsidR="00E0392A" w:rsidRPr="008B6DAB">
        <w:rPr>
          <w:rFonts w:ascii="Times New Roman" w:eastAsiaTheme="minorHAnsi" w:hAnsi="Times New Roman"/>
          <w:szCs w:val="24"/>
        </w:rPr>
        <w:t xml:space="preserve"> </w:t>
      </w:r>
      <w:r w:rsidR="00CD5F4E">
        <w:rPr>
          <w:rFonts w:ascii="Times New Roman" w:eastAsiaTheme="minorHAnsi" w:hAnsi="Times New Roman"/>
          <w:szCs w:val="24"/>
        </w:rPr>
        <w:t xml:space="preserve"> T</w:t>
      </w:r>
      <w:r w:rsidR="00E0392A" w:rsidRPr="008B6DAB">
        <w:rPr>
          <w:rFonts w:ascii="Times New Roman" w:eastAsiaTheme="minorHAnsi" w:hAnsi="Times New Roman"/>
          <w:szCs w:val="24"/>
        </w:rPr>
        <w:t>he Company ha</w:t>
      </w:r>
      <w:r w:rsidR="004876E6" w:rsidRPr="008B6DAB">
        <w:rPr>
          <w:rFonts w:ascii="Times New Roman" w:eastAsiaTheme="minorHAnsi" w:hAnsi="Times New Roman"/>
          <w:szCs w:val="24"/>
        </w:rPr>
        <w:t>d</w:t>
      </w:r>
      <w:r w:rsidR="00E0392A" w:rsidRPr="008B6DAB">
        <w:rPr>
          <w:rFonts w:ascii="Times New Roman" w:eastAsiaTheme="minorHAnsi" w:hAnsi="Times New Roman"/>
          <w:szCs w:val="24"/>
        </w:rPr>
        <w:t xml:space="preserve"> no program activity to report during the 2010-2011 biennium on conservation programs whose savings impact was not yet measured and reported.  The</w:t>
      </w:r>
      <w:r w:rsidR="00E0392A" w:rsidRPr="00E0392A">
        <w:rPr>
          <w:rFonts w:ascii="Times New Roman" w:hAnsi="Times New Roman"/>
        </w:rPr>
        <w:t xml:space="preserve"> Energy Education in Schools program operates on a school year rather than calendar year basis. Program results for “school year” 2009-2010 were reported in calendar year 2010 results, and program results for school year 2010-2011 were reported in calendar year 2011 results. </w:t>
      </w:r>
    </w:p>
    <w:p w:rsidR="00CD5F4E" w:rsidRDefault="00CD5F4E" w:rsidP="00646318">
      <w:pPr>
        <w:rPr>
          <w:rFonts w:ascii="Times New Roman" w:hAnsi="Times New Roman"/>
        </w:rPr>
      </w:pPr>
    </w:p>
    <w:p w:rsidR="00646318" w:rsidRDefault="00E0392A" w:rsidP="00646318">
      <w:pPr>
        <w:rPr>
          <w:rFonts w:ascii="Times New Roman" w:hAnsi="Times New Roman"/>
        </w:rPr>
      </w:pPr>
      <w:r w:rsidRPr="00E0392A">
        <w:rPr>
          <w:rFonts w:ascii="Times New Roman" w:hAnsi="Times New Roman"/>
        </w:rPr>
        <w:t>Following the concerns raised by Public Counsel in April of 2011, the Company agreed to temporarily reclassify the program as an “education only” program for the 2011-2012 school year (2012 calendar year) until the concerns could be addressed to the satisfaction of interested parties. As the issue regarding the adequacy of the program’s long standing (eight year) savings assessment methodology did</w:t>
      </w:r>
      <w:r w:rsidR="00873C9E">
        <w:rPr>
          <w:rFonts w:ascii="Times New Roman" w:hAnsi="Times New Roman"/>
        </w:rPr>
        <w:t xml:space="preserve"> </w:t>
      </w:r>
      <w:r w:rsidRPr="00E0392A">
        <w:rPr>
          <w:rFonts w:ascii="Times New Roman" w:hAnsi="Times New Roman"/>
        </w:rPr>
        <w:t>n</w:t>
      </w:r>
      <w:r w:rsidR="00873C9E">
        <w:rPr>
          <w:rFonts w:ascii="Times New Roman" w:hAnsi="Times New Roman"/>
        </w:rPr>
        <w:t>o</w:t>
      </w:r>
      <w:r w:rsidRPr="00E0392A">
        <w:rPr>
          <w:rFonts w:ascii="Times New Roman" w:hAnsi="Times New Roman"/>
        </w:rPr>
        <w:t>t come up until near the end of the 2010-2011 school year</w:t>
      </w:r>
      <w:r w:rsidR="00CD5F4E">
        <w:rPr>
          <w:rFonts w:ascii="Times New Roman" w:hAnsi="Times New Roman"/>
        </w:rPr>
        <w:t>,</w:t>
      </w:r>
      <w:r w:rsidRPr="00E0392A">
        <w:rPr>
          <w:rFonts w:ascii="Times New Roman" w:hAnsi="Times New Roman"/>
        </w:rPr>
        <w:t xml:space="preserve"> the program was not reclassified as an “education only” program un</w:t>
      </w:r>
      <w:r w:rsidR="00CD5F4E">
        <w:rPr>
          <w:rFonts w:ascii="Times New Roman" w:hAnsi="Times New Roman"/>
        </w:rPr>
        <w:t>til the 2011-2012 school year</w:t>
      </w:r>
      <w:r w:rsidR="00873C9E">
        <w:rPr>
          <w:rFonts w:ascii="Times New Roman" w:hAnsi="Times New Roman"/>
        </w:rPr>
        <w:t xml:space="preserve"> </w:t>
      </w:r>
      <w:r w:rsidR="00CD5F4E">
        <w:rPr>
          <w:rFonts w:ascii="Times New Roman" w:hAnsi="Times New Roman"/>
        </w:rPr>
        <w:t>-</w:t>
      </w:r>
      <w:r w:rsidRPr="00E0392A">
        <w:rPr>
          <w:rFonts w:ascii="Times New Roman" w:hAnsi="Times New Roman"/>
        </w:rPr>
        <w:t xml:space="preserve"> 2012 calendar year</w:t>
      </w:r>
      <w:r w:rsidR="00CD5F4E">
        <w:rPr>
          <w:rFonts w:ascii="Times New Roman" w:hAnsi="Times New Roman"/>
        </w:rPr>
        <w:t>.</w:t>
      </w:r>
      <w:r w:rsidRPr="00E0392A">
        <w:rPr>
          <w:rFonts w:ascii="Times New Roman" w:hAnsi="Times New Roman"/>
        </w:rPr>
        <w:t xml:space="preserve"> </w:t>
      </w:r>
      <w:r w:rsidR="00CD5F4E">
        <w:rPr>
          <w:rFonts w:ascii="Times New Roman" w:hAnsi="Times New Roman"/>
        </w:rPr>
        <w:t xml:space="preserve"> T</w:t>
      </w:r>
      <w:r w:rsidRPr="00E0392A">
        <w:rPr>
          <w:rFonts w:ascii="Times New Roman" w:hAnsi="Times New Roman"/>
        </w:rPr>
        <w:t>herefore</w:t>
      </w:r>
      <w:r w:rsidR="002D2DD7">
        <w:rPr>
          <w:rFonts w:ascii="Times New Roman" w:hAnsi="Times New Roman"/>
        </w:rPr>
        <w:t>,</w:t>
      </w:r>
      <w:r w:rsidRPr="00E0392A">
        <w:rPr>
          <w:rFonts w:ascii="Times New Roman" w:hAnsi="Times New Roman"/>
        </w:rPr>
        <w:t xml:space="preserve"> the Company did not report any program expenditures under Condition 7(d) for the 2010-2011 biennium.   </w:t>
      </w:r>
    </w:p>
    <w:p w:rsidR="004D5F3B" w:rsidRDefault="004D5F3B"/>
    <w:p w:rsidR="004D5F3B" w:rsidRDefault="00FD544F">
      <w:pPr>
        <w:pStyle w:val="ListParagraph"/>
        <w:numPr>
          <w:ilvl w:val="0"/>
          <w:numId w:val="19"/>
        </w:numPr>
        <w:rPr>
          <w:rFonts w:ascii="Times New Roman" w:hAnsi="Times New Roman"/>
          <w:szCs w:val="24"/>
        </w:rPr>
      </w:pPr>
      <w:r>
        <w:rPr>
          <w:rFonts w:ascii="Times New Roman" w:hAnsi="Times New Roman" w:cs="Times New Roman"/>
          <w:sz w:val="24"/>
          <w:szCs w:val="24"/>
        </w:rPr>
        <w:t>Public Counsel states that t</w:t>
      </w:r>
      <w:r w:rsidRPr="00E0392A">
        <w:rPr>
          <w:rFonts w:ascii="Times New Roman" w:hAnsi="Times New Roman" w:cs="Times New Roman"/>
          <w:sz w:val="24"/>
          <w:szCs w:val="24"/>
        </w:rPr>
        <w:t xml:space="preserve">he </w:t>
      </w:r>
      <w:r w:rsidR="00E0392A" w:rsidRPr="00E0392A">
        <w:rPr>
          <w:rFonts w:ascii="Times New Roman" w:hAnsi="Times New Roman" w:cs="Times New Roman"/>
          <w:sz w:val="24"/>
          <w:szCs w:val="24"/>
        </w:rPr>
        <w:t xml:space="preserve">Company was not in compliance with Conditions 6(b) and 6(c) with respect to the Energy Education in Schools Program during the biennium (up until June 2011). </w:t>
      </w:r>
      <w:r>
        <w:rPr>
          <w:rFonts w:ascii="Times New Roman" w:hAnsi="Times New Roman" w:cs="Times New Roman"/>
          <w:sz w:val="24"/>
          <w:szCs w:val="24"/>
        </w:rPr>
        <w:t xml:space="preserve"> </w:t>
      </w:r>
      <w:r w:rsidR="00E0392A" w:rsidRPr="00E0392A">
        <w:rPr>
          <w:rFonts w:ascii="Times New Roman" w:hAnsi="Times New Roman" w:cs="Times New Roman"/>
          <w:sz w:val="24"/>
          <w:szCs w:val="24"/>
        </w:rPr>
        <w:t>Public Counsel does not believe that developing savings estimates from student surveys complies with the requirements in Condition 6(c) in Order 01 of Docket No.UE-100170 because no verification of these potential savings has occurred. Furthermore</w:t>
      </w:r>
      <w:r w:rsidR="0098195B">
        <w:rPr>
          <w:rFonts w:ascii="Times New Roman" w:hAnsi="Times New Roman" w:cs="Times New Roman"/>
          <w:sz w:val="24"/>
          <w:szCs w:val="24"/>
        </w:rPr>
        <w:t>,</w:t>
      </w:r>
      <w:r w:rsidR="00E0392A" w:rsidRPr="00E0392A">
        <w:rPr>
          <w:rFonts w:ascii="Times New Roman" w:hAnsi="Times New Roman" w:cs="Times New Roman"/>
          <w:sz w:val="24"/>
          <w:szCs w:val="24"/>
        </w:rPr>
        <w:t xml:space="preserve"> </w:t>
      </w:r>
      <w:r w:rsidR="00873C9E">
        <w:rPr>
          <w:rFonts w:ascii="Times New Roman" w:hAnsi="Times New Roman" w:cs="Times New Roman"/>
          <w:sz w:val="24"/>
          <w:szCs w:val="24"/>
        </w:rPr>
        <w:t>it</w:t>
      </w:r>
      <w:r w:rsidR="00873C9E" w:rsidRPr="00E0392A">
        <w:rPr>
          <w:rFonts w:ascii="Times New Roman" w:hAnsi="Times New Roman" w:cs="Times New Roman"/>
          <w:sz w:val="24"/>
          <w:szCs w:val="24"/>
        </w:rPr>
        <w:t xml:space="preserve"> </w:t>
      </w:r>
      <w:r w:rsidR="00E0392A" w:rsidRPr="00E0392A">
        <w:rPr>
          <w:rFonts w:ascii="Times New Roman" w:hAnsi="Times New Roman" w:cs="Times New Roman"/>
          <w:sz w:val="24"/>
          <w:szCs w:val="24"/>
        </w:rPr>
        <w:t>believe</w:t>
      </w:r>
      <w:r w:rsidR="00873C9E">
        <w:rPr>
          <w:rFonts w:ascii="Times New Roman" w:hAnsi="Times New Roman" w:cs="Times New Roman"/>
          <w:sz w:val="24"/>
          <w:szCs w:val="24"/>
        </w:rPr>
        <w:t>s</w:t>
      </w:r>
      <w:r w:rsidR="00E0392A" w:rsidRPr="00E0392A">
        <w:rPr>
          <w:rFonts w:ascii="Times New Roman" w:hAnsi="Times New Roman" w:cs="Times New Roman"/>
          <w:sz w:val="24"/>
          <w:szCs w:val="24"/>
        </w:rPr>
        <w:t xml:space="preserve"> the Company should have adaptively managed its program and moved to re-classify this program as education-only before June of 2011</w:t>
      </w:r>
      <w:r w:rsidR="00141E5B">
        <w:rPr>
          <w:rFonts w:ascii="Times New Roman" w:hAnsi="Times New Roman" w:cs="Times New Roman"/>
          <w:sz w:val="24"/>
          <w:szCs w:val="24"/>
        </w:rPr>
        <w:t xml:space="preserve"> claiming the Company’s savings estimates were </w:t>
      </w:r>
      <w:r w:rsidR="00071ECE">
        <w:rPr>
          <w:rFonts w:ascii="Times New Roman" w:hAnsi="Times New Roman" w:cs="Times New Roman"/>
          <w:sz w:val="24"/>
          <w:szCs w:val="24"/>
        </w:rPr>
        <w:t xml:space="preserve">flawed from the program’s inception (in 2003). </w:t>
      </w:r>
    </w:p>
    <w:p w:rsidR="00646318" w:rsidRDefault="00E0392A" w:rsidP="00646318">
      <w:pPr>
        <w:pStyle w:val="ParNumber"/>
        <w:numPr>
          <w:ilvl w:val="0"/>
          <w:numId w:val="0"/>
        </w:numPr>
        <w:tabs>
          <w:tab w:val="clear" w:pos="720"/>
          <w:tab w:val="left" w:pos="0"/>
        </w:tabs>
        <w:spacing w:line="240" w:lineRule="auto"/>
        <w:rPr>
          <w:szCs w:val="24"/>
        </w:rPr>
      </w:pPr>
      <w:r w:rsidRPr="00E0392A">
        <w:rPr>
          <w:szCs w:val="24"/>
        </w:rPr>
        <w:t xml:space="preserve">The Company </w:t>
      </w:r>
      <w:r w:rsidR="00321A20">
        <w:rPr>
          <w:szCs w:val="24"/>
        </w:rPr>
        <w:t>respectfully</w:t>
      </w:r>
      <w:r w:rsidR="00321A20" w:rsidRPr="00E0392A">
        <w:rPr>
          <w:szCs w:val="24"/>
        </w:rPr>
        <w:t xml:space="preserve"> </w:t>
      </w:r>
      <w:r w:rsidRPr="00E0392A">
        <w:rPr>
          <w:szCs w:val="24"/>
        </w:rPr>
        <w:t xml:space="preserve">disagrees with Public Counsel’s opinion and characterization that the program’s savings estimates were not appropriate from the program’s inception and that the Company should have taken action sooner to re-classify the program as an “education only” program prior to June of 2011. </w:t>
      </w:r>
    </w:p>
    <w:p w:rsidR="004D5F3B" w:rsidRDefault="004D5F3B">
      <w:pPr>
        <w:pStyle w:val="ListParagraph"/>
        <w:spacing w:after="0" w:line="240" w:lineRule="auto"/>
        <w:rPr>
          <w:rFonts w:ascii="Times New Roman" w:hAnsi="Times New Roman" w:cs="Times New Roman"/>
          <w:sz w:val="24"/>
          <w:szCs w:val="24"/>
        </w:rPr>
      </w:pPr>
    </w:p>
    <w:p w:rsidR="00430180" w:rsidRDefault="00E0392A">
      <w:pPr>
        <w:tabs>
          <w:tab w:val="left" w:pos="270"/>
        </w:tabs>
        <w:rPr>
          <w:rFonts w:ascii="Times New Roman" w:hAnsi="Times New Roman"/>
          <w:szCs w:val="24"/>
        </w:rPr>
      </w:pPr>
      <w:r w:rsidRPr="00E0392A">
        <w:rPr>
          <w:rFonts w:ascii="Times New Roman" w:hAnsi="Times New Roman"/>
          <w:szCs w:val="24"/>
        </w:rPr>
        <w:t>The Energy Education in Schools program was first introduced as a conservation program in 2002 with Advice No. 02-08, effective April 1, 2003.  Program savings are not based on estimates but rather savings assessments conducted by the Cadmus Group, an independent third party contractor commissioned to compile the survey results and prepare an annual report of program savings. The annual assessment methodology used, student surveys, has been relied upon to report program savings since the program’s inception (since the 2003-2004 school year</w:t>
      </w:r>
      <w:r w:rsidR="002D2DD7">
        <w:rPr>
          <w:rFonts w:ascii="Times New Roman" w:hAnsi="Times New Roman"/>
          <w:szCs w:val="24"/>
        </w:rPr>
        <w:t>)</w:t>
      </w:r>
      <w:r w:rsidRPr="00E0392A">
        <w:rPr>
          <w:rFonts w:ascii="Times New Roman" w:hAnsi="Times New Roman"/>
          <w:szCs w:val="24"/>
        </w:rPr>
        <w:t xml:space="preserve">. Targeted survey data, like that collected from students as part of the program’s annual assessment, is valuable in tailoring savings assessments specific to the program, rather than relying on regional average data of the same measures delivered, and often measured, in a dissimilar manner. The program specific information gathered, such as number of persons in each household, whether the household has electric or gas water heating, showerhead flow test results, and compact fluorescent light installation locations and approximate burn hours increase the accuracy of these assumptions in assessing program savings. </w:t>
      </w:r>
    </w:p>
    <w:p w:rsidR="00430180" w:rsidRDefault="00430180">
      <w:pPr>
        <w:tabs>
          <w:tab w:val="left" w:pos="270"/>
        </w:tabs>
        <w:rPr>
          <w:rFonts w:ascii="Times New Roman" w:hAnsi="Times New Roman"/>
          <w:szCs w:val="24"/>
        </w:rPr>
      </w:pPr>
    </w:p>
    <w:p w:rsidR="0098195B" w:rsidRDefault="00E0392A" w:rsidP="00646318">
      <w:pPr>
        <w:tabs>
          <w:tab w:val="left" w:pos="270"/>
        </w:tabs>
        <w:rPr>
          <w:rFonts w:ascii="Times New Roman" w:hAnsi="Times New Roman"/>
          <w:szCs w:val="24"/>
        </w:rPr>
      </w:pPr>
      <w:r w:rsidRPr="00E0392A">
        <w:rPr>
          <w:rFonts w:ascii="Times New Roman" w:hAnsi="Times New Roman"/>
          <w:szCs w:val="24"/>
        </w:rPr>
        <w:t xml:space="preserve">Public Counsel </w:t>
      </w:r>
      <w:r w:rsidR="00F900FA">
        <w:rPr>
          <w:rFonts w:ascii="Times New Roman" w:hAnsi="Times New Roman"/>
          <w:szCs w:val="24"/>
        </w:rPr>
        <w:t xml:space="preserve">also </w:t>
      </w:r>
      <w:r w:rsidRPr="00E0392A">
        <w:rPr>
          <w:rFonts w:ascii="Times New Roman" w:hAnsi="Times New Roman"/>
          <w:szCs w:val="24"/>
        </w:rPr>
        <w:t>took issue with the reliability of the student survey data and requested the Company expand the assessment to include site inspection verifications. The Company attempted to address these concerns</w:t>
      </w:r>
      <w:r w:rsidR="0098195B">
        <w:rPr>
          <w:rFonts w:ascii="Times New Roman" w:hAnsi="Times New Roman"/>
          <w:szCs w:val="24"/>
        </w:rPr>
        <w:t>,</w:t>
      </w:r>
      <w:r w:rsidRPr="00E0392A">
        <w:rPr>
          <w:rFonts w:ascii="Times New Roman" w:hAnsi="Times New Roman"/>
          <w:szCs w:val="24"/>
        </w:rPr>
        <w:t xml:space="preserve"> however</w:t>
      </w:r>
      <w:r w:rsidR="0098195B">
        <w:rPr>
          <w:rFonts w:ascii="Times New Roman" w:hAnsi="Times New Roman"/>
          <w:szCs w:val="24"/>
        </w:rPr>
        <w:t>,</w:t>
      </w:r>
      <w:r w:rsidRPr="00E0392A">
        <w:rPr>
          <w:rFonts w:ascii="Times New Roman" w:hAnsi="Times New Roman"/>
          <w:szCs w:val="24"/>
        </w:rPr>
        <w:t xml:space="preserve"> after further analysis and for reasons noted in Advice No. 12-</w:t>
      </w:r>
      <w:r w:rsidR="00C93187">
        <w:rPr>
          <w:rFonts w:ascii="Times New Roman" w:hAnsi="Times New Roman"/>
          <w:szCs w:val="24"/>
        </w:rPr>
        <w:t xml:space="preserve">03, UE-120701, </w:t>
      </w:r>
      <w:r w:rsidR="0098195B">
        <w:rPr>
          <w:rFonts w:ascii="Times New Roman" w:hAnsi="Times New Roman"/>
          <w:szCs w:val="24"/>
        </w:rPr>
        <w:t>the Company</w:t>
      </w:r>
      <w:r w:rsidRPr="00E0392A">
        <w:rPr>
          <w:rFonts w:ascii="Times New Roman" w:hAnsi="Times New Roman"/>
          <w:szCs w:val="24"/>
        </w:rPr>
        <w:t xml:space="preserve"> requested the program be discontinued following the 2011-2012 school year. </w:t>
      </w:r>
    </w:p>
    <w:p w:rsidR="0098195B" w:rsidRDefault="0098195B" w:rsidP="00646318">
      <w:pPr>
        <w:tabs>
          <w:tab w:val="left" w:pos="270"/>
        </w:tabs>
        <w:rPr>
          <w:rFonts w:ascii="Times New Roman" w:hAnsi="Times New Roman"/>
          <w:szCs w:val="24"/>
        </w:rPr>
      </w:pPr>
    </w:p>
    <w:p w:rsidR="00646318" w:rsidRDefault="00E0392A" w:rsidP="00646318">
      <w:pPr>
        <w:tabs>
          <w:tab w:val="left" w:pos="270"/>
        </w:tabs>
        <w:rPr>
          <w:rFonts w:ascii="Times New Roman" w:hAnsi="Times New Roman"/>
          <w:szCs w:val="24"/>
        </w:rPr>
      </w:pPr>
      <w:r w:rsidRPr="00E0392A">
        <w:rPr>
          <w:rFonts w:ascii="Times New Roman" w:hAnsi="Times New Roman"/>
          <w:szCs w:val="24"/>
        </w:rPr>
        <w:t>The Company believes the program was productive and cost-effective as designed and delivered</w:t>
      </w:r>
      <w:r w:rsidR="008B7B39">
        <w:rPr>
          <w:rFonts w:ascii="Times New Roman" w:hAnsi="Times New Roman"/>
          <w:szCs w:val="24"/>
        </w:rPr>
        <w:t>,</w:t>
      </w:r>
      <w:r w:rsidRPr="00E0392A">
        <w:rPr>
          <w:rFonts w:ascii="Times New Roman" w:hAnsi="Times New Roman"/>
          <w:szCs w:val="24"/>
        </w:rPr>
        <w:t xml:space="preserve"> </w:t>
      </w:r>
      <w:r w:rsidR="0098195B">
        <w:rPr>
          <w:rFonts w:ascii="Times New Roman" w:hAnsi="Times New Roman"/>
          <w:szCs w:val="24"/>
        </w:rPr>
        <w:t>but</w:t>
      </w:r>
      <w:r w:rsidRPr="00E0392A">
        <w:rPr>
          <w:rFonts w:ascii="Times New Roman" w:hAnsi="Times New Roman"/>
          <w:szCs w:val="24"/>
        </w:rPr>
        <w:t xml:space="preserve"> the challenges to implement the additional verification requirements, in the face of evolving codes and standards </w:t>
      </w:r>
      <w:r w:rsidR="00873C9E">
        <w:rPr>
          <w:rFonts w:ascii="Times New Roman" w:hAnsi="Times New Roman"/>
          <w:szCs w:val="24"/>
        </w:rPr>
        <w:t>would</w:t>
      </w:r>
      <w:r w:rsidR="00873C9E" w:rsidRPr="00E0392A">
        <w:rPr>
          <w:rFonts w:ascii="Times New Roman" w:hAnsi="Times New Roman"/>
          <w:szCs w:val="24"/>
        </w:rPr>
        <w:t xml:space="preserve"> </w:t>
      </w:r>
      <w:r w:rsidRPr="00E0392A">
        <w:rPr>
          <w:rFonts w:ascii="Times New Roman" w:hAnsi="Times New Roman"/>
          <w:szCs w:val="24"/>
        </w:rPr>
        <w:t>continue to erode the program’s savings</w:t>
      </w:r>
      <w:r w:rsidR="00C93187">
        <w:rPr>
          <w:rFonts w:ascii="Times New Roman" w:hAnsi="Times New Roman"/>
          <w:szCs w:val="24"/>
        </w:rPr>
        <w:t>.  As such</w:t>
      </w:r>
      <w:r w:rsidRPr="00E0392A">
        <w:rPr>
          <w:rFonts w:ascii="Times New Roman" w:hAnsi="Times New Roman"/>
          <w:szCs w:val="24"/>
        </w:rPr>
        <w:t xml:space="preserve">, the Company elected to discontinue offering it as a conservation program. The Company is seeking bids to provide a lower cost “education only” replacement program, a program that </w:t>
      </w:r>
      <w:r w:rsidR="008B7B39">
        <w:rPr>
          <w:rFonts w:ascii="Times New Roman" w:hAnsi="Times New Roman"/>
          <w:szCs w:val="24"/>
        </w:rPr>
        <w:t>will not</w:t>
      </w:r>
      <w:r w:rsidRPr="00E0392A">
        <w:rPr>
          <w:rFonts w:ascii="Times New Roman" w:hAnsi="Times New Roman"/>
          <w:szCs w:val="24"/>
        </w:rPr>
        <w:t xml:space="preserve"> include instant savings mea</w:t>
      </w:r>
      <w:r w:rsidR="0098195B">
        <w:rPr>
          <w:rFonts w:ascii="Times New Roman" w:hAnsi="Times New Roman"/>
          <w:szCs w:val="24"/>
        </w:rPr>
        <w:t>sures/kits or reported savings.</w:t>
      </w:r>
    </w:p>
    <w:p w:rsidR="0098195B" w:rsidRDefault="0098195B" w:rsidP="00646318">
      <w:pPr>
        <w:tabs>
          <w:tab w:val="left" w:pos="270"/>
        </w:tabs>
        <w:rPr>
          <w:rFonts w:ascii="Times New Roman" w:hAnsi="Times New Roman"/>
          <w:szCs w:val="24"/>
        </w:rPr>
      </w:pPr>
    </w:p>
    <w:p w:rsidR="00646318" w:rsidRDefault="00E0392A" w:rsidP="00646318">
      <w:pPr>
        <w:rPr>
          <w:rFonts w:ascii="Times New Roman" w:hAnsi="Times New Roman"/>
          <w:szCs w:val="24"/>
        </w:rPr>
      </w:pPr>
      <w:r w:rsidRPr="00E0392A">
        <w:rPr>
          <w:rFonts w:ascii="Times New Roman" w:hAnsi="Times New Roman"/>
          <w:szCs w:val="24"/>
        </w:rPr>
        <w:t>In regards to Public Counsel’s claim that the Company should have taken action earlier to reclassify the program as an “education only” offering</w:t>
      </w:r>
      <w:r w:rsidR="00C93187">
        <w:rPr>
          <w:rFonts w:ascii="Times New Roman" w:hAnsi="Times New Roman"/>
          <w:szCs w:val="24"/>
        </w:rPr>
        <w:t>,</w:t>
      </w:r>
      <w:r w:rsidRPr="00E0392A">
        <w:rPr>
          <w:rFonts w:ascii="Times New Roman" w:hAnsi="Times New Roman"/>
          <w:szCs w:val="24"/>
        </w:rPr>
        <w:t xml:space="preserve"> the Company believes it acted promptly and responsibly in addressing parties</w:t>
      </w:r>
      <w:r w:rsidR="008C7101">
        <w:rPr>
          <w:rFonts w:ascii="Times New Roman" w:hAnsi="Times New Roman"/>
          <w:szCs w:val="24"/>
        </w:rPr>
        <w:t>’</w:t>
      </w:r>
      <w:r w:rsidRPr="00E0392A">
        <w:rPr>
          <w:rFonts w:ascii="Times New Roman" w:hAnsi="Times New Roman"/>
          <w:szCs w:val="24"/>
        </w:rPr>
        <w:t xml:space="preserve"> concerns. </w:t>
      </w:r>
      <w:r w:rsidR="00873C9E">
        <w:rPr>
          <w:rFonts w:ascii="Times New Roman" w:hAnsi="Times New Roman"/>
          <w:szCs w:val="24"/>
        </w:rPr>
        <w:t xml:space="preserve">As stated earlier, </w:t>
      </w:r>
      <w:r w:rsidR="00587ED1">
        <w:rPr>
          <w:rFonts w:ascii="Times New Roman" w:hAnsi="Times New Roman"/>
          <w:szCs w:val="24"/>
        </w:rPr>
        <w:t>t</w:t>
      </w:r>
      <w:r w:rsidRPr="008B6DAB">
        <w:rPr>
          <w:rFonts w:ascii="Times New Roman" w:hAnsi="Times New Roman"/>
          <w:szCs w:val="24"/>
        </w:rPr>
        <w:t xml:space="preserve">he Energy Education in Schools program </w:t>
      </w:r>
      <w:r w:rsidR="00873C9E">
        <w:rPr>
          <w:rFonts w:ascii="Times New Roman" w:hAnsi="Times New Roman"/>
          <w:szCs w:val="24"/>
        </w:rPr>
        <w:t>became</w:t>
      </w:r>
      <w:r w:rsidRPr="008B6DAB">
        <w:rPr>
          <w:rFonts w:ascii="Times New Roman" w:hAnsi="Times New Roman"/>
          <w:szCs w:val="24"/>
        </w:rPr>
        <w:t xml:space="preserve"> effective April 1, 2003. Since 2003</w:t>
      </w:r>
      <w:r w:rsidR="00C93187">
        <w:rPr>
          <w:rFonts w:ascii="Times New Roman" w:hAnsi="Times New Roman"/>
          <w:szCs w:val="24"/>
        </w:rPr>
        <w:t>,</w:t>
      </w:r>
      <w:r w:rsidRPr="008B6DAB">
        <w:rPr>
          <w:rFonts w:ascii="Times New Roman" w:hAnsi="Times New Roman"/>
          <w:szCs w:val="24"/>
        </w:rPr>
        <w:t xml:space="preserve"> the program utilized the current savings assessment methodology and the Company reported program savings based on these assessments. When the Company filed its revised ten year conservation forecast and 2010-2011 biennial target (July 2, 2010 in Docket UE-100170) the Energy Education in Schools program was among the conservation programs identified in Attachment A, 2010-2011 business plan, as a program intended to assist in the delivery of the Company’s 2010-2011 conservation target. Attachment C to </w:t>
      </w:r>
      <w:r w:rsidR="00C93187">
        <w:rPr>
          <w:rFonts w:ascii="Times New Roman" w:hAnsi="Times New Roman"/>
          <w:szCs w:val="24"/>
        </w:rPr>
        <w:t>that</w:t>
      </w:r>
      <w:r w:rsidR="00C93187" w:rsidRPr="008B6DAB">
        <w:rPr>
          <w:rFonts w:ascii="Times New Roman" w:hAnsi="Times New Roman"/>
          <w:szCs w:val="24"/>
        </w:rPr>
        <w:t xml:space="preserve"> </w:t>
      </w:r>
      <w:r w:rsidRPr="008B6DAB">
        <w:rPr>
          <w:rFonts w:ascii="Times New Roman" w:hAnsi="Times New Roman"/>
          <w:szCs w:val="24"/>
        </w:rPr>
        <w:t xml:space="preserve">filing contained copies of prior program year evaluation results, </w:t>
      </w:r>
      <w:r w:rsidR="00587ED1">
        <w:rPr>
          <w:rFonts w:ascii="Times New Roman" w:hAnsi="Times New Roman"/>
          <w:szCs w:val="24"/>
        </w:rPr>
        <w:t xml:space="preserve">which </w:t>
      </w:r>
      <w:r w:rsidRPr="008B6DAB">
        <w:rPr>
          <w:rFonts w:ascii="Times New Roman" w:hAnsi="Times New Roman"/>
          <w:szCs w:val="24"/>
        </w:rPr>
        <w:t>clearly outlin</w:t>
      </w:r>
      <w:r w:rsidR="00587ED1">
        <w:rPr>
          <w:rFonts w:ascii="Times New Roman" w:hAnsi="Times New Roman"/>
          <w:szCs w:val="24"/>
        </w:rPr>
        <w:t>ed</w:t>
      </w:r>
      <w:r w:rsidRPr="008B6DAB">
        <w:rPr>
          <w:rFonts w:ascii="Times New Roman" w:hAnsi="Times New Roman"/>
          <w:szCs w:val="24"/>
        </w:rPr>
        <w:t xml:space="preserve"> the savings assessment methodolog</w:t>
      </w:r>
      <w:r w:rsidR="00587ED1">
        <w:rPr>
          <w:rFonts w:ascii="Times New Roman" w:hAnsi="Times New Roman"/>
          <w:szCs w:val="24"/>
        </w:rPr>
        <w:t>y</w:t>
      </w:r>
      <w:r w:rsidRPr="008B6DAB">
        <w:rPr>
          <w:rFonts w:ascii="Times New Roman" w:hAnsi="Times New Roman"/>
          <w:szCs w:val="24"/>
        </w:rPr>
        <w:t xml:space="preserve">. </w:t>
      </w:r>
      <w:r w:rsidR="008B7B39">
        <w:rPr>
          <w:rFonts w:ascii="Times New Roman" w:hAnsi="Times New Roman"/>
          <w:szCs w:val="24"/>
        </w:rPr>
        <w:t xml:space="preserve"> </w:t>
      </w:r>
      <w:r w:rsidRPr="008B6DAB">
        <w:rPr>
          <w:rFonts w:ascii="Times New Roman" w:hAnsi="Times New Roman"/>
          <w:szCs w:val="24"/>
        </w:rPr>
        <w:t xml:space="preserve">Prior to the concerns raised in April of 2011, the Company had no reason to assume there were any perceived issues or concerns regarding the validity of the program’s savings assessment methodology. Once concerns were raised, the Company acted promptly and responsibly </w:t>
      </w:r>
      <w:r w:rsidR="00587ED1">
        <w:rPr>
          <w:rFonts w:ascii="Times New Roman" w:hAnsi="Times New Roman"/>
          <w:szCs w:val="24"/>
        </w:rPr>
        <w:t>to address</w:t>
      </w:r>
      <w:r w:rsidRPr="008B6DAB">
        <w:rPr>
          <w:rFonts w:ascii="Times New Roman" w:hAnsi="Times New Roman"/>
          <w:szCs w:val="24"/>
        </w:rPr>
        <w:t xml:space="preserve"> the concerns</w:t>
      </w:r>
      <w:r w:rsidR="00587ED1">
        <w:rPr>
          <w:rFonts w:ascii="Times New Roman" w:hAnsi="Times New Roman"/>
          <w:szCs w:val="24"/>
        </w:rPr>
        <w:t xml:space="preserve">. Accordingly, </w:t>
      </w:r>
      <w:r w:rsidRPr="008B6DAB">
        <w:rPr>
          <w:rFonts w:ascii="Times New Roman" w:hAnsi="Times New Roman"/>
          <w:szCs w:val="24"/>
        </w:rPr>
        <w:t>the program savings should stand as reported in the Company’s 2010-2011 B</w:t>
      </w:r>
      <w:r w:rsidR="003702EE" w:rsidRPr="008B6DAB">
        <w:rPr>
          <w:rFonts w:ascii="Times New Roman" w:hAnsi="Times New Roman"/>
          <w:szCs w:val="24"/>
        </w:rPr>
        <w:t>CR</w:t>
      </w:r>
      <w:r w:rsidRPr="008B6DAB">
        <w:rPr>
          <w:rFonts w:ascii="Times New Roman" w:hAnsi="Times New Roman"/>
          <w:szCs w:val="24"/>
        </w:rPr>
        <w:t xml:space="preserve">. </w:t>
      </w:r>
    </w:p>
    <w:p w:rsidR="004D5F3B" w:rsidRDefault="004D5F3B">
      <w:pPr>
        <w:rPr>
          <w:rFonts w:ascii="Times New Roman" w:hAnsi="Times New Roman"/>
          <w:szCs w:val="24"/>
        </w:rPr>
      </w:pPr>
    </w:p>
    <w:p w:rsidR="008C596A" w:rsidRDefault="00D63EDB" w:rsidP="00646318">
      <w:pPr>
        <w:pStyle w:val="ParNumber"/>
        <w:numPr>
          <w:ilvl w:val="0"/>
          <w:numId w:val="0"/>
        </w:numPr>
        <w:tabs>
          <w:tab w:val="clear" w:pos="720"/>
        </w:tabs>
        <w:spacing w:line="240" w:lineRule="auto"/>
        <w:jc w:val="both"/>
      </w:pPr>
      <w:r>
        <w:t xml:space="preserve">The Company </w:t>
      </w:r>
      <w:r w:rsidR="008C7101">
        <w:t xml:space="preserve">also </w:t>
      </w:r>
      <w:r w:rsidR="008B7B39">
        <w:t xml:space="preserve">does not agree </w:t>
      </w:r>
      <w:r w:rsidR="00587ED1">
        <w:t xml:space="preserve">with </w:t>
      </w:r>
      <w:r>
        <w:t>Public Counsel’s assertion that ex-post impact evaluation results should be used to report biennial savings and the determination of whether utilities achieved conservation target</w:t>
      </w:r>
      <w:r w:rsidR="00C93187">
        <w:t>s</w:t>
      </w:r>
      <w:r>
        <w:t>. The Company is not opposed</w:t>
      </w:r>
      <w:r w:rsidR="00C93187">
        <w:t>,</w:t>
      </w:r>
      <w:r>
        <w:t xml:space="preserve"> however</w:t>
      </w:r>
      <w:r w:rsidR="00C93187">
        <w:t>,</w:t>
      </w:r>
      <w:r>
        <w:t xml:space="preserve"> to the verification of measure installations</w:t>
      </w:r>
      <w:r w:rsidR="008B7B39">
        <w:t>--</w:t>
      </w:r>
      <w:r>
        <w:t xml:space="preserve">i.e. number of refrigerators purchased, freezers recycled, or variable speed fans installed. </w:t>
      </w:r>
    </w:p>
    <w:p w:rsidR="008C596A" w:rsidRDefault="008C596A" w:rsidP="00646318">
      <w:pPr>
        <w:pStyle w:val="ParNumber"/>
        <w:numPr>
          <w:ilvl w:val="0"/>
          <w:numId w:val="0"/>
        </w:numPr>
        <w:tabs>
          <w:tab w:val="clear" w:pos="720"/>
        </w:tabs>
        <w:spacing w:line="240" w:lineRule="auto"/>
        <w:jc w:val="both"/>
      </w:pPr>
    </w:p>
    <w:p w:rsidR="00646318" w:rsidRDefault="00D63EDB" w:rsidP="00646318">
      <w:pPr>
        <w:pStyle w:val="ParNumber"/>
        <w:numPr>
          <w:ilvl w:val="0"/>
          <w:numId w:val="0"/>
        </w:numPr>
        <w:tabs>
          <w:tab w:val="clear" w:pos="720"/>
        </w:tabs>
        <w:spacing w:line="240" w:lineRule="auto"/>
        <w:jc w:val="both"/>
      </w:pPr>
      <w:r>
        <w:t>The utilization of ex-post impact evaluation results would expose utilities to the risk of evolving measure unit energy savings and operating assumptions after they relied upon those assumptions in the development of conservation forecasts and target</w:t>
      </w:r>
      <w:r w:rsidR="00C93187">
        <w:t>s</w:t>
      </w:r>
      <w:r>
        <w:t>. If this is the level of certainty desired by parties</w:t>
      </w:r>
      <w:r w:rsidR="00C93187">
        <w:t>,</w:t>
      </w:r>
      <w:r>
        <w:t xml:space="preserve"> PacifiCorp would ask for consideration to adjust </w:t>
      </w:r>
      <w:r w:rsidR="00C93187">
        <w:t xml:space="preserve">its </w:t>
      </w:r>
      <w:r>
        <w:t>ten year conservation forecast and 2012-2013 biennial target to account for the additional uncertainty and risk such a change would introduce in</w:t>
      </w:r>
      <w:r w:rsidR="0002530F">
        <w:t>to</w:t>
      </w:r>
      <w:r>
        <w:t xml:space="preserve"> achieving biennial targets.  </w:t>
      </w:r>
    </w:p>
    <w:p w:rsidR="00646318" w:rsidRDefault="00646318" w:rsidP="00646318">
      <w:pPr>
        <w:pStyle w:val="ParNumber"/>
        <w:numPr>
          <w:ilvl w:val="0"/>
          <w:numId w:val="0"/>
        </w:numPr>
        <w:tabs>
          <w:tab w:val="clear" w:pos="720"/>
        </w:tabs>
        <w:spacing w:line="240" w:lineRule="auto"/>
        <w:jc w:val="both"/>
        <w:rPr>
          <w:szCs w:val="24"/>
        </w:rPr>
      </w:pPr>
    </w:p>
    <w:p w:rsidR="008C596A" w:rsidRDefault="008C596A">
      <w:pPr>
        <w:rPr>
          <w:rFonts w:ascii="Times New Roman" w:eastAsiaTheme="minorHAnsi" w:hAnsi="Times New Roman"/>
          <w:szCs w:val="24"/>
        </w:rPr>
      </w:pPr>
      <w:r>
        <w:rPr>
          <w:rFonts w:ascii="Times New Roman" w:hAnsi="Times New Roman"/>
          <w:szCs w:val="24"/>
        </w:rPr>
        <w:br w:type="page"/>
      </w:r>
    </w:p>
    <w:p w:rsidR="007E18F8" w:rsidRDefault="007E18F8" w:rsidP="000636B1">
      <w:pPr>
        <w:pStyle w:val="NoSpacing"/>
        <w:jc w:val="both"/>
        <w:rPr>
          <w:rFonts w:ascii="Times New Roman" w:hAnsi="Times New Roman" w:cs="Times New Roman"/>
          <w:sz w:val="24"/>
          <w:szCs w:val="24"/>
        </w:rPr>
      </w:pPr>
      <w:r w:rsidRPr="00664B79">
        <w:rPr>
          <w:rFonts w:ascii="Times New Roman" w:hAnsi="Times New Roman" w:cs="Times New Roman"/>
          <w:sz w:val="24"/>
          <w:szCs w:val="24"/>
        </w:rPr>
        <w:t>If you have any questions regarding these comments, ple</w:t>
      </w:r>
      <w:r>
        <w:rPr>
          <w:rFonts w:ascii="Times New Roman" w:hAnsi="Times New Roman" w:cs="Times New Roman"/>
          <w:sz w:val="24"/>
          <w:szCs w:val="24"/>
        </w:rPr>
        <w:t xml:space="preserve">ase contact </w:t>
      </w:r>
      <w:r w:rsidR="008B7B39">
        <w:rPr>
          <w:rFonts w:ascii="Times New Roman" w:hAnsi="Times New Roman" w:cs="Times New Roman"/>
          <w:sz w:val="24"/>
          <w:szCs w:val="24"/>
        </w:rPr>
        <w:t xml:space="preserve">Jeff Bumgarner at (503) 813-5161 or </w:t>
      </w:r>
      <w:bookmarkStart w:id="0" w:name="_GoBack"/>
      <w:bookmarkEnd w:id="0"/>
      <w:r>
        <w:rPr>
          <w:rFonts w:ascii="Times New Roman" w:hAnsi="Times New Roman" w:cs="Times New Roman"/>
          <w:sz w:val="24"/>
          <w:szCs w:val="24"/>
        </w:rPr>
        <w:t>at (503) 813-5269</w:t>
      </w:r>
      <w:r w:rsidRPr="00664B79">
        <w:rPr>
          <w:rFonts w:ascii="Times New Roman" w:hAnsi="Times New Roman" w:cs="Times New Roman"/>
          <w:sz w:val="24"/>
          <w:szCs w:val="24"/>
        </w:rPr>
        <w:t>.</w:t>
      </w:r>
    </w:p>
    <w:p w:rsidR="000636B1" w:rsidRDefault="000636B1" w:rsidP="000636B1">
      <w:pPr>
        <w:pStyle w:val="NoSpacing"/>
        <w:jc w:val="both"/>
        <w:rPr>
          <w:rFonts w:ascii="Times New Roman" w:hAnsi="Times New Roman" w:cs="Times New Roman"/>
          <w:sz w:val="24"/>
          <w:szCs w:val="24"/>
        </w:rPr>
      </w:pPr>
    </w:p>
    <w:p w:rsidR="000636B1" w:rsidRDefault="000636B1" w:rsidP="000636B1">
      <w:pPr>
        <w:pStyle w:val="NoSpacing"/>
        <w:jc w:val="both"/>
        <w:rPr>
          <w:rFonts w:ascii="Times New Roman" w:hAnsi="Times New Roman"/>
          <w:szCs w:val="24"/>
        </w:rPr>
      </w:pPr>
    </w:p>
    <w:p w:rsidR="007E18F8" w:rsidRPr="00664B79" w:rsidRDefault="007E18F8" w:rsidP="007E18F8">
      <w:pPr>
        <w:pStyle w:val="NoSpacing"/>
        <w:rPr>
          <w:rFonts w:ascii="Times New Roman" w:hAnsi="Times New Roman" w:cs="Times New Roman"/>
          <w:sz w:val="24"/>
          <w:szCs w:val="24"/>
        </w:rPr>
      </w:pPr>
      <w:r w:rsidRPr="00664B79">
        <w:rPr>
          <w:rFonts w:ascii="Times New Roman" w:hAnsi="Times New Roman" w:cs="Times New Roman"/>
          <w:sz w:val="24"/>
          <w:szCs w:val="24"/>
        </w:rPr>
        <w:t>Sincerely,</w:t>
      </w:r>
    </w:p>
    <w:p w:rsidR="007E18F8" w:rsidRPr="00664B79" w:rsidRDefault="007E18F8" w:rsidP="007E18F8">
      <w:pPr>
        <w:pStyle w:val="NoSpacing"/>
        <w:rPr>
          <w:rFonts w:ascii="Times New Roman" w:hAnsi="Times New Roman" w:cs="Times New Roman"/>
          <w:sz w:val="24"/>
          <w:szCs w:val="24"/>
        </w:rPr>
      </w:pPr>
    </w:p>
    <w:p w:rsidR="007E18F8" w:rsidRPr="00664B79" w:rsidRDefault="007E18F8" w:rsidP="007E18F8">
      <w:pPr>
        <w:pStyle w:val="NoSpacing"/>
        <w:rPr>
          <w:rFonts w:ascii="Times New Roman" w:hAnsi="Times New Roman" w:cs="Times New Roman"/>
          <w:sz w:val="24"/>
          <w:szCs w:val="24"/>
        </w:rPr>
      </w:pPr>
    </w:p>
    <w:p w:rsidR="007E18F8" w:rsidRPr="00664B79" w:rsidRDefault="007E18F8" w:rsidP="007E18F8">
      <w:pPr>
        <w:pStyle w:val="NoSpacing"/>
        <w:rPr>
          <w:rFonts w:ascii="Times New Roman" w:hAnsi="Times New Roman" w:cs="Times New Roman"/>
          <w:sz w:val="24"/>
          <w:szCs w:val="24"/>
        </w:rPr>
      </w:pPr>
    </w:p>
    <w:p w:rsidR="007E18F8" w:rsidRPr="00664B79" w:rsidRDefault="008B7B39" w:rsidP="007E18F8">
      <w:pPr>
        <w:pStyle w:val="NoSpacing"/>
        <w:rPr>
          <w:rFonts w:ascii="Times New Roman" w:hAnsi="Times New Roman" w:cs="Times New Roman"/>
          <w:sz w:val="24"/>
          <w:szCs w:val="24"/>
        </w:rPr>
      </w:pPr>
      <w:r>
        <w:rPr>
          <w:rFonts w:ascii="Times New Roman" w:hAnsi="Times New Roman" w:cs="Times New Roman"/>
          <w:sz w:val="24"/>
          <w:szCs w:val="24"/>
        </w:rPr>
        <w:t>Carol Hunter</w:t>
      </w:r>
    </w:p>
    <w:p w:rsidR="007E18F8" w:rsidRPr="00664B79" w:rsidRDefault="007E18F8" w:rsidP="007E18F8">
      <w:pPr>
        <w:pStyle w:val="NoSpacing"/>
        <w:rPr>
          <w:rFonts w:ascii="Times New Roman" w:hAnsi="Times New Roman" w:cs="Times New Roman"/>
          <w:sz w:val="24"/>
          <w:szCs w:val="24"/>
        </w:rPr>
      </w:pPr>
      <w:r w:rsidRPr="00664B79">
        <w:rPr>
          <w:rFonts w:ascii="Times New Roman" w:hAnsi="Times New Roman" w:cs="Times New Roman"/>
          <w:sz w:val="24"/>
          <w:szCs w:val="24"/>
        </w:rPr>
        <w:t xml:space="preserve">Vice President, </w:t>
      </w:r>
      <w:r w:rsidR="008B7B39">
        <w:rPr>
          <w:rFonts w:ascii="Times New Roman" w:hAnsi="Times New Roman" w:cs="Times New Roman"/>
          <w:sz w:val="24"/>
          <w:szCs w:val="24"/>
        </w:rPr>
        <w:t>Services</w:t>
      </w:r>
    </w:p>
    <w:p w:rsidR="007E18F8" w:rsidRPr="00664B79" w:rsidRDefault="007E18F8" w:rsidP="007E18F8">
      <w:pPr>
        <w:pStyle w:val="NoSpacing"/>
        <w:rPr>
          <w:rFonts w:ascii="Times New Roman" w:hAnsi="Times New Roman" w:cs="Times New Roman"/>
          <w:sz w:val="24"/>
          <w:szCs w:val="24"/>
        </w:rPr>
      </w:pP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Deborah Reynolds, WUTC</w:t>
      </w: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ab/>
        <w:t>Lea Daeschel, Attorney General’s Office</w:t>
      </w: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ab/>
        <w:t>Megan Decker, Renewable Northwest Project</w:t>
      </w: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ab/>
        <w:t>Rachel Simshak, Renewable Northwest Project</w:t>
      </w: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ab/>
        <w:t>Danielle Dixon, NW Energy Coalition</w:t>
      </w:r>
    </w:p>
    <w:p w:rsidR="008C596A" w:rsidRDefault="008C596A" w:rsidP="008C596A">
      <w:pPr>
        <w:pStyle w:val="NoSpacing"/>
        <w:rPr>
          <w:rFonts w:ascii="Times New Roman" w:hAnsi="Times New Roman" w:cs="Times New Roman"/>
          <w:sz w:val="24"/>
          <w:szCs w:val="24"/>
        </w:rPr>
      </w:pPr>
      <w:r>
        <w:rPr>
          <w:rFonts w:ascii="Times New Roman" w:hAnsi="Times New Roman" w:cs="Times New Roman"/>
          <w:sz w:val="24"/>
          <w:szCs w:val="24"/>
        </w:rPr>
        <w:tab/>
        <w:t>Nancy Hirsh, NW Energy Coalition</w:t>
      </w:r>
    </w:p>
    <w:p w:rsidR="008C596A" w:rsidRDefault="008C596A" w:rsidP="007E18F8">
      <w:pPr>
        <w:pStyle w:val="NoSpacing"/>
        <w:rPr>
          <w:rFonts w:ascii="Times New Roman" w:hAnsi="Times New Roman" w:cs="Times New Roman"/>
          <w:sz w:val="24"/>
          <w:szCs w:val="24"/>
        </w:rPr>
      </w:pPr>
    </w:p>
    <w:p w:rsidR="008C596A" w:rsidRDefault="008C596A" w:rsidP="007E18F8">
      <w:pPr>
        <w:pStyle w:val="NoSpacing"/>
        <w:rPr>
          <w:rFonts w:ascii="Times New Roman" w:hAnsi="Times New Roman" w:cs="Times New Roman"/>
          <w:sz w:val="24"/>
          <w:szCs w:val="24"/>
        </w:rPr>
      </w:pPr>
    </w:p>
    <w:p w:rsidR="00A30233" w:rsidRDefault="00A30233" w:rsidP="00964072">
      <w:pPr>
        <w:jc w:val="both"/>
        <w:rPr>
          <w:rFonts w:ascii="Times New Roman" w:hAnsi="Times New Roman"/>
        </w:rPr>
      </w:pPr>
    </w:p>
    <w:p w:rsidR="00964072" w:rsidRPr="00D870FC" w:rsidRDefault="00964072" w:rsidP="00964072">
      <w:pPr>
        <w:jc w:val="both"/>
        <w:rPr>
          <w:rFonts w:ascii="Times New Roman" w:hAnsi="Times New Roman"/>
        </w:rPr>
      </w:pPr>
    </w:p>
    <w:sectPr w:rsidR="00964072" w:rsidRPr="00D870FC" w:rsidSect="007E18F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333" w:rsidRDefault="00232333" w:rsidP="00964072">
      <w:r>
        <w:separator/>
      </w:r>
    </w:p>
  </w:endnote>
  <w:endnote w:type="continuationSeparator" w:id="0">
    <w:p w:rsidR="00232333" w:rsidRDefault="00232333" w:rsidP="00964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33" w:rsidRDefault="00FB3F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33" w:rsidRDefault="00FB3F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33" w:rsidRDefault="00FB3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333" w:rsidRDefault="00232333" w:rsidP="00964072">
      <w:r>
        <w:separator/>
      </w:r>
    </w:p>
  </w:footnote>
  <w:footnote w:type="continuationSeparator" w:id="0">
    <w:p w:rsidR="00232333" w:rsidRDefault="00232333"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33" w:rsidRDefault="00FB3F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B" w:rsidRDefault="007E18F8">
    <w:pPr>
      <w:pStyle w:val="Header"/>
    </w:pPr>
    <w:r>
      <w:t>Washington Utilities and Transportation Commission</w:t>
    </w:r>
  </w:p>
  <w:p w:rsidR="007E18F8" w:rsidRDefault="00C76DB9">
    <w:pPr>
      <w:pStyle w:val="Header"/>
    </w:pPr>
    <w:r>
      <w:t>August 2</w:t>
    </w:r>
    <w:r w:rsidR="007E18F8">
      <w:t>, 2012</w:t>
    </w:r>
  </w:p>
  <w:p w:rsidR="007E18F8" w:rsidRDefault="007E18F8">
    <w:pPr>
      <w:pStyle w:val="Header"/>
    </w:pPr>
    <w:r>
      <w:t xml:space="preserve">Page </w:t>
    </w:r>
    <w:r w:rsidR="004519E0">
      <w:fldChar w:fldCharType="begin"/>
    </w:r>
    <w:r w:rsidR="007F5345">
      <w:instrText xml:space="preserve"> PAGE   \* MERGEFORMAT </w:instrText>
    </w:r>
    <w:r w:rsidR="004519E0">
      <w:fldChar w:fldCharType="separate"/>
    </w:r>
    <w:r w:rsidR="00CD7448">
      <w:rPr>
        <w:noProof/>
      </w:rPr>
      <w:t>2</w:t>
    </w:r>
    <w:r w:rsidR="004519E0">
      <w:rPr>
        <w:noProof/>
      </w:rPr>
      <w:fldChar w:fldCharType="end"/>
    </w:r>
  </w:p>
  <w:p w:rsidR="007E18F8" w:rsidRDefault="007E18F8">
    <w:pPr>
      <w:pStyle w:val="Header"/>
    </w:pPr>
  </w:p>
  <w:p w:rsidR="007E18F8" w:rsidRDefault="007E18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33" w:rsidRDefault="00FB3F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E10"/>
    <w:multiLevelType w:val="hybridMultilevel"/>
    <w:tmpl w:val="011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61EBE"/>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67B97"/>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DC66A3"/>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603C0"/>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328F2"/>
    <w:multiLevelType w:val="hybridMultilevel"/>
    <w:tmpl w:val="1292B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AC3AF9"/>
    <w:multiLevelType w:val="hybridMultilevel"/>
    <w:tmpl w:val="54ACA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B90A0B"/>
    <w:multiLevelType w:val="hybridMultilevel"/>
    <w:tmpl w:val="6C464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B12EB"/>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A0850"/>
    <w:multiLevelType w:val="hybridMultilevel"/>
    <w:tmpl w:val="A8C64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7513A"/>
    <w:multiLevelType w:val="hybridMultilevel"/>
    <w:tmpl w:val="A470EED4"/>
    <w:lvl w:ilvl="0" w:tplc="CA8E4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B134B"/>
    <w:multiLevelType w:val="hybridMultilevel"/>
    <w:tmpl w:val="9AD4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FD3248"/>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0606A"/>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01003"/>
    <w:multiLevelType w:val="multilevel"/>
    <w:tmpl w:val="F3FA73A8"/>
    <w:lvl w:ilvl="0">
      <w:start w:val="1"/>
      <w:numFmt w:val="decimal"/>
      <w:pStyle w:val="ParNumber"/>
      <w:lvlText w:val="%1."/>
      <w:lvlJc w:val="left"/>
      <w:pPr>
        <w:tabs>
          <w:tab w:val="num" w:pos="360"/>
        </w:tabs>
        <w:ind w:left="360" w:hanging="360"/>
      </w:pPr>
      <w:rPr>
        <w:b w:val="0"/>
        <w:i/>
      </w:rPr>
    </w:lvl>
    <w:lvl w:ilvl="1">
      <w:start w:val="1"/>
      <w:numFmt w:val="upperRoman"/>
      <w:lvlText w:val="%2."/>
      <w:lvlJc w:val="left"/>
      <w:pPr>
        <w:tabs>
          <w:tab w:val="num" w:pos="0"/>
        </w:tabs>
        <w:ind w:left="720" w:hanging="720"/>
      </w:pPr>
      <w:rPr>
        <w:rFonts w:ascii="Times New Roman" w:eastAsia="Times New Roman" w:hAnsi="Times New Roman" w:cs="Times New Roman"/>
      </w:r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7">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012EFB"/>
    <w:multiLevelType w:val="hybridMultilevel"/>
    <w:tmpl w:val="A470EED4"/>
    <w:lvl w:ilvl="0" w:tplc="CA8E4B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13"/>
  </w:num>
  <w:num w:numId="5">
    <w:abstractNumId w:val="14"/>
  </w:num>
  <w:num w:numId="6">
    <w:abstractNumId w:val="11"/>
  </w:num>
  <w:num w:numId="7">
    <w:abstractNumId w:val="2"/>
  </w:num>
  <w:num w:numId="8">
    <w:abstractNumId w:val="5"/>
  </w:num>
  <w:num w:numId="9">
    <w:abstractNumId w:val="10"/>
  </w:num>
  <w:num w:numId="10">
    <w:abstractNumId w:val="12"/>
  </w:num>
  <w:num w:numId="11">
    <w:abstractNumId w:val="6"/>
  </w:num>
  <w:num w:numId="12">
    <w:abstractNumId w:val="8"/>
  </w:num>
  <w:num w:numId="13">
    <w:abstractNumId w:val="1"/>
  </w:num>
  <w:num w:numId="14">
    <w:abstractNumId w:val="15"/>
  </w:num>
  <w:num w:numId="15">
    <w:abstractNumId w:val="18"/>
  </w:num>
  <w:num w:numId="16">
    <w:abstractNumId w:val="4"/>
  </w:num>
  <w:num w:numId="17">
    <w:abstractNumId w:val="1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2530F"/>
    <w:rsid w:val="000614C8"/>
    <w:rsid w:val="00061D96"/>
    <w:rsid w:val="000636B1"/>
    <w:rsid w:val="00071ECE"/>
    <w:rsid w:val="00087031"/>
    <w:rsid w:val="000B679C"/>
    <w:rsid w:val="000D424B"/>
    <w:rsid w:val="000D6421"/>
    <w:rsid w:val="000E52A3"/>
    <w:rsid w:val="000E6E39"/>
    <w:rsid w:val="000E7892"/>
    <w:rsid w:val="000F0C65"/>
    <w:rsid w:val="000F274D"/>
    <w:rsid w:val="00137D3D"/>
    <w:rsid w:val="00141E5B"/>
    <w:rsid w:val="00146750"/>
    <w:rsid w:val="001544F1"/>
    <w:rsid w:val="00166C83"/>
    <w:rsid w:val="00172293"/>
    <w:rsid w:val="00177BEC"/>
    <w:rsid w:val="001810B6"/>
    <w:rsid w:val="00183B5E"/>
    <w:rsid w:val="001A0181"/>
    <w:rsid w:val="001D5E3E"/>
    <w:rsid w:val="001E5650"/>
    <w:rsid w:val="001E7A07"/>
    <w:rsid w:val="001F6ED4"/>
    <w:rsid w:val="00203314"/>
    <w:rsid w:val="00204C32"/>
    <w:rsid w:val="00213D44"/>
    <w:rsid w:val="00232333"/>
    <w:rsid w:val="002732B3"/>
    <w:rsid w:val="002827AD"/>
    <w:rsid w:val="00284449"/>
    <w:rsid w:val="0029487F"/>
    <w:rsid w:val="002D2DD7"/>
    <w:rsid w:val="002D4B38"/>
    <w:rsid w:val="002D50DE"/>
    <w:rsid w:val="002D566A"/>
    <w:rsid w:val="002E4BD4"/>
    <w:rsid w:val="002F040D"/>
    <w:rsid w:val="00304249"/>
    <w:rsid w:val="00310766"/>
    <w:rsid w:val="00313C11"/>
    <w:rsid w:val="00321A20"/>
    <w:rsid w:val="0033267F"/>
    <w:rsid w:val="003668AF"/>
    <w:rsid w:val="00366956"/>
    <w:rsid w:val="003702EE"/>
    <w:rsid w:val="00377C91"/>
    <w:rsid w:val="003C0961"/>
    <w:rsid w:val="003C3A72"/>
    <w:rsid w:val="003F18B3"/>
    <w:rsid w:val="003F1BF1"/>
    <w:rsid w:val="003F2980"/>
    <w:rsid w:val="003F46BF"/>
    <w:rsid w:val="00416F66"/>
    <w:rsid w:val="004251F1"/>
    <w:rsid w:val="00430180"/>
    <w:rsid w:val="00430A5B"/>
    <w:rsid w:val="00433F8F"/>
    <w:rsid w:val="00441E08"/>
    <w:rsid w:val="004519E0"/>
    <w:rsid w:val="004534AD"/>
    <w:rsid w:val="004550AC"/>
    <w:rsid w:val="00461F6B"/>
    <w:rsid w:val="004864BC"/>
    <w:rsid w:val="004876E6"/>
    <w:rsid w:val="004A2CB1"/>
    <w:rsid w:val="004B0E03"/>
    <w:rsid w:val="004C0652"/>
    <w:rsid w:val="004D5F3B"/>
    <w:rsid w:val="00514D9B"/>
    <w:rsid w:val="005172AD"/>
    <w:rsid w:val="0054722C"/>
    <w:rsid w:val="00550041"/>
    <w:rsid w:val="00563105"/>
    <w:rsid w:val="00565560"/>
    <w:rsid w:val="00570932"/>
    <w:rsid w:val="005754DD"/>
    <w:rsid w:val="00575E33"/>
    <w:rsid w:val="00582766"/>
    <w:rsid w:val="00587ED1"/>
    <w:rsid w:val="00595EE2"/>
    <w:rsid w:val="005C5CF3"/>
    <w:rsid w:val="005C6EBB"/>
    <w:rsid w:val="005C7B60"/>
    <w:rsid w:val="005D31B6"/>
    <w:rsid w:val="006116D2"/>
    <w:rsid w:val="006256E3"/>
    <w:rsid w:val="0062691B"/>
    <w:rsid w:val="00646318"/>
    <w:rsid w:val="0068565F"/>
    <w:rsid w:val="00686A8F"/>
    <w:rsid w:val="006970F0"/>
    <w:rsid w:val="006A7094"/>
    <w:rsid w:val="006D2D34"/>
    <w:rsid w:val="0070733F"/>
    <w:rsid w:val="00707CB4"/>
    <w:rsid w:val="00727F23"/>
    <w:rsid w:val="00740321"/>
    <w:rsid w:val="00741D3C"/>
    <w:rsid w:val="00750FF6"/>
    <w:rsid w:val="00765F30"/>
    <w:rsid w:val="0078640D"/>
    <w:rsid w:val="007A474A"/>
    <w:rsid w:val="007B6E7D"/>
    <w:rsid w:val="007B7BE5"/>
    <w:rsid w:val="007C6777"/>
    <w:rsid w:val="007E18F8"/>
    <w:rsid w:val="007E2AA1"/>
    <w:rsid w:val="007E5F59"/>
    <w:rsid w:val="007F5345"/>
    <w:rsid w:val="007F669E"/>
    <w:rsid w:val="00810188"/>
    <w:rsid w:val="00813422"/>
    <w:rsid w:val="0081442A"/>
    <w:rsid w:val="00873C9E"/>
    <w:rsid w:val="00874DFF"/>
    <w:rsid w:val="008806A0"/>
    <w:rsid w:val="00881054"/>
    <w:rsid w:val="008A048F"/>
    <w:rsid w:val="008B6DAB"/>
    <w:rsid w:val="008B7B39"/>
    <w:rsid w:val="008C034F"/>
    <w:rsid w:val="008C183A"/>
    <w:rsid w:val="008C4F0C"/>
    <w:rsid w:val="008C596A"/>
    <w:rsid w:val="008C7101"/>
    <w:rsid w:val="008E3571"/>
    <w:rsid w:val="008E44E7"/>
    <w:rsid w:val="008F3E7D"/>
    <w:rsid w:val="009100EA"/>
    <w:rsid w:val="00921099"/>
    <w:rsid w:val="00924ACC"/>
    <w:rsid w:val="00933E9F"/>
    <w:rsid w:val="00943FAF"/>
    <w:rsid w:val="00953B9F"/>
    <w:rsid w:val="00964072"/>
    <w:rsid w:val="00970990"/>
    <w:rsid w:val="009739FC"/>
    <w:rsid w:val="0098195B"/>
    <w:rsid w:val="009829E2"/>
    <w:rsid w:val="00984093"/>
    <w:rsid w:val="009B35AF"/>
    <w:rsid w:val="009B4F02"/>
    <w:rsid w:val="009D52E1"/>
    <w:rsid w:val="009F7D7C"/>
    <w:rsid w:val="00A2112D"/>
    <w:rsid w:val="00A23F5F"/>
    <w:rsid w:val="00A245A4"/>
    <w:rsid w:val="00A30233"/>
    <w:rsid w:val="00A3236C"/>
    <w:rsid w:val="00A56112"/>
    <w:rsid w:val="00A754D9"/>
    <w:rsid w:val="00A86A08"/>
    <w:rsid w:val="00AB3C55"/>
    <w:rsid w:val="00AC713D"/>
    <w:rsid w:val="00AD4DF2"/>
    <w:rsid w:val="00AD5D2A"/>
    <w:rsid w:val="00AE3851"/>
    <w:rsid w:val="00AF2CE5"/>
    <w:rsid w:val="00B104EF"/>
    <w:rsid w:val="00B1481F"/>
    <w:rsid w:val="00B53C4E"/>
    <w:rsid w:val="00B551C3"/>
    <w:rsid w:val="00B614BD"/>
    <w:rsid w:val="00B70F83"/>
    <w:rsid w:val="00B75DB2"/>
    <w:rsid w:val="00B90CFC"/>
    <w:rsid w:val="00BA4CEE"/>
    <w:rsid w:val="00BD418D"/>
    <w:rsid w:val="00C200C8"/>
    <w:rsid w:val="00C219B7"/>
    <w:rsid w:val="00C279D4"/>
    <w:rsid w:val="00C461DC"/>
    <w:rsid w:val="00C52A4A"/>
    <w:rsid w:val="00C56CB3"/>
    <w:rsid w:val="00C7130C"/>
    <w:rsid w:val="00C76DB9"/>
    <w:rsid w:val="00C843B3"/>
    <w:rsid w:val="00C86434"/>
    <w:rsid w:val="00C90214"/>
    <w:rsid w:val="00C93187"/>
    <w:rsid w:val="00CB7DAC"/>
    <w:rsid w:val="00CD5F4E"/>
    <w:rsid w:val="00CD7448"/>
    <w:rsid w:val="00CE3E12"/>
    <w:rsid w:val="00D0390D"/>
    <w:rsid w:val="00D11941"/>
    <w:rsid w:val="00D57F9B"/>
    <w:rsid w:val="00D63806"/>
    <w:rsid w:val="00D63EDB"/>
    <w:rsid w:val="00D650AE"/>
    <w:rsid w:val="00D966C9"/>
    <w:rsid w:val="00D96DE0"/>
    <w:rsid w:val="00DA3AED"/>
    <w:rsid w:val="00DC0191"/>
    <w:rsid w:val="00DC427A"/>
    <w:rsid w:val="00DD322E"/>
    <w:rsid w:val="00DE54E6"/>
    <w:rsid w:val="00DE766D"/>
    <w:rsid w:val="00E0392A"/>
    <w:rsid w:val="00E3550C"/>
    <w:rsid w:val="00E358D5"/>
    <w:rsid w:val="00E621E9"/>
    <w:rsid w:val="00E82BC9"/>
    <w:rsid w:val="00EC13EE"/>
    <w:rsid w:val="00EC4DD1"/>
    <w:rsid w:val="00ED3559"/>
    <w:rsid w:val="00ED36BE"/>
    <w:rsid w:val="00ED434E"/>
    <w:rsid w:val="00F029B1"/>
    <w:rsid w:val="00F07D1E"/>
    <w:rsid w:val="00F15499"/>
    <w:rsid w:val="00F2412F"/>
    <w:rsid w:val="00F33D3C"/>
    <w:rsid w:val="00F4002C"/>
    <w:rsid w:val="00F44568"/>
    <w:rsid w:val="00F61D02"/>
    <w:rsid w:val="00F63A42"/>
    <w:rsid w:val="00F673CD"/>
    <w:rsid w:val="00F7254D"/>
    <w:rsid w:val="00F76D77"/>
    <w:rsid w:val="00F900FA"/>
    <w:rsid w:val="00FB3F33"/>
    <w:rsid w:val="00FC0249"/>
    <w:rsid w:val="00FD4604"/>
    <w:rsid w:val="00FD5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NoSpacing">
    <w:name w:val="No Spacing"/>
    <w:uiPriority w:val="1"/>
    <w:qFormat/>
    <w:rsid w:val="007E18F8"/>
    <w:rPr>
      <w:rFonts w:asciiTheme="minorHAnsi" w:eastAsiaTheme="minorHAnsi" w:hAnsiTheme="minorHAnsi" w:cstheme="minorBidi"/>
      <w:sz w:val="22"/>
      <w:szCs w:val="22"/>
    </w:rPr>
  </w:style>
  <w:style w:type="paragraph" w:styleId="ListParagraph">
    <w:name w:val="List Paragraph"/>
    <w:basedOn w:val="Normal"/>
    <w:uiPriority w:val="34"/>
    <w:qFormat/>
    <w:rsid w:val="005754DD"/>
    <w:pPr>
      <w:spacing w:after="200" w:line="276" w:lineRule="auto"/>
      <w:ind w:left="720"/>
      <w:contextualSpacing/>
    </w:pPr>
    <w:rPr>
      <w:rFonts w:asciiTheme="minorHAnsi" w:eastAsiaTheme="minorHAnsi" w:hAnsiTheme="minorHAnsi" w:cstheme="minorBidi"/>
      <w:sz w:val="22"/>
      <w:szCs w:val="22"/>
    </w:rPr>
  </w:style>
  <w:style w:type="character" w:customStyle="1" w:styleId="st1">
    <w:name w:val="st1"/>
    <w:basedOn w:val="DefaultParagraphFont"/>
    <w:rsid w:val="0081442A"/>
  </w:style>
  <w:style w:type="paragraph" w:customStyle="1" w:styleId="ParNumber">
    <w:name w:val="ParNumber"/>
    <w:basedOn w:val="Normal"/>
    <w:rsid w:val="00AD4DF2"/>
    <w:pPr>
      <w:numPr>
        <w:numId w:val="17"/>
      </w:numPr>
      <w:tabs>
        <w:tab w:val="left" w:pos="720"/>
      </w:tab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B1481F"/>
    <w:rPr>
      <w:sz w:val="16"/>
      <w:szCs w:val="16"/>
    </w:rPr>
  </w:style>
  <w:style w:type="paragraph" w:styleId="CommentText">
    <w:name w:val="annotation text"/>
    <w:basedOn w:val="Normal"/>
    <w:link w:val="CommentTextChar"/>
    <w:uiPriority w:val="99"/>
    <w:semiHidden/>
    <w:unhideWhenUsed/>
    <w:rsid w:val="00B1481F"/>
    <w:rPr>
      <w:sz w:val="20"/>
    </w:rPr>
  </w:style>
  <w:style w:type="character" w:customStyle="1" w:styleId="CommentTextChar">
    <w:name w:val="Comment Text Char"/>
    <w:basedOn w:val="DefaultParagraphFont"/>
    <w:link w:val="CommentText"/>
    <w:uiPriority w:val="99"/>
    <w:semiHidden/>
    <w:rsid w:val="00B1481F"/>
  </w:style>
  <w:style w:type="paragraph" w:styleId="CommentSubject">
    <w:name w:val="annotation subject"/>
    <w:basedOn w:val="CommentText"/>
    <w:next w:val="CommentText"/>
    <w:link w:val="CommentSubjectChar"/>
    <w:uiPriority w:val="99"/>
    <w:semiHidden/>
    <w:unhideWhenUsed/>
    <w:rsid w:val="00B1481F"/>
    <w:rPr>
      <w:b/>
      <w:bCs/>
    </w:rPr>
  </w:style>
  <w:style w:type="character" w:customStyle="1" w:styleId="CommentSubjectChar">
    <w:name w:val="Comment Subject Char"/>
    <w:basedOn w:val="CommentTextChar"/>
    <w:link w:val="CommentSubject"/>
    <w:uiPriority w:val="99"/>
    <w:semiHidden/>
    <w:rsid w:val="00B1481F"/>
    <w:rPr>
      <w:b/>
      <w:bCs/>
    </w:rPr>
  </w:style>
  <w:style w:type="paragraph" w:styleId="TOAHeading">
    <w:name w:val="toa heading"/>
    <w:basedOn w:val="Normal"/>
    <w:next w:val="Normal"/>
    <w:semiHidden/>
    <w:rsid w:val="004876E6"/>
    <w:pPr>
      <w:spacing w:before="120" w:after="240" w:line="240" w:lineRule="exact"/>
      <w:jc w:val="center"/>
    </w:pPr>
    <w:rPr>
      <w:rFonts w:ascii="Times New Roman" w:eastAsia="Times New Roman" w:hAnsi="Times New Roman"/>
      <w:b/>
      <w:u w:val="single"/>
    </w:rPr>
  </w:style>
  <w:style w:type="paragraph" w:styleId="Revision">
    <w:name w:val="Revision"/>
    <w:hidden/>
    <w:uiPriority w:val="99"/>
    <w:semiHidden/>
    <w:rsid w:val="00E355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2B652-1FBF-4AA4-9869-9019C02883E9}"/>
</file>

<file path=customXml/itemProps2.xml><?xml version="1.0" encoding="utf-8"?>
<ds:datastoreItem xmlns:ds="http://schemas.openxmlformats.org/officeDocument/2006/customXml" ds:itemID="{6D610727-FC8C-4F5F-B32F-3EEF4FCD87FC}"/>
</file>

<file path=customXml/itemProps3.xml><?xml version="1.0" encoding="utf-8"?>
<ds:datastoreItem xmlns:ds="http://schemas.openxmlformats.org/officeDocument/2006/customXml" ds:itemID="{50B83D51-3036-46F6-8DAE-F719D78CC6C9}"/>
</file>

<file path=customXml/itemProps4.xml><?xml version="1.0" encoding="utf-8"?>
<ds:datastoreItem xmlns:ds="http://schemas.openxmlformats.org/officeDocument/2006/customXml" ds:itemID="{C37614C1-BB86-4F33-B2CB-5B09D4315279}"/>
</file>

<file path=docProps/app.xml><?xml version="1.0" encoding="utf-8"?>
<Properties xmlns="http://schemas.openxmlformats.org/officeDocument/2006/extended-properties" xmlns:vt="http://schemas.openxmlformats.org/officeDocument/2006/docPropsVTypes">
  <Template>Normal.dotm</Template>
  <TotalTime>0</TotalTime>
  <Pages>7</Pages>
  <Words>2396</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2012-08-02T23:35:00Z</dcterms:created>
  <dcterms:modified xsi:type="dcterms:W3CDTF">2012-08-02T23:41:00Z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