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25609" w14:textId="77777777" w:rsidR="00DC7B75" w:rsidRDefault="00DC7B75">
      <w:pPr>
        <w:pStyle w:val="Header"/>
        <w:tabs>
          <w:tab w:val="clear" w:pos="4320"/>
          <w:tab w:val="clear" w:pos="8640"/>
          <w:tab w:val="center" w:pos="4680"/>
        </w:tabs>
        <w:spacing w:line="480" w:lineRule="auto"/>
        <w:jc w:val="center"/>
        <w:rPr>
          <w:b/>
          <w:bCs/>
          <w:sz w:val="24"/>
        </w:rPr>
      </w:pPr>
      <w:r>
        <w:rPr>
          <w:b/>
          <w:bCs/>
          <w:sz w:val="24"/>
        </w:rPr>
        <w:t>BEFORE THE</w:t>
      </w:r>
    </w:p>
    <w:p w14:paraId="45AB3AEF" w14:textId="77777777" w:rsidR="00DC7B75" w:rsidRDefault="00DC7B75">
      <w:pPr>
        <w:pStyle w:val="Heading1"/>
        <w:jc w:val="center"/>
        <w:rPr>
          <w:sz w:val="24"/>
        </w:rPr>
      </w:pPr>
      <w:r>
        <w:rPr>
          <w:sz w:val="24"/>
        </w:rPr>
        <w:t>WASHINGTON UTILITIES AND TRANSPORTATION COMMISSION</w:t>
      </w:r>
    </w:p>
    <w:p w14:paraId="5500CE58" w14:textId="77777777" w:rsidR="00DC7B75" w:rsidRPr="00FE7B82" w:rsidRDefault="00DC7B75" w:rsidP="00DC7B75"/>
    <w:p w14:paraId="1AF8F8E9" w14:textId="77777777" w:rsidR="00DC7B75" w:rsidRDefault="00DC7B75">
      <w:pPr>
        <w:tabs>
          <w:tab w:val="center" w:pos="4680"/>
        </w:tabs>
        <w:rPr>
          <w:b/>
        </w:rPr>
      </w:pPr>
    </w:p>
    <w:tbl>
      <w:tblPr>
        <w:tblW w:w="8648" w:type="dxa"/>
        <w:tblLayout w:type="fixed"/>
        <w:tblCellMar>
          <w:left w:w="0" w:type="dxa"/>
          <w:right w:w="0" w:type="dxa"/>
        </w:tblCellMar>
        <w:tblLook w:val="0000" w:firstRow="0" w:lastRow="0" w:firstColumn="0" w:lastColumn="0" w:noHBand="0" w:noVBand="0"/>
      </w:tblPr>
      <w:tblGrid>
        <w:gridCol w:w="4328"/>
        <w:gridCol w:w="270"/>
        <w:gridCol w:w="4050"/>
      </w:tblGrid>
      <w:tr w:rsidR="00DC7B75" w14:paraId="480BC77D" w14:textId="77777777">
        <w:tc>
          <w:tcPr>
            <w:tcW w:w="4328" w:type="dxa"/>
            <w:tcBorders>
              <w:bottom w:val="single" w:sz="4" w:space="0" w:color="auto"/>
            </w:tcBorders>
          </w:tcPr>
          <w:p w14:paraId="5C71CE8C" w14:textId="77777777" w:rsidR="005250D2" w:rsidRPr="005250D2" w:rsidRDefault="005250D2" w:rsidP="005250D2">
            <w:pPr>
              <w:spacing w:line="264" w:lineRule="auto"/>
            </w:pPr>
            <w:bookmarkStart w:id="0" w:name="Parties"/>
            <w:bookmarkEnd w:id="0"/>
            <w:r w:rsidRPr="005250D2">
              <w:t xml:space="preserve">WASHINGTON UITILITIES AND </w:t>
            </w:r>
          </w:p>
          <w:p w14:paraId="150DAAC7" w14:textId="77777777" w:rsidR="005250D2" w:rsidRPr="005250D2" w:rsidRDefault="005250D2" w:rsidP="005250D2">
            <w:pPr>
              <w:spacing w:line="264" w:lineRule="auto"/>
            </w:pPr>
            <w:r w:rsidRPr="005250D2">
              <w:t>TRANSPORTATION COMMISSION</w:t>
            </w:r>
          </w:p>
          <w:p w14:paraId="485D4692" w14:textId="77777777" w:rsidR="005250D2" w:rsidRPr="005250D2" w:rsidRDefault="005250D2" w:rsidP="005250D2">
            <w:pPr>
              <w:spacing w:line="264" w:lineRule="auto"/>
            </w:pPr>
          </w:p>
          <w:p w14:paraId="3D69244F" w14:textId="77777777" w:rsidR="005250D2" w:rsidRPr="005250D2" w:rsidRDefault="005250D2" w:rsidP="005250D2">
            <w:pPr>
              <w:spacing w:line="264" w:lineRule="auto"/>
            </w:pPr>
            <w:r w:rsidRPr="005250D2">
              <w:t xml:space="preserve">                        Complainant,</w:t>
            </w:r>
          </w:p>
          <w:p w14:paraId="05A2B94E" w14:textId="77777777" w:rsidR="005250D2" w:rsidRPr="005250D2" w:rsidRDefault="005250D2" w:rsidP="005250D2">
            <w:pPr>
              <w:spacing w:line="264" w:lineRule="auto"/>
            </w:pPr>
          </w:p>
          <w:p w14:paraId="4EAB8734" w14:textId="77777777" w:rsidR="005250D2" w:rsidRPr="005250D2" w:rsidRDefault="005250D2" w:rsidP="005250D2">
            <w:pPr>
              <w:spacing w:line="264" w:lineRule="auto"/>
            </w:pPr>
            <w:r w:rsidRPr="005250D2">
              <w:t xml:space="preserve">     v.</w:t>
            </w:r>
          </w:p>
          <w:p w14:paraId="256EB3A1" w14:textId="77777777" w:rsidR="005250D2" w:rsidRPr="005250D2" w:rsidRDefault="005250D2" w:rsidP="005250D2">
            <w:pPr>
              <w:spacing w:line="264" w:lineRule="auto"/>
            </w:pPr>
          </w:p>
          <w:p w14:paraId="22EDE3E2" w14:textId="77777777" w:rsidR="005250D2" w:rsidRPr="005250D2" w:rsidRDefault="005250D2" w:rsidP="005250D2">
            <w:pPr>
              <w:spacing w:line="264" w:lineRule="auto"/>
            </w:pPr>
            <w:r w:rsidRPr="005250D2">
              <w:t>AVISTA CORPORATION d/b/a</w:t>
            </w:r>
          </w:p>
          <w:p w14:paraId="1B4C1804" w14:textId="77777777" w:rsidR="005250D2" w:rsidRPr="005250D2" w:rsidRDefault="005250D2" w:rsidP="005250D2">
            <w:pPr>
              <w:spacing w:line="264" w:lineRule="auto"/>
            </w:pPr>
            <w:r w:rsidRPr="005250D2">
              <w:t>AVISTA UTILITIES</w:t>
            </w:r>
          </w:p>
          <w:p w14:paraId="51420CCC" w14:textId="77777777" w:rsidR="005250D2" w:rsidRPr="005250D2" w:rsidRDefault="005250D2" w:rsidP="005250D2">
            <w:pPr>
              <w:spacing w:line="264" w:lineRule="auto"/>
            </w:pPr>
          </w:p>
          <w:p w14:paraId="6DF1C28D" w14:textId="77777777" w:rsidR="00DC7B75" w:rsidRPr="009728C7" w:rsidRDefault="005250D2" w:rsidP="005250D2">
            <w:pPr>
              <w:pStyle w:val="Footer"/>
              <w:widowControl/>
              <w:tabs>
                <w:tab w:val="clear" w:pos="4320"/>
                <w:tab w:val="clear" w:pos="8640"/>
                <w:tab w:val="left" w:pos="2160"/>
              </w:tabs>
              <w:rPr>
                <w:snapToGrid/>
                <w:lang w:val="en-US" w:eastAsia="en-US"/>
              </w:rPr>
            </w:pPr>
            <w:r w:rsidRPr="005250D2">
              <w:rPr>
                <w:snapToGrid/>
                <w:color w:val="000000"/>
                <w:lang w:val="en-US" w:eastAsia="en-US"/>
              </w:rPr>
              <w:t xml:space="preserve">                        Respondent.</w:t>
            </w:r>
          </w:p>
        </w:tc>
        <w:tc>
          <w:tcPr>
            <w:tcW w:w="270" w:type="dxa"/>
          </w:tcPr>
          <w:p w14:paraId="6EC19042" w14:textId="77777777" w:rsidR="00DC7B75" w:rsidRDefault="00DC7B75">
            <w:pPr>
              <w:pStyle w:val="SingleSpacing"/>
              <w:spacing w:line="240" w:lineRule="auto"/>
            </w:pPr>
            <w:r>
              <w:t>)</w:t>
            </w:r>
          </w:p>
          <w:p w14:paraId="12C829B1" w14:textId="77777777" w:rsidR="00DC7B75" w:rsidRDefault="00DC7B75">
            <w:pPr>
              <w:pStyle w:val="SingleSpacing"/>
              <w:spacing w:line="240" w:lineRule="auto"/>
            </w:pPr>
            <w:r>
              <w:t>)</w:t>
            </w:r>
          </w:p>
          <w:p w14:paraId="23F42C91" w14:textId="77777777" w:rsidR="00DC7B75" w:rsidRDefault="00DC7B75">
            <w:pPr>
              <w:pStyle w:val="SingleSpacing"/>
              <w:spacing w:line="240" w:lineRule="auto"/>
            </w:pPr>
            <w:r>
              <w:t>)</w:t>
            </w:r>
          </w:p>
          <w:p w14:paraId="695E722B" w14:textId="77777777" w:rsidR="00DC7B75" w:rsidRDefault="00DC7B75">
            <w:pPr>
              <w:pStyle w:val="SingleSpacing"/>
              <w:spacing w:line="240" w:lineRule="auto"/>
            </w:pPr>
            <w:r>
              <w:t>)</w:t>
            </w:r>
          </w:p>
          <w:p w14:paraId="674EBE00" w14:textId="77777777" w:rsidR="00DC7B75" w:rsidRDefault="00DC7B75">
            <w:pPr>
              <w:pStyle w:val="SingleSpacing"/>
              <w:spacing w:line="240" w:lineRule="auto"/>
            </w:pPr>
            <w:r>
              <w:t>)</w:t>
            </w:r>
          </w:p>
          <w:p w14:paraId="52DBF2CC" w14:textId="77777777" w:rsidR="00DC7B75" w:rsidRDefault="00DC7B75">
            <w:pPr>
              <w:pStyle w:val="SingleSpacing"/>
              <w:spacing w:line="240" w:lineRule="auto"/>
            </w:pPr>
            <w:r>
              <w:t>)</w:t>
            </w:r>
          </w:p>
          <w:p w14:paraId="5AFE4C0E" w14:textId="77777777" w:rsidR="00DC7B75" w:rsidRDefault="00DC7B75">
            <w:pPr>
              <w:pStyle w:val="SingleSpacing"/>
              <w:spacing w:line="240" w:lineRule="auto"/>
            </w:pPr>
            <w:r>
              <w:t>)</w:t>
            </w:r>
          </w:p>
          <w:p w14:paraId="68B8AE05" w14:textId="77777777" w:rsidR="00DC7B75" w:rsidRDefault="00DC7B75">
            <w:pPr>
              <w:pStyle w:val="SingleSpacing"/>
              <w:spacing w:line="240" w:lineRule="auto"/>
            </w:pPr>
            <w:r>
              <w:t>)</w:t>
            </w:r>
          </w:p>
          <w:p w14:paraId="0FF8D61A" w14:textId="77777777" w:rsidR="00DC7B75" w:rsidRDefault="00DC7B75">
            <w:pPr>
              <w:pStyle w:val="SingleSpacing"/>
              <w:spacing w:line="240" w:lineRule="auto"/>
            </w:pPr>
            <w:r>
              <w:t>)</w:t>
            </w:r>
          </w:p>
          <w:p w14:paraId="583A6694" w14:textId="77777777" w:rsidR="00DC7B75" w:rsidRDefault="00DC7B75">
            <w:pPr>
              <w:pStyle w:val="SingleSpacing"/>
              <w:spacing w:line="240" w:lineRule="auto"/>
            </w:pPr>
            <w:r>
              <w:t>)</w:t>
            </w:r>
          </w:p>
          <w:p w14:paraId="537E3260" w14:textId="77777777" w:rsidR="0092177A" w:rsidRDefault="0092177A">
            <w:pPr>
              <w:pStyle w:val="SingleSpacing"/>
              <w:spacing w:line="240" w:lineRule="auto"/>
            </w:pPr>
            <w:r>
              <w:t>)</w:t>
            </w:r>
          </w:p>
          <w:p w14:paraId="2B5F7B52" w14:textId="77777777" w:rsidR="00827433" w:rsidRDefault="00827433">
            <w:pPr>
              <w:pStyle w:val="SingleSpacing"/>
              <w:spacing w:line="240" w:lineRule="auto"/>
            </w:pPr>
            <w:r>
              <w:t>)</w:t>
            </w:r>
          </w:p>
        </w:tc>
        <w:tc>
          <w:tcPr>
            <w:tcW w:w="4050" w:type="dxa"/>
          </w:tcPr>
          <w:p w14:paraId="090AC897" w14:textId="77777777" w:rsidR="005250D2" w:rsidRPr="005250D2" w:rsidRDefault="005250D2" w:rsidP="005250D2">
            <w:pPr>
              <w:pStyle w:val="SingleSpacing"/>
            </w:pPr>
            <w:bookmarkStart w:id="1" w:name="CaseNumber"/>
            <w:bookmarkEnd w:id="1"/>
            <w:r w:rsidRPr="005250D2">
              <w:t>DOCKETS UE-160228 and</w:t>
            </w:r>
          </w:p>
          <w:p w14:paraId="7DBE0D7D" w14:textId="77777777" w:rsidR="005250D2" w:rsidRPr="005250D2" w:rsidRDefault="005250D2" w:rsidP="005250D2">
            <w:pPr>
              <w:pStyle w:val="SingleSpacing"/>
            </w:pPr>
            <w:r w:rsidRPr="005250D2">
              <w:t>UG-160229 (</w:t>
            </w:r>
            <w:r w:rsidRPr="005250D2">
              <w:rPr>
                <w:i/>
              </w:rPr>
              <w:t>Consolidated</w:t>
            </w:r>
            <w:r w:rsidRPr="005250D2">
              <w:t>)</w:t>
            </w:r>
          </w:p>
          <w:p w14:paraId="7F185CEE" w14:textId="77777777" w:rsidR="00DC7B75" w:rsidRDefault="00DC7B75">
            <w:pPr>
              <w:pStyle w:val="BodyText2"/>
            </w:pPr>
          </w:p>
          <w:p w14:paraId="64B225A6" w14:textId="77777777" w:rsidR="00DC7B75" w:rsidRDefault="00DC7B75">
            <w:pPr>
              <w:pStyle w:val="BodyText2"/>
            </w:pPr>
          </w:p>
          <w:p w14:paraId="215B2FA4" w14:textId="77777777" w:rsidR="00DC7B75" w:rsidRDefault="00DC7B75">
            <w:pPr>
              <w:pStyle w:val="BodyText2"/>
            </w:pPr>
          </w:p>
          <w:p w14:paraId="423F745B" w14:textId="77777777" w:rsidR="00DC7B75" w:rsidRDefault="005250D2">
            <w:pPr>
              <w:pStyle w:val="BodyText2"/>
            </w:pPr>
            <w:r w:rsidRPr="005250D2">
              <w:rPr>
                <w:caps/>
              </w:rPr>
              <w:t>The Industrial Customers of Northwest utilities</w:t>
            </w:r>
            <w:r w:rsidR="00D44825">
              <w:rPr>
                <w:caps/>
              </w:rPr>
              <w:t>’</w:t>
            </w:r>
            <w:r>
              <w:t xml:space="preserve"> RESPONSE TO AVISTA’S MOTION TO SUPPLEMENT THE RECORD TO INCLUDE POWER SUPPLY UPDATE</w:t>
            </w:r>
          </w:p>
          <w:p w14:paraId="175F8F5E" w14:textId="77777777" w:rsidR="00DC7B75" w:rsidRDefault="00DC7B75">
            <w:pPr>
              <w:pStyle w:val="SingleSpacing"/>
              <w:spacing w:line="240" w:lineRule="auto"/>
            </w:pPr>
          </w:p>
        </w:tc>
      </w:tr>
    </w:tbl>
    <w:p w14:paraId="06F0E50C" w14:textId="77777777" w:rsidR="006B6569" w:rsidRDefault="006B6569" w:rsidP="006B6569">
      <w:pPr>
        <w:pStyle w:val="IAS2"/>
        <w:tabs>
          <w:tab w:val="clear" w:pos="0"/>
        </w:tabs>
        <w:ind w:firstLine="0"/>
        <w:rPr>
          <w:lang w:val="en-US"/>
        </w:rPr>
      </w:pPr>
    </w:p>
    <w:p w14:paraId="628FC0A5" w14:textId="77777777" w:rsidR="005805E4" w:rsidRPr="005805E4" w:rsidRDefault="005805E4" w:rsidP="005805E4">
      <w:pPr>
        <w:keepNext/>
        <w:tabs>
          <w:tab w:val="left" w:pos="720"/>
          <w:tab w:val="left" w:pos="1440"/>
        </w:tabs>
        <w:spacing w:after="240"/>
        <w:jc w:val="center"/>
        <w:rPr>
          <w:b/>
          <w:bCs/>
          <w:color w:val="auto"/>
          <w:szCs w:val="24"/>
          <w:lang w:eastAsia="x-none"/>
        </w:rPr>
      </w:pPr>
      <w:r>
        <w:rPr>
          <w:b/>
          <w:bCs/>
          <w:color w:val="auto"/>
          <w:szCs w:val="24"/>
          <w:lang w:val="x-none" w:eastAsia="x-none"/>
        </w:rPr>
        <w:t>I</w:t>
      </w:r>
      <w:r w:rsidRPr="005805E4">
        <w:rPr>
          <w:b/>
          <w:bCs/>
          <w:color w:val="auto"/>
          <w:szCs w:val="24"/>
          <w:lang w:val="x-none" w:eastAsia="x-none"/>
        </w:rPr>
        <w:t>.</w:t>
      </w:r>
      <w:r w:rsidRPr="005805E4">
        <w:rPr>
          <w:b/>
          <w:bCs/>
          <w:color w:val="auto"/>
          <w:szCs w:val="24"/>
          <w:lang w:val="x-none" w:eastAsia="x-none"/>
        </w:rPr>
        <w:tab/>
      </w:r>
      <w:r w:rsidR="005250D2">
        <w:rPr>
          <w:b/>
          <w:bCs/>
          <w:color w:val="auto"/>
          <w:szCs w:val="24"/>
          <w:lang w:eastAsia="x-none"/>
        </w:rPr>
        <w:t>INTRODUCTION</w:t>
      </w:r>
    </w:p>
    <w:p w14:paraId="3FDE5820" w14:textId="77777777" w:rsidR="001D6FB8" w:rsidRPr="00162125" w:rsidRDefault="00DC7B75" w:rsidP="00162125">
      <w:pPr>
        <w:pStyle w:val="WUTCParagraph"/>
        <w:rPr>
          <w:lang w:val="en-US"/>
        </w:rPr>
      </w:pPr>
      <w:r>
        <w:tab/>
        <w:t xml:space="preserve">Pursuant to </w:t>
      </w:r>
      <w:r w:rsidR="007D2745">
        <w:rPr>
          <w:lang w:val="en-US"/>
        </w:rPr>
        <w:t>the November 4, 2016 Notice Extending Time for Responses to Motion to Supplement the Record to Include Power Supply</w:t>
      </w:r>
      <w:r w:rsidR="008C6DC5">
        <w:rPr>
          <w:lang w:val="en-US"/>
        </w:rPr>
        <w:t xml:space="preserve"> Update</w:t>
      </w:r>
      <w:r w:rsidR="001C5E77">
        <w:t xml:space="preserve">, </w:t>
      </w:r>
      <w:r w:rsidR="007D2745">
        <w:rPr>
          <w:lang w:val="en-US"/>
        </w:rPr>
        <w:t>the Industrial Customers of Northwest Utilities (“ICNU</w:t>
      </w:r>
      <w:r w:rsidR="00F0419B" w:rsidRPr="00F0419B">
        <w:t>”)</w:t>
      </w:r>
      <w:r w:rsidR="000702FE">
        <w:t xml:space="preserve"> files</w:t>
      </w:r>
      <w:r w:rsidR="005B582D">
        <w:t xml:space="preserve"> this </w:t>
      </w:r>
      <w:r w:rsidR="007D2745">
        <w:rPr>
          <w:lang w:val="en-US"/>
        </w:rPr>
        <w:t xml:space="preserve">answer to the Motion of Avista Corporation </w:t>
      </w:r>
      <w:r w:rsidR="00F933EC">
        <w:rPr>
          <w:lang w:val="en-US"/>
        </w:rPr>
        <w:t>(</w:t>
      </w:r>
      <w:r w:rsidR="006F2FD3">
        <w:rPr>
          <w:lang w:val="en-US"/>
        </w:rPr>
        <w:t>“</w:t>
      </w:r>
      <w:r w:rsidR="00F933EC">
        <w:rPr>
          <w:lang w:val="en-US"/>
        </w:rPr>
        <w:t xml:space="preserve">Avista” or the “Company”) </w:t>
      </w:r>
      <w:r w:rsidR="007D2745" w:rsidRPr="007D2745">
        <w:rPr>
          <w:lang w:val="en-US"/>
        </w:rPr>
        <w:t>to Supplement the Record to Include Power Supply</w:t>
      </w:r>
      <w:r w:rsidR="007D2745">
        <w:rPr>
          <w:lang w:val="en-US"/>
        </w:rPr>
        <w:t xml:space="preserve"> Update (“Motion”)</w:t>
      </w:r>
      <w:r w:rsidR="007D2745">
        <w:t>.</w:t>
      </w:r>
      <w:r w:rsidR="003D4919">
        <w:t xml:space="preserve"> </w:t>
      </w:r>
      <w:r w:rsidR="00306CB8">
        <w:rPr>
          <w:lang w:val="en-US"/>
        </w:rPr>
        <w:t xml:space="preserve"> Although ICNU </w:t>
      </w:r>
      <w:r w:rsidR="00306CB8" w:rsidRPr="00306CB8">
        <w:rPr>
          <w:lang w:val="en-US"/>
        </w:rPr>
        <w:t xml:space="preserve">does not necessarily oppose the </w:t>
      </w:r>
      <w:r w:rsidR="00306CB8">
        <w:rPr>
          <w:lang w:val="en-US"/>
        </w:rPr>
        <w:t>Motion, ICNU</w:t>
      </w:r>
      <w:r w:rsidR="00306CB8" w:rsidRPr="00306CB8">
        <w:rPr>
          <w:lang w:val="en-US"/>
        </w:rPr>
        <w:t xml:space="preserve"> has reviewed the power cost update information </w:t>
      </w:r>
      <w:r w:rsidR="00306CB8">
        <w:rPr>
          <w:lang w:val="en-US"/>
        </w:rPr>
        <w:t xml:space="preserve">that the Company presented and </w:t>
      </w:r>
      <w:r w:rsidR="00306CB8" w:rsidRPr="00306CB8">
        <w:rPr>
          <w:lang w:val="en-US"/>
        </w:rPr>
        <w:t xml:space="preserve">has identified </w:t>
      </w:r>
      <w:r w:rsidR="00306CB8">
        <w:rPr>
          <w:lang w:val="en-US"/>
        </w:rPr>
        <w:t xml:space="preserve">certain </w:t>
      </w:r>
      <w:r w:rsidR="00306CB8" w:rsidRPr="00306CB8">
        <w:rPr>
          <w:lang w:val="en-US"/>
        </w:rPr>
        <w:t>questions and concerns</w:t>
      </w:r>
      <w:r w:rsidR="00306CB8">
        <w:rPr>
          <w:lang w:val="en-US"/>
        </w:rPr>
        <w:t xml:space="preserve"> </w:t>
      </w:r>
      <w:r w:rsidR="006F2FD3">
        <w:rPr>
          <w:lang w:val="en-US"/>
        </w:rPr>
        <w:t>worthy of</w:t>
      </w:r>
      <w:r w:rsidR="00306CB8">
        <w:rPr>
          <w:lang w:val="en-US"/>
        </w:rPr>
        <w:t xml:space="preserve"> potential consideration by</w:t>
      </w:r>
      <w:r>
        <w:t xml:space="preserve"> </w:t>
      </w:r>
      <w:r w:rsidR="00F0419B" w:rsidRPr="00F0419B">
        <w:t>the Washington Utilities and Transportation Commissi</w:t>
      </w:r>
      <w:r w:rsidR="00162125">
        <w:t>on (“WUTC” or the “Commission”)</w:t>
      </w:r>
      <w:r w:rsidR="00162125">
        <w:rPr>
          <w:lang w:val="en-US"/>
        </w:rPr>
        <w:t>.</w:t>
      </w:r>
    </w:p>
    <w:p w14:paraId="4FE7A9D4" w14:textId="77777777" w:rsidR="00D30BC8" w:rsidRPr="006B6569" w:rsidRDefault="00D30BC8" w:rsidP="00D30BC8">
      <w:pPr>
        <w:pStyle w:val="WUTCParagraph"/>
        <w:keepNext/>
        <w:numPr>
          <w:ilvl w:val="0"/>
          <w:numId w:val="0"/>
        </w:numPr>
        <w:tabs>
          <w:tab w:val="left" w:pos="720"/>
        </w:tabs>
        <w:spacing w:after="240" w:line="240" w:lineRule="auto"/>
        <w:jc w:val="center"/>
        <w:rPr>
          <w:b/>
          <w:bCs/>
          <w:lang w:val="en-US"/>
        </w:rPr>
      </w:pPr>
      <w:r>
        <w:rPr>
          <w:b/>
          <w:bCs/>
        </w:rPr>
        <w:t>I</w:t>
      </w:r>
      <w:r>
        <w:rPr>
          <w:b/>
          <w:bCs/>
          <w:lang w:val="en-US"/>
        </w:rPr>
        <w:t>I</w:t>
      </w:r>
      <w:r>
        <w:rPr>
          <w:b/>
          <w:bCs/>
        </w:rPr>
        <w:t>.</w:t>
      </w:r>
      <w:r>
        <w:rPr>
          <w:b/>
          <w:bCs/>
        </w:rPr>
        <w:tab/>
      </w:r>
      <w:r w:rsidR="005250D2">
        <w:rPr>
          <w:b/>
          <w:bCs/>
          <w:lang w:val="en-US"/>
        </w:rPr>
        <w:t>RESPONSE</w:t>
      </w:r>
    </w:p>
    <w:p w14:paraId="056AFA91" w14:textId="77777777" w:rsidR="009938B1" w:rsidRPr="00162125" w:rsidRDefault="002F1D22" w:rsidP="00162125">
      <w:pPr>
        <w:pStyle w:val="WUTCParagraph"/>
        <w:rPr>
          <w:lang w:val="en-US"/>
        </w:rPr>
      </w:pPr>
      <w:r>
        <w:rPr>
          <w:lang w:val="en-US"/>
        </w:rPr>
        <w:tab/>
      </w:r>
      <w:r w:rsidR="00162125" w:rsidRPr="00162125">
        <w:rPr>
          <w:lang w:val="en-US"/>
        </w:rPr>
        <w:t xml:space="preserve">From ICNU’s perspective, the lack of a planned discovery process regarding the proposed power supply update is not ideal.  That said, ICNU is not recommending any additional party process.  Rather, to the extent that the Commission, or its advisory staff, has questions or </w:t>
      </w:r>
      <w:r w:rsidR="00162125" w:rsidRPr="00162125">
        <w:rPr>
          <w:lang w:val="en-US"/>
        </w:rPr>
        <w:lastRenderedPageBreak/>
        <w:t xml:space="preserve">concerns </w:t>
      </w:r>
      <w:proofErr w:type="gramStart"/>
      <w:r w:rsidR="00162125" w:rsidRPr="00162125">
        <w:rPr>
          <w:lang w:val="en-US"/>
        </w:rPr>
        <w:t>similar to</w:t>
      </w:r>
      <w:proofErr w:type="gramEnd"/>
      <w:r w:rsidR="00162125" w:rsidRPr="00162125">
        <w:rPr>
          <w:lang w:val="en-US"/>
        </w:rPr>
        <w:t xml:space="preserve"> those raised by ICNU below, resolution could potentially be addressed via bench request.  Accordingly, ICNU requests that the Commission consider the issues identified below when determining the reasonableness of Avista’s power supply update</w:t>
      </w:r>
      <w:r w:rsidR="00162125">
        <w:rPr>
          <w:lang w:val="en-US"/>
        </w:rPr>
        <w:t>.</w:t>
      </w:r>
      <w:r w:rsidR="00A34EC4" w:rsidRPr="00162125">
        <w:rPr>
          <w:lang w:val="en-US"/>
        </w:rPr>
        <w:t xml:space="preserve"> </w:t>
      </w:r>
    </w:p>
    <w:p w14:paraId="741B4A44" w14:textId="77777777" w:rsidR="00630FC8" w:rsidRPr="00630FC8" w:rsidRDefault="00630FC8" w:rsidP="00630FC8">
      <w:pPr>
        <w:pStyle w:val="WUTCParagraph"/>
        <w:numPr>
          <w:ilvl w:val="0"/>
          <w:numId w:val="0"/>
        </w:numPr>
        <w:tabs>
          <w:tab w:val="left" w:pos="720"/>
        </w:tabs>
        <w:spacing w:after="240" w:line="240" w:lineRule="auto"/>
        <w:ind w:left="720" w:hanging="720"/>
        <w:rPr>
          <w:b/>
          <w:lang w:val="en-US"/>
        </w:rPr>
      </w:pPr>
      <w:r w:rsidRPr="00630FC8">
        <w:rPr>
          <w:b/>
          <w:lang w:val="en-US"/>
        </w:rPr>
        <w:t>A.</w:t>
      </w:r>
      <w:r>
        <w:rPr>
          <w:b/>
          <w:lang w:val="en-US"/>
        </w:rPr>
        <w:tab/>
        <w:t xml:space="preserve">The </w:t>
      </w:r>
      <w:r w:rsidR="0043752D">
        <w:rPr>
          <w:b/>
          <w:lang w:val="en-US"/>
        </w:rPr>
        <w:t>Company Did Not Explain Why Power Cost Studies Were Not Performed Based on Pro Forma Loads</w:t>
      </w:r>
    </w:p>
    <w:p w14:paraId="55FCF861" w14:textId="77777777" w:rsidR="0043752D" w:rsidRPr="0043752D" w:rsidRDefault="002F1D22" w:rsidP="0043752D">
      <w:pPr>
        <w:pStyle w:val="WUTCParagraph"/>
      </w:pPr>
      <w:r>
        <w:rPr>
          <w:lang w:val="en-US"/>
        </w:rPr>
        <w:tab/>
      </w:r>
      <w:r w:rsidR="0043752D" w:rsidRPr="0043752D">
        <w:t xml:space="preserve">The attrition study uses two power cost studies: one based on historical </w:t>
      </w:r>
      <w:r w:rsidR="002B71BF">
        <w:t xml:space="preserve">loads, and another based on pro </w:t>
      </w:r>
      <w:r w:rsidR="0043752D" w:rsidRPr="0043752D">
        <w:t>forma loads.  When performing its power cost update, the Company appears to have updated only those power cost studies t</w:t>
      </w:r>
      <w:r w:rsidR="002B71BF">
        <w:t>hat relied on historical loads.</w:t>
      </w:r>
      <w:r w:rsidR="0043752D" w:rsidRPr="0043752D">
        <w:t xml:space="preserve">  The Company did not provide any </w:t>
      </w:r>
      <w:r w:rsidR="002B71BF">
        <w:t xml:space="preserve">power cost studies based on pro </w:t>
      </w:r>
      <w:r w:rsidR="0043752D" w:rsidRPr="0043752D">
        <w:t xml:space="preserve">forma loads, which are a necessary input into the Attrition Allowance model.   </w:t>
      </w:r>
    </w:p>
    <w:p w14:paraId="64D18DCF" w14:textId="77777777" w:rsidR="00C16F4F" w:rsidRDefault="0043752D" w:rsidP="00C16F4F">
      <w:pPr>
        <w:pStyle w:val="WUTCParagraph"/>
        <w:rPr>
          <w:lang w:val="en-US"/>
        </w:rPr>
      </w:pPr>
      <w:r>
        <w:rPr>
          <w:lang w:val="en-US"/>
        </w:rPr>
        <w:tab/>
        <w:t xml:space="preserve">In </w:t>
      </w:r>
      <w:r w:rsidRPr="0043752D">
        <w:rPr>
          <w:lang w:val="en-US"/>
        </w:rPr>
        <w:t xml:space="preserve">the Attrition Allowance model, the Company appears to have attempted to estimate the impact of updating the pro forma power cost studies, without </w:t>
      </w:r>
      <w:proofErr w:type="gramStart"/>
      <w:r w:rsidRPr="0043752D">
        <w:rPr>
          <w:lang w:val="en-US"/>
        </w:rPr>
        <w:t>actually running</w:t>
      </w:r>
      <w:proofErr w:type="gramEnd"/>
      <w:r w:rsidRPr="0043752D">
        <w:rPr>
          <w:lang w:val="en-US"/>
        </w:rPr>
        <w:t xml:space="preserve"> the models.  </w:t>
      </w:r>
      <w:r w:rsidR="002B71BF">
        <w:rPr>
          <w:lang w:val="en-US"/>
        </w:rPr>
        <w:t xml:space="preserve">Specifically, Avista seems to have reduced the pro </w:t>
      </w:r>
      <w:r w:rsidRPr="0043752D">
        <w:rPr>
          <w:lang w:val="en-US"/>
        </w:rPr>
        <w:t>forma power cost studies by an amount equal to the reduction modeled in the stud</w:t>
      </w:r>
      <w:r w:rsidR="002B71BF">
        <w:rPr>
          <w:lang w:val="en-US"/>
        </w:rPr>
        <w:t>y that uses historical loads.  For instance, i</w:t>
      </w:r>
      <w:r w:rsidRPr="0043752D">
        <w:rPr>
          <w:lang w:val="en-US"/>
        </w:rPr>
        <w:t>n the 2017 Attrition Allowance study, on the Tab “Nov PF Power Supply 2017 load,” Exce</w:t>
      </w:r>
      <w:r w:rsidR="002B71BF">
        <w:rPr>
          <w:lang w:val="en-US"/>
        </w:rPr>
        <w:t>l Column D,</w:t>
      </w:r>
      <w:r w:rsidRPr="0043752D">
        <w:rPr>
          <w:lang w:val="en-US"/>
        </w:rPr>
        <w:t xml:space="preserve"> the Company simply adds an amount equal to the change in forecast power supply costs observed using historical loads</w:t>
      </w:r>
      <w:r>
        <w:rPr>
          <w:lang w:val="en-US"/>
        </w:rPr>
        <w:t>.</w:t>
      </w:r>
    </w:p>
    <w:p w14:paraId="563A1F9B" w14:textId="77777777" w:rsidR="004B042D" w:rsidRDefault="0043752D" w:rsidP="00C17221">
      <w:pPr>
        <w:pStyle w:val="WUTCParagraph"/>
        <w:rPr>
          <w:lang w:val="en-US"/>
        </w:rPr>
      </w:pPr>
      <w:r>
        <w:rPr>
          <w:lang w:val="en-US"/>
        </w:rPr>
        <w:tab/>
      </w:r>
      <w:r w:rsidRPr="0043752D">
        <w:rPr>
          <w:lang w:val="en-US"/>
        </w:rPr>
        <w:t>Absent narrative discussion regar</w:t>
      </w:r>
      <w:r w:rsidR="002B71BF">
        <w:rPr>
          <w:lang w:val="en-US"/>
        </w:rPr>
        <w:t xml:space="preserve">ding this assumption, </w:t>
      </w:r>
      <w:r w:rsidRPr="0043752D">
        <w:rPr>
          <w:lang w:val="en-US"/>
        </w:rPr>
        <w:t>the Company</w:t>
      </w:r>
      <w:r w:rsidR="002B71BF">
        <w:rPr>
          <w:lang w:val="en-US"/>
        </w:rPr>
        <w:t>’s intentions are not exactly clear</w:t>
      </w:r>
      <w:r w:rsidRPr="0043752D">
        <w:rPr>
          <w:lang w:val="en-US"/>
        </w:rPr>
        <w:t xml:space="preserve"> with respect to modeling power supply costs based on pro forma loads.  From ICNU’s perspective, it is not necessarily accurate to assume that power costs based on historical loads would decline by the same amount as power supply based</w:t>
      </w:r>
      <w:r w:rsidR="002B71BF">
        <w:rPr>
          <w:lang w:val="en-US"/>
        </w:rPr>
        <w:t xml:space="preserve"> on pro forma loads. Thus</w:t>
      </w:r>
      <w:r w:rsidRPr="0043752D">
        <w:rPr>
          <w:lang w:val="en-US"/>
        </w:rPr>
        <w:t>, the Commission may wish to conduct further investigation regarding the appropriateness of this assumption</w:t>
      </w:r>
      <w:r>
        <w:rPr>
          <w:lang w:val="en-US"/>
        </w:rPr>
        <w:t>.</w:t>
      </w:r>
      <w:r w:rsidR="00C2161B">
        <w:rPr>
          <w:lang w:val="en-US"/>
        </w:rPr>
        <w:t xml:space="preserve"> </w:t>
      </w:r>
    </w:p>
    <w:p w14:paraId="0EDB5C3F" w14:textId="77777777" w:rsidR="0002655B" w:rsidRPr="004B042D" w:rsidRDefault="004B042D" w:rsidP="004B042D">
      <w:pPr>
        <w:pStyle w:val="WUTCParagraph"/>
        <w:numPr>
          <w:ilvl w:val="0"/>
          <w:numId w:val="0"/>
        </w:numPr>
        <w:tabs>
          <w:tab w:val="left" w:pos="720"/>
        </w:tabs>
        <w:spacing w:after="240" w:line="240" w:lineRule="auto"/>
        <w:ind w:left="720" w:hanging="720"/>
        <w:rPr>
          <w:b/>
          <w:lang w:val="en-US"/>
        </w:rPr>
      </w:pPr>
      <w:r>
        <w:rPr>
          <w:b/>
          <w:lang w:val="en-US"/>
        </w:rPr>
        <w:lastRenderedPageBreak/>
        <w:t>B</w:t>
      </w:r>
      <w:r w:rsidRPr="00630FC8">
        <w:rPr>
          <w:b/>
          <w:lang w:val="en-US"/>
        </w:rPr>
        <w:t>.</w:t>
      </w:r>
      <w:r>
        <w:rPr>
          <w:b/>
          <w:lang w:val="en-US"/>
        </w:rPr>
        <w:tab/>
        <w:t>The</w:t>
      </w:r>
      <w:r w:rsidR="00A90D85">
        <w:rPr>
          <w:b/>
          <w:lang w:val="en-US"/>
        </w:rPr>
        <w:t xml:space="preserve"> </w:t>
      </w:r>
      <w:r w:rsidR="00A90D85" w:rsidRPr="00A90D85">
        <w:rPr>
          <w:b/>
          <w:lang w:val="en-US"/>
        </w:rPr>
        <w:t>Company Did Not Explain</w:t>
      </w:r>
      <w:r w:rsidR="00A90D85">
        <w:rPr>
          <w:b/>
          <w:lang w:val="en-US"/>
        </w:rPr>
        <w:t xml:space="preserve"> the Changes to the Lancaster Fixed Capacity Payment</w:t>
      </w:r>
    </w:p>
    <w:p w14:paraId="106E95B0" w14:textId="77777777" w:rsidR="005476F6" w:rsidRDefault="002F1D22" w:rsidP="00C16F4F">
      <w:pPr>
        <w:pStyle w:val="WUTCParagraph"/>
        <w:rPr>
          <w:lang w:val="en-US"/>
        </w:rPr>
      </w:pPr>
      <w:r>
        <w:rPr>
          <w:lang w:val="en-US"/>
        </w:rPr>
        <w:tab/>
      </w:r>
      <w:r w:rsidR="00A90D85" w:rsidRPr="00A90D85">
        <w:rPr>
          <w:lang w:val="en-US"/>
        </w:rPr>
        <w:t xml:space="preserve">The fixed capacity payment associated with the Lancaster generating facility increased by </w:t>
      </w:r>
      <w:r w:rsidR="00A90D85">
        <w:rPr>
          <w:lang w:val="en-US"/>
        </w:rPr>
        <w:t>a very significant amount</w:t>
      </w:r>
      <w:r w:rsidR="00A90D85" w:rsidRPr="00A90D85">
        <w:rPr>
          <w:lang w:val="en-US"/>
        </w:rPr>
        <w:t xml:space="preserve"> in the Comp</w:t>
      </w:r>
      <w:r w:rsidR="00A90D85">
        <w:rPr>
          <w:lang w:val="en-US"/>
        </w:rPr>
        <w:t>any’s update</w:t>
      </w:r>
      <w:r w:rsidR="00A90D85" w:rsidRPr="00A90D85">
        <w:rPr>
          <w:lang w:val="en-US"/>
        </w:rPr>
        <w:t>.</w:t>
      </w:r>
      <w:r w:rsidR="00A90D85" w:rsidRPr="00A90D85">
        <w:rPr>
          <w:u w:val="single"/>
          <w:vertAlign w:val="superscript"/>
          <w:lang w:val="en-US"/>
        </w:rPr>
        <w:footnoteReference w:id="2"/>
      </w:r>
      <w:proofErr w:type="gramStart"/>
      <w:r w:rsidR="00A90D85" w:rsidRPr="00A90D85">
        <w:rPr>
          <w:vertAlign w:val="superscript"/>
          <w:lang w:val="en-US"/>
        </w:rPr>
        <w:t>/</w:t>
      </w:r>
      <w:r w:rsidR="00A90D85" w:rsidRPr="00A90D85">
        <w:rPr>
          <w:lang w:val="en-US"/>
        </w:rPr>
        <w:t xml:space="preserve">  Upon</w:t>
      </w:r>
      <w:proofErr w:type="gramEnd"/>
      <w:r w:rsidR="00A90D85" w:rsidRPr="00A90D85">
        <w:rPr>
          <w:lang w:val="en-US"/>
        </w:rPr>
        <w:t xml:space="preserve"> review of the workpaper, the Company </w:t>
      </w:r>
      <w:r w:rsidR="00E01E04">
        <w:rPr>
          <w:lang w:val="en-US"/>
        </w:rPr>
        <w:t xml:space="preserve">appears to have </w:t>
      </w:r>
      <w:r w:rsidR="00A90D85" w:rsidRPr="00A90D85">
        <w:rPr>
          <w:lang w:val="en-US"/>
        </w:rPr>
        <w:t xml:space="preserve">changed the formula for how this capacity payment was calculated, which was not necessarily tied to the update of market prices.  </w:t>
      </w:r>
      <w:r w:rsidR="00E01E04">
        <w:rPr>
          <w:lang w:val="en-US"/>
        </w:rPr>
        <w:t xml:space="preserve">However, Avista </w:t>
      </w:r>
      <w:r w:rsidR="00A90D85" w:rsidRPr="00A90D85">
        <w:rPr>
          <w:lang w:val="en-US"/>
        </w:rPr>
        <w:t xml:space="preserve">did not explain why the formula should have been changed, and accordingly, the Commission may conclude that </w:t>
      </w:r>
      <w:r w:rsidR="00E01E04">
        <w:rPr>
          <w:lang w:val="en-US"/>
        </w:rPr>
        <w:t>there is</w:t>
      </w:r>
      <w:r w:rsidR="00A90D85" w:rsidRPr="00A90D85">
        <w:rPr>
          <w:lang w:val="en-US"/>
        </w:rPr>
        <w:t xml:space="preserve"> insufficient information to determine the reasonableness of this proposed cost increase</w:t>
      </w:r>
      <w:r w:rsidR="00357116">
        <w:rPr>
          <w:lang w:val="en-US"/>
        </w:rPr>
        <w:t>.</w:t>
      </w:r>
    </w:p>
    <w:p w14:paraId="7D712845" w14:textId="77777777" w:rsidR="00C16F4F" w:rsidRPr="004B042D" w:rsidRDefault="00C16F4F" w:rsidP="00C16F4F">
      <w:pPr>
        <w:pStyle w:val="WUTCParagraph"/>
        <w:numPr>
          <w:ilvl w:val="0"/>
          <w:numId w:val="0"/>
        </w:numPr>
        <w:tabs>
          <w:tab w:val="left" w:pos="720"/>
        </w:tabs>
        <w:spacing w:after="240" w:line="240" w:lineRule="auto"/>
        <w:ind w:left="720" w:hanging="720"/>
        <w:rPr>
          <w:b/>
          <w:lang w:val="en-US"/>
        </w:rPr>
      </w:pPr>
      <w:r>
        <w:rPr>
          <w:b/>
          <w:lang w:val="en-US"/>
        </w:rPr>
        <w:t>C</w:t>
      </w:r>
      <w:r w:rsidRPr="00630FC8">
        <w:rPr>
          <w:b/>
          <w:lang w:val="en-US"/>
        </w:rPr>
        <w:t>.</w:t>
      </w:r>
      <w:r>
        <w:rPr>
          <w:b/>
          <w:lang w:val="en-US"/>
        </w:rPr>
        <w:tab/>
        <w:t xml:space="preserve">The </w:t>
      </w:r>
      <w:r w:rsidR="00357116" w:rsidRPr="00357116">
        <w:rPr>
          <w:b/>
          <w:lang w:val="en-US"/>
        </w:rPr>
        <w:t>Company Did Not Explain</w:t>
      </w:r>
      <w:r w:rsidR="00357116">
        <w:rPr>
          <w:b/>
          <w:lang w:val="en-US"/>
        </w:rPr>
        <w:t xml:space="preserve"> Why the Forecast Output from the </w:t>
      </w:r>
      <w:proofErr w:type="spellStart"/>
      <w:r w:rsidR="00357116">
        <w:rPr>
          <w:b/>
          <w:lang w:val="en-US"/>
        </w:rPr>
        <w:t>Noxon</w:t>
      </w:r>
      <w:proofErr w:type="spellEnd"/>
      <w:r w:rsidR="00357116">
        <w:rPr>
          <w:b/>
          <w:lang w:val="en-US"/>
        </w:rPr>
        <w:t xml:space="preserve"> Rapids Hydro Facility Declined Materially</w:t>
      </w:r>
    </w:p>
    <w:p w14:paraId="7922ED21" w14:textId="74BE1BD4" w:rsidR="00C16F4F" w:rsidRDefault="00C16F4F" w:rsidP="00C16F4F">
      <w:pPr>
        <w:pStyle w:val="WUTCParagraph"/>
        <w:rPr>
          <w:lang w:val="en-US"/>
        </w:rPr>
      </w:pPr>
      <w:r>
        <w:rPr>
          <w:lang w:val="en-US"/>
        </w:rPr>
        <w:tab/>
      </w:r>
      <w:r w:rsidR="00357116" w:rsidRPr="00357116">
        <w:rPr>
          <w:lang w:val="en-US"/>
        </w:rPr>
        <w:t xml:space="preserve">In </w:t>
      </w:r>
      <w:r w:rsidR="00357116">
        <w:rPr>
          <w:lang w:val="en-US"/>
        </w:rPr>
        <w:t>Avista’s</w:t>
      </w:r>
      <w:r w:rsidR="00357116" w:rsidRPr="00357116">
        <w:rPr>
          <w:lang w:val="en-US"/>
        </w:rPr>
        <w:t xml:space="preserve"> update, the average output from </w:t>
      </w:r>
      <w:proofErr w:type="spellStart"/>
      <w:r w:rsidR="00357116" w:rsidRPr="00357116">
        <w:rPr>
          <w:lang w:val="en-US"/>
        </w:rPr>
        <w:t>Noxon</w:t>
      </w:r>
      <w:proofErr w:type="spellEnd"/>
      <w:r w:rsidR="00357116" w:rsidRPr="00357116">
        <w:rPr>
          <w:lang w:val="en-US"/>
        </w:rPr>
        <w:t xml:space="preserve"> Rapids hydro project declined </w:t>
      </w:r>
      <w:r w:rsidR="00604D9D">
        <w:rPr>
          <w:lang w:val="en-US"/>
        </w:rPr>
        <w:t>materially</w:t>
      </w:r>
      <w:r w:rsidR="00357116" w:rsidRPr="00357116">
        <w:rPr>
          <w:lang w:val="en-US"/>
        </w:rPr>
        <w:t>, with the greatest proportion of the reduced output occurring in the high-priced, summer months</w:t>
      </w:r>
      <w:r w:rsidR="00357116">
        <w:rPr>
          <w:lang w:val="en-US"/>
        </w:rPr>
        <w:t>.</w:t>
      </w:r>
      <w:r w:rsidR="00357116" w:rsidRPr="00357116">
        <w:rPr>
          <w:u w:val="single"/>
          <w:vertAlign w:val="superscript"/>
          <w:lang w:val="en-US"/>
        </w:rPr>
        <w:footnoteReference w:id="3"/>
      </w:r>
      <w:r w:rsidR="00357116" w:rsidRPr="00357116">
        <w:rPr>
          <w:vertAlign w:val="superscript"/>
          <w:lang w:val="en-US"/>
        </w:rPr>
        <w:t>/</w:t>
      </w:r>
    </w:p>
    <w:p w14:paraId="4BEFF3D0" w14:textId="36145311" w:rsidR="000D22AB" w:rsidRPr="000D22AB" w:rsidRDefault="000D22AB" w:rsidP="000D22AB">
      <w:pPr>
        <w:pStyle w:val="WUTCParagraph"/>
      </w:pPr>
      <w:r>
        <w:rPr>
          <w:lang w:val="en-US"/>
        </w:rPr>
        <w:tab/>
      </w:r>
      <w:r w:rsidRPr="000D22AB">
        <w:t>ICNU did not</w:t>
      </w:r>
      <w:r w:rsidR="00604D9D">
        <w:rPr>
          <w:lang w:val="en-US"/>
        </w:rPr>
        <w:t xml:space="preserve"> necessarily</w:t>
      </w:r>
      <w:r w:rsidRPr="000D22AB">
        <w:t xml:space="preserve"> expect the output from hydro facilities to be updated in the November filing, and was surprised </w:t>
      </w:r>
      <w:r w:rsidR="00604D9D">
        <w:rPr>
          <w:lang w:val="en-US"/>
        </w:rPr>
        <w:t xml:space="preserve">to discover </w:t>
      </w:r>
      <w:r w:rsidRPr="000D22AB">
        <w:t>that</w:t>
      </w:r>
      <w:r w:rsidR="00604D9D">
        <w:rPr>
          <w:lang w:val="en-US"/>
        </w:rPr>
        <w:t xml:space="preserve"> the</w:t>
      </w:r>
      <w:r w:rsidRPr="000D22AB">
        <w:t xml:space="preserve"> </w:t>
      </w:r>
      <w:proofErr w:type="spellStart"/>
      <w:r w:rsidRPr="000D22AB">
        <w:t>Noxon</w:t>
      </w:r>
      <w:proofErr w:type="spellEnd"/>
      <w:r w:rsidRPr="000D22AB">
        <w:t xml:space="preserve"> </w:t>
      </w:r>
      <w:r>
        <w:rPr>
          <w:lang w:val="en-US"/>
        </w:rPr>
        <w:t xml:space="preserve">Rapids </w:t>
      </w:r>
      <w:r w:rsidR="00A35443">
        <w:t>output changed</w:t>
      </w:r>
      <w:r w:rsidR="00604D9D">
        <w:rPr>
          <w:lang w:val="en-US"/>
        </w:rPr>
        <w:t xml:space="preserve"> materially</w:t>
      </w:r>
      <w:r w:rsidR="00A35443">
        <w:t xml:space="preserve">.  </w:t>
      </w:r>
      <w:r w:rsidR="00A35443">
        <w:rPr>
          <w:lang w:val="en-US"/>
        </w:rPr>
        <w:t xml:space="preserve">Yet again, </w:t>
      </w:r>
      <w:proofErr w:type="spellStart"/>
      <w:r w:rsidR="00A35443">
        <w:rPr>
          <w:lang w:val="en-US"/>
        </w:rPr>
        <w:t>t</w:t>
      </w:r>
      <w:r w:rsidR="00A35443">
        <w:t>he</w:t>
      </w:r>
      <w:proofErr w:type="spellEnd"/>
      <w:r w:rsidR="00A35443">
        <w:t xml:space="preserve"> Company </w:t>
      </w:r>
      <w:r w:rsidRPr="000D22AB">
        <w:t xml:space="preserve">provided no explanation regarding the reduced output from this facility, and thus, ICNU has no basis to determine whether this aspect of the Company’s </w:t>
      </w:r>
      <w:r w:rsidRPr="000D22AB">
        <w:lastRenderedPageBreak/>
        <w:t xml:space="preserve">proposed update is reasonable.  ICNU estimates that this reduction in energy output has a material impact on the Company’s power costs.  Based on average modeled monthly market prices, ICNU estimates that the impact of this reduced output is an approximate $2.3 million increase to total Company power supply expense. </w:t>
      </w:r>
    </w:p>
    <w:p w14:paraId="4F6950E6" w14:textId="77777777" w:rsidR="00C16F4F" w:rsidRPr="004B042D" w:rsidRDefault="00C16F4F" w:rsidP="00C16F4F">
      <w:pPr>
        <w:pStyle w:val="WUTCParagraph"/>
        <w:numPr>
          <w:ilvl w:val="0"/>
          <w:numId w:val="0"/>
        </w:numPr>
        <w:tabs>
          <w:tab w:val="left" w:pos="720"/>
        </w:tabs>
        <w:spacing w:after="240" w:line="240" w:lineRule="auto"/>
        <w:ind w:left="720" w:hanging="720"/>
        <w:rPr>
          <w:b/>
          <w:lang w:val="en-US"/>
        </w:rPr>
      </w:pPr>
      <w:r>
        <w:rPr>
          <w:b/>
          <w:lang w:val="en-US"/>
        </w:rPr>
        <w:t>D</w:t>
      </w:r>
      <w:r w:rsidRPr="00630FC8">
        <w:rPr>
          <w:b/>
          <w:lang w:val="en-US"/>
        </w:rPr>
        <w:t>.</w:t>
      </w:r>
      <w:r>
        <w:rPr>
          <w:b/>
          <w:lang w:val="en-US"/>
        </w:rPr>
        <w:tab/>
        <w:t xml:space="preserve">The </w:t>
      </w:r>
      <w:r w:rsidR="00357116">
        <w:rPr>
          <w:b/>
          <w:lang w:val="en-US"/>
        </w:rPr>
        <w:t>Company Should Perform a “Step-Study” Detailing the Impact of Each Proposed Change</w:t>
      </w:r>
      <w:r>
        <w:rPr>
          <w:lang w:val="en-US"/>
        </w:rPr>
        <w:t xml:space="preserve">  </w:t>
      </w:r>
    </w:p>
    <w:p w14:paraId="16515555" w14:textId="1B8B23A2" w:rsidR="00C16F4F" w:rsidRPr="0037161F" w:rsidRDefault="00C16F4F" w:rsidP="0037161F">
      <w:pPr>
        <w:pStyle w:val="WUTCParagraph"/>
      </w:pPr>
      <w:r>
        <w:rPr>
          <w:lang w:val="en-US"/>
        </w:rPr>
        <w:tab/>
      </w:r>
      <w:r w:rsidR="00357116" w:rsidRPr="00357116">
        <w:t xml:space="preserve">While a large amount of data was provided in the </w:t>
      </w:r>
      <w:r w:rsidR="00E01E04">
        <w:rPr>
          <w:lang w:val="en-US"/>
        </w:rPr>
        <w:t>Motion</w:t>
      </w:r>
      <w:r w:rsidR="00357116" w:rsidRPr="00357116">
        <w:t xml:space="preserve"> filing, </w:t>
      </w:r>
      <w:r w:rsidR="00E01E04">
        <w:rPr>
          <w:lang w:val="en-US"/>
        </w:rPr>
        <w:t xml:space="preserve">correspondingly </w:t>
      </w:r>
      <w:r w:rsidR="00357116" w:rsidRPr="00357116">
        <w:t xml:space="preserve">little narrative detail was provided for parties to have an understanding </w:t>
      </w:r>
      <w:r w:rsidR="0037161F">
        <w:rPr>
          <w:lang w:val="en-US"/>
        </w:rPr>
        <w:t xml:space="preserve">of </w:t>
      </w:r>
      <w:r w:rsidR="00357116" w:rsidRPr="00357116">
        <w:t>the magnitude and impacts of the various updates proposed.  From ICNU’s perspective, a more informative way to present a power cost update of this nature is by perf</w:t>
      </w:r>
      <w:r w:rsidR="00E01E04">
        <w:t>orming a “step-study,</w:t>
      </w:r>
      <w:r w:rsidR="00357116" w:rsidRPr="00357116">
        <w:t xml:space="preserve">” </w:t>
      </w:r>
      <w:r w:rsidR="00E01E04">
        <w:rPr>
          <w:lang w:val="en-US"/>
        </w:rPr>
        <w:t xml:space="preserve">which </w:t>
      </w:r>
      <w:r w:rsidR="00357116" w:rsidRPr="00357116">
        <w:t>involves making separate modeling runs for each seq</w:t>
      </w:r>
      <w:r w:rsidR="00E01E04">
        <w:t>uential update proposed.  A step-</w:t>
      </w:r>
      <w:r w:rsidR="00357116" w:rsidRPr="00357116">
        <w:t>study better details the impact of each incremental change proposed by the Company, providing parties with a better sense of the items that are driving the changing levels of power costs</w:t>
      </w:r>
      <w:r w:rsidR="00357116">
        <w:rPr>
          <w:lang w:val="en-US"/>
        </w:rPr>
        <w:t>.</w:t>
      </w:r>
      <w:r w:rsidR="00357116" w:rsidRPr="00357116">
        <w:rPr>
          <w:u w:val="single"/>
          <w:vertAlign w:val="superscript"/>
          <w:lang w:val="en-US"/>
        </w:rPr>
        <w:footnoteReference w:id="4"/>
      </w:r>
      <w:r w:rsidR="00357116" w:rsidRPr="00357116">
        <w:rPr>
          <w:vertAlign w:val="superscript"/>
          <w:lang w:val="en-US"/>
        </w:rPr>
        <w:t>/</w:t>
      </w:r>
    </w:p>
    <w:p w14:paraId="4943662F" w14:textId="77777777" w:rsidR="00C16F4F" w:rsidRPr="006B6569" w:rsidRDefault="00C16F4F" w:rsidP="00C16F4F">
      <w:pPr>
        <w:pStyle w:val="WUTCParagraph"/>
        <w:keepNext/>
        <w:numPr>
          <w:ilvl w:val="0"/>
          <w:numId w:val="0"/>
        </w:numPr>
        <w:tabs>
          <w:tab w:val="left" w:pos="720"/>
        </w:tabs>
        <w:spacing w:after="240" w:line="240" w:lineRule="auto"/>
        <w:jc w:val="center"/>
        <w:rPr>
          <w:b/>
          <w:bCs/>
          <w:lang w:val="en-US"/>
        </w:rPr>
      </w:pPr>
      <w:r>
        <w:rPr>
          <w:b/>
          <w:bCs/>
        </w:rPr>
        <w:t>I</w:t>
      </w:r>
      <w:r>
        <w:rPr>
          <w:b/>
          <w:bCs/>
          <w:lang w:val="en-US"/>
        </w:rPr>
        <w:t>II</w:t>
      </w:r>
      <w:r>
        <w:rPr>
          <w:b/>
          <w:bCs/>
        </w:rPr>
        <w:t>.</w:t>
      </w:r>
      <w:r>
        <w:rPr>
          <w:b/>
          <w:bCs/>
        </w:rPr>
        <w:tab/>
      </w:r>
      <w:r>
        <w:rPr>
          <w:b/>
          <w:bCs/>
          <w:lang w:val="en-US"/>
        </w:rPr>
        <w:t>CONCLUSION</w:t>
      </w:r>
    </w:p>
    <w:p w14:paraId="39B3FDC7" w14:textId="77777777" w:rsidR="00FD21A5" w:rsidRPr="00C16F4F" w:rsidRDefault="00C16F4F" w:rsidP="00C16F4F">
      <w:pPr>
        <w:pStyle w:val="WUTCParagraph"/>
        <w:rPr>
          <w:lang w:val="en-US"/>
        </w:rPr>
      </w:pPr>
      <w:r>
        <w:rPr>
          <w:lang w:val="en-US"/>
        </w:rPr>
        <w:tab/>
      </w:r>
      <w:r w:rsidR="0037161F">
        <w:rPr>
          <w:lang w:val="en-US"/>
        </w:rPr>
        <w:t xml:space="preserve">While </w:t>
      </w:r>
      <w:r w:rsidR="0037161F" w:rsidRPr="0037161F">
        <w:rPr>
          <w:lang w:val="en-US"/>
        </w:rPr>
        <w:t>ICNU has concerns about certain aspects of the Company’s proposed update</w:t>
      </w:r>
      <w:r w:rsidR="0037161F">
        <w:rPr>
          <w:lang w:val="en-US"/>
        </w:rPr>
        <w:t xml:space="preserve">, </w:t>
      </w:r>
      <w:r w:rsidR="0037161F" w:rsidRPr="0037161F">
        <w:rPr>
          <w:lang w:val="en-US"/>
        </w:rPr>
        <w:t xml:space="preserve">ICNU does not </w:t>
      </w:r>
      <w:r w:rsidR="0037161F">
        <w:rPr>
          <w:lang w:val="en-US"/>
        </w:rPr>
        <w:t xml:space="preserve">necessarily </w:t>
      </w:r>
      <w:r w:rsidR="0037161F" w:rsidRPr="0037161F">
        <w:rPr>
          <w:lang w:val="en-US"/>
        </w:rPr>
        <w:t xml:space="preserve">oppose the </w:t>
      </w:r>
      <w:r w:rsidR="0037161F">
        <w:rPr>
          <w:lang w:val="en-US"/>
        </w:rPr>
        <w:t>Motion</w:t>
      </w:r>
      <w:r w:rsidR="0037161F" w:rsidRPr="0037161F">
        <w:rPr>
          <w:lang w:val="en-US"/>
        </w:rPr>
        <w:t xml:space="preserve"> and does not view additional </w:t>
      </w:r>
      <w:r w:rsidR="0037161F">
        <w:rPr>
          <w:lang w:val="en-US"/>
        </w:rPr>
        <w:t xml:space="preserve">party </w:t>
      </w:r>
      <w:r w:rsidR="0037161F" w:rsidRPr="0037161F">
        <w:rPr>
          <w:lang w:val="en-US"/>
        </w:rPr>
        <w:t xml:space="preserve">process </w:t>
      </w:r>
      <w:r w:rsidR="00E01E04">
        <w:rPr>
          <w:lang w:val="en-US"/>
        </w:rPr>
        <w:t>as</w:t>
      </w:r>
      <w:r w:rsidR="0037161F">
        <w:rPr>
          <w:lang w:val="en-US"/>
        </w:rPr>
        <w:t xml:space="preserve"> necessary</w:t>
      </w:r>
      <w:r w:rsidR="0037161F" w:rsidRPr="0037161F">
        <w:rPr>
          <w:lang w:val="en-US"/>
        </w:rPr>
        <w:t>.  Notwithstanding, ICNU request</w:t>
      </w:r>
      <w:r w:rsidR="00E01E04">
        <w:rPr>
          <w:lang w:val="en-US"/>
        </w:rPr>
        <w:t>s</w:t>
      </w:r>
      <w:r w:rsidR="0037161F" w:rsidRPr="0037161F">
        <w:rPr>
          <w:lang w:val="en-US"/>
        </w:rPr>
        <w:t xml:space="preserve"> that the Commission consider the above questions </w:t>
      </w:r>
      <w:r w:rsidR="006A7327">
        <w:rPr>
          <w:lang w:val="en-US"/>
        </w:rPr>
        <w:t xml:space="preserve">and concerns </w:t>
      </w:r>
      <w:r w:rsidR="0037161F" w:rsidRPr="0037161F">
        <w:rPr>
          <w:lang w:val="en-US"/>
        </w:rPr>
        <w:t>when evaluating the Compa</w:t>
      </w:r>
      <w:r w:rsidR="006A7327">
        <w:rPr>
          <w:lang w:val="en-US"/>
        </w:rPr>
        <w:t>ny’s update, and perhaps issue a bench request</w:t>
      </w:r>
      <w:r w:rsidR="0037161F" w:rsidRPr="0037161F">
        <w:rPr>
          <w:lang w:val="en-US"/>
        </w:rPr>
        <w:t>, to the extent that the Commission has similar concerns with the Company’s update.</w:t>
      </w:r>
    </w:p>
    <w:p w14:paraId="491B99ED" w14:textId="77777777" w:rsidR="00DC7B75" w:rsidRDefault="00DC7B75" w:rsidP="00DC7B75">
      <w:pPr>
        <w:keepNext/>
        <w:spacing w:line="480" w:lineRule="auto"/>
        <w:ind w:firstLine="1440"/>
      </w:pPr>
      <w:r>
        <w:lastRenderedPageBreak/>
        <w:t xml:space="preserve">Dated this </w:t>
      </w:r>
      <w:r w:rsidR="00086CC1">
        <w:t>10</w:t>
      </w:r>
      <w:r w:rsidR="006E7680">
        <w:t>th</w:t>
      </w:r>
      <w:r w:rsidR="003D4919">
        <w:t xml:space="preserve"> </w:t>
      </w:r>
      <w:r>
        <w:t xml:space="preserve">day of </w:t>
      </w:r>
      <w:r w:rsidR="002C5CEB">
        <w:t>November, 2016</w:t>
      </w:r>
      <w:r>
        <w:t>.</w:t>
      </w:r>
    </w:p>
    <w:p w14:paraId="42ED02BF" w14:textId="77777777" w:rsidR="00DC7B75" w:rsidRDefault="00DC7B75" w:rsidP="00DC7B75">
      <w:pPr>
        <w:keepNext/>
        <w:spacing w:line="480" w:lineRule="auto"/>
        <w:ind w:left="2880" w:firstLine="720"/>
      </w:pPr>
      <w:r>
        <w:t>Respectfully submitted,</w:t>
      </w:r>
    </w:p>
    <w:p w14:paraId="198F3793" w14:textId="77777777" w:rsidR="00DC7B75" w:rsidRDefault="00DC7B75" w:rsidP="00DC7B75">
      <w:pPr>
        <w:keepNext/>
        <w:spacing w:line="480" w:lineRule="auto"/>
        <w:ind w:firstLine="3600"/>
      </w:pPr>
      <w:r>
        <w:t>DAVISON VAN CLEVE, P.C.</w:t>
      </w:r>
    </w:p>
    <w:p w14:paraId="2653C23E" w14:textId="77777777" w:rsidR="00DC7B75" w:rsidRPr="00282C0D" w:rsidRDefault="00282C0D" w:rsidP="00282C0D">
      <w:pPr>
        <w:keepNext/>
        <w:ind w:firstLine="3600"/>
        <w:rPr>
          <w:u w:val="single"/>
        </w:rPr>
      </w:pPr>
      <w:r w:rsidRPr="00282C0D">
        <w:rPr>
          <w:i/>
          <w:u w:val="single"/>
        </w:rPr>
        <w:t>/s/ Jesse E. Cowell</w:t>
      </w:r>
    </w:p>
    <w:p w14:paraId="764F9512" w14:textId="77777777" w:rsidR="00DC7B75" w:rsidRDefault="003D4919">
      <w:pPr>
        <w:keepNext/>
        <w:ind w:firstLine="3600"/>
      </w:pPr>
      <w:r>
        <w:t>Jesse E. Cowell</w:t>
      </w:r>
    </w:p>
    <w:p w14:paraId="6616B77E" w14:textId="77777777" w:rsidR="00DC7B75" w:rsidRDefault="00DC7B75">
      <w:pPr>
        <w:keepNext/>
        <w:ind w:firstLine="3600"/>
      </w:pPr>
      <w:r>
        <w:t>333 S.W. Taylor, Suite 400</w:t>
      </w:r>
    </w:p>
    <w:p w14:paraId="108A429B" w14:textId="77777777" w:rsidR="00DC7B75" w:rsidRDefault="00DC7B75">
      <w:pPr>
        <w:keepNext/>
        <w:ind w:firstLine="3600"/>
      </w:pPr>
      <w:r>
        <w:t>Portland, Oregon 97204</w:t>
      </w:r>
    </w:p>
    <w:p w14:paraId="2329E204" w14:textId="77777777" w:rsidR="00DC7B75" w:rsidRDefault="00DC7B75">
      <w:pPr>
        <w:keepNext/>
        <w:ind w:firstLine="3600"/>
      </w:pPr>
      <w:r>
        <w:t>(503) 241-7242 telephone</w:t>
      </w:r>
    </w:p>
    <w:p w14:paraId="18D085A7" w14:textId="77777777" w:rsidR="00DC7B75" w:rsidRDefault="00DC7B75">
      <w:pPr>
        <w:keepNext/>
        <w:ind w:firstLine="3600"/>
      </w:pPr>
      <w:r>
        <w:t>(503) 241-8160 facsimile</w:t>
      </w:r>
    </w:p>
    <w:p w14:paraId="12A4151D" w14:textId="77777777" w:rsidR="00DC7B75" w:rsidRDefault="003D4919" w:rsidP="00DC7B75">
      <w:pPr>
        <w:ind w:left="2912" w:firstLine="688"/>
      </w:pPr>
      <w:r>
        <w:t>jec</w:t>
      </w:r>
      <w:r w:rsidR="00DC7B75" w:rsidRPr="002E1995">
        <w:t>@dvclaw.com</w:t>
      </w:r>
    </w:p>
    <w:p w14:paraId="3BCAAAEA" w14:textId="77777777" w:rsidR="002C5CEB" w:rsidRPr="002C5CEB" w:rsidRDefault="00DC7B75" w:rsidP="002C5CEB">
      <w:pPr>
        <w:ind w:left="3600"/>
      </w:pPr>
      <w:r>
        <w:t xml:space="preserve">Of Attorneys for </w:t>
      </w:r>
      <w:r w:rsidR="002C5CEB" w:rsidRPr="002C5CEB">
        <w:t xml:space="preserve">the </w:t>
      </w:r>
    </w:p>
    <w:p w14:paraId="690BA161" w14:textId="77777777" w:rsidR="002C5CEB" w:rsidRPr="002C5CEB" w:rsidRDefault="002C5CEB" w:rsidP="002C5CEB">
      <w:pPr>
        <w:ind w:left="3600"/>
      </w:pPr>
      <w:r w:rsidRPr="002C5CEB">
        <w:t>Industrial Customers of Northwest Utilities</w:t>
      </w:r>
    </w:p>
    <w:p w14:paraId="7E3B064A" w14:textId="77777777" w:rsidR="00DC7B75" w:rsidRDefault="00DC7B75" w:rsidP="002F1D22">
      <w:pPr>
        <w:ind w:left="3600"/>
      </w:pPr>
    </w:p>
    <w:sectPr w:rsidR="00DC7B75" w:rsidSect="00C42330">
      <w:headerReference w:type="default" r:id="rId8"/>
      <w:footerReference w:type="default" r:id="rId9"/>
      <w:headerReference w:type="first" r:id="rId10"/>
      <w:footerReference w:type="first" r:id="rId11"/>
      <w:pgSz w:w="12240" w:h="15840" w:code="1"/>
      <w:pgMar w:top="1440" w:right="1440" w:bottom="720" w:left="1440" w:header="720" w:footer="576"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08EAF5" w14:textId="77777777" w:rsidR="00107B40" w:rsidRDefault="00107B40">
      <w:r>
        <w:separator/>
      </w:r>
    </w:p>
  </w:endnote>
  <w:endnote w:type="continuationSeparator" w:id="0">
    <w:p w14:paraId="2271DF0A" w14:textId="77777777" w:rsidR="00107B40" w:rsidRDefault="00107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9F738" w14:textId="52715F23" w:rsidR="004E5FC6" w:rsidRPr="00D30BC8" w:rsidRDefault="004E5FC6">
    <w:pPr>
      <w:pStyle w:val="Footer"/>
      <w:rPr>
        <w:rStyle w:val="PageNumber"/>
        <w:lang w:val="en-US"/>
      </w:rPr>
    </w:pPr>
    <w:r>
      <w:t xml:space="preserve">PAGE </w:t>
    </w:r>
    <w:r>
      <w:rPr>
        <w:rStyle w:val="PageNumber"/>
      </w:rPr>
      <w:fldChar w:fldCharType="begin"/>
    </w:r>
    <w:r>
      <w:rPr>
        <w:rStyle w:val="PageNumber"/>
      </w:rPr>
      <w:instrText xml:space="preserve"> PAGE </w:instrText>
    </w:r>
    <w:r>
      <w:rPr>
        <w:rStyle w:val="PageNumber"/>
      </w:rPr>
      <w:fldChar w:fldCharType="separate"/>
    </w:r>
    <w:r w:rsidR="0078729F">
      <w:rPr>
        <w:rStyle w:val="PageNumber"/>
        <w:noProof/>
      </w:rPr>
      <w:t>5</w:t>
    </w:r>
    <w:r>
      <w:rPr>
        <w:rStyle w:val="PageNumber"/>
      </w:rPr>
      <w:fldChar w:fldCharType="end"/>
    </w:r>
    <w:r>
      <w:rPr>
        <w:rStyle w:val="PageNumber"/>
      </w:rPr>
      <w:t xml:space="preserve"> – </w:t>
    </w:r>
    <w:r w:rsidR="005250D2" w:rsidRPr="005250D2">
      <w:rPr>
        <w:lang w:val="en-US"/>
      </w:rPr>
      <w:t>ICNU’S RESPONSE TO AVISTA’S MOTION TO SUPPLEMENT RECORD</w:t>
    </w:r>
  </w:p>
  <w:p w14:paraId="768DE5EC" w14:textId="77777777" w:rsidR="004E5FC6" w:rsidRDefault="004E5FC6">
    <w:pPr>
      <w:pStyle w:val="Footer"/>
      <w:rPr>
        <w:rStyle w:val="PageNumber"/>
      </w:rPr>
    </w:pPr>
  </w:p>
  <w:p w14:paraId="3CBA92FC" w14:textId="77777777" w:rsidR="004E5FC6" w:rsidRPr="003D4919" w:rsidRDefault="004E5FC6">
    <w:pPr>
      <w:jc w:val="center"/>
      <w:rPr>
        <w:sz w:val="16"/>
      </w:rPr>
    </w:pPr>
    <w:r w:rsidRPr="003D4919">
      <w:rPr>
        <w:sz w:val="16"/>
      </w:rPr>
      <w:t>DAVISON VAN CLEVE, P.C.</w:t>
    </w:r>
  </w:p>
  <w:p w14:paraId="5CA597F3" w14:textId="77777777" w:rsidR="004E5FC6" w:rsidRPr="003D4919" w:rsidRDefault="004E5FC6">
    <w:pPr>
      <w:tabs>
        <w:tab w:val="center" w:pos="4680"/>
      </w:tabs>
      <w:jc w:val="center"/>
      <w:rPr>
        <w:sz w:val="16"/>
      </w:rPr>
    </w:pPr>
    <w:r w:rsidRPr="003D4919">
      <w:rPr>
        <w:sz w:val="16"/>
      </w:rPr>
      <w:t>333 SW Taylor, Suite 400</w:t>
    </w:r>
  </w:p>
  <w:p w14:paraId="57C32D47" w14:textId="77777777" w:rsidR="004E5FC6" w:rsidRPr="003D4919" w:rsidRDefault="004E5FC6">
    <w:pPr>
      <w:tabs>
        <w:tab w:val="center" w:pos="4680"/>
      </w:tabs>
      <w:jc w:val="center"/>
      <w:rPr>
        <w:sz w:val="16"/>
      </w:rPr>
    </w:pPr>
    <w:r w:rsidRPr="003D4919">
      <w:rPr>
        <w:sz w:val="16"/>
      </w:rPr>
      <w:t>Portland, OR 97204</w:t>
    </w:r>
  </w:p>
  <w:p w14:paraId="75ACDB20" w14:textId="77777777" w:rsidR="004E5FC6" w:rsidRPr="003D4919" w:rsidRDefault="004E5FC6">
    <w:pPr>
      <w:pStyle w:val="Footer"/>
      <w:jc w:val="center"/>
    </w:pPr>
    <w:r w:rsidRPr="003D4919">
      <w:rPr>
        <w:sz w:val="16"/>
      </w:rPr>
      <w:t>Telephone (503) 241-7242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A0506" w14:textId="4368F24E" w:rsidR="004E5FC6" w:rsidRPr="005805E4" w:rsidRDefault="004E5FC6" w:rsidP="00DC7B75">
    <w:pPr>
      <w:pStyle w:val="Footer"/>
      <w:rPr>
        <w:rStyle w:val="PageNumber"/>
        <w:lang w:val="en-US"/>
      </w:rPr>
    </w:pPr>
    <w:r>
      <w:t xml:space="preserve">PAGE </w:t>
    </w:r>
    <w:r>
      <w:rPr>
        <w:rStyle w:val="PageNumber"/>
      </w:rPr>
      <w:fldChar w:fldCharType="begin"/>
    </w:r>
    <w:r>
      <w:rPr>
        <w:rStyle w:val="PageNumber"/>
      </w:rPr>
      <w:instrText xml:space="preserve"> PAGE </w:instrText>
    </w:r>
    <w:r>
      <w:rPr>
        <w:rStyle w:val="PageNumber"/>
      </w:rPr>
      <w:fldChar w:fldCharType="separate"/>
    </w:r>
    <w:r w:rsidR="0078729F">
      <w:rPr>
        <w:rStyle w:val="PageNumber"/>
        <w:noProof/>
      </w:rPr>
      <w:t>1</w:t>
    </w:r>
    <w:r>
      <w:rPr>
        <w:rStyle w:val="PageNumber"/>
      </w:rPr>
      <w:fldChar w:fldCharType="end"/>
    </w:r>
    <w:r>
      <w:rPr>
        <w:rStyle w:val="PageNumber"/>
      </w:rPr>
      <w:t xml:space="preserve"> – </w:t>
    </w:r>
    <w:r w:rsidR="005250D2">
      <w:rPr>
        <w:rStyle w:val="PageNumber"/>
        <w:lang w:val="en-US"/>
      </w:rPr>
      <w:t>ICNU’S RESPONSE TO AVISTA’S MOTION TO SUPPLEMENT RECORD</w:t>
    </w:r>
  </w:p>
  <w:p w14:paraId="3EAFAF97" w14:textId="77777777" w:rsidR="004E5FC6" w:rsidRPr="00B67B21" w:rsidRDefault="004E5FC6" w:rsidP="00DC7B75">
    <w:pPr>
      <w:jc w:val="center"/>
      <w:rPr>
        <w:sz w:val="16"/>
      </w:rPr>
    </w:pPr>
  </w:p>
  <w:p w14:paraId="74F009CC" w14:textId="77777777" w:rsidR="004E5FC6" w:rsidRPr="00B67B21" w:rsidRDefault="004E5FC6" w:rsidP="00DC7B75">
    <w:pPr>
      <w:jc w:val="center"/>
      <w:rPr>
        <w:sz w:val="16"/>
      </w:rPr>
    </w:pPr>
    <w:r w:rsidRPr="00B67B21">
      <w:rPr>
        <w:sz w:val="16"/>
      </w:rPr>
      <w:t>DAVISON VAN CLEVE, P.C.</w:t>
    </w:r>
  </w:p>
  <w:p w14:paraId="37B4BE10" w14:textId="77777777" w:rsidR="004E5FC6" w:rsidRPr="00B67B21" w:rsidRDefault="004E5FC6" w:rsidP="00DC7B75">
    <w:pPr>
      <w:tabs>
        <w:tab w:val="center" w:pos="4680"/>
      </w:tabs>
      <w:jc w:val="center"/>
      <w:rPr>
        <w:sz w:val="16"/>
      </w:rPr>
    </w:pPr>
    <w:r w:rsidRPr="00B67B21">
      <w:rPr>
        <w:sz w:val="16"/>
      </w:rPr>
      <w:t>333 SW Taylor, Suite 400</w:t>
    </w:r>
  </w:p>
  <w:p w14:paraId="2BEC3578" w14:textId="77777777" w:rsidR="004E5FC6" w:rsidRPr="00B67B21" w:rsidRDefault="004E5FC6" w:rsidP="00DC7B75">
    <w:pPr>
      <w:tabs>
        <w:tab w:val="center" w:pos="4680"/>
      </w:tabs>
      <w:jc w:val="center"/>
      <w:rPr>
        <w:sz w:val="16"/>
      </w:rPr>
    </w:pPr>
    <w:r w:rsidRPr="00B67B21">
      <w:rPr>
        <w:sz w:val="16"/>
      </w:rPr>
      <w:t>Portland, OR 97204</w:t>
    </w:r>
  </w:p>
  <w:p w14:paraId="1FCC0547" w14:textId="77777777" w:rsidR="004E5FC6" w:rsidRPr="00B67B21" w:rsidRDefault="004E5FC6" w:rsidP="00DC7B75">
    <w:pPr>
      <w:pStyle w:val="Footer"/>
      <w:jc w:val="center"/>
    </w:pPr>
    <w:r w:rsidRPr="00B67B21">
      <w:rPr>
        <w:sz w:val="16"/>
      </w:rPr>
      <w:t>Telephone (503) 241-7242</w:t>
    </w:r>
  </w:p>
  <w:p w14:paraId="70F32F9C" w14:textId="77777777" w:rsidR="004E5FC6" w:rsidRDefault="004E5F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487B1" w14:textId="77777777" w:rsidR="00107B40" w:rsidRDefault="00107B40">
      <w:r>
        <w:separator/>
      </w:r>
    </w:p>
  </w:footnote>
  <w:footnote w:type="continuationSeparator" w:id="0">
    <w:p w14:paraId="5C0DF370" w14:textId="77777777" w:rsidR="00107B40" w:rsidRPr="001A6AC7" w:rsidRDefault="00107B40" w:rsidP="001A6AC7">
      <w:r>
        <w:separator/>
      </w:r>
    </w:p>
  </w:footnote>
  <w:footnote w:type="continuationNotice" w:id="1">
    <w:p w14:paraId="3C9C0296" w14:textId="77777777" w:rsidR="00107B40" w:rsidRDefault="00107B40"/>
  </w:footnote>
  <w:footnote w:id="2">
    <w:p w14:paraId="3278A0D2" w14:textId="31F5E228" w:rsidR="00A90D85" w:rsidRPr="003318BF" w:rsidRDefault="00A90D85" w:rsidP="00A22EAC">
      <w:pPr>
        <w:pStyle w:val="FootnoteText"/>
        <w:ind w:left="720" w:hanging="720"/>
        <w:rPr>
          <w:lang w:val="en-US"/>
        </w:rPr>
      </w:pPr>
      <w:r w:rsidRPr="003318BF">
        <w:rPr>
          <w:rStyle w:val="FootnoteReference"/>
          <w:u w:val="single"/>
        </w:rPr>
        <w:footnoteRef/>
      </w:r>
      <w:r>
        <w:rPr>
          <w:vertAlign w:val="superscript"/>
          <w:lang w:val="en-US"/>
        </w:rPr>
        <w:t>/</w:t>
      </w:r>
      <w:r>
        <w:rPr>
          <w:lang w:val="en-US"/>
        </w:rPr>
        <w:tab/>
      </w:r>
      <w:r w:rsidR="00604D9D" w:rsidRPr="00604D9D">
        <w:rPr>
          <w:u w:val="single"/>
          <w:lang w:val="en-US"/>
        </w:rPr>
        <w:t>Compare</w:t>
      </w:r>
      <w:r w:rsidR="00604D9D" w:rsidRPr="00604D9D">
        <w:rPr>
          <w:lang w:val="en-US"/>
        </w:rPr>
        <w:t xml:space="preserve"> November Update workpaper: “\Johnson Nov Update - Confidential Workpapers\Lancaster Fixed Capacity Payment_CONF.xls</w:t>
      </w:r>
      <w:r w:rsidR="00604D9D">
        <w:rPr>
          <w:lang w:val="en-US"/>
        </w:rPr>
        <w:t xml:space="preserve">,” </w:t>
      </w:r>
      <w:r w:rsidR="00604D9D" w:rsidRPr="00604D9D">
        <w:rPr>
          <w:u w:val="single"/>
          <w:lang w:val="en-US"/>
        </w:rPr>
        <w:t>with</w:t>
      </w:r>
      <w:r w:rsidR="00604D9D" w:rsidRPr="00604D9D">
        <w:rPr>
          <w:lang w:val="en-US"/>
        </w:rPr>
        <w:t xml:space="preserve"> Initial Filing workpaper: “G. </w:t>
      </w:r>
      <w:proofErr w:type="spellStart"/>
      <w:r w:rsidR="00604D9D" w:rsidRPr="00604D9D">
        <w:rPr>
          <w:lang w:val="en-US"/>
        </w:rPr>
        <w:t>UE___Johnson</w:t>
      </w:r>
      <w:proofErr w:type="spellEnd"/>
      <w:r w:rsidR="00604D9D" w:rsidRPr="00604D9D">
        <w:rPr>
          <w:lang w:val="en-US"/>
        </w:rPr>
        <w:t xml:space="preserve"> WP (AVA-Feb</w:t>
      </w:r>
      <w:proofErr w:type="gramStart"/>
      <w:r w:rsidR="00604D9D" w:rsidRPr="00604D9D">
        <w:rPr>
          <w:lang w:val="en-US"/>
        </w:rPr>
        <w:t>16)\</w:t>
      </w:r>
      <w:proofErr w:type="gramEnd"/>
      <w:r w:rsidR="00604D9D" w:rsidRPr="00604D9D">
        <w:rPr>
          <w:lang w:val="en-US"/>
        </w:rPr>
        <w:t>Account 555 Confidential\Lancaster Fi</w:t>
      </w:r>
      <w:r w:rsidR="0078729F">
        <w:rPr>
          <w:lang w:val="en-US"/>
        </w:rPr>
        <w:t>xed Capacity Payment_CONF.xls.”</w:t>
      </w:r>
      <w:r w:rsidR="00604D9D" w:rsidRPr="00604D9D">
        <w:rPr>
          <w:lang w:val="en-US"/>
        </w:rPr>
        <w:t xml:space="preserve">  To avoid the need for a confidential filing, ICNU has not listed the specific figure.</w:t>
      </w:r>
    </w:p>
  </w:footnote>
  <w:footnote w:id="3">
    <w:p w14:paraId="37C2EB86" w14:textId="56D3A98E" w:rsidR="004A4DF0" w:rsidRPr="004A4DF0" w:rsidRDefault="00357116" w:rsidP="004A4DF0">
      <w:pPr>
        <w:pStyle w:val="FootnoteText"/>
        <w:ind w:left="720" w:hanging="720"/>
        <w:rPr>
          <w:lang w:val="en-US"/>
        </w:rPr>
      </w:pPr>
      <w:r w:rsidRPr="003318BF">
        <w:rPr>
          <w:rStyle w:val="FootnoteReference"/>
          <w:u w:val="single"/>
        </w:rPr>
        <w:footnoteRef/>
      </w:r>
      <w:r>
        <w:rPr>
          <w:vertAlign w:val="superscript"/>
          <w:lang w:val="en-US"/>
        </w:rPr>
        <w:t>/</w:t>
      </w:r>
      <w:r>
        <w:rPr>
          <w:lang w:val="en-US"/>
        </w:rPr>
        <w:tab/>
      </w:r>
      <w:r w:rsidR="004A4DF0" w:rsidRPr="004A4DF0">
        <w:rPr>
          <w:lang w:val="en-US"/>
        </w:rPr>
        <w:t>This change can be noted by comparing the Aurora output in the file “XDB WA 2017 Filing_80 Years_Test_Year_Load_102016.xlsx,” (provided as an update workpaper at “\</w:t>
      </w:r>
      <w:proofErr w:type="spellStart"/>
      <w:r w:rsidR="004A4DF0" w:rsidRPr="004A4DF0">
        <w:rPr>
          <w:lang w:val="en-US"/>
        </w:rPr>
        <w:t>Kalich</w:t>
      </w:r>
      <w:proofErr w:type="spellEnd"/>
      <w:r w:rsidR="004A4DF0" w:rsidRPr="004A4DF0">
        <w:rPr>
          <w:lang w:val="en-US"/>
        </w:rPr>
        <w:t xml:space="preserve"> Nov update - Confidential workpapers\Nov 2016 Power Supply Update\Compliance”), and the file “XDB WA 2017 Filing_80 Years_Test_Year_Load_121815.xlsx” (provided in response to ICNU Data Request 18 at “ICNU_DR_018C Confidential Attachment A\AURORA\2017</w:t>
      </w:r>
      <w:r w:rsidR="004A4DF0">
        <w:rPr>
          <w:lang w:val="en-US"/>
        </w:rPr>
        <w:t>,</w:t>
      </w:r>
      <w:r w:rsidR="004A4DF0" w:rsidRPr="004A4DF0">
        <w:rPr>
          <w:lang w:val="en-US"/>
        </w:rPr>
        <w:t>”</w:t>
      </w:r>
      <w:r w:rsidR="004A4DF0">
        <w:rPr>
          <w:lang w:val="en-US"/>
        </w:rPr>
        <w:t xml:space="preserve"> which can be made available upon request</w:t>
      </w:r>
      <w:r w:rsidR="004A4DF0" w:rsidRPr="004A4DF0">
        <w:rPr>
          <w:lang w:val="en-US"/>
        </w:rPr>
        <w:t>).  Specifically, the difference can be noted on the tab titled “Energy (</w:t>
      </w:r>
      <w:proofErr w:type="spellStart"/>
      <w:r w:rsidR="004A4DF0" w:rsidRPr="004A4DF0">
        <w:rPr>
          <w:lang w:val="en-US"/>
        </w:rPr>
        <w:t>aMW</w:t>
      </w:r>
      <w:proofErr w:type="spellEnd"/>
      <w:r w:rsidR="004A4DF0" w:rsidRPr="004A4DF0">
        <w:rPr>
          <w:lang w:val="en-US"/>
        </w:rPr>
        <w:t>),” Excel Row 6.</w:t>
      </w:r>
      <w:bookmarkStart w:id="2" w:name="_GoBack"/>
      <w:bookmarkEnd w:id="2"/>
      <w:r w:rsidR="004A4DF0" w:rsidRPr="004A4DF0">
        <w:rPr>
          <w:lang w:val="en-US"/>
        </w:rPr>
        <w:t xml:space="preserve"> </w:t>
      </w:r>
      <w:r w:rsidR="004A4DF0">
        <w:rPr>
          <w:lang w:val="en-US"/>
        </w:rPr>
        <w:t xml:space="preserve"> </w:t>
      </w:r>
      <w:r w:rsidR="004A4DF0" w:rsidRPr="004A4DF0">
        <w:rPr>
          <w:lang w:val="en-US"/>
        </w:rPr>
        <w:t xml:space="preserve">To avoid the need for a confidential filing, ICNU has not listed the specific </w:t>
      </w:r>
      <w:r w:rsidR="00EC10A2">
        <w:rPr>
          <w:lang w:val="en-US"/>
        </w:rPr>
        <w:t>difference</w:t>
      </w:r>
      <w:r w:rsidR="004A4DF0" w:rsidRPr="004A4DF0">
        <w:rPr>
          <w:lang w:val="en-US"/>
        </w:rPr>
        <w:t>.</w:t>
      </w:r>
    </w:p>
    <w:p w14:paraId="58BE6431" w14:textId="4D69A883" w:rsidR="00357116" w:rsidRPr="003318BF" w:rsidRDefault="00357116" w:rsidP="00357116">
      <w:pPr>
        <w:pStyle w:val="FootnoteText"/>
        <w:ind w:left="720" w:hanging="720"/>
        <w:rPr>
          <w:lang w:val="en-US"/>
        </w:rPr>
      </w:pPr>
    </w:p>
  </w:footnote>
  <w:footnote w:id="4">
    <w:p w14:paraId="1B1685B8" w14:textId="77777777" w:rsidR="00357116" w:rsidRPr="003318BF" w:rsidRDefault="00357116" w:rsidP="00357116">
      <w:pPr>
        <w:pStyle w:val="FootnoteText"/>
        <w:ind w:left="720" w:hanging="720"/>
        <w:rPr>
          <w:lang w:val="en-US"/>
        </w:rPr>
      </w:pPr>
      <w:r w:rsidRPr="003318BF">
        <w:rPr>
          <w:rStyle w:val="FootnoteReference"/>
          <w:u w:val="single"/>
        </w:rPr>
        <w:footnoteRef/>
      </w:r>
      <w:r>
        <w:rPr>
          <w:vertAlign w:val="superscript"/>
          <w:lang w:val="en-US"/>
        </w:rPr>
        <w:t>/</w:t>
      </w:r>
      <w:r>
        <w:rPr>
          <w:lang w:val="en-US"/>
        </w:rPr>
        <w:tab/>
      </w:r>
      <w:r>
        <w:rPr>
          <w:u w:val="single"/>
          <w:lang w:val="en-US"/>
        </w:rPr>
        <w:t>See, e.g.</w:t>
      </w:r>
      <w:r>
        <w:rPr>
          <w:lang w:val="en-US"/>
        </w:rPr>
        <w:t xml:space="preserve">, </w:t>
      </w:r>
      <w:r w:rsidR="002D5709" w:rsidRPr="002D5709">
        <w:rPr>
          <w:u w:val="single"/>
          <w:lang w:val="en-US"/>
        </w:rPr>
        <w:t>WUTC v. Pacific Power &amp; Light Co.</w:t>
      </w:r>
      <w:r w:rsidR="002D5709">
        <w:rPr>
          <w:lang w:val="en-US"/>
        </w:rPr>
        <w:t>,</w:t>
      </w:r>
      <w:r w:rsidR="002D5709" w:rsidRPr="002D5709">
        <w:rPr>
          <w:lang w:val="en-US"/>
        </w:rPr>
        <w:t xml:space="preserve"> Docket</w:t>
      </w:r>
      <w:r w:rsidR="002D5709">
        <w:rPr>
          <w:lang w:val="en-US"/>
        </w:rPr>
        <w:t>s</w:t>
      </w:r>
      <w:r w:rsidR="002D5709" w:rsidRPr="002D5709">
        <w:rPr>
          <w:lang w:val="en-US"/>
        </w:rPr>
        <w:t xml:space="preserve"> UE-140762</w:t>
      </w:r>
      <w:r w:rsidR="002D5709">
        <w:rPr>
          <w:lang w:val="en-US"/>
        </w:rPr>
        <w:t xml:space="preserve"> </w:t>
      </w:r>
      <w:r w:rsidR="002D5709" w:rsidRPr="002D5709">
        <w:rPr>
          <w:i/>
          <w:lang w:val="en-US"/>
        </w:rPr>
        <w:t>et al.</w:t>
      </w:r>
      <w:r w:rsidR="002D5709" w:rsidRPr="002D5709">
        <w:rPr>
          <w:lang w:val="en-US"/>
        </w:rPr>
        <w:t xml:space="preserve">, </w:t>
      </w:r>
      <w:proofErr w:type="spellStart"/>
      <w:r w:rsidR="002D5709">
        <w:rPr>
          <w:lang w:val="en-US"/>
        </w:rPr>
        <w:t>Exh</w:t>
      </w:r>
      <w:proofErr w:type="spellEnd"/>
      <w:r w:rsidR="002D5709">
        <w:rPr>
          <w:lang w:val="en-US"/>
        </w:rPr>
        <w:t>. No. GND-6 (providing a step-</w:t>
      </w:r>
      <w:r w:rsidR="002D5709" w:rsidRPr="002D5709">
        <w:rPr>
          <w:lang w:val="en-US"/>
        </w:rPr>
        <w:t xml:space="preserve">study, where each update proposed by the </w:t>
      </w:r>
      <w:r w:rsidR="002D5709">
        <w:rPr>
          <w:lang w:val="en-US"/>
        </w:rPr>
        <w:t>utility</w:t>
      </w:r>
      <w:r w:rsidR="002D5709" w:rsidRPr="002D5709">
        <w:rPr>
          <w:lang w:val="en-US"/>
        </w:rPr>
        <w:t xml:space="preserve"> was identified, along with the cost impact of each update</w:t>
      </w:r>
      <w:r w:rsidR="002D5709">
        <w:rPr>
          <w:lang w:val="en-US"/>
        </w:rPr>
        <w:t>)</w:t>
      </w:r>
      <w:r w:rsidR="002D5709" w:rsidRPr="002D5709">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E067D" w14:textId="77777777" w:rsidR="00150D4E" w:rsidRDefault="00150D4E" w:rsidP="00150D4E">
    <w:pPr>
      <w:pStyle w:val="Header"/>
      <w:tabs>
        <w:tab w:val="clear" w:pos="4320"/>
        <w:tab w:val="clear" w:pos="8640"/>
        <w:tab w:val="left" w:pos="403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D7DA8" w14:textId="77777777" w:rsidR="00150D4E" w:rsidRPr="00150D4E" w:rsidRDefault="00150D4E" w:rsidP="00150D4E">
    <w:pPr>
      <w:pStyle w:val="Header"/>
      <w:jc w:val="center"/>
      <w:rPr>
        <w:color w:val="FF0000"/>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57DEB"/>
    <w:multiLevelType w:val="singleLevel"/>
    <w:tmpl w:val="D3B8CF88"/>
    <w:lvl w:ilvl="0">
      <w:start w:val="503"/>
      <w:numFmt w:val="decimal"/>
      <w:lvlText w:val="(%1) "/>
      <w:legacy w:legacy="1" w:legacySpace="0" w:legacyIndent="360"/>
      <w:lvlJc w:val="left"/>
      <w:pPr>
        <w:ind w:left="-360" w:hanging="360"/>
      </w:pPr>
      <w:rPr>
        <w:rFonts w:ascii="Times New Roman" w:hAnsi="Times New Roman" w:cs="Times New Roman" w:hint="default"/>
        <w:b w:val="0"/>
        <w:i w:val="0"/>
        <w:sz w:val="16"/>
        <w:szCs w:val="16"/>
        <w:u w:val="none"/>
      </w:rPr>
    </w:lvl>
  </w:abstractNum>
  <w:abstractNum w:abstractNumId="1" w15:restartNumberingAfterBreak="0">
    <w:nsid w:val="09CF0696"/>
    <w:multiLevelType w:val="hybridMultilevel"/>
    <w:tmpl w:val="173E28C4"/>
    <w:lvl w:ilvl="0" w:tplc="7972A44C">
      <w:start w:val="1"/>
      <w:numFmt w:val="upperLetter"/>
      <w:lvlText w:val="%1."/>
      <w:lvlJc w:val="left"/>
      <w:pPr>
        <w:ind w:left="6840" w:hanging="36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2" w15:restartNumberingAfterBreak="0">
    <w:nsid w:val="110C2A33"/>
    <w:multiLevelType w:val="hybridMultilevel"/>
    <w:tmpl w:val="54BC23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22520B"/>
    <w:multiLevelType w:val="hybridMultilevel"/>
    <w:tmpl w:val="0F825414"/>
    <w:lvl w:ilvl="0" w:tplc="98FED9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A805E2"/>
    <w:multiLevelType w:val="multilevel"/>
    <w:tmpl w:val="8AFA1C42"/>
    <w:lvl w:ilvl="0">
      <w:start w:val="1"/>
      <w:numFmt w:val="upperRoman"/>
      <w:pStyle w:val="WUTCHeading1"/>
      <w:lvlText w:val="%1."/>
      <w:lvlJc w:val="left"/>
      <w:pPr>
        <w:tabs>
          <w:tab w:val="num" w:pos="0"/>
        </w:tabs>
        <w:ind w:left="0" w:hanging="720"/>
      </w:pPr>
      <w:rPr>
        <w:rFonts w:ascii="Times New Roman" w:hAnsi="Times New Roman" w:hint="default"/>
        <w:b/>
        <w:i w:val="0"/>
        <w:sz w:val="24"/>
      </w:rPr>
    </w:lvl>
    <w:lvl w:ilvl="1">
      <w:start w:val="1"/>
      <w:numFmt w:val="upperLetter"/>
      <w:pStyle w:val="WUTCHeading2"/>
      <w:lvlText w:val="%2."/>
      <w:lvlJc w:val="left"/>
      <w:pPr>
        <w:tabs>
          <w:tab w:val="num" w:pos="720"/>
        </w:tabs>
        <w:ind w:left="720" w:hanging="720"/>
      </w:pPr>
      <w:rPr>
        <w:rFonts w:ascii="Times New Roman" w:hAnsi="Times New Roman" w:hint="default"/>
        <w:b/>
        <w:i w:val="0"/>
        <w:sz w:val="24"/>
      </w:rPr>
    </w:lvl>
    <w:lvl w:ilvl="2">
      <w:start w:val="1"/>
      <w:numFmt w:val="decimal"/>
      <w:pStyle w:val="WUTCHeading3"/>
      <w:lvlText w:val="%3."/>
      <w:lvlJc w:val="left"/>
      <w:pPr>
        <w:tabs>
          <w:tab w:val="num" w:pos="1440"/>
        </w:tabs>
        <w:ind w:left="1440" w:hanging="720"/>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5" w15:restartNumberingAfterBreak="0">
    <w:nsid w:val="2EF244F4"/>
    <w:multiLevelType w:val="hybridMultilevel"/>
    <w:tmpl w:val="54BC23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9037247"/>
    <w:multiLevelType w:val="hybridMultilevel"/>
    <w:tmpl w:val="03AC1B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4A13FC"/>
    <w:multiLevelType w:val="hybridMultilevel"/>
    <w:tmpl w:val="1DC6B8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BA7525"/>
    <w:multiLevelType w:val="hybridMultilevel"/>
    <w:tmpl w:val="79682AA0"/>
    <w:lvl w:ilvl="0" w:tplc="42504250">
      <w:start w:val="5"/>
      <w:numFmt w:val="decimal"/>
      <w:lvlText w:val="%1."/>
      <w:lvlJc w:val="left"/>
      <w:pPr>
        <w:tabs>
          <w:tab w:val="num" w:pos="3600"/>
        </w:tabs>
        <w:ind w:left="3600" w:hanging="21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576208EB"/>
    <w:multiLevelType w:val="hybridMultilevel"/>
    <w:tmpl w:val="269459B6"/>
    <w:lvl w:ilvl="0" w:tplc="65F6F2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EF531D8"/>
    <w:multiLevelType w:val="hybridMultilevel"/>
    <w:tmpl w:val="07103A76"/>
    <w:lvl w:ilvl="0" w:tplc="CBF4EB22">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F725F5E"/>
    <w:multiLevelType w:val="multilevel"/>
    <w:tmpl w:val="AE660E1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68931D5B"/>
    <w:multiLevelType w:val="hybridMultilevel"/>
    <w:tmpl w:val="75C8E4A0"/>
    <w:lvl w:ilvl="0" w:tplc="7A36E4A2">
      <w:start w:val="1"/>
      <w:numFmt w:val="decimal"/>
      <w:pStyle w:val="WUTCParagraph"/>
      <w:lvlText w:val="%1"/>
      <w:lvlJc w:val="left"/>
      <w:pPr>
        <w:tabs>
          <w:tab w:val="num" w:pos="0"/>
        </w:tabs>
        <w:ind w:left="0" w:hanging="720"/>
      </w:pPr>
      <w:rPr>
        <w:rFonts w:ascii="Palatino Linotype" w:hAnsi="Palatino Linotype" w:hint="default"/>
        <w:b w:val="0"/>
        <w:i/>
        <w:color w:val="auto"/>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C665E1A"/>
    <w:multiLevelType w:val="hybridMultilevel"/>
    <w:tmpl w:val="CFA8DF48"/>
    <w:lvl w:ilvl="0" w:tplc="8886FF2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C807F3D"/>
    <w:multiLevelType w:val="hybridMultilevel"/>
    <w:tmpl w:val="9A26277C"/>
    <w:lvl w:ilvl="0" w:tplc="7972A44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4"/>
  </w:num>
  <w:num w:numId="3">
    <w:abstractNumId w:val="4"/>
  </w:num>
  <w:num w:numId="4">
    <w:abstractNumId w:val="12"/>
  </w:num>
  <w:num w:numId="5">
    <w:abstractNumId w:val="4"/>
  </w:num>
  <w:num w:numId="6">
    <w:abstractNumId w:val="0"/>
  </w:num>
  <w:num w:numId="7">
    <w:abstractNumId w:val="14"/>
  </w:num>
  <w:num w:numId="8">
    <w:abstractNumId w:val="13"/>
  </w:num>
  <w:num w:numId="9">
    <w:abstractNumId w:val="2"/>
  </w:num>
  <w:num w:numId="10">
    <w:abstractNumId w:val="5"/>
  </w:num>
  <w:num w:numId="11">
    <w:abstractNumId w:val="1"/>
  </w:num>
  <w:num w:numId="12">
    <w:abstractNumId w:val="11"/>
  </w:num>
  <w:num w:numId="13">
    <w:abstractNumId w:val="10"/>
  </w:num>
  <w:num w:numId="14">
    <w:abstractNumId w:val="3"/>
  </w:num>
  <w:num w:numId="15">
    <w:abstractNumId w:val="9"/>
  </w:num>
  <w:num w:numId="16">
    <w:abstractNumId w:val="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1740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2FA"/>
    <w:rsid w:val="0000190F"/>
    <w:rsid w:val="00005F65"/>
    <w:rsid w:val="00011D1B"/>
    <w:rsid w:val="000204AE"/>
    <w:rsid w:val="00020FB2"/>
    <w:rsid w:val="0002655B"/>
    <w:rsid w:val="00033023"/>
    <w:rsid w:val="00041633"/>
    <w:rsid w:val="00044148"/>
    <w:rsid w:val="00044FC3"/>
    <w:rsid w:val="0004552C"/>
    <w:rsid w:val="00045980"/>
    <w:rsid w:val="00047EB5"/>
    <w:rsid w:val="0005698B"/>
    <w:rsid w:val="00057B08"/>
    <w:rsid w:val="00062363"/>
    <w:rsid w:val="00063393"/>
    <w:rsid w:val="000635B7"/>
    <w:rsid w:val="000702FE"/>
    <w:rsid w:val="0007547E"/>
    <w:rsid w:val="000755EB"/>
    <w:rsid w:val="00077850"/>
    <w:rsid w:val="000815E0"/>
    <w:rsid w:val="00083409"/>
    <w:rsid w:val="00086CC1"/>
    <w:rsid w:val="000962AB"/>
    <w:rsid w:val="000A2FAF"/>
    <w:rsid w:val="000B4E7E"/>
    <w:rsid w:val="000B5BE8"/>
    <w:rsid w:val="000B73FE"/>
    <w:rsid w:val="000C5734"/>
    <w:rsid w:val="000C5A07"/>
    <w:rsid w:val="000D22AB"/>
    <w:rsid w:val="000D70BD"/>
    <w:rsid w:val="000E0836"/>
    <w:rsid w:val="000E169C"/>
    <w:rsid w:val="00101E1B"/>
    <w:rsid w:val="0010511B"/>
    <w:rsid w:val="00107B40"/>
    <w:rsid w:val="00121003"/>
    <w:rsid w:val="00126007"/>
    <w:rsid w:val="001311CA"/>
    <w:rsid w:val="001316D2"/>
    <w:rsid w:val="0013254D"/>
    <w:rsid w:val="00134560"/>
    <w:rsid w:val="001406A9"/>
    <w:rsid w:val="00143195"/>
    <w:rsid w:val="00150D4E"/>
    <w:rsid w:val="001511C1"/>
    <w:rsid w:val="00152B1C"/>
    <w:rsid w:val="001548B2"/>
    <w:rsid w:val="00154A62"/>
    <w:rsid w:val="0015594E"/>
    <w:rsid w:val="001605BE"/>
    <w:rsid w:val="00161B7A"/>
    <w:rsid w:val="00162125"/>
    <w:rsid w:val="001760A1"/>
    <w:rsid w:val="00177A76"/>
    <w:rsid w:val="00180C18"/>
    <w:rsid w:val="00184099"/>
    <w:rsid w:val="00185E17"/>
    <w:rsid w:val="001876A2"/>
    <w:rsid w:val="00195E40"/>
    <w:rsid w:val="001A2538"/>
    <w:rsid w:val="001A6AC7"/>
    <w:rsid w:val="001B2DDE"/>
    <w:rsid w:val="001B6DBD"/>
    <w:rsid w:val="001C4537"/>
    <w:rsid w:val="001C5E77"/>
    <w:rsid w:val="001C7628"/>
    <w:rsid w:val="001D6FB8"/>
    <w:rsid w:val="001D7CD1"/>
    <w:rsid w:val="001F3B27"/>
    <w:rsid w:val="00201EBD"/>
    <w:rsid w:val="002044F8"/>
    <w:rsid w:val="00205640"/>
    <w:rsid w:val="00205674"/>
    <w:rsid w:val="002075BF"/>
    <w:rsid w:val="00214551"/>
    <w:rsid w:val="00215785"/>
    <w:rsid w:val="00216C15"/>
    <w:rsid w:val="002420EC"/>
    <w:rsid w:val="00263B12"/>
    <w:rsid w:val="00265EB2"/>
    <w:rsid w:val="002679BD"/>
    <w:rsid w:val="002732AF"/>
    <w:rsid w:val="00282C0D"/>
    <w:rsid w:val="00286AC1"/>
    <w:rsid w:val="00287573"/>
    <w:rsid w:val="00296A44"/>
    <w:rsid w:val="002A4DD6"/>
    <w:rsid w:val="002B50A5"/>
    <w:rsid w:val="002B71BF"/>
    <w:rsid w:val="002C0E95"/>
    <w:rsid w:val="002C59CC"/>
    <w:rsid w:val="002C5CEB"/>
    <w:rsid w:val="002D533F"/>
    <w:rsid w:val="002D5709"/>
    <w:rsid w:val="002D582E"/>
    <w:rsid w:val="002D725A"/>
    <w:rsid w:val="002E1CC0"/>
    <w:rsid w:val="002E20DB"/>
    <w:rsid w:val="002F1D22"/>
    <w:rsid w:val="002F6AE2"/>
    <w:rsid w:val="0030269D"/>
    <w:rsid w:val="00306CB8"/>
    <w:rsid w:val="003318BF"/>
    <w:rsid w:val="00332469"/>
    <w:rsid w:val="00332D36"/>
    <w:rsid w:val="00335A79"/>
    <w:rsid w:val="00335EF3"/>
    <w:rsid w:val="0034023A"/>
    <w:rsid w:val="003446DB"/>
    <w:rsid w:val="00347E2A"/>
    <w:rsid w:val="00357116"/>
    <w:rsid w:val="0036444E"/>
    <w:rsid w:val="00367DEC"/>
    <w:rsid w:val="0037161F"/>
    <w:rsid w:val="00374E34"/>
    <w:rsid w:val="003817EE"/>
    <w:rsid w:val="00382E6E"/>
    <w:rsid w:val="00391D69"/>
    <w:rsid w:val="003A6E84"/>
    <w:rsid w:val="003A74C4"/>
    <w:rsid w:val="003B29D6"/>
    <w:rsid w:val="003B347E"/>
    <w:rsid w:val="003B52D6"/>
    <w:rsid w:val="003C42AE"/>
    <w:rsid w:val="003C4EA0"/>
    <w:rsid w:val="003C5886"/>
    <w:rsid w:val="003C749B"/>
    <w:rsid w:val="003D3D17"/>
    <w:rsid w:val="003D4919"/>
    <w:rsid w:val="003D68CD"/>
    <w:rsid w:val="003D7F6F"/>
    <w:rsid w:val="003E26A5"/>
    <w:rsid w:val="003E72FA"/>
    <w:rsid w:val="003E7BFF"/>
    <w:rsid w:val="003F6692"/>
    <w:rsid w:val="0040130A"/>
    <w:rsid w:val="0041629E"/>
    <w:rsid w:val="00424D4A"/>
    <w:rsid w:val="00433E31"/>
    <w:rsid w:val="00436BE7"/>
    <w:rsid w:val="0043752D"/>
    <w:rsid w:val="004561E0"/>
    <w:rsid w:val="00457B06"/>
    <w:rsid w:val="00460CA9"/>
    <w:rsid w:val="004643EA"/>
    <w:rsid w:val="004738E8"/>
    <w:rsid w:val="00481540"/>
    <w:rsid w:val="00484B42"/>
    <w:rsid w:val="0048533B"/>
    <w:rsid w:val="00490ED3"/>
    <w:rsid w:val="00492D9A"/>
    <w:rsid w:val="00494C0E"/>
    <w:rsid w:val="004A4DF0"/>
    <w:rsid w:val="004A58DA"/>
    <w:rsid w:val="004B042D"/>
    <w:rsid w:val="004B2558"/>
    <w:rsid w:val="004B5A86"/>
    <w:rsid w:val="004B6D52"/>
    <w:rsid w:val="004D4858"/>
    <w:rsid w:val="004E34AE"/>
    <w:rsid w:val="004E4DC2"/>
    <w:rsid w:val="004E5FC6"/>
    <w:rsid w:val="004F0B6C"/>
    <w:rsid w:val="004F1FE6"/>
    <w:rsid w:val="004F3E28"/>
    <w:rsid w:val="00504073"/>
    <w:rsid w:val="0050556C"/>
    <w:rsid w:val="005176D6"/>
    <w:rsid w:val="00523CC1"/>
    <w:rsid w:val="005250D2"/>
    <w:rsid w:val="00526E3C"/>
    <w:rsid w:val="00532D63"/>
    <w:rsid w:val="0053734A"/>
    <w:rsid w:val="0054116A"/>
    <w:rsid w:val="00545CAD"/>
    <w:rsid w:val="005476F6"/>
    <w:rsid w:val="00554411"/>
    <w:rsid w:val="00555C43"/>
    <w:rsid w:val="005606D2"/>
    <w:rsid w:val="005639A9"/>
    <w:rsid w:val="005701A3"/>
    <w:rsid w:val="005709AC"/>
    <w:rsid w:val="005805E4"/>
    <w:rsid w:val="005825B3"/>
    <w:rsid w:val="00584110"/>
    <w:rsid w:val="00585594"/>
    <w:rsid w:val="005949A6"/>
    <w:rsid w:val="005B1561"/>
    <w:rsid w:val="005B1662"/>
    <w:rsid w:val="005B38D6"/>
    <w:rsid w:val="005B4712"/>
    <w:rsid w:val="005B4926"/>
    <w:rsid w:val="005B582D"/>
    <w:rsid w:val="005C23E0"/>
    <w:rsid w:val="005C2DE8"/>
    <w:rsid w:val="005C3E1E"/>
    <w:rsid w:val="005D1B23"/>
    <w:rsid w:val="005D431E"/>
    <w:rsid w:val="005D5B80"/>
    <w:rsid w:val="005E2555"/>
    <w:rsid w:val="005E4432"/>
    <w:rsid w:val="005E6544"/>
    <w:rsid w:val="005E7241"/>
    <w:rsid w:val="005E7BCB"/>
    <w:rsid w:val="005F141D"/>
    <w:rsid w:val="005F37FD"/>
    <w:rsid w:val="00601916"/>
    <w:rsid w:val="0060221D"/>
    <w:rsid w:val="0060222D"/>
    <w:rsid w:val="00604D9D"/>
    <w:rsid w:val="00605A2F"/>
    <w:rsid w:val="006079AD"/>
    <w:rsid w:val="00610D1F"/>
    <w:rsid w:val="006136A2"/>
    <w:rsid w:val="00621B37"/>
    <w:rsid w:val="00626A31"/>
    <w:rsid w:val="006270BC"/>
    <w:rsid w:val="00630FC8"/>
    <w:rsid w:val="006462DD"/>
    <w:rsid w:val="006561A7"/>
    <w:rsid w:val="006615A7"/>
    <w:rsid w:val="00663EC4"/>
    <w:rsid w:val="00672EBB"/>
    <w:rsid w:val="006730EB"/>
    <w:rsid w:val="00674DB0"/>
    <w:rsid w:val="00676EF9"/>
    <w:rsid w:val="006830E8"/>
    <w:rsid w:val="00685021"/>
    <w:rsid w:val="00690BC2"/>
    <w:rsid w:val="0069410A"/>
    <w:rsid w:val="006950D6"/>
    <w:rsid w:val="00695384"/>
    <w:rsid w:val="006A1678"/>
    <w:rsid w:val="006A7327"/>
    <w:rsid w:val="006A766B"/>
    <w:rsid w:val="006B206C"/>
    <w:rsid w:val="006B5DED"/>
    <w:rsid w:val="006B6569"/>
    <w:rsid w:val="006D12BD"/>
    <w:rsid w:val="006D240E"/>
    <w:rsid w:val="006D48C0"/>
    <w:rsid w:val="006E6622"/>
    <w:rsid w:val="006E7680"/>
    <w:rsid w:val="006F2FD3"/>
    <w:rsid w:val="006F3F68"/>
    <w:rsid w:val="006F6A74"/>
    <w:rsid w:val="00714D4C"/>
    <w:rsid w:val="00717A3E"/>
    <w:rsid w:val="00721787"/>
    <w:rsid w:val="007326C0"/>
    <w:rsid w:val="00733AF1"/>
    <w:rsid w:val="00746675"/>
    <w:rsid w:val="0074685C"/>
    <w:rsid w:val="00754232"/>
    <w:rsid w:val="00772E8A"/>
    <w:rsid w:val="00784B46"/>
    <w:rsid w:val="0078729F"/>
    <w:rsid w:val="00791F72"/>
    <w:rsid w:val="007A04B4"/>
    <w:rsid w:val="007A1229"/>
    <w:rsid w:val="007A7AAB"/>
    <w:rsid w:val="007B1B70"/>
    <w:rsid w:val="007B1E35"/>
    <w:rsid w:val="007B63D3"/>
    <w:rsid w:val="007B6642"/>
    <w:rsid w:val="007C02D1"/>
    <w:rsid w:val="007D08E4"/>
    <w:rsid w:val="007D0FBA"/>
    <w:rsid w:val="007D2745"/>
    <w:rsid w:val="007E053B"/>
    <w:rsid w:val="007F10C7"/>
    <w:rsid w:val="008023BF"/>
    <w:rsid w:val="0081717C"/>
    <w:rsid w:val="00825285"/>
    <w:rsid w:val="00827433"/>
    <w:rsid w:val="00830102"/>
    <w:rsid w:val="0084188C"/>
    <w:rsid w:val="008433DA"/>
    <w:rsid w:val="00845D07"/>
    <w:rsid w:val="0085221D"/>
    <w:rsid w:val="00857780"/>
    <w:rsid w:val="008607D7"/>
    <w:rsid w:val="0086120E"/>
    <w:rsid w:val="00864C5A"/>
    <w:rsid w:val="00865AD8"/>
    <w:rsid w:val="008666E8"/>
    <w:rsid w:val="00866D37"/>
    <w:rsid w:val="00870A8F"/>
    <w:rsid w:val="00890660"/>
    <w:rsid w:val="008957D2"/>
    <w:rsid w:val="00897550"/>
    <w:rsid w:val="00897B28"/>
    <w:rsid w:val="008A3FF8"/>
    <w:rsid w:val="008A640B"/>
    <w:rsid w:val="008A654C"/>
    <w:rsid w:val="008A6924"/>
    <w:rsid w:val="008A6D09"/>
    <w:rsid w:val="008B719E"/>
    <w:rsid w:val="008C41C8"/>
    <w:rsid w:val="008C6DC5"/>
    <w:rsid w:val="008C7D79"/>
    <w:rsid w:val="008D38D7"/>
    <w:rsid w:val="008D75CF"/>
    <w:rsid w:val="008E3F85"/>
    <w:rsid w:val="008E6874"/>
    <w:rsid w:val="008E6FE4"/>
    <w:rsid w:val="008F5396"/>
    <w:rsid w:val="008F57F0"/>
    <w:rsid w:val="00901F2C"/>
    <w:rsid w:val="00915610"/>
    <w:rsid w:val="0092177A"/>
    <w:rsid w:val="00925A70"/>
    <w:rsid w:val="00941444"/>
    <w:rsid w:val="00946CF7"/>
    <w:rsid w:val="00952395"/>
    <w:rsid w:val="0095323B"/>
    <w:rsid w:val="00953702"/>
    <w:rsid w:val="009556C6"/>
    <w:rsid w:val="0096425B"/>
    <w:rsid w:val="009654D1"/>
    <w:rsid w:val="00972C3D"/>
    <w:rsid w:val="00976E8B"/>
    <w:rsid w:val="009835A9"/>
    <w:rsid w:val="0098702B"/>
    <w:rsid w:val="009938B1"/>
    <w:rsid w:val="009B0170"/>
    <w:rsid w:val="009B30BB"/>
    <w:rsid w:val="009B4B98"/>
    <w:rsid w:val="009B4D40"/>
    <w:rsid w:val="009C092A"/>
    <w:rsid w:val="009D2E73"/>
    <w:rsid w:val="009D3506"/>
    <w:rsid w:val="009D431C"/>
    <w:rsid w:val="009F6613"/>
    <w:rsid w:val="009F6D60"/>
    <w:rsid w:val="00A01590"/>
    <w:rsid w:val="00A10021"/>
    <w:rsid w:val="00A1025D"/>
    <w:rsid w:val="00A1500C"/>
    <w:rsid w:val="00A20344"/>
    <w:rsid w:val="00A22EAC"/>
    <w:rsid w:val="00A3175C"/>
    <w:rsid w:val="00A3200C"/>
    <w:rsid w:val="00A34EC4"/>
    <w:rsid w:val="00A35443"/>
    <w:rsid w:val="00A359A1"/>
    <w:rsid w:val="00A37346"/>
    <w:rsid w:val="00A44E68"/>
    <w:rsid w:val="00A54390"/>
    <w:rsid w:val="00A62ED2"/>
    <w:rsid w:val="00A64377"/>
    <w:rsid w:val="00A65439"/>
    <w:rsid w:val="00A664E1"/>
    <w:rsid w:val="00A73491"/>
    <w:rsid w:val="00A901E8"/>
    <w:rsid w:val="00A90D85"/>
    <w:rsid w:val="00A92670"/>
    <w:rsid w:val="00A92B1C"/>
    <w:rsid w:val="00AB5BB3"/>
    <w:rsid w:val="00AC0634"/>
    <w:rsid w:val="00AC4992"/>
    <w:rsid w:val="00AC73A8"/>
    <w:rsid w:val="00AD5289"/>
    <w:rsid w:val="00AE04C4"/>
    <w:rsid w:val="00AE23B9"/>
    <w:rsid w:val="00AE3B0C"/>
    <w:rsid w:val="00AE4DC3"/>
    <w:rsid w:val="00AE73A7"/>
    <w:rsid w:val="00AF0524"/>
    <w:rsid w:val="00AF052A"/>
    <w:rsid w:val="00AF2458"/>
    <w:rsid w:val="00AF5A03"/>
    <w:rsid w:val="00AF66E5"/>
    <w:rsid w:val="00B00A6B"/>
    <w:rsid w:val="00B0191C"/>
    <w:rsid w:val="00B12335"/>
    <w:rsid w:val="00B128F7"/>
    <w:rsid w:val="00B13683"/>
    <w:rsid w:val="00B15CAE"/>
    <w:rsid w:val="00B232D8"/>
    <w:rsid w:val="00B34EDA"/>
    <w:rsid w:val="00B35205"/>
    <w:rsid w:val="00B524D0"/>
    <w:rsid w:val="00B5405C"/>
    <w:rsid w:val="00B6137D"/>
    <w:rsid w:val="00B64D5C"/>
    <w:rsid w:val="00B6510F"/>
    <w:rsid w:val="00B6638D"/>
    <w:rsid w:val="00B67B21"/>
    <w:rsid w:val="00B71DDF"/>
    <w:rsid w:val="00B81108"/>
    <w:rsid w:val="00B836F3"/>
    <w:rsid w:val="00B8522A"/>
    <w:rsid w:val="00B91C9F"/>
    <w:rsid w:val="00B95606"/>
    <w:rsid w:val="00B977FE"/>
    <w:rsid w:val="00BB164E"/>
    <w:rsid w:val="00BB4362"/>
    <w:rsid w:val="00BC0083"/>
    <w:rsid w:val="00BF33A1"/>
    <w:rsid w:val="00BF6C42"/>
    <w:rsid w:val="00BF7FA6"/>
    <w:rsid w:val="00C07088"/>
    <w:rsid w:val="00C1239C"/>
    <w:rsid w:val="00C12F29"/>
    <w:rsid w:val="00C14C5B"/>
    <w:rsid w:val="00C16F4F"/>
    <w:rsid w:val="00C17221"/>
    <w:rsid w:val="00C20ACD"/>
    <w:rsid w:val="00C2161B"/>
    <w:rsid w:val="00C23B38"/>
    <w:rsid w:val="00C33BC1"/>
    <w:rsid w:val="00C3628D"/>
    <w:rsid w:val="00C42330"/>
    <w:rsid w:val="00C4382E"/>
    <w:rsid w:val="00C51377"/>
    <w:rsid w:val="00C538F8"/>
    <w:rsid w:val="00C56BC4"/>
    <w:rsid w:val="00C638D8"/>
    <w:rsid w:val="00C66622"/>
    <w:rsid w:val="00C66AF5"/>
    <w:rsid w:val="00C71BE7"/>
    <w:rsid w:val="00C81E72"/>
    <w:rsid w:val="00C84E28"/>
    <w:rsid w:val="00C8592E"/>
    <w:rsid w:val="00C9166D"/>
    <w:rsid w:val="00C956CF"/>
    <w:rsid w:val="00CA14BC"/>
    <w:rsid w:val="00CB4F49"/>
    <w:rsid w:val="00CB548F"/>
    <w:rsid w:val="00CB67D0"/>
    <w:rsid w:val="00CE1363"/>
    <w:rsid w:val="00CE2F8D"/>
    <w:rsid w:val="00CE3C38"/>
    <w:rsid w:val="00D04D17"/>
    <w:rsid w:val="00D114EF"/>
    <w:rsid w:val="00D13C88"/>
    <w:rsid w:val="00D16A71"/>
    <w:rsid w:val="00D2528F"/>
    <w:rsid w:val="00D267A7"/>
    <w:rsid w:val="00D3061C"/>
    <w:rsid w:val="00D30BC8"/>
    <w:rsid w:val="00D3512A"/>
    <w:rsid w:val="00D362D3"/>
    <w:rsid w:val="00D417BD"/>
    <w:rsid w:val="00D42586"/>
    <w:rsid w:val="00D44825"/>
    <w:rsid w:val="00D47FCC"/>
    <w:rsid w:val="00D50F74"/>
    <w:rsid w:val="00D70479"/>
    <w:rsid w:val="00D756E1"/>
    <w:rsid w:val="00D80740"/>
    <w:rsid w:val="00D831BC"/>
    <w:rsid w:val="00D85121"/>
    <w:rsid w:val="00D86C22"/>
    <w:rsid w:val="00D93602"/>
    <w:rsid w:val="00DA5990"/>
    <w:rsid w:val="00DB3458"/>
    <w:rsid w:val="00DC69D8"/>
    <w:rsid w:val="00DC7B75"/>
    <w:rsid w:val="00DD0E5F"/>
    <w:rsid w:val="00DD5438"/>
    <w:rsid w:val="00DD78AF"/>
    <w:rsid w:val="00DE29AC"/>
    <w:rsid w:val="00E01E04"/>
    <w:rsid w:val="00E1553A"/>
    <w:rsid w:val="00E23436"/>
    <w:rsid w:val="00E2662C"/>
    <w:rsid w:val="00E26B39"/>
    <w:rsid w:val="00E27B9A"/>
    <w:rsid w:val="00E32A71"/>
    <w:rsid w:val="00E364DB"/>
    <w:rsid w:val="00E36D11"/>
    <w:rsid w:val="00E41820"/>
    <w:rsid w:val="00E566A9"/>
    <w:rsid w:val="00E65229"/>
    <w:rsid w:val="00E664A2"/>
    <w:rsid w:val="00E71BAB"/>
    <w:rsid w:val="00E8044E"/>
    <w:rsid w:val="00E8087B"/>
    <w:rsid w:val="00E8386B"/>
    <w:rsid w:val="00E8439D"/>
    <w:rsid w:val="00E85E2D"/>
    <w:rsid w:val="00EA4010"/>
    <w:rsid w:val="00EB472B"/>
    <w:rsid w:val="00EC10A2"/>
    <w:rsid w:val="00EC39E7"/>
    <w:rsid w:val="00EC506F"/>
    <w:rsid w:val="00EC6544"/>
    <w:rsid w:val="00ED089D"/>
    <w:rsid w:val="00ED30EA"/>
    <w:rsid w:val="00ED3613"/>
    <w:rsid w:val="00ED7C76"/>
    <w:rsid w:val="00EE2DF3"/>
    <w:rsid w:val="00EE5DF0"/>
    <w:rsid w:val="00EF0789"/>
    <w:rsid w:val="00F024FA"/>
    <w:rsid w:val="00F0419B"/>
    <w:rsid w:val="00F11E57"/>
    <w:rsid w:val="00F12D91"/>
    <w:rsid w:val="00F160E5"/>
    <w:rsid w:val="00F16F11"/>
    <w:rsid w:val="00F2511E"/>
    <w:rsid w:val="00F37BF9"/>
    <w:rsid w:val="00F43036"/>
    <w:rsid w:val="00F55F67"/>
    <w:rsid w:val="00F6423F"/>
    <w:rsid w:val="00F6602E"/>
    <w:rsid w:val="00F66144"/>
    <w:rsid w:val="00F66A8E"/>
    <w:rsid w:val="00F704C3"/>
    <w:rsid w:val="00F72EA9"/>
    <w:rsid w:val="00F740E3"/>
    <w:rsid w:val="00F74234"/>
    <w:rsid w:val="00F83BDA"/>
    <w:rsid w:val="00F9244F"/>
    <w:rsid w:val="00F933EC"/>
    <w:rsid w:val="00FA076D"/>
    <w:rsid w:val="00FA09D5"/>
    <w:rsid w:val="00FD028F"/>
    <w:rsid w:val="00FD21A5"/>
    <w:rsid w:val="00FE16DC"/>
    <w:rsid w:val="00FE2439"/>
    <w:rsid w:val="00FE5D91"/>
    <w:rsid w:val="00FF2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3F20B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qFormat="1"/>
    <w:lsdException w:name="page number" w:semiHidden="1" w:uiPriority="99"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5805E4"/>
    <w:rPr>
      <w:color w:val="000000"/>
      <w:sz w:val="24"/>
    </w:rPr>
  </w:style>
  <w:style w:type="paragraph" w:styleId="Heading1">
    <w:name w:val="heading 1"/>
    <w:basedOn w:val="Normal"/>
    <w:next w:val="Normal"/>
    <w:qFormat/>
    <w:pPr>
      <w:keepNext/>
      <w:tabs>
        <w:tab w:val="center" w:pos="4680"/>
      </w:tabs>
      <w:outlineLvl w:val="0"/>
    </w:pPr>
    <w:rPr>
      <w:b/>
      <w:snapToGrid w:val="0"/>
      <w:color w:val="auto"/>
      <w:sz w:val="28"/>
    </w:rPr>
  </w:style>
  <w:style w:type="paragraph" w:styleId="Heading2">
    <w:name w:val="heading 2"/>
    <w:basedOn w:val="Normal"/>
    <w:next w:val="Normal"/>
    <w:qFormat/>
    <w:pPr>
      <w:keepNext/>
      <w:tabs>
        <w:tab w:val="center" w:pos="4680"/>
      </w:tabs>
      <w:suppressAutoHyphens/>
      <w:jc w:val="center"/>
      <w:outlineLvl w:val="1"/>
    </w:pPr>
    <w:rPr>
      <w:color w:val="auto"/>
    </w:rPr>
  </w:style>
  <w:style w:type="paragraph" w:styleId="Heading6">
    <w:name w:val="heading 6"/>
    <w:basedOn w:val="Normal"/>
    <w:next w:val="Normal"/>
    <w:link w:val="Heading6Char"/>
    <w:qFormat/>
    <w:rsid w:val="000C761D"/>
    <w:pPr>
      <w:spacing w:before="240" w:after="60"/>
      <w:outlineLvl w:val="5"/>
    </w:pPr>
    <w:rPr>
      <w:rFonts w:ascii="Calibri" w:hAnsi="Calibri"/>
      <w:b/>
      <w:bCs/>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Footer">
    <w:name w:val="footer"/>
    <w:basedOn w:val="Normal"/>
    <w:link w:val="FooterChar"/>
    <w:uiPriority w:val="99"/>
    <w:pPr>
      <w:widowControl w:val="0"/>
      <w:tabs>
        <w:tab w:val="center" w:pos="4320"/>
        <w:tab w:val="right" w:pos="8640"/>
      </w:tabs>
    </w:pPr>
    <w:rPr>
      <w:snapToGrid w:val="0"/>
      <w:color w:val="auto"/>
      <w:lang w:val="x-none" w:eastAsia="x-none"/>
    </w:rPr>
  </w:style>
  <w:style w:type="character" w:styleId="PageNumber">
    <w:name w:val="page number"/>
    <w:basedOn w:val="DefaultParagraphFont"/>
    <w:uiPriority w:val="99"/>
  </w:style>
  <w:style w:type="paragraph" w:styleId="BodyTextIndent">
    <w:name w:val="Body Text Indent"/>
    <w:basedOn w:val="Normal"/>
    <w:link w:val="BodyTextIndentChar"/>
    <w:pPr>
      <w:spacing w:line="480" w:lineRule="auto"/>
      <w:ind w:firstLine="720"/>
    </w:pPr>
    <w:rPr>
      <w:snapToGrid w:val="0"/>
      <w:color w:val="auto"/>
      <w:lang w:val="x-none" w:eastAsia="x-none"/>
    </w:rPr>
  </w:style>
  <w:style w:type="paragraph" w:styleId="BodyTextIndent2">
    <w:name w:val="Body Text Indent 2"/>
    <w:basedOn w:val="Normal"/>
    <w:pPr>
      <w:spacing w:line="480" w:lineRule="auto"/>
      <w:ind w:firstLine="1440"/>
    </w:pPr>
    <w:rPr>
      <w:color w:val="auto"/>
    </w:rPr>
  </w:style>
  <w:style w:type="paragraph" w:styleId="Header">
    <w:name w:val="header"/>
    <w:basedOn w:val="Normal"/>
    <w:link w:val="HeaderChar"/>
    <w:uiPriority w:val="99"/>
    <w:pPr>
      <w:tabs>
        <w:tab w:val="center" w:pos="4320"/>
        <w:tab w:val="right" w:pos="8640"/>
      </w:tabs>
    </w:pPr>
    <w:rPr>
      <w:color w:val="auto"/>
      <w:sz w:val="20"/>
    </w:rPr>
  </w:style>
  <w:style w:type="paragraph" w:customStyle="1" w:styleId="SingleSpacing">
    <w:name w:val="Single Spacing"/>
    <w:basedOn w:val="Normal"/>
    <w:pPr>
      <w:spacing w:line="254" w:lineRule="exact"/>
    </w:pPr>
    <w:rPr>
      <w:color w:val="auto"/>
    </w:rPr>
  </w:style>
  <w:style w:type="paragraph" w:styleId="BodyText2">
    <w:name w:val="Body Text 2"/>
    <w:basedOn w:val="Normal"/>
    <w:rPr>
      <w:color w:val="auto"/>
    </w:rPr>
  </w:style>
  <w:style w:type="character" w:styleId="Hyperlink">
    <w:name w:val="Hyperlink"/>
    <w:rPr>
      <w:color w:val="0000FF"/>
      <w:u w:val="single"/>
    </w:rPr>
  </w:style>
  <w:style w:type="paragraph" w:styleId="EndnoteText">
    <w:name w:val="endnote text"/>
    <w:basedOn w:val="Normal"/>
    <w:link w:val="EndnoteTextChar"/>
    <w:uiPriority w:val="99"/>
    <w:semiHidden/>
    <w:pPr>
      <w:widowControl w:val="0"/>
      <w:overflowPunct w:val="0"/>
      <w:autoSpaceDE w:val="0"/>
      <w:autoSpaceDN w:val="0"/>
      <w:adjustRightInd w:val="0"/>
      <w:textAlignment w:val="baseline"/>
    </w:pPr>
    <w:rPr>
      <w:rFonts w:ascii="Courier" w:hAnsi="Courier"/>
      <w:color w:val="auto"/>
      <w:lang w:val="x-none" w:eastAsia="x-none"/>
    </w:rPr>
  </w:style>
  <w:style w:type="paragraph" w:customStyle="1" w:styleId="WUTCHeading1">
    <w:name w:val="WUTC Heading 1"/>
    <w:basedOn w:val="Normal"/>
    <w:next w:val="Normal"/>
    <w:pPr>
      <w:keepNext/>
      <w:keepLines/>
      <w:numPr>
        <w:numId w:val="2"/>
      </w:numPr>
      <w:tabs>
        <w:tab w:val="clear" w:pos="0"/>
        <w:tab w:val="left" w:pos="720"/>
      </w:tabs>
      <w:spacing w:after="240"/>
      <w:ind w:firstLine="0"/>
      <w:jc w:val="center"/>
      <w:outlineLvl w:val="0"/>
    </w:pPr>
    <w:rPr>
      <w:b/>
      <w:caps/>
      <w:color w:val="auto"/>
      <w:szCs w:val="24"/>
    </w:rPr>
  </w:style>
  <w:style w:type="paragraph" w:customStyle="1" w:styleId="WUTCHeading2">
    <w:name w:val="WUTC Heading 2"/>
    <w:basedOn w:val="WUTCHeading1"/>
    <w:next w:val="Normal"/>
    <w:pPr>
      <w:numPr>
        <w:ilvl w:val="1"/>
        <w:numId w:val="3"/>
      </w:numPr>
      <w:jc w:val="left"/>
      <w:outlineLvl w:val="1"/>
    </w:pPr>
    <w:rPr>
      <w:caps w:val="0"/>
    </w:rPr>
  </w:style>
  <w:style w:type="paragraph" w:customStyle="1" w:styleId="WUTCParagraph">
    <w:name w:val="WUTC Paragraph"/>
    <w:basedOn w:val="Normal"/>
    <w:link w:val="WUTCParagraphChar"/>
    <w:pPr>
      <w:numPr>
        <w:numId w:val="4"/>
      </w:numPr>
      <w:tabs>
        <w:tab w:val="clear" w:pos="0"/>
        <w:tab w:val="left" w:pos="1440"/>
      </w:tabs>
      <w:spacing w:line="480" w:lineRule="auto"/>
    </w:pPr>
    <w:rPr>
      <w:color w:val="auto"/>
      <w:szCs w:val="24"/>
      <w:lang w:val="x-none" w:eastAsia="x-none"/>
    </w:rPr>
  </w:style>
  <w:style w:type="paragraph" w:customStyle="1" w:styleId="WUTCHeading3">
    <w:name w:val="WUTC Heading 3"/>
    <w:basedOn w:val="WUTCHeading1"/>
    <w:pPr>
      <w:numPr>
        <w:ilvl w:val="2"/>
        <w:numId w:val="5"/>
      </w:numPr>
      <w:jc w:val="left"/>
      <w:outlineLvl w:val="2"/>
    </w:pPr>
    <w:rPr>
      <w:caps w:val="0"/>
    </w:rPr>
  </w:style>
  <w:style w:type="paragraph" w:customStyle="1" w:styleId="wfxRecipient">
    <w:name w:val="wfxRecipient"/>
    <w:basedOn w:val="Normal"/>
    <w:pPr>
      <w:overflowPunct w:val="0"/>
      <w:autoSpaceDE w:val="0"/>
      <w:autoSpaceDN w:val="0"/>
      <w:adjustRightInd w:val="0"/>
      <w:textAlignment w:val="baseline"/>
    </w:pPr>
    <w:rPr>
      <w:rFonts w:ascii="Univers" w:hAnsi="Univers"/>
      <w:color w:val="auto"/>
      <w:szCs w:val="24"/>
    </w:rPr>
  </w:style>
  <w:style w:type="character" w:customStyle="1" w:styleId="FooterChar">
    <w:name w:val="Footer Char"/>
    <w:link w:val="Footer"/>
    <w:uiPriority w:val="99"/>
    <w:rsid w:val="00625987"/>
    <w:rPr>
      <w:snapToGrid w:val="0"/>
      <w:sz w:val="24"/>
    </w:rPr>
  </w:style>
  <w:style w:type="character" w:customStyle="1" w:styleId="HeaderChar">
    <w:name w:val="Header Char"/>
    <w:basedOn w:val="DefaultParagraphFont"/>
    <w:link w:val="Header"/>
    <w:uiPriority w:val="99"/>
    <w:rsid w:val="00625987"/>
  </w:style>
  <w:style w:type="character" w:customStyle="1" w:styleId="EndnoteTextChar">
    <w:name w:val="Endnote Text Char"/>
    <w:link w:val="EndnoteText"/>
    <w:uiPriority w:val="99"/>
    <w:semiHidden/>
    <w:rsid w:val="00625987"/>
    <w:rPr>
      <w:rFonts w:ascii="Courier" w:hAnsi="Courier"/>
      <w:sz w:val="24"/>
    </w:rPr>
  </w:style>
  <w:style w:type="character" w:styleId="FollowedHyperlink">
    <w:name w:val="FollowedHyperlink"/>
    <w:rsid w:val="00842223"/>
    <w:rPr>
      <w:color w:val="800080"/>
      <w:u w:val="single"/>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rsid w:val="00504368"/>
    <w:rPr>
      <w:sz w:val="20"/>
      <w:lang w:val="x-none" w:eastAsia="x-none"/>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link w:val="FootnoteText"/>
    <w:rsid w:val="00504368"/>
    <w:rPr>
      <w:color w:val="000000"/>
    </w:rPr>
  </w:style>
  <w:style w:type="character" w:styleId="FootnoteReference">
    <w:name w:val="footnote reference"/>
    <w:aliases w:val="o,fr,Style 3,Style 13,Style 12,Style 15,Style 17,Style 9,o1,fr1,o2,fr2,o3,fr3,Style 18,(NECG) Footnote Reference,Style 20,Style 7,Style 8,Style 19,Style 28,Style 11,Style 16,Styl"/>
    <w:rsid w:val="00504368"/>
    <w:rPr>
      <w:vertAlign w:val="superscript"/>
    </w:rPr>
  </w:style>
  <w:style w:type="character" w:styleId="LineNumber">
    <w:name w:val="line number"/>
    <w:uiPriority w:val="99"/>
    <w:unhideWhenUsed/>
    <w:qFormat/>
    <w:rsid w:val="0090590F"/>
    <w:rPr>
      <w:rFonts w:ascii="Times New Roman" w:hAnsi="Times New Roman"/>
      <w:sz w:val="24"/>
      <w:szCs w:val="22"/>
    </w:rPr>
  </w:style>
  <w:style w:type="character" w:customStyle="1" w:styleId="WUTCParagraphChar">
    <w:name w:val="WUTC Paragraph Char"/>
    <w:link w:val="WUTCParagraph"/>
    <w:rsid w:val="0090590F"/>
    <w:rPr>
      <w:sz w:val="24"/>
      <w:szCs w:val="24"/>
    </w:rPr>
  </w:style>
  <w:style w:type="character" w:customStyle="1" w:styleId="BodyTextIndentChar">
    <w:name w:val="Body Text Indent Char"/>
    <w:link w:val="BodyTextIndent"/>
    <w:rsid w:val="0090590F"/>
    <w:rPr>
      <w:snapToGrid w:val="0"/>
      <w:sz w:val="24"/>
    </w:rPr>
  </w:style>
  <w:style w:type="paragraph" w:customStyle="1" w:styleId="draft">
    <w:name w:val="draft"/>
    <w:basedOn w:val="WUTCParagraph"/>
    <w:link w:val="draftChar"/>
    <w:qFormat/>
    <w:rsid w:val="0090590F"/>
    <w:pPr>
      <w:tabs>
        <w:tab w:val="num" w:pos="1440"/>
      </w:tabs>
      <w:spacing w:line="570" w:lineRule="exact"/>
    </w:pPr>
  </w:style>
  <w:style w:type="character" w:customStyle="1" w:styleId="draftChar">
    <w:name w:val="draft Char"/>
    <w:link w:val="draft"/>
    <w:rsid w:val="0090590F"/>
  </w:style>
  <w:style w:type="paragraph" w:styleId="TableofAuthorities">
    <w:name w:val="table of authorities"/>
    <w:basedOn w:val="Normal"/>
    <w:next w:val="Normal"/>
    <w:uiPriority w:val="99"/>
    <w:unhideWhenUsed/>
    <w:rsid w:val="0090590F"/>
    <w:pPr>
      <w:ind w:left="240" w:hanging="240"/>
    </w:pPr>
    <w:rPr>
      <w:color w:val="auto"/>
      <w:szCs w:val="24"/>
    </w:rPr>
  </w:style>
  <w:style w:type="paragraph" w:customStyle="1" w:styleId="UTCStyle">
    <w:name w:val="UTC Style"/>
    <w:basedOn w:val="BodyTextIndent"/>
    <w:link w:val="UTCStyleChar"/>
    <w:qFormat/>
    <w:rsid w:val="0090590F"/>
    <w:pPr>
      <w:tabs>
        <w:tab w:val="left" w:pos="720"/>
        <w:tab w:val="right" w:leader="dot" w:pos="8640"/>
      </w:tabs>
      <w:spacing w:line="240" w:lineRule="auto"/>
      <w:ind w:firstLine="0"/>
    </w:pPr>
    <w:rPr>
      <w:sz w:val="28"/>
    </w:rPr>
  </w:style>
  <w:style w:type="character" w:customStyle="1" w:styleId="UTCStyleChar">
    <w:name w:val="UTC Style Char"/>
    <w:link w:val="UTCStyle"/>
    <w:rsid w:val="0090590F"/>
    <w:rPr>
      <w:snapToGrid w:val="0"/>
      <w:sz w:val="28"/>
    </w:rPr>
  </w:style>
  <w:style w:type="paragraph" w:customStyle="1" w:styleId="IASFav">
    <w:name w:val="IAS Fav"/>
    <w:basedOn w:val="draft"/>
    <w:link w:val="IASFavChar"/>
    <w:qFormat/>
    <w:rsid w:val="0090590F"/>
    <w:rPr>
      <w:szCs w:val="22"/>
    </w:rPr>
  </w:style>
  <w:style w:type="paragraph" w:customStyle="1" w:styleId="IAS2">
    <w:name w:val="IAS 2"/>
    <w:basedOn w:val="Normal"/>
    <w:link w:val="IAS2Char"/>
    <w:qFormat/>
    <w:rsid w:val="0090590F"/>
    <w:pPr>
      <w:tabs>
        <w:tab w:val="num" w:pos="0"/>
        <w:tab w:val="left" w:pos="1440"/>
      </w:tabs>
      <w:spacing w:line="480" w:lineRule="auto"/>
      <w:ind w:hanging="720"/>
    </w:pPr>
    <w:rPr>
      <w:color w:val="auto"/>
      <w:szCs w:val="24"/>
      <w:lang w:val="x-none" w:eastAsia="x-none"/>
    </w:rPr>
  </w:style>
  <w:style w:type="character" w:customStyle="1" w:styleId="IASFavChar">
    <w:name w:val="IAS Fav Char"/>
    <w:link w:val="IASFav"/>
    <w:rsid w:val="0090590F"/>
    <w:rPr>
      <w:sz w:val="24"/>
      <w:szCs w:val="22"/>
    </w:rPr>
  </w:style>
  <w:style w:type="character" w:customStyle="1" w:styleId="IAS2Char">
    <w:name w:val="IAS 2 Char"/>
    <w:link w:val="IAS2"/>
    <w:rsid w:val="0090590F"/>
    <w:rPr>
      <w:sz w:val="24"/>
      <w:szCs w:val="24"/>
      <w:lang w:val="x-none" w:eastAsia="x-none"/>
    </w:rPr>
  </w:style>
  <w:style w:type="character" w:customStyle="1" w:styleId="Heading6Char">
    <w:name w:val="Heading 6 Char"/>
    <w:link w:val="Heading6"/>
    <w:semiHidden/>
    <w:rsid w:val="000C761D"/>
    <w:rPr>
      <w:rFonts w:ascii="Calibri" w:eastAsia="Times New Roman" w:hAnsi="Calibri" w:cs="Times New Roman"/>
      <w:b/>
      <w:bCs/>
      <w:color w:val="000000"/>
      <w:sz w:val="22"/>
      <w:szCs w:val="22"/>
    </w:rPr>
  </w:style>
  <w:style w:type="paragraph" w:customStyle="1" w:styleId="draftheading2">
    <w:name w:val="draft heading 2"/>
    <w:basedOn w:val="WUTCHeading2"/>
    <w:link w:val="draftheading2Char"/>
    <w:qFormat/>
    <w:rsid w:val="007F1477"/>
    <w:pPr>
      <w:numPr>
        <w:ilvl w:val="0"/>
        <w:numId w:val="0"/>
      </w:numPr>
      <w:spacing w:after="0"/>
      <w:ind w:left="1440" w:hanging="720"/>
    </w:pPr>
    <w:rPr>
      <w:lang w:val="x-none" w:eastAsia="x-none"/>
    </w:rPr>
  </w:style>
  <w:style w:type="character" w:customStyle="1" w:styleId="draftheading2Char">
    <w:name w:val="draft heading 2 Char"/>
    <w:link w:val="draftheading2"/>
    <w:rsid w:val="007F1477"/>
    <w:rPr>
      <w:b/>
      <w:sz w:val="24"/>
      <w:szCs w:val="24"/>
    </w:rPr>
  </w:style>
  <w:style w:type="paragraph" w:customStyle="1" w:styleId="draftheading3">
    <w:name w:val="draft heading 3"/>
    <w:basedOn w:val="WUTCParagraph"/>
    <w:link w:val="draftheading3Char"/>
    <w:qFormat/>
    <w:rsid w:val="007F1477"/>
    <w:pPr>
      <w:keepNext/>
      <w:numPr>
        <w:numId w:val="0"/>
      </w:numPr>
      <w:spacing w:before="240" w:line="240" w:lineRule="auto"/>
      <w:ind w:left="1440" w:hanging="720"/>
    </w:pPr>
    <w:rPr>
      <w:b/>
    </w:rPr>
  </w:style>
  <w:style w:type="character" w:customStyle="1" w:styleId="draftheading3Char">
    <w:name w:val="draft heading 3 Char"/>
    <w:link w:val="draftheading3"/>
    <w:rsid w:val="007F1477"/>
    <w:rPr>
      <w:b/>
      <w:sz w:val="24"/>
      <w:szCs w:val="24"/>
    </w:rPr>
  </w:style>
  <w:style w:type="table" w:styleId="TableGrid">
    <w:name w:val="Table Grid"/>
    <w:basedOn w:val="TableNormal"/>
    <w:rsid w:val="00673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97840"/>
    <w:rPr>
      <w:rFonts w:ascii="Tahoma" w:hAnsi="Tahoma"/>
      <w:sz w:val="16"/>
      <w:szCs w:val="16"/>
      <w:lang w:val="x-none" w:eastAsia="x-none"/>
    </w:rPr>
  </w:style>
  <w:style w:type="character" w:customStyle="1" w:styleId="BalloonTextChar">
    <w:name w:val="Balloon Text Char"/>
    <w:link w:val="BalloonText"/>
    <w:rsid w:val="00497840"/>
    <w:rPr>
      <w:rFonts w:ascii="Tahoma" w:hAnsi="Tahoma" w:cs="Tahoma"/>
      <w:color w:val="000000"/>
      <w:sz w:val="16"/>
      <w:szCs w:val="16"/>
    </w:rPr>
  </w:style>
  <w:style w:type="paragraph" w:customStyle="1" w:styleId="MediumGrid1-Accent21">
    <w:name w:val="Medium Grid 1 - Accent 21"/>
    <w:basedOn w:val="Normal"/>
    <w:uiPriority w:val="34"/>
    <w:qFormat/>
    <w:rsid w:val="00826BB4"/>
    <w:pPr>
      <w:ind w:left="720"/>
    </w:pPr>
  </w:style>
  <w:style w:type="paragraph" w:customStyle="1" w:styleId="ColorfulList-Accent11">
    <w:name w:val="Colorful List - Accent 11"/>
    <w:basedOn w:val="Normal"/>
    <w:uiPriority w:val="34"/>
    <w:qFormat/>
    <w:rsid w:val="007055B2"/>
    <w:pPr>
      <w:ind w:left="720"/>
    </w:pPr>
  </w:style>
  <w:style w:type="paragraph" w:customStyle="1" w:styleId="130043Post-hearingBriefParagraph">
    <w:name w:val="130043 Post-hearing Brief Paragraph"/>
    <w:basedOn w:val="WUTCParagraph"/>
    <w:qFormat/>
    <w:rsid w:val="00E2225A"/>
  </w:style>
  <w:style w:type="paragraph" w:customStyle="1" w:styleId="UTCHeaderletter">
    <w:name w:val="UTC Header (letter)"/>
    <w:basedOn w:val="WUTCParagraph"/>
    <w:qFormat/>
    <w:rsid w:val="00E2225A"/>
    <w:pPr>
      <w:keepNext/>
      <w:numPr>
        <w:numId w:val="0"/>
      </w:numPr>
      <w:tabs>
        <w:tab w:val="left" w:pos="720"/>
      </w:tabs>
      <w:spacing w:line="570" w:lineRule="exact"/>
      <w:ind w:left="1440" w:hanging="720"/>
    </w:pPr>
    <w:rPr>
      <w:b/>
    </w:rPr>
  </w:style>
  <w:style w:type="paragraph" w:customStyle="1" w:styleId="answer">
    <w:name w:val="answer"/>
    <w:basedOn w:val="Normal"/>
    <w:link w:val="answerChar"/>
    <w:rsid w:val="00041B61"/>
    <w:pPr>
      <w:spacing w:before="120" w:after="120" w:line="480" w:lineRule="auto"/>
      <w:ind w:left="720" w:hanging="720"/>
    </w:pPr>
    <w:rPr>
      <w:color w:val="auto"/>
      <w:lang w:val="x-none" w:eastAsia="zh-CN"/>
    </w:rPr>
  </w:style>
  <w:style w:type="character" w:customStyle="1" w:styleId="answerChar">
    <w:name w:val="answer Char"/>
    <w:link w:val="answer"/>
    <w:rsid w:val="00041B61"/>
    <w:rPr>
      <w:sz w:val="24"/>
      <w:lang w:eastAsia="zh-CN"/>
    </w:rPr>
  </w:style>
  <w:style w:type="paragraph" w:customStyle="1" w:styleId="Default">
    <w:name w:val="Default"/>
    <w:rsid w:val="00041B61"/>
    <w:pPr>
      <w:autoSpaceDE w:val="0"/>
      <w:autoSpaceDN w:val="0"/>
      <w:adjustRightInd w:val="0"/>
    </w:pPr>
    <w:rPr>
      <w:rFonts w:eastAsia="Calibri"/>
      <w:color w:val="000000"/>
      <w:sz w:val="24"/>
      <w:szCs w:val="24"/>
    </w:rPr>
  </w:style>
  <w:style w:type="character" w:styleId="CommentReference">
    <w:name w:val="annotation reference"/>
    <w:rsid w:val="003A0E22"/>
    <w:rPr>
      <w:sz w:val="16"/>
      <w:szCs w:val="16"/>
    </w:rPr>
  </w:style>
  <w:style w:type="paragraph" w:styleId="CommentText">
    <w:name w:val="annotation text"/>
    <w:basedOn w:val="Normal"/>
    <w:link w:val="CommentTextChar"/>
    <w:rsid w:val="003A0E22"/>
    <w:rPr>
      <w:sz w:val="20"/>
      <w:lang w:val="x-none" w:eastAsia="x-none"/>
    </w:rPr>
  </w:style>
  <w:style w:type="character" w:customStyle="1" w:styleId="CommentTextChar">
    <w:name w:val="Comment Text Char"/>
    <w:link w:val="CommentText"/>
    <w:rsid w:val="003A0E22"/>
    <w:rPr>
      <w:color w:val="000000"/>
    </w:rPr>
  </w:style>
  <w:style w:type="paragraph" w:styleId="CommentSubject">
    <w:name w:val="annotation subject"/>
    <w:basedOn w:val="CommentText"/>
    <w:next w:val="CommentText"/>
    <w:link w:val="CommentSubjectChar"/>
    <w:rsid w:val="003A0E22"/>
    <w:rPr>
      <w:b/>
      <w:bCs/>
    </w:rPr>
  </w:style>
  <w:style w:type="character" w:customStyle="1" w:styleId="CommentSubjectChar">
    <w:name w:val="Comment Subject Char"/>
    <w:link w:val="CommentSubject"/>
    <w:rsid w:val="003A0E22"/>
    <w:rPr>
      <w:b/>
      <w:bCs/>
      <w:color w:val="000000"/>
    </w:rPr>
  </w:style>
  <w:style w:type="paragraph" w:customStyle="1" w:styleId="ColorfulShading-Accent11">
    <w:name w:val="Colorful Shading - Accent 11"/>
    <w:hidden/>
    <w:uiPriority w:val="99"/>
    <w:semiHidden/>
    <w:rsid w:val="003A0E22"/>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83143">
      <w:bodyDiv w:val="1"/>
      <w:marLeft w:val="0"/>
      <w:marRight w:val="0"/>
      <w:marTop w:val="0"/>
      <w:marBottom w:val="0"/>
      <w:divBdr>
        <w:top w:val="none" w:sz="0" w:space="0" w:color="auto"/>
        <w:left w:val="none" w:sz="0" w:space="0" w:color="auto"/>
        <w:bottom w:val="none" w:sz="0" w:space="0" w:color="auto"/>
        <w:right w:val="none" w:sz="0" w:space="0" w:color="auto"/>
      </w:divBdr>
    </w:div>
    <w:div w:id="161227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3ED465A26668459AA6DC672056AAD1" ma:contentTypeVersion="104" ma:contentTypeDescription="" ma:contentTypeScope="" ma:versionID="492f3f74aa671fbc9e82ae37d22169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2016-02-19T08:00:00+00:00</OpenedDate>
    <Date1 xmlns="dc463f71-b30c-4ab2-9473-d307f9d35888">2016-11-10T08:00:00+00:00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7727BC7-FEDF-4CF2-AFE5-FE1F73C1F6FB}">
  <ds:schemaRefs>
    <ds:schemaRef ds:uri="http://schemas.openxmlformats.org/officeDocument/2006/bibliography"/>
  </ds:schemaRefs>
</ds:datastoreItem>
</file>

<file path=customXml/itemProps2.xml><?xml version="1.0" encoding="utf-8"?>
<ds:datastoreItem xmlns:ds="http://schemas.openxmlformats.org/officeDocument/2006/customXml" ds:itemID="{88429D6D-070C-47BC-A1BA-1E9DEA3AE32A}"/>
</file>

<file path=customXml/itemProps3.xml><?xml version="1.0" encoding="utf-8"?>
<ds:datastoreItem xmlns:ds="http://schemas.openxmlformats.org/officeDocument/2006/customXml" ds:itemID="{4A82C251-457F-4A23-8F9E-E752239C1749}"/>
</file>

<file path=customXml/itemProps4.xml><?xml version="1.0" encoding="utf-8"?>
<ds:datastoreItem xmlns:ds="http://schemas.openxmlformats.org/officeDocument/2006/customXml" ds:itemID="{7F7E60FD-30B8-4B67-8040-7B087CD2B8EF}"/>
</file>

<file path=customXml/itemProps5.xml><?xml version="1.0" encoding="utf-8"?>
<ds:datastoreItem xmlns:ds="http://schemas.openxmlformats.org/officeDocument/2006/customXml" ds:itemID="{F186C95F-EB03-4D4B-9619-07CA92C23A5B}"/>
</file>

<file path=docProps/app.xml><?xml version="1.0" encoding="utf-8"?>
<Properties xmlns="http://schemas.openxmlformats.org/officeDocument/2006/extended-properties" xmlns:vt="http://schemas.openxmlformats.org/officeDocument/2006/docPropsVTypes">
  <Template>Normal</Template>
  <TotalTime>0</TotalTime>
  <Pages>5</Pages>
  <Words>965</Words>
  <Characters>5339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6292</CharactersWithSpaces>
  <SharedDoc>false</SharedDoc>
  <HLinks>
    <vt:vector size="6" baseType="variant">
      <vt:variant>
        <vt:i4>6881382</vt:i4>
      </vt:variant>
      <vt:variant>
        <vt:i4>0</vt:i4>
      </vt:variant>
      <vt:variant>
        <vt:i4>0</vt:i4>
      </vt:variant>
      <vt:variant>
        <vt:i4>5</vt:i4>
      </vt:variant>
      <vt:variant>
        <vt:lpwstr>http://www.utc.wa.gov/docs/Pages/DocketLookup.aspx?FilingID=152253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2016-11-08T20:58:00Z</dcterms:created>
  <dcterms:modified xsi:type="dcterms:W3CDTF">2016-11-10T17:48:00Z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0x0101006E56B4D1795A2E4DB2F0B01679ED314A00D83ED465A26668459AA6DC672056AAD1</vt:lpwstr>
  </property>
  <property fmtid="{D5CDD505-2E9C-101B-9397-08002B2CF9AE}" pid="3" name="_docset_NoMedatataSyncRequired">
    <vt:lpwstr>False</vt:lpwstr>
  </property>
</Properties>
</file>