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28D6F" w14:textId="77777777" w:rsidR="008B6401" w:rsidRDefault="008B6401" w:rsidP="006920CD">
      <w:pPr>
        <w:pStyle w:val="NoSpacing"/>
        <w:jc w:val="center"/>
        <w:rPr>
          <w:rFonts w:ascii="Arial" w:hAnsi="Arial"/>
          <w:b/>
          <w:color w:val="008000"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B4D137" wp14:editId="64CB1201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662940" cy="6858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564">
        <w:rPr>
          <w:sz w:val="14"/>
        </w:rPr>
        <w:br w:type="textWrapping" w:clear="all"/>
      </w:r>
      <w:r>
        <w:rPr>
          <w:rFonts w:ascii="Arial" w:hAnsi="Arial"/>
          <w:b/>
          <w:color w:val="008000"/>
          <w:sz w:val="18"/>
        </w:rPr>
        <w:t>STATE OF WASHINGTON</w:t>
      </w:r>
    </w:p>
    <w:p w14:paraId="019890C1" w14:textId="77777777" w:rsidR="008B6401" w:rsidRDefault="008B6401" w:rsidP="008B640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4F5DCC8" w14:textId="77777777" w:rsidR="008B6401" w:rsidRDefault="008B6401" w:rsidP="008B640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723C5FC" w14:textId="77777777" w:rsidR="008B6401" w:rsidRDefault="008B6401" w:rsidP="008B640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26F5E57" w14:textId="2013DD83" w:rsidR="00984FE4" w:rsidRPr="007A5D48" w:rsidRDefault="00223B5E" w:rsidP="008B6401">
      <w:pPr>
        <w:spacing w:line="288" w:lineRule="auto"/>
        <w:jc w:val="center"/>
      </w:pPr>
      <w:r w:rsidRPr="007A5D48">
        <w:t>June 8</w:t>
      </w:r>
      <w:r w:rsidR="00AD6D72" w:rsidRPr="007A5D48">
        <w:t>, 2015</w:t>
      </w:r>
    </w:p>
    <w:p w14:paraId="75830AF1" w14:textId="77777777" w:rsidR="00D47A3D" w:rsidRDefault="00D47A3D" w:rsidP="008B6401">
      <w:pPr>
        <w:spacing w:line="288" w:lineRule="auto"/>
      </w:pPr>
    </w:p>
    <w:p w14:paraId="067FF56E" w14:textId="77777777" w:rsidR="006F4511" w:rsidRPr="007A5D48" w:rsidRDefault="006F4511" w:rsidP="008B6401">
      <w:pPr>
        <w:spacing w:line="288" w:lineRule="auto"/>
      </w:pPr>
    </w:p>
    <w:p w14:paraId="5ECE7E55" w14:textId="29373E78" w:rsidR="001213DC" w:rsidRPr="007A5D48" w:rsidRDefault="001213DC" w:rsidP="001213DC">
      <w:pPr>
        <w:spacing w:line="288" w:lineRule="auto"/>
        <w:jc w:val="center"/>
        <w:rPr>
          <w:b/>
        </w:rPr>
      </w:pPr>
      <w:r w:rsidRPr="007A5D48">
        <w:rPr>
          <w:b/>
        </w:rPr>
        <w:t>NOTICE OF COMPLIANCE</w:t>
      </w:r>
    </w:p>
    <w:p w14:paraId="32D179B7" w14:textId="77777777" w:rsidR="001213DC" w:rsidRDefault="001213DC" w:rsidP="008B6401">
      <w:pPr>
        <w:spacing w:line="288" w:lineRule="auto"/>
      </w:pPr>
    </w:p>
    <w:p w14:paraId="2F345A7B" w14:textId="77777777" w:rsidR="006F4511" w:rsidRPr="007A5D48" w:rsidRDefault="006F4511" w:rsidP="008B6401">
      <w:pPr>
        <w:spacing w:line="288" w:lineRule="auto"/>
      </w:pPr>
    </w:p>
    <w:p w14:paraId="3F47A980" w14:textId="77777777" w:rsidR="00984FE4" w:rsidRPr="007A5D48" w:rsidRDefault="00984FE4" w:rsidP="008B6401">
      <w:pPr>
        <w:spacing w:line="288" w:lineRule="auto"/>
        <w:ind w:left="720" w:hanging="720"/>
      </w:pPr>
      <w:r w:rsidRPr="007A5D48">
        <w:t>Re:</w:t>
      </w:r>
      <w:r w:rsidRPr="007A5D48">
        <w:tab/>
      </w:r>
      <w:r w:rsidR="00000B00" w:rsidRPr="007A5D48">
        <w:rPr>
          <w:i/>
        </w:rPr>
        <w:t xml:space="preserve">Washington Utilities and Transportation Commission v. </w:t>
      </w:r>
      <w:r w:rsidR="00AD6D72" w:rsidRPr="007A5D48">
        <w:rPr>
          <w:i/>
        </w:rPr>
        <w:t>Pacific Power &amp; Light Company</w:t>
      </w:r>
      <w:r w:rsidR="00000B00" w:rsidRPr="007A5D48">
        <w:rPr>
          <w:i/>
        </w:rPr>
        <w:t xml:space="preserve">, </w:t>
      </w:r>
      <w:r w:rsidR="00AD6D72" w:rsidRPr="007A5D48">
        <w:t xml:space="preserve">Docket </w:t>
      </w:r>
      <w:r w:rsidR="00000B00" w:rsidRPr="007A5D48">
        <w:t>UE-</w:t>
      </w:r>
      <w:r w:rsidR="00AD6D72" w:rsidRPr="007A5D48">
        <w:t>100749</w:t>
      </w:r>
    </w:p>
    <w:p w14:paraId="3B3E6758" w14:textId="77777777" w:rsidR="00984FE4" w:rsidRPr="007A5D48" w:rsidRDefault="00984FE4" w:rsidP="008B6401">
      <w:pPr>
        <w:spacing w:line="288" w:lineRule="auto"/>
      </w:pPr>
    </w:p>
    <w:p w14:paraId="640F7E9F" w14:textId="77777777" w:rsidR="00984FE4" w:rsidRPr="007A5D48" w:rsidRDefault="00984FE4" w:rsidP="008B6401">
      <w:pPr>
        <w:spacing w:line="288" w:lineRule="auto"/>
        <w:rPr>
          <w:b/>
        </w:rPr>
      </w:pPr>
      <w:r w:rsidRPr="007A5D48">
        <w:t>TO ALL PARTIES:</w:t>
      </w:r>
      <w:r w:rsidRPr="007A5D48">
        <w:rPr>
          <w:b/>
        </w:rPr>
        <w:tab/>
      </w:r>
    </w:p>
    <w:p w14:paraId="417989EE" w14:textId="77777777" w:rsidR="00984FE4" w:rsidRPr="007A5D48" w:rsidRDefault="00984FE4" w:rsidP="008B6401">
      <w:pPr>
        <w:spacing w:line="288" w:lineRule="auto"/>
      </w:pPr>
    </w:p>
    <w:p w14:paraId="3FDE5E89" w14:textId="6B394355" w:rsidR="00B53F38" w:rsidRPr="007A5D48" w:rsidRDefault="00B53F38" w:rsidP="008B6401">
      <w:pPr>
        <w:spacing w:line="288" w:lineRule="auto"/>
      </w:pPr>
      <w:r w:rsidRPr="007A5D48">
        <w:t>On February 12, 2013, the Washington Utilities and Transportation Commission (Commission) entered Order 13 in Docket UE-100749, Authorizing Revision to Schedule 95 and Requiring Compliance Filings (Order 13).</w:t>
      </w:r>
    </w:p>
    <w:p w14:paraId="50DD7B8B" w14:textId="77777777" w:rsidR="00B53F38" w:rsidRPr="007A5D48" w:rsidRDefault="00B53F38" w:rsidP="008B6401">
      <w:pPr>
        <w:spacing w:line="288" w:lineRule="auto"/>
      </w:pPr>
    </w:p>
    <w:p w14:paraId="08664636" w14:textId="0018AC98" w:rsidR="00B94632" w:rsidRPr="007A5D48" w:rsidRDefault="00973912" w:rsidP="008B6401">
      <w:pPr>
        <w:spacing w:line="288" w:lineRule="auto"/>
      </w:pPr>
      <w:r w:rsidRPr="007A5D48">
        <w:t>On December 12, 2014, t</w:t>
      </w:r>
      <w:r w:rsidR="00984FE4" w:rsidRPr="007A5D48">
        <w:t xml:space="preserve">he Commission entered Order </w:t>
      </w:r>
      <w:r w:rsidR="00AD6D72" w:rsidRPr="007A5D48">
        <w:t>16</w:t>
      </w:r>
      <w:r w:rsidR="00EA2564" w:rsidRPr="007A5D48">
        <w:t>,</w:t>
      </w:r>
      <w:r w:rsidR="00984FE4" w:rsidRPr="007A5D48">
        <w:t xml:space="preserve"> </w:t>
      </w:r>
      <w:r w:rsidR="00B53F38" w:rsidRPr="007A5D48">
        <w:t xml:space="preserve">Order </w:t>
      </w:r>
      <w:r w:rsidR="003B3116" w:rsidRPr="007A5D48">
        <w:rPr>
          <w:rFonts w:cstheme="minorBidi"/>
        </w:rPr>
        <w:t xml:space="preserve">Rejecting </w:t>
      </w:r>
      <w:r w:rsidR="00B44BB8" w:rsidRPr="007A5D48">
        <w:rPr>
          <w:rFonts w:cstheme="minorBidi"/>
        </w:rPr>
        <w:t xml:space="preserve">Filed </w:t>
      </w:r>
      <w:r w:rsidR="00AD6D72" w:rsidRPr="007A5D48">
        <w:rPr>
          <w:rFonts w:cstheme="minorBidi"/>
        </w:rPr>
        <w:t>Revision to Schedule 95 and Authorizing Alternative Recovery of Over-Credits of Renewable</w:t>
      </w:r>
      <w:r w:rsidR="00702E02" w:rsidRPr="007A5D48">
        <w:rPr>
          <w:rFonts w:cstheme="minorBidi"/>
        </w:rPr>
        <w:t xml:space="preserve"> Energy Credit Sale Proceeds</w:t>
      </w:r>
      <w:r w:rsidR="00B44BB8" w:rsidRPr="007A5D48">
        <w:t xml:space="preserve"> </w:t>
      </w:r>
      <w:r w:rsidR="00E054BB" w:rsidRPr="007A5D48">
        <w:t>(Order</w:t>
      </w:r>
      <w:r w:rsidR="008E7156" w:rsidRPr="007A5D48">
        <w:t xml:space="preserve"> 16</w:t>
      </w:r>
      <w:r w:rsidR="00E054BB" w:rsidRPr="007A5D48">
        <w:t>)</w:t>
      </w:r>
      <w:r w:rsidR="00984FE4" w:rsidRPr="007A5D48">
        <w:t xml:space="preserve">. </w:t>
      </w:r>
    </w:p>
    <w:p w14:paraId="4DA1FD4A" w14:textId="77777777" w:rsidR="00B53F38" w:rsidRPr="007A5D48" w:rsidRDefault="00B53F38" w:rsidP="008B6401">
      <w:pPr>
        <w:spacing w:line="288" w:lineRule="auto"/>
      </w:pPr>
    </w:p>
    <w:p w14:paraId="1E6A4F22" w14:textId="48D305A4" w:rsidR="001213DC" w:rsidRPr="007A5D48" w:rsidRDefault="001213DC" w:rsidP="008B6401">
      <w:pPr>
        <w:spacing w:line="288" w:lineRule="auto"/>
      </w:pPr>
      <w:r w:rsidRPr="007A5D48">
        <w:t xml:space="preserve">On May 1, 2015, Pacific Power &amp; Light Company (Pacific Power or Company) filed its Annual Report of Proceeds from the Sale of Renewable Energy Credits </w:t>
      </w:r>
      <w:r w:rsidR="001E41C4" w:rsidRPr="007A5D48">
        <w:t xml:space="preserve">(Annual Report) </w:t>
      </w:r>
      <w:r w:rsidRPr="007A5D48">
        <w:t>in compliance with Orders 13 and 16.</w:t>
      </w:r>
    </w:p>
    <w:p w14:paraId="6F6A84E5" w14:textId="77777777" w:rsidR="001213DC" w:rsidRDefault="001213DC" w:rsidP="008B6401">
      <w:pPr>
        <w:spacing w:line="288" w:lineRule="auto"/>
      </w:pPr>
    </w:p>
    <w:p w14:paraId="2AEA2338" w14:textId="33D6365C" w:rsidR="00F31B3E" w:rsidRDefault="00F31B3E" w:rsidP="008B6401">
      <w:pPr>
        <w:spacing w:line="288" w:lineRule="auto"/>
      </w:pPr>
      <w:r>
        <w:t xml:space="preserve">On May 14, 2015, Public Counsel filed a letter in response to Pacific Power’s compliance filing indicating that </w:t>
      </w:r>
      <w:r w:rsidR="006F4511">
        <w:t>its</w:t>
      </w:r>
      <w:r>
        <w:t xml:space="preserve"> filing did not include a true-up and revision to Schedule 95.</w:t>
      </w:r>
      <w:r w:rsidR="00503ED4">
        <w:t xml:space="preserve"> Public Counsel does not request that the Company file a formal true-up and Schedule 95 revision because any such true-up would likely have very little impact but recommends that Pacific Power file a letter acknowledging this requirement in the Commission’s orders. </w:t>
      </w:r>
    </w:p>
    <w:p w14:paraId="3BF02F0E" w14:textId="77777777" w:rsidR="00503ED4" w:rsidRDefault="00503ED4" w:rsidP="008B6401">
      <w:pPr>
        <w:spacing w:line="288" w:lineRule="auto"/>
      </w:pPr>
    </w:p>
    <w:p w14:paraId="0849F871" w14:textId="4137F55E" w:rsidR="00503ED4" w:rsidRDefault="00503ED4" w:rsidP="008B6401">
      <w:pPr>
        <w:spacing w:line="288" w:lineRule="auto"/>
      </w:pPr>
      <w:r>
        <w:t xml:space="preserve">On May 19, 2015, Pacific Power filed a letter in response to Public Counsel’s letter stating the Company’s understanding that </w:t>
      </w:r>
      <w:r w:rsidR="00601CE3">
        <w:t>“</w:t>
      </w:r>
      <w:r>
        <w:t xml:space="preserve">Order 13 requires </w:t>
      </w:r>
      <w:r w:rsidR="00601CE3">
        <w:t>the Company to include in its annual report, ‘any proposed revision to the credit rate in Schedule 95 to be effective during the upcoming calendar year.’” Pacific Power explains</w:t>
      </w:r>
      <w:r>
        <w:t xml:space="preserve">, “The Company is not proposing to make changes to Schedule 95 at this time because it is not possible to modify Schedule 95 to capture and reflect such a small change in rates,” but that “the Company intends to more </w:t>
      </w:r>
      <w:r>
        <w:lastRenderedPageBreak/>
        <w:t>explicitly state any proposals for rate modifications for Schedule 95 in future compliance filings.”</w:t>
      </w:r>
    </w:p>
    <w:p w14:paraId="7355D8BF" w14:textId="77777777" w:rsidR="00F31B3E" w:rsidRPr="007A5D48" w:rsidRDefault="00F31B3E" w:rsidP="008B6401">
      <w:pPr>
        <w:spacing w:line="288" w:lineRule="auto"/>
      </w:pPr>
    </w:p>
    <w:p w14:paraId="51BF64F4" w14:textId="6FBFCA0F" w:rsidR="00E054BB" w:rsidRPr="007A5D48" w:rsidRDefault="001213DC" w:rsidP="008B6401">
      <w:pPr>
        <w:spacing w:line="288" w:lineRule="auto"/>
      </w:pPr>
      <w:r w:rsidRPr="007A5D48">
        <w:t xml:space="preserve">On June 5, 2015, Commission Staff filed a letter </w:t>
      </w:r>
      <w:r w:rsidR="006F4511">
        <w:t xml:space="preserve">stating </w:t>
      </w:r>
      <w:r w:rsidRPr="007A5D48">
        <w:t xml:space="preserve">that it has reviewed the Company’s compliance filing and concludes that it complies with </w:t>
      </w:r>
      <w:r w:rsidR="001E41C4" w:rsidRPr="007A5D48">
        <w:t xml:space="preserve">the orders </w:t>
      </w:r>
      <w:r w:rsidRPr="007A5D48">
        <w:t>in Docket</w:t>
      </w:r>
      <w:r w:rsidR="005D7542">
        <w:t xml:space="preserve"> </w:t>
      </w:r>
      <w:r w:rsidRPr="007A5D48">
        <w:t>UE-100749.</w:t>
      </w:r>
      <w:r w:rsidR="001E41C4" w:rsidRPr="007A5D48">
        <w:t xml:space="preserve">  </w:t>
      </w:r>
      <w:r w:rsidR="00293B2B">
        <w:t>Staff further states that Pacific Power proposed no revision to Schedule 95 because the total Washington-allocated REC revenues in 2014 was $6,035, and no REC revenues are projected for 2015.</w:t>
      </w:r>
    </w:p>
    <w:p w14:paraId="1ACCFD94" w14:textId="77777777" w:rsidR="00601CE3" w:rsidRDefault="00601CE3"/>
    <w:p w14:paraId="64D680D8" w14:textId="77777777" w:rsidR="00601CE3" w:rsidRDefault="00601CE3" w:rsidP="00601CE3">
      <w:r>
        <w:t>The Commission accepts Staff’s conclusion. We also appreciate the Company’s willingness to address Public Counsel’s concerns in this and future compliance filings.</w:t>
      </w:r>
    </w:p>
    <w:p w14:paraId="3DA8D35E" w14:textId="77777777" w:rsidR="00601CE3" w:rsidRDefault="00601CE3" w:rsidP="00601CE3"/>
    <w:p w14:paraId="2E7DB4C6" w14:textId="1419D263" w:rsidR="001213DC" w:rsidRPr="00601CE3" w:rsidRDefault="001213DC" w:rsidP="00601CE3">
      <w:r w:rsidRPr="007A5D48">
        <w:rPr>
          <w:b/>
        </w:rPr>
        <w:t xml:space="preserve">THE COMMISSION GIVES NOTICE </w:t>
      </w:r>
      <w:proofErr w:type="gramStart"/>
      <w:r w:rsidRPr="007A5D48">
        <w:rPr>
          <w:b/>
        </w:rPr>
        <w:t>That</w:t>
      </w:r>
      <w:proofErr w:type="gramEnd"/>
      <w:r w:rsidRPr="007A5D48">
        <w:rPr>
          <w:b/>
        </w:rPr>
        <w:t xml:space="preserve"> </w:t>
      </w:r>
      <w:r w:rsidR="001E41C4" w:rsidRPr="007A5D48">
        <w:rPr>
          <w:b/>
        </w:rPr>
        <w:t xml:space="preserve">it finds that </w:t>
      </w:r>
      <w:r w:rsidRPr="007A5D48">
        <w:rPr>
          <w:b/>
        </w:rPr>
        <w:t xml:space="preserve">Pacific Power &amp; Light Company’s </w:t>
      </w:r>
      <w:r w:rsidR="001E41C4" w:rsidRPr="007A5D48">
        <w:rPr>
          <w:b/>
        </w:rPr>
        <w:t>Annual Report</w:t>
      </w:r>
      <w:r w:rsidRPr="007A5D48">
        <w:rPr>
          <w:b/>
        </w:rPr>
        <w:t xml:space="preserve"> </w:t>
      </w:r>
      <w:r w:rsidR="001E41C4" w:rsidRPr="007A5D48">
        <w:rPr>
          <w:b/>
        </w:rPr>
        <w:t>filed on</w:t>
      </w:r>
      <w:r w:rsidRPr="007A5D48">
        <w:rPr>
          <w:b/>
        </w:rPr>
        <w:t xml:space="preserve"> May 1, 2015, </w:t>
      </w:r>
      <w:r w:rsidR="001E41C4" w:rsidRPr="007A5D48">
        <w:rPr>
          <w:b/>
        </w:rPr>
        <w:t>complies with Orders 13 and 16 in Docket UE-100749.</w:t>
      </w:r>
    </w:p>
    <w:p w14:paraId="63B1BF15" w14:textId="77777777" w:rsidR="001213DC" w:rsidRPr="007A5D48" w:rsidRDefault="001213DC" w:rsidP="008B6401">
      <w:pPr>
        <w:spacing w:line="288" w:lineRule="auto"/>
      </w:pPr>
    </w:p>
    <w:p w14:paraId="57B3E5E6" w14:textId="77777777" w:rsidR="00984FE4" w:rsidRPr="007A5D48" w:rsidRDefault="00C001C7" w:rsidP="008B6401">
      <w:pPr>
        <w:spacing w:line="288" w:lineRule="auto"/>
      </w:pPr>
      <w:r w:rsidRPr="007A5D48">
        <w:t>Sincerely,</w:t>
      </w:r>
    </w:p>
    <w:p w14:paraId="2B879AE6" w14:textId="77777777" w:rsidR="00C001C7" w:rsidRPr="007A5D48" w:rsidRDefault="00C001C7" w:rsidP="008B6401">
      <w:pPr>
        <w:spacing w:line="288" w:lineRule="auto"/>
      </w:pPr>
    </w:p>
    <w:p w14:paraId="0C4E2414" w14:textId="77777777" w:rsidR="006920CD" w:rsidRDefault="006920CD" w:rsidP="008B6401">
      <w:pPr>
        <w:spacing w:line="288" w:lineRule="auto"/>
      </w:pPr>
    </w:p>
    <w:p w14:paraId="0FA6AB11" w14:textId="77777777" w:rsidR="007A5D48" w:rsidRPr="007A5D48" w:rsidRDefault="007A5D48" w:rsidP="008B6401">
      <w:pPr>
        <w:spacing w:line="288" w:lineRule="auto"/>
      </w:pPr>
    </w:p>
    <w:p w14:paraId="2CCAC16C" w14:textId="77777777" w:rsidR="00C001C7" w:rsidRPr="007A5D48" w:rsidRDefault="00297C43" w:rsidP="008B6401">
      <w:pPr>
        <w:spacing w:line="288" w:lineRule="auto"/>
      </w:pPr>
      <w:r w:rsidRPr="007A5D48">
        <w:t>STEVEN V. KING</w:t>
      </w:r>
    </w:p>
    <w:p w14:paraId="796B21E0" w14:textId="77777777" w:rsidR="00B00AFB" w:rsidRPr="007A5D48" w:rsidRDefault="00C001C7" w:rsidP="006920CD">
      <w:pPr>
        <w:spacing w:line="288" w:lineRule="auto"/>
        <w:rPr>
          <w:color w:val="000000"/>
        </w:rPr>
      </w:pPr>
      <w:r w:rsidRPr="007A5D48">
        <w:t xml:space="preserve">Executive </w:t>
      </w:r>
      <w:r w:rsidR="00743DDE" w:rsidRPr="007A5D48">
        <w:t xml:space="preserve">Director and </w:t>
      </w:r>
      <w:r w:rsidRPr="007A5D48">
        <w:t>Secretary</w:t>
      </w:r>
    </w:p>
    <w:sectPr w:rsidR="00B00AFB" w:rsidRPr="007A5D48" w:rsidSect="006920CD">
      <w:headerReference w:type="default" r:id="rId11"/>
      <w:headerReference w:type="first" r:id="rId12"/>
      <w:footerReference w:type="first" r:id="rId13"/>
      <w:pgSz w:w="12240" w:h="15840" w:code="1"/>
      <w:pgMar w:top="720" w:right="1440" w:bottom="72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307" w14:textId="77777777" w:rsidR="00A17D26" w:rsidRDefault="00A17D26" w:rsidP="00E2675D">
      <w:r>
        <w:separator/>
      </w:r>
    </w:p>
  </w:endnote>
  <w:endnote w:type="continuationSeparator" w:id="0">
    <w:p w14:paraId="5921ACFD" w14:textId="77777777" w:rsidR="00A17D26" w:rsidRDefault="00A17D26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6DB79" w14:textId="77777777" w:rsidR="006920CD" w:rsidRDefault="006920CD" w:rsidP="006920CD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A733" w14:textId="77777777" w:rsidR="00A17D26" w:rsidRDefault="00A17D26" w:rsidP="00E2675D">
      <w:r>
        <w:separator/>
      </w:r>
    </w:p>
  </w:footnote>
  <w:footnote w:type="continuationSeparator" w:id="0">
    <w:p w14:paraId="7F758763" w14:textId="77777777" w:rsidR="00A17D26" w:rsidRDefault="00A17D26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2AA21" w14:textId="77777777" w:rsidR="00FA7878" w:rsidRDefault="00FA7878">
    <w:pPr>
      <w:pStyle w:val="Header"/>
      <w:rPr>
        <w:b/>
        <w:noProof/>
        <w:sz w:val="20"/>
      </w:rPr>
    </w:pPr>
    <w:r>
      <w:rPr>
        <w:b/>
        <w:sz w:val="20"/>
      </w:rPr>
      <w:t>DOCKET</w:t>
    </w:r>
    <w:r w:rsidR="00237E60" w:rsidRPr="00FA7878">
      <w:rPr>
        <w:b/>
        <w:sz w:val="20"/>
      </w:rPr>
      <w:t xml:space="preserve"> UE-</w:t>
    </w:r>
    <w:r w:rsidR="00803F13">
      <w:rPr>
        <w:b/>
        <w:sz w:val="20"/>
      </w:rPr>
      <w:t>100749</w:t>
    </w:r>
    <w:r w:rsidR="00237E60" w:rsidRPr="00FA7878">
      <w:rPr>
        <w:b/>
        <w:sz w:val="20"/>
      </w:rPr>
      <w:ptab w:relativeTo="margin" w:alignment="right" w:leader="none"/>
    </w:r>
    <w:r w:rsidR="00237E60" w:rsidRPr="00FA7878">
      <w:rPr>
        <w:b/>
        <w:sz w:val="20"/>
      </w:rPr>
      <w:t xml:space="preserve">PAGE </w:t>
    </w:r>
    <w:r w:rsidR="00237E60" w:rsidRPr="00FA7878">
      <w:rPr>
        <w:b/>
        <w:sz w:val="20"/>
      </w:rPr>
      <w:fldChar w:fldCharType="begin"/>
    </w:r>
    <w:r w:rsidR="00237E60" w:rsidRPr="00FA7878">
      <w:rPr>
        <w:b/>
        <w:sz w:val="20"/>
      </w:rPr>
      <w:instrText xml:space="preserve"> PAGE   \* MERGEFORMAT </w:instrText>
    </w:r>
    <w:r w:rsidR="00237E60" w:rsidRPr="00FA7878">
      <w:rPr>
        <w:b/>
        <w:sz w:val="20"/>
      </w:rPr>
      <w:fldChar w:fldCharType="separate"/>
    </w:r>
    <w:r w:rsidR="00282B06">
      <w:rPr>
        <w:b/>
        <w:noProof/>
        <w:sz w:val="20"/>
      </w:rPr>
      <w:t>2</w:t>
    </w:r>
    <w:r w:rsidR="00237E60" w:rsidRPr="00FA7878">
      <w:rPr>
        <w:b/>
        <w:noProof/>
        <w:sz w:val="20"/>
      </w:rPr>
      <w:fldChar w:fldCharType="end"/>
    </w:r>
  </w:p>
  <w:p w14:paraId="4E99F3E6" w14:textId="77777777" w:rsidR="003466FB" w:rsidRDefault="00346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AE7F8" w14:textId="6232C52E" w:rsidR="00EB1104" w:rsidRPr="00EB1104" w:rsidRDefault="00235C8B" w:rsidP="00EB1104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June 8,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03F22"/>
    <w:rsid w:val="00043699"/>
    <w:rsid w:val="00080771"/>
    <w:rsid w:val="00092415"/>
    <w:rsid w:val="0009640F"/>
    <w:rsid w:val="000B2225"/>
    <w:rsid w:val="000D3515"/>
    <w:rsid w:val="000F5435"/>
    <w:rsid w:val="001213DC"/>
    <w:rsid w:val="001475C3"/>
    <w:rsid w:val="00170D00"/>
    <w:rsid w:val="0018019C"/>
    <w:rsid w:val="00184163"/>
    <w:rsid w:val="001A0005"/>
    <w:rsid w:val="001B2CA9"/>
    <w:rsid w:val="001E41C4"/>
    <w:rsid w:val="001F54E7"/>
    <w:rsid w:val="00223B5E"/>
    <w:rsid w:val="00231350"/>
    <w:rsid w:val="00235C8B"/>
    <w:rsid w:val="00237E60"/>
    <w:rsid w:val="002403D2"/>
    <w:rsid w:val="00242D23"/>
    <w:rsid w:val="00244042"/>
    <w:rsid w:val="00244E6F"/>
    <w:rsid w:val="002512F9"/>
    <w:rsid w:val="00270FAF"/>
    <w:rsid w:val="00282B06"/>
    <w:rsid w:val="00293B2B"/>
    <w:rsid w:val="0029749C"/>
    <w:rsid w:val="00297C43"/>
    <w:rsid w:val="002C5F29"/>
    <w:rsid w:val="00316073"/>
    <w:rsid w:val="00320645"/>
    <w:rsid w:val="00322830"/>
    <w:rsid w:val="00333497"/>
    <w:rsid w:val="003466FB"/>
    <w:rsid w:val="00346B61"/>
    <w:rsid w:val="003B3116"/>
    <w:rsid w:val="003C5F77"/>
    <w:rsid w:val="004011CD"/>
    <w:rsid w:val="00411F03"/>
    <w:rsid w:val="004137E7"/>
    <w:rsid w:val="004164EF"/>
    <w:rsid w:val="004412CD"/>
    <w:rsid w:val="004648E9"/>
    <w:rsid w:val="0048172D"/>
    <w:rsid w:val="00493D65"/>
    <w:rsid w:val="00497C7E"/>
    <w:rsid w:val="004A6B58"/>
    <w:rsid w:val="004B2782"/>
    <w:rsid w:val="004D784D"/>
    <w:rsid w:val="004F6DBB"/>
    <w:rsid w:val="00503ED4"/>
    <w:rsid w:val="0050670E"/>
    <w:rsid w:val="00525EB0"/>
    <w:rsid w:val="00540236"/>
    <w:rsid w:val="00545A46"/>
    <w:rsid w:val="0055304B"/>
    <w:rsid w:val="00593CE4"/>
    <w:rsid w:val="005B71A4"/>
    <w:rsid w:val="005C57F2"/>
    <w:rsid w:val="005D1074"/>
    <w:rsid w:val="005D28BB"/>
    <w:rsid w:val="005D7542"/>
    <w:rsid w:val="005F1869"/>
    <w:rsid w:val="005F6842"/>
    <w:rsid w:val="00601CE3"/>
    <w:rsid w:val="00615D0E"/>
    <w:rsid w:val="006211BA"/>
    <w:rsid w:val="00646DDF"/>
    <w:rsid w:val="00650D76"/>
    <w:rsid w:val="006920CD"/>
    <w:rsid w:val="00692A23"/>
    <w:rsid w:val="006D02FE"/>
    <w:rsid w:val="006F4511"/>
    <w:rsid w:val="006F567C"/>
    <w:rsid w:val="00701C69"/>
    <w:rsid w:val="00702E02"/>
    <w:rsid w:val="00743DDE"/>
    <w:rsid w:val="00744114"/>
    <w:rsid w:val="00746F2A"/>
    <w:rsid w:val="00752A5C"/>
    <w:rsid w:val="007532C7"/>
    <w:rsid w:val="00763737"/>
    <w:rsid w:val="00784C45"/>
    <w:rsid w:val="00792BC9"/>
    <w:rsid w:val="007A5D48"/>
    <w:rsid w:val="007B3C4F"/>
    <w:rsid w:val="007C669C"/>
    <w:rsid w:val="007F53F1"/>
    <w:rsid w:val="00803F13"/>
    <w:rsid w:val="00810EBD"/>
    <w:rsid w:val="0081169F"/>
    <w:rsid w:val="00826875"/>
    <w:rsid w:val="00832B95"/>
    <w:rsid w:val="00857CF1"/>
    <w:rsid w:val="008769A8"/>
    <w:rsid w:val="008A0C15"/>
    <w:rsid w:val="008A18B8"/>
    <w:rsid w:val="008A35EA"/>
    <w:rsid w:val="008B6401"/>
    <w:rsid w:val="008B7E4C"/>
    <w:rsid w:val="008C5F2C"/>
    <w:rsid w:val="008D7F63"/>
    <w:rsid w:val="008E7156"/>
    <w:rsid w:val="00903E77"/>
    <w:rsid w:val="009276E9"/>
    <w:rsid w:val="009278E4"/>
    <w:rsid w:val="00931500"/>
    <w:rsid w:val="00943CE2"/>
    <w:rsid w:val="00944AD3"/>
    <w:rsid w:val="00945C37"/>
    <w:rsid w:val="0095670C"/>
    <w:rsid w:val="009658B3"/>
    <w:rsid w:val="00973912"/>
    <w:rsid w:val="00973B48"/>
    <w:rsid w:val="00981E37"/>
    <w:rsid w:val="00984FE4"/>
    <w:rsid w:val="009F38CA"/>
    <w:rsid w:val="00A065CA"/>
    <w:rsid w:val="00A17D26"/>
    <w:rsid w:val="00A403A6"/>
    <w:rsid w:val="00A435FC"/>
    <w:rsid w:val="00A5134D"/>
    <w:rsid w:val="00A542FE"/>
    <w:rsid w:val="00A80DCF"/>
    <w:rsid w:val="00AA2492"/>
    <w:rsid w:val="00AA7135"/>
    <w:rsid w:val="00AA76DF"/>
    <w:rsid w:val="00AD2B25"/>
    <w:rsid w:val="00AD6D72"/>
    <w:rsid w:val="00AF7DBE"/>
    <w:rsid w:val="00AF7EC6"/>
    <w:rsid w:val="00B00AFB"/>
    <w:rsid w:val="00B06E21"/>
    <w:rsid w:val="00B44BB8"/>
    <w:rsid w:val="00B53F38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91F2D"/>
    <w:rsid w:val="00CA51DD"/>
    <w:rsid w:val="00CB7D0B"/>
    <w:rsid w:val="00CD5E71"/>
    <w:rsid w:val="00CF7B60"/>
    <w:rsid w:val="00D35F82"/>
    <w:rsid w:val="00D361DE"/>
    <w:rsid w:val="00D363AF"/>
    <w:rsid w:val="00D42945"/>
    <w:rsid w:val="00D47A3D"/>
    <w:rsid w:val="00D7341F"/>
    <w:rsid w:val="00D74F70"/>
    <w:rsid w:val="00D807FF"/>
    <w:rsid w:val="00D93BBB"/>
    <w:rsid w:val="00DB2BDD"/>
    <w:rsid w:val="00DC0B2A"/>
    <w:rsid w:val="00DF060C"/>
    <w:rsid w:val="00E00545"/>
    <w:rsid w:val="00E03565"/>
    <w:rsid w:val="00E054BB"/>
    <w:rsid w:val="00E13CE1"/>
    <w:rsid w:val="00E2675D"/>
    <w:rsid w:val="00E40931"/>
    <w:rsid w:val="00E97EC5"/>
    <w:rsid w:val="00EA0931"/>
    <w:rsid w:val="00EA2564"/>
    <w:rsid w:val="00EA59E3"/>
    <w:rsid w:val="00EB1104"/>
    <w:rsid w:val="00EE20B8"/>
    <w:rsid w:val="00F01AFA"/>
    <w:rsid w:val="00F03E6D"/>
    <w:rsid w:val="00F140EA"/>
    <w:rsid w:val="00F31B3E"/>
    <w:rsid w:val="00F430B0"/>
    <w:rsid w:val="00F439ED"/>
    <w:rsid w:val="00F704FB"/>
    <w:rsid w:val="00F73AEB"/>
    <w:rsid w:val="00F801A8"/>
    <w:rsid w:val="00F81CAA"/>
    <w:rsid w:val="00F83CE9"/>
    <w:rsid w:val="00F94F91"/>
    <w:rsid w:val="00FA3AC5"/>
    <w:rsid w:val="00FA7878"/>
    <w:rsid w:val="00FB1F79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FFBF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2015-06-08T22:29:38+00:00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5458-DA1D-4BB4-A6EB-982E9ACEA851}"/>
</file>

<file path=customXml/itemProps2.xml><?xml version="1.0" encoding="utf-8"?>
<ds:datastoreItem xmlns:ds="http://schemas.openxmlformats.org/officeDocument/2006/customXml" ds:itemID="{A21B503C-C089-4055-9620-2EA82D9F044E}"/>
</file>

<file path=customXml/itemProps3.xml><?xml version="1.0" encoding="utf-8"?>
<ds:datastoreItem xmlns:ds="http://schemas.openxmlformats.org/officeDocument/2006/customXml" ds:itemID="{81C10476-AF9C-48AF-96F4-F41448FC03CF}"/>
</file>

<file path=customXml/itemProps4.xml><?xml version="1.0" encoding="utf-8"?>
<ds:datastoreItem xmlns:ds="http://schemas.openxmlformats.org/officeDocument/2006/customXml" ds:itemID="{718FB23F-98BB-49DB-844D-0AA5A12F4D0D}"/>
</file>

<file path=customXml/itemProps5.xml><?xml version="1.0" encoding="utf-8"?>
<ds:datastoreItem xmlns:ds="http://schemas.openxmlformats.org/officeDocument/2006/customXml" ds:itemID="{825EB961-5291-4089-9052-290D5A33D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2015-06-08T22:14:00Z</dcterms:created>
  <dcterms:modified xsi:type="dcterms:W3CDTF">2015-06-08T22:14:00Z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