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6" w:rsidRPr="00277436" w:rsidRDefault="00A82D90" w:rsidP="00C432A0">
      <w:pPr>
        <w:tabs>
          <w:tab w:val="left" w:pos="1260"/>
        </w:tabs>
        <w:spacing w:line="480" w:lineRule="auto"/>
        <w:jc w:val="center"/>
      </w:pPr>
      <w:r>
        <w:t xml:space="preserve"> </w:t>
      </w: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991443">
        <w:t>7</w:t>
      </w:r>
      <w:r w:rsidRPr="00277436">
        <w:t>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991443">
        <w:t>7</w:t>
      </w:r>
      <w:r w:rsidR="00753FE0" w:rsidRPr="00277436">
        <w:t>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03294C" w:rsidP="00C432A0">
      <w:pPr>
        <w:tabs>
          <w:tab w:val="left" w:pos="1260"/>
        </w:tabs>
        <w:spacing w:line="480" w:lineRule="auto"/>
        <w:jc w:val="center"/>
      </w:pPr>
      <w:r>
        <w:t>KAREN K. SCHUH</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6E1D22">
          <w:headerReference w:type="default" r:id="rId8"/>
          <w:footerReference w:type="default" r:id="rId9"/>
          <w:headerReference w:type="first" r:id="rId10"/>
          <w:pgSz w:w="12240" w:h="15840" w:code="1"/>
          <w:pgMar w:top="1440" w:right="1440"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rsidP="00194221">
      <w:pPr>
        <w:pStyle w:val="Heading3"/>
        <w:ind w:firstLine="0"/>
        <w:rPr>
          <w:rStyle w:val="PageNumber"/>
          <w:u w:val="single"/>
        </w:rPr>
      </w:pPr>
      <w:bookmarkStart w:id="0" w:name="_Toc483209847"/>
      <w:r w:rsidRPr="00277436">
        <w:rPr>
          <w:rStyle w:val="PageNumber"/>
          <w:u w:val="single"/>
        </w:rPr>
        <w:lastRenderedPageBreak/>
        <w:t>I</w:t>
      </w:r>
      <w:r w:rsidR="001C7EFE">
        <w:rPr>
          <w:rStyle w:val="PageNumber"/>
          <w:u w:val="single"/>
        </w:rPr>
        <w:t xml:space="preserve">. </w:t>
      </w:r>
      <w:r w:rsidRPr="00277436">
        <w:rPr>
          <w:rStyle w:val="PageNumber"/>
          <w:u w:val="single"/>
        </w:rPr>
        <w:t>INTRODUCTION</w:t>
      </w:r>
      <w:bookmarkEnd w:id="0"/>
    </w:p>
    <w:p w:rsidR="00435706" w:rsidRPr="00C73973" w:rsidRDefault="00435706" w:rsidP="00277436">
      <w:pPr>
        <w:tabs>
          <w:tab w:val="left" w:pos="1440"/>
        </w:tabs>
        <w:spacing w:line="480" w:lineRule="auto"/>
        <w:ind w:firstLine="720"/>
        <w:jc w:val="both"/>
        <w:rPr>
          <w:b/>
          <w:bCs/>
        </w:rPr>
      </w:pPr>
      <w:r w:rsidRPr="00C73973">
        <w:rPr>
          <w:b/>
          <w:bCs/>
        </w:rPr>
        <w:t>Q.</w:t>
      </w:r>
      <w:r w:rsidRPr="00C73973">
        <w:rPr>
          <w:b/>
          <w:bCs/>
        </w:rPr>
        <w:tab/>
        <w:t>Please state your name, employer and business address.</w:t>
      </w:r>
    </w:p>
    <w:p w:rsidR="00435706" w:rsidRPr="00C73973" w:rsidRDefault="00435706" w:rsidP="00277436">
      <w:pPr>
        <w:pStyle w:val="BodyText2"/>
        <w:tabs>
          <w:tab w:val="left" w:pos="1440"/>
        </w:tabs>
        <w:ind w:firstLine="720"/>
      </w:pPr>
      <w:r w:rsidRPr="00C73973">
        <w:t>A.</w:t>
      </w:r>
      <w:r w:rsidRPr="00C73973">
        <w:tab/>
        <w:t>My name is</w:t>
      </w:r>
      <w:r w:rsidR="0038498D" w:rsidRPr="00C73973">
        <w:t xml:space="preserve"> </w:t>
      </w:r>
      <w:r w:rsidR="0003294C" w:rsidRPr="00C73973">
        <w:t>Karen</w:t>
      </w:r>
      <w:r w:rsidR="00672AD5" w:rsidRPr="00C73973">
        <w:t xml:space="preserve"> K.</w:t>
      </w:r>
      <w:r w:rsidR="0003294C" w:rsidRPr="00C73973">
        <w:t xml:space="preserve"> Schuh</w:t>
      </w:r>
      <w:r w:rsidR="001C7EFE" w:rsidRPr="00C73973">
        <w:t xml:space="preserve">. </w:t>
      </w:r>
      <w:r w:rsidR="00F41BE5" w:rsidRPr="00C73973">
        <w:t xml:space="preserve"> </w:t>
      </w:r>
      <w:r w:rsidRPr="00C73973">
        <w:t xml:space="preserve">I am employed by Avista Corporation as </w:t>
      </w:r>
      <w:r w:rsidR="00277436" w:rsidRPr="00C73973">
        <w:t>a Senior</w:t>
      </w:r>
      <w:r w:rsidR="0003294C" w:rsidRPr="00C73973">
        <w:t xml:space="preserve"> Regulatory</w:t>
      </w:r>
      <w:r w:rsidR="00FA37AB" w:rsidRPr="00C73973">
        <w:t xml:space="preserve"> Analyst</w:t>
      </w:r>
      <w:r w:rsidR="00672AD5" w:rsidRPr="00C73973">
        <w:t xml:space="preserve"> in the State and Federal Regulation Department</w:t>
      </w:r>
      <w:r w:rsidR="001C7EFE" w:rsidRPr="00C73973">
        <w:t xml:space="preserve">. </w:t>
      </w:r>
      <w:r w:rsidRPr="00C73973">
        <w:t>My business address is 1411 East Mission, Spokane, Washington.</w:t>
      </w:r>
    </w:p>
    <w:p w:rsidR="00435706" w:rsidRPr="00C73973" w:rsidRDefault="00435706" w:rsidP="00277436">
      <w:pPr>
        <w:pStyle w:val="BodyText2"/>
        <w:tabs>
          <w:tab w:val="left" w:pos="1440"/>
        </w:tabs>
        <w:ind w:firstLine="720"/>
        <w:rPr>
          <w:b/>
          <w:bCs/>
        </w:rPr>
      </w:pPr>
      <w:r w:rsidRPr="00C73973">
        <w:rPr>
          <w:b/>
          <w:bCs/>
        </w:rPr>
        <w:t>Q.</w:t>
      </w:r>
      <w:r w:rsidRPr="00C73973">
        <w:rPr>
          <w:b/>
          <w:bCs/>
        </w:rPr>
        <w:tab/>
        <w:t>Please briefly describe your education</w:t>
      </w:r>
      <w:r w:rsidR="00461F9E" w:rsidRPr="00C73973">
        <w:rPr>
          <w:b/>
          <w:bCs/>
        </w:rPr>
        <w:t>al</w:t>
      </w:r>
      <w:r w:rsidRPr="00C73973">
        <w:rPr>
          <w:b/>
          <w:bCs/>
        </w:rPr>
        <w:t xml:space="preserve"> background and professional experience.</w:t>
      </w:r>
    </w:p>
    <w:p w:rsidR="00FA37AB" w:rsidRPr="00C73973" w:rsidRDefault="00435706" w:rsidP="00672AD5">
      <w:pPr>
        <w:pStyle w:val="BodyText2"/>
        <w:tabs>
          <w:tab w:val="left" w:pos="1440"/>
        </w:tabs>
        <w:ind w:firstLine="720"/>
      </w:pPr>
      <w:r w:rsidRPr="00C73973">
        <w:t>A.</w:t>
      </w:r>
      <w:r w:rsidRPr="00C73973">
        <w:tab/>
      </w:r>
      <w:r w:rsidR="00FA37AB" w:rsidRPr="00C73973">
        <w:t xml:space="preserve">I graduated from Eastern </w:t>
      </w:r>
      <w:r w:rsidR="0003294C" w:rsidRPr="00C73973">
        <w:t>Washington University in 1999</w:t>
      </w:r>
      <w:r w:rsidR="00FA37AB" w:rsidRPr="00C73973">
        <w:t xml:space="preserve"> with a Bachelor of Arts Degree in Business Administration</w:t>
      </w:r>
      <w:r w:rsidR="00AB7297" w:rsidRPr="00C73973">
        <w:t>,</w:t>
      </w:r>
      <w:r w:rsidR="00FA37AB" w:rsidRPr="00C73973">
        <w:t xml:space="preserve"> majoring in Accounting</w:t>
      </w:r>
      <w:r w:rsidR="001C7EFE" w:rsidRPr="00C73973">
        <w:t>.</w:t>
      </w:r>
      <w:r w:rsidR="00F41BE5" w:rsidRPr="00C73973">
        <w:t xml:space="preserve"> </w:t>
      </w:r>
      <w:r w:rsidR="001C7EFE" w:rsidRPr="00C73973">
        <w:t xml:space="preserve"> </w:t>
      </w:r>
      <w:r w:rsidR="00876AF3" w:rsidRPr="00C73973">
        <w:t>After spending six</w:t>
      </w:r>
      <w:r w:rsidR="005B64F8" w:rsidRPr="00C73973">
        <w:t xml:space="preserve"> years in the public accounting sector, I joined Avista in </w:t>
      </w:r>
      <w:r w:rsidR="00672AD5" w:rsidRPr="00C73973">
        <w:t xml:space="preserve">January of </w:t>
      </w:r>
      <w:r w:rsidR="005B64F8" w:rsidRPr="00C73973">
        <w:t xml:space="preserve">2006. Since 2006, </w:t>
      </w:r>
      <w:r w:rsidR="00672AD5" w:rsidRPr="00C73973">
        <w:t>I have worked</w:t>
      </w:r>
      <w:r w:rsidR="00FA37AB" w:rsidRPr="00C73973">
        <w:t xml:space="preserve"> in variou</w:t>
      </w:r>
      <w:r w:rsidR="005B64F8" w:rsidRPr="00C73973">
        <w:t xml:space="preserve">s positions within the Company </w:t>
      </w:r>
      <w:r w:rsidR="00FA37AB" w:rsidRPr="00C73973">
        <w:t>i</w:t>
      </w:r>
      <w:r w:rsidR="0003294C" w:rsidRPr="00C73973">
        <w:t xml:space="preserve">n the Finance Department (Plant Accounting </w:t>
      </w:r>
      <w:r w:rsidR="00FA37AB" w:rsidRPr="00C73973">
        <w:t xml:space="preserve">and </w:t>
      </w:r>
      <w:r w:rsidR="0003294C" w:rsidRPr="00C73973">
        <w:t>Resource</w:t>
      </w:r>
      <w:r w:rsidR="005B64F8" w:rsidRPr="00C73973">
        <w:t xml:space="preserve"> Accounting) and joined </w:t>
      </w:r>
      <w:r w:rsidR="00672AD5" w:rsidRPr="00C73973">
        <w:t xml:space="preserve">the </w:t>
      </w:r>
      <w:r w:rsidR="005B64F8" w:rsidRPr="00C73973">
        <w:t>State and Federal Regulation Department as a</w:t>
      </w:r>
      <w:r w:rsidR="00D56ABE" w:rsidRPr="00C73973">
        <w:t xml:space="preserve"> </w:t>
      </w:r>
      <w:r w:rsidR="0003294C" w:rsidRPr="00C73973">
        <w:t>Regulatory</w:t>
      </w:r>
      <w:r w:rsidR="00FA37AB" w:rsidRPr="00C73973">
        <w:t xml:space="preserve"> Analyst</w:t>
      </w:r>
      <w:r w:rsidR="00672AD5" w:rsidRPr="00C73973">
        <w:t xml:space="preserve"> in 2008</w:t>
      </w:r>
      <w:r w:rsidR="001C7EFE" w:rsidRPr="00C73973">
        <w:t>.</w:t>
      </w:r>
      <w:r w:rsidR="007F10AE" w:rsidRPr="00C73973">
        <w:t xml:space="preserve"> </w:t>
      </w:r>
      <w:r w:rsidR="00F41BE5" w:rsidRPr="00C73973">
        <w:t xml:space="preserve"> </w:t>
      </w:r>
      <w:r w:rsidR="00672AD5" w:rsidRPr="00C73973">
        <w:t>Currently, a</w:t>
      </w:r>
      <w:r w:rsidR="00FA37AB" w:rsidRPr="00C73973">
        <w:t xml:space="preserve">s a </w:t>
      </w:r>
      <w:r w:rsidR="00277436" w:rsidRPr="00C73973">
        <w:t>Senior</w:t>
      </w:r>
      <w:r w:rsidR="001D2507" w:rsidRPr="00C73973">
        <w:t xml:space="preserve"> Regulatory</w:t>
      </w:r>
      <w:r w:rsidR="00FA37AB" w:rsidRPr="00C73973">
        <w:t xml:space="preserve"> Analyst</w:t>
      </w:r>
      <w:r w:rsidR="00AB7297" w:rsidRPr="00C73973">
        <w:t>,</w:t>
      </w:r>
      <w:r w:rsidR="00FA37AB" w:rsidRPr="00C73973">
        <w:t xml:space="preserve"> I</w:t>
      </w:r>
      <w:r w:rsidR="00E20C9A" w:rsidRPr="00C73973">
        <w:t xml:space="preserve"> am</w:t>
      </w:r>
      <w:r w:rsidR="00FA37AB" w:rsidRPr="00C73973">
        <w:t xml:space="preserve"> </w:t>
      </w:r>
      <w:r w:rsidR="001D2507" w:rsidRPr="00C73973">
        <w:t>responsible for</w:t>
      </w:r>
      <w:r w:rsidR="00C26C9F" w:rsidRPr="00C73973">
        <w:t xml:space="preserve">, among other things, </w:t>
      </w:r>
      <w:r w:rsidR="00752919" w:rsidRPr="00C73973">
        <w:t xml:space="preserve">preparing </w:t>
      </w:r>
      <w:r w:rsidR="003925FF" w:rsidRPr="00C73973">
        <w:t xml:space="preserve">the capital adjustments in general rate cases </w:t>
      </w:r>
      <w:r w:rsidR="00D4763F" w:rsidRPr="00C73973">
        <w:t>for</w:t>
      </w:r>
      <w:r w:rsidR="00312A1D">
        <w:t xml:space="preserve"> the</w:t>
      </w:r>
      <w:r w:rsidR="00D4763F" w:rsidRPr="00C73973">
        <w:t xml:space="preserve"> </w:t>
      </w:r>
      <w:r w:rsidR="003925FF" w:rsidRPr="00C73973">
        <w:t>Washington and Idaho jurisdictions</w:t>
      </w:r>
      <w:r w:rsidR="005B64F8" w:rsidRPr="00C73973">
        <w:t xml:space="preserve">. </w:t>
      </w:r>
    </w:p>
    <w:p w:rsidR="00435706" w:rsidRPr="00C73973" w:rsidRDefault="00435706" w:rsidP="00277436">
      <w:pPr>
        <w:pStyle w:val="BodyText2"/>
        <w:tabs>
          <w:tab w:val="left" w:pos="1440"/>
        </w:tabs>
        <w:ind w:firstLine="720"/>
        <w:rPr>
          <w:b/>
          <w:bCs/>
        </w:rPr>
      </w:pPr>
      <w:r w:rsidRPr="00C73973">
        <w:rPr>
          <w:b/>
          <w:bCs/>
        </w:rPr>
        <w:t>Q.</w:t>
      </w:r>
      <w:r w:rsidRPr="00C73973">
        <w:rPr>
          <w:b/>
          <w:bCs/>
        </w:rPr>
        <w:tab/>
        <w:t>What is the scope of your testimony?</w:t>
      </w:r>
    </w:p>
    <w:p w:rsidR="00B828B4" w:rsidRPr="00C73973" w:rsidRDefault="00B955A8" w:rsidP="00D1482B">
      <w:pPr>
        <w:pStyle w:val="TestBody"/>
        <w:spacing w:line="480" w:lineRule="auto"/>
        <w:ind w:left="0" w:firstLine="720"/>
        <w:rPr>
          <w:rFonts w:ascii="Times New Roman" w:hAnsi="Times New Roman" w:cs="Times New Roman"/>
        </w:rPr>
      </w:pPr>
      <w:r w:rsidRPr="00C73973">
        <w:rPr>
          <w:rFonts w:ascii="Times New Roman" w:hAnsi="Times New Roman" w:cs="Times New Roman"/>
        </w:rPr>
        <w:t>A.</w:t>
      </w:r>
      <w:r w:rsidRPr="00C73973">
        <w:rPr>
          <w:rFonts w:ascii="Times New Roman" w:hAnsi="Times New Roman" w:cs="Times New Roman"/>
        </w:rPr>
        <w:tab/>
      </w:r>
      <w:r w:rsidR="00FA37AB" w:rsidRPr="00C73973">
        <w:rPr>
          <w:rFonts w:ascii="Times New Roman" w:hAnsi="Times New Roman" w:cs="Times New Roman"/>
        </w:rPr>
        <w:t xml:space="preserve">My testimony and exhibits in this proceeding will </w:t>
      </w:r>
      <w:r w:rsidR="00D1482B">
        <w:rPr>
          <w:rFonts w:ascii="Times New Roman" w:hAnsi="Times New Roman" w:cs="Times New Roman"/>
        </w:rPr>
        <w:t>explain how</w:t>
      </w:r>
      <w:r w:rsidR="00FA37AB" w:rsidRPr="00C73973">
        <w:rPr>
          <w:rFonts w:ascii="Times New Roman" w:hAnsi="Times New Roman" w:cs="Times New Roman"/>
        </w:rPr>
        <w:t xml:space="preserve"> the Company’s </w:t>
      </w:r>
      <w:r w:rsidR="00580D09" w:rsidRPr="00C73973">
        <w:rPr>
          <w:rFonts w:ascii="Times New Roman" w:hAnsi="Times New Roman" w:cs="Times New Roman"/>
        </w:rPr>
        <w:t>capital investments in u</w:t>
      </w:r>
      <w:r w:rsidR="00703220" w:rsidRPr="00C73973">
        <w:rPr>
          <w:rFonts w:ascii="Times New Roman" w:hAnsi="Times New Roman" w:cs="Times New Roman"/>
        </w:rPr>
        <w:t xml:space="preserve">tility plant </w:t>
      </w:r>
      <w:r w:rsidR="00F174A8" w:rsidRPr="00C73973">
        <w:rPr>
          <w:rFonts w:ascii="Times New Roman" w:hAnsi="Times New Roman" w:cs="Times New Roman"/>
        </w:rPr>
        <w:t>from December 31, 2016</w:t>
      </w:r>
      <w:r w:rsidR="00080843" w:rsidRPr="00C73973">
        <w:rPr>
          <w:rFonts w:ascii="Times New Roman" w:hAnsi="Times New Roman" w:cs="Times New Roman"/>
        </w:rPr>
        <w:t xml:space="preserve"> </w:t>
      </w:r>
      <w:r w:rsidR="00F174A8" w:rsidRPr="00C73973">
        <w:rPr>
          <w:rFonts w:ascii="Times New Roman" w:hAnsi="Times New Roman" w:cs="Times New Roman"/>
        </w:rPr>
        <w:t>through April</w:t>
      </w:r>
      <w:r w:rsidR="00703220" w:rsidRPr="00C73973">
        <w:rPr>
          <w:rFonts w:ascii="Times New Roman" w:hAnsi="Times New Roman" w:cs="Times New Roman"/>
        </w:rPr>
        <w:t xml:space="preserve"> 30</w:t>
      </w:r>
      <w:r w:rsidR="00580D09" w:rsidRPr="00C73973">
        <w:rPr>
          <w:rFonts w:ascii="Times New Roman" w:hAnsi="Times New Roman" w:cs="Times New Roman"/>
        </w:rPr>
        <w:t xml:space="preserve">, </w:t>
      </w:r>
      <w:r w:rsidR="00F174A8" w:rsidRPr="00C73973">
        <w:rPr>
          <w:rFonts w:ascii="Times New Roman" w:hAnsi="Times New Roman" w:cs="Times New Roman"/>
        </w:rPr>
        <w:t>2021</w:t>
      </w:r>
      <w:r w:rsidR="00D1482B">
        <w:rPr>
          <w:rFonts w:ascii="Times New Roman" w:hAnsi="Times New Roman" w:cs="Times New Roman"/>
        </w:rPr>
        <w:t xml:space="preserve"> are incorporated into the proposed revenue requirements in this case</w:t>
      </w:r>
      <w:r w:rsidR="005C2CB1" w:rsidRPr="00C73973">
        <w:rPr>
          <w:rFonts w:ascii="Times New Roman" w:hAnsi="Times New Roman" w:cs="Times New Roman"/>
        </w:rPr>
        <w:t>. As</w:t>
      </w:r>
      <w:r w:rsidR="00080843" w:rsidRPr="00C73973">
        <w:rPr>
          <w:rFonts w:ascii="Times New Roman" w:hAnsi="Times New Roman" w:cs="Times New Roman"/>
        </w:rPr>
        <w:t xml:space="preserve"> </w:t>
      </w:r>
      <w:r w:rsidR="005C2CB1" w:rsidRPr="00C73973">
        <w:rPr>
          <w:rFonts w:ascii="Times New Roman" w:hAnsi="Times New Roman" w:cs="Times New Roman"/>
        </w:rPr>
        <w:t xml:space="preserve">discussed by Company witnesses Mr. Morris and Ms. Andrews, the Company is proposing a </w:t>
      </w:r>
      <w:r w:rsidR="008D622B" w:rsidRPr="00C73973">
        <w:rPr>
          <w:rFonts w:ascii="Times New Roman" w:hAnsi="Times New Roman" w:cs="Times New Roman"/>
        </w:rPr>
        <w:t>Three-Y</w:t>
      </w:r>
      <w:r w:rsidR="00F174A8" w:rsidRPr="00C73973">
        <w:rPr>
          <w:rFonts w:ascii="Times New Roman" w:hAnsi="Times New Roman" w:cs="Times New Roman"/>
        </w:rPr>
        <w:t>ear</w:t>
      </w:r>
      <w:r w:rsidR="00080843" w:rsidRPr="00C73973">
        <w:rPr>
          <w:rFonts w:ascii="Times New Roman" w:hAnsi="Times New Roman" w:cs="Times New Roman"/>
        </w:rPr>
        <w:t xml:space="preserve"> </w:t>
      </w:r>
      <w:r w:rsidR="008D622B" w:rsidRPr="00C73973">
        <w:rPr>
          <w:rFonts w:ascii="Times New Roman" w:hAnsi="Times New Roman" w:cs="Times New Roman"/>
        </w:rPr>
        <w:t>R</w:t>
      </w:r>
      <w:r w:rsidR="00080843" w:rsidRPr="00C73973">
        <w:rPr>
          <w:rFonts w:ascii="Times New Roman" w:hAnsi="Times New Roman" w:cs="Times New Roman"/>
        </w:rPr>
        <w:t xml:space="preserve">ate </w:t>
      </w:r>
      <w:r w:rsidR="008D622B" w:rsidRPr="00C73973">
        <w:rPr>
          <w:rFonts w:ascii="Times New Roman" w:hAnsi="Times New Roman" w:cs="Times New Roman"/>
        </w:rPr>
        <w:t>P</w:t>
      </w:r>
      <w:r w:rsidR="00080843" w:rsidRPr="00C73973">
        <w:rPr>
          <w:rFonts w:ascii="Times New Roman" w:hAnsi="Times New Roman" w:cs="Times New Roman"/>
        </w:rPr>
        <w:t>lan</w:t>
      </w:r>
      <w:r w:rsidR="005C2CB1" w:rsidRPr="00C73973">
        <w:rPr>
          <w:rFonts w:ascii="Times New Roman" w:hAnsi="Times New Roman" w:cs="Times New Roman"/>
        </w:rPr>
        <w:t xml:space="preserve"> for the period beginning May 1, 2018 through April 30, 2021. </w:t>
      </w:r>
      <w:r w:rsidR="000B7322" w:rsidRPr="00C73973">
        <w:rPr>
          <w:rFonts w:ascii="Times New Roman" w:hAnsi="Times New Roman" w:cs="Times New Roman"/>
        </w:rPr>
        <w:t>As a part of the Three-Year Rate Plan, I prepared the capital adjustments that are incorporated in</w:t>
      </w:r>
      <w:r w:rsidR="005C2CB1" w:rsidRPr="00C73973">
        <w:rPr>
          <w:rFonts w:ascii="Times New Roman" w:hAnsi="Times New Roman" w:cs="Times New Roman"/>
        </w:rPr>
        <w:t xml:space="preserve"> each of the four S</w:t>
      </w:r>
      <w:r w:rsidR="00312A1D">
        <w:rPr>
          <w:rFonts w:ascii="Times New Roman" w:hAnsi="Times New Roman" w:cs="Times New Roman"/>
        </w:rPr>
        <w:t>tudies prepared in this case</w:t>
      </w:r>
      <w:r w:rsidR="005C2CB1" w:rsidRPr="00C73973">
        <w:rPr>
          <w:rFonts w:ascii="Times New Roman" w:hAnsi="Times New Roman" w:cs="Times New Roman"/>
        </w:rPr>
        <w:t xml:space="preserve"> sponsored by Ms. Andrews. </w:t>
      </w:r>
    </w:p>
    <w:p w:rsidR="00D002C0" w:rsidRPr="00C73973" w:rsidRDefault="00D002C0" w:rsidP="00794092">
      <w:pPr>
        <w:pStyle w:val="TestBody"/>
        <w:spacing w:line="480" w:lineRule="auto"/>
        <w:ind w:left="0" w:firstLine="0"/>
        <w:rPr>
          <w:rFonts w:ascii="Times New Roman" w:hAnsi="Times New Roman" w:cs="Times New Roman"/>
        </w:rPr>
      </w:pPr>
      <w:r w:rsidRPr="00C73973">
        <w:rPr>
          <w:rFonts w:ascii="Times New Roman" w:hAnsi="Times New Roman" w:cs="Times New Roman"/>
        </w:rPr>
        <w:lastRenderedPageBreak/>
        <w:t>A table of contents for my testimony is as follows:</w:t>
      </w:r>
    </w:p>
    <w:p w:rsidR="008B0443" w:rsidRPr="00C73973" w:rsidRDefault="008B0443" w:rsidP="008B0443">
      <w:pPr>
        <w:pStyle w:val="TOCHeading"/>
        <w:spacing w:line="240" w:lineRule="auto"/>
        <w:jc w:val="center"/>
        <w:rPr>
          <w:rFonts w:ascii="Times New Roman" w:hAnsi="Times New Roman" w:cs="Times New Roman"/>
          <w:b/>
          <w:color w:val="auto"/>
          <w:sz w:val="24"/>
          <w:szCs w:val="24"/>
          <w:u w:val="single"/>
        </w:rPr>
      </w:pPr>
      <w:r w:rsidRPr="00C73973">
        <w:rPr>
          <w:rFonts w:ascii="Times New Roman" w:hAnsi="Times New Roman" w:cs="Times New Roman"/>
          <w:b/>
          <w:color w:val="auto"/>
          <w:sz w:val="24"/>
          <w:szCs w:val="24"/>
          <w:u w:val="single"/>
        </w:rPr>
        <w:t>TABLE OF CONTENTS</w:t>
      </w:r>
    </w:p>
    <w:p w:rsidR="008B0443" w:rsidRPr="00C73973" w:rsidRDefault="008B0443" w:rsidP="00CC00B7">
      <w:pPr>
        <w:pStyle w:val="TOCHeading"/>
        <w:spacing w:line="480" w:lineRule="auto"/>
        <w:ind w:left="630" w:right="1458" w:firstLine="90"/>
        <w:jc w:val="both"/>
        <w:rPr>
          <w:rFonts w:ascii="Times New Roman" w:hAnsi="Times New Roman" w:cs="Times New Roman"/>
          <w:b/>
          <w:color w:val="auto"/>
          <w:sz w:val="24"/>
          <w:szCs w:val="24"/>
          <w:u w:val="single"/>
        </w:rPr>
      </w:pPr>
      <w:r w:rsidRPr="00C73973">
        <w:rPr>
          <w:rFonts w:ascii="Times New Roman" w:hAnsi="Times New Roman" w:cs="Times New Roman"/>
          <w:b/>
          <w:color w:val="auto"/>
          <w:sz w:val="24"/>
          <w:szCs w:val="24"/>
          <w:u w:val="single"/>
        </w:rPr>
        <w:t>Description</w:t>
      </w:r>
      <w:r w:rsidRPr="00C73973">
        <w:rPr>
          <w:rFonts w:ascii="Times New Roman" w:hAnsi="Times New Roman" w:cs="Times New Roman"/>
          <w:b/>
          <w:color w:val="auto"/>
          <w:sz w:val="24"/>
          <w:szCs w:val="24"/>
          <w:u w:val="single"/>
        </w:rPr>
        <w:tab/>
      </w:r>
      <w:r w:rsidR="008E55F5" w:rsidRPr="00C73973">
        <w:rPr>
          <w:rFonts w:ascii="Times New Roman" w:hAnsi="Times New Roman" w:cs="Times New Roman"/>
          <w:b/>
          <w:color w:val="auto"/>
          <w:sz w:val="24"/>
          <w:szCs w:val="24"/>
          <w:u w:val="single"/>
        </w:rPr>
        <w:t xml:space="preserve">  </w:t>
      </w:r>
      <w:r w:rsidR="008E55F5" w:rsidRPr="00C73973">
        <w:rPr>
          <w:rFonts w:ascii="Times New Roman" w:hAnsi="Times New Roman" w:cs="Times New Roman"/>
          <w:b/>
          <w:color w:val="auto"/>
          <w:sz w:val="24"/>
          <w:szCs w:val="24"/>
          <w:u w:val="single"/>
        </w:rPr>
        <w:tab/>
      </w:r>
      <w:r w:rsidRPr="00C73973">
        <w:rPr>
          <w:rFonts w:ascii="Times New Roman" w:hAnsi="Times New Roman" w:cs="Times New Roman"/>
          <w:b/>
          <w:color w:val="auto"/>
          <w:sz w:val="24"/>
          <w:szCs w:val="24"/>
          <w:u w:val="single"/>
        </w:rPr>
        <w:tab/>
      </w:r>
      <w:r w:rsidRPr="00C73973">
        <w:rPr>
          <w:rFonts w:ascii="Times New Roman" w:hAnsi="Times New Roman" w:cs="Times New Roman"/>
          <w:b/>
          <w:color w:val="auto"/>
          <w:sz w:val="24"/>
          <w:szCs w:val="24"/>
          <w:u w:val="single"/>
        </w:rPr>
        <w:tab/>
      </w:r>
      <w:r w:rsidRPr="00C73973">
        <w:rPr>
          <w:rFonts w:ascii="Times New Roman" w:hAnsi="Times New Roman" w:cs="Times New Roman"/>
          <w:b/>
          <w:color w:val="auto"/>
          <w:sz w:val="24"/>
          <w:szCs w:val="24"/>
          <w:u w:val="single"/>
        </w:rPr>
        <w:tab/>
      </w:r>
      <w:r w:rsidR="009A692D" w:rsidRPr="00C73973">
        <w:rPr>
          <w:rFonts w:ascii="Times New Roman" w:hAnsi="Times New Roman" w:cs="Times New Roman"/>
          <w:b/>
          <w:color w:val="auto"/>
          <w:sz w:val="24"/>
          <w:szCs w:val="24"/>
          <w:u w:val="single"/>
        </w:rPr>
        <w:t xml:space="preserve">           </w:t>
      </w:r>
      <w:r w:rsidRPr="00C73973">
        <w:rPr>
          <w:rFonts w:ascii="Times New Roman" w:hAnsi="Times New Roman" w:cs="Times New Roman"/>
          <w:b/>
          <w:color w:val="auto"/>
          <w:sz w:val="24"/>
          <w:szCs w:val="24"/>
          <w:u w:val="single"/>
        </w:rPr>
        <w:tab/>
        <w:t xml:space="preserve"> </w:t>
      </w:r>
      <w:r w:rsidR="009A692D" w:rsidRPr="00C73973">
        <w:rPr>
          <w:rFonts w:ascii="Times New Roman" w:hAnsi="Times New Roman" w:cs="Times New Roman"/>
          <w:b/>
          <w:color w:val="auto"/>
          <w:sz w:val="24"/>
          <w:szCs w:val="24"/>
          <w:u w:val="single"/>
        </w:rPr>
        <w:t xml:space="preserve"> </w:t>
      </w:r>
      <w:r w:rsidR="00C44F6D">
        <w:rPr>
          <w:rFonts w:ascii="Times New Roman" w:hAnsi="Times New Roman" w:cs="Times New Roman"/>
          <w:b/>
          <w:color w:val="auto"/>
          <w:sz w:val="24"/>
          <w:szCs w:val="24"/>
          <w:u w:val="single"/>
        </w:rPr>
        <w:t xml:space="preserve">           </w:t>
      </w:r>
      <w:r w:rsidR="009A692D" w:rsidRPr="00C73973">
        <w:rPr>
          <w:rFonts w:ascii="Times New Roman" w:hAnsi="Times New Roman" w:cs="Times New Roman"/>
          <w:b/>
          <w:color w:val="auto"/>
          <w:sz w:val="24"/>
          <w:szCs w:val="24"/>
          <w:u w:val="single"/>
        </w:rPr>
        <w:t xml:space="preserve">    </w:t>
      </w:r>
      <w:r w:rsidRPr="00C73973">
        <w:rPr>
          <w:rFonts w:ascii="Times New Roman" w:hAnsi="Times New Roman" w:cs="Times New Roman"/>
          <w:b/>
          <w:color w:val="auto"/>
          <w:sz w:val="24"/>
          <w:szCs w:val="24"/>
          <w:u w:val="single"/>
        </w:rPr>
        <w:t xml:space="preserve">   Page</w:t>
      </w:r>
    </w:p>
    <w:p w:rsidR="00BE052A" w:rsidRDefault="008B0443" w:rsidP="00194221">
      <w:pPr>
        <w:pStyle w:val="TOC3"/>
        <w:rPr>
          <w:rFonts w:asciiTheme="minorHAnsi" w:eastAsiaTheme="minorEastAsia" w:hAnsiTheme="minorHAnsi" w:cstheme="minorBidi"/>
          <w:noProof/>
          <w:sz w:val="22"/>
          <w:szCs w:val="22"/>
        </w:rPr>
      </w:pPr>
      <w:r w:rsidRPr="00C73973">
        <w:fldChar w:fldCharType="begin"/>
      </w:r>
      <w:r w:rsidRPr="00C73973">
        <w:instrText xml:space="preserve"> TOC \o "1-3" \h \z \u </w:instrText>
      </w:r>
      <w:r w:rsidRPr="00C73973">
        <w:fldChar w:fldCharType="separate"/>
      </w:r>
      <w:hyperlink w:anchor="_Toc483209847" w:history="1">
        <w:r w:rsidR="00BE052A" w:rsidRPr="0071042E">
          <w:rPr>
            <w:rStyle w:val="Hyperlink"/>
            <w:noProof/>
          </w:rPr>
          <w:t>I. INTRODUCTION</w:t>
        </w:r>
        <w:r w:rsidR="00BE052A">
          <w:rPr>
            <w:noProof/>
            <w:webHidden/>
          </w:rPr>
          <w:tab/>
        </w:r>
        <w:r w:rsidR="00BE052A">
          <w:rPr>
            <w:noProof/>
            <w:webHidden/>
          </w:rPr>
          <w:fldChar w:fldCharType="begin"/>
        </w:r>
        <w:r w:rsidR="00BE052A">
          <w:rPr>
            <w:noProof/>
            <w:webHidden/>
          </w:rPr>
          <w:instrText xml:space="preserve"> PAGEREF _Toc483209847 \h </w:instrText>
        </w:r>
        <w:r w:rsidR="00BE052A">
          <w:rPr>
            <w:noProof/>
            <w:webHidden/>
          </w:rPr>
        </w:r>
        <w:r w:rsidR="00BE052A">
          <w:rPr>
            <w:noProof/>
            <w:webHidden/>
          </w:rPr>
          <w:fldChar w:fldCharType="separate"/>
        </w:r>
        <w:r w:rsidR="00BB1C83">
          <w:rPr>
            <w:noProof/>
            <w:webHidden/>
          </w:rPr>
          <w:t>1</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48" w:history="1">
        <w:r w:rsidR="00BE052A" w:rsidRPr="0071042E">
          <w:rPr>
            <w:rStyle w:val="Hyperlink"/>
            <w:noProof/>
          </w:rPr>
          <w:t>II. WITNESSES TESTIFYING TO CAPITAL ADDITIONS</w:t>
        </w:r>
        <w:r w:rsidR="00BE052A">
          <w:rPr>
            <w:noProof/>
            <w:webHidden/>
          </w:rPr>
          <w:tab/>
        </w:r>
        <w:r w:rsidR="00BE052A">
          <w:rPr>
            <w:noProof/>
            <w:webHidden/>
          </w:rPr>
          <w:fldChar w:fldCharType="begin"/>
        </w:r>
        <w:r w:rsidR="00BE052A">
          <w:rPr>
            <w:noProof/>
            <w:webHidden/>
          </w:rPr>
          <w:instrText xml:space="preserve"> PAGEREF _Toc483209848 \h </w:instrText>
        </w:r>
        <w:r w:rsidR="00BE052A">
          <w:rPr>
            <w:noProof/>
            <w:webHidden/>
          </w:rPr>
        </w:r>
        <w:r w:rsidR="00BE052A">
          <w:rPr>
            <w:noProof/>
            <w:webHidden/>
          </w:rPr>
          <w:fldChar w:fldCharType="separate"/>
        </w:r>
        <w:r>
          <w:rPr>
            <w:noProof/>
            <w:webHidden/>
          </w:rPr>
          <w:t>2</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49" w:history="1">
        <w:r w:rsidR="00BE052A" w:rsidRPr="0071042E">
          <w:rPr>
            <w:rStyle w:val="Hyperlink"/>
            <w:noProof/>
          </w:rPr>
          <w:t>III. CAPITAL ADJUSTMENT OVERVIEW</w:t>
        </w:r>
        <w:r w:rsidR="00BE052A">
          <w:rPr>
            <w:noProof/>
            <w:webHidden/>
          </w:rPr>
          <w:tab/>
        </w:r>
        <w:r w:rsidR="00BE052A">
          <w:rPr>
            <w:noProof/>
            <w:webHidden/>
          </w:rPr>
          <w:fldChar w:fldCharType="begin"/>
        </w:r>
        <w:r w:rsidR="00BE052A">
          <w:rPr>
            <w:noProof/>
            <w:webHidden/>
          </w:rPr>
          <w:instrText xml:space="preserve"> PAGEREF _Toc483209849 \h </w:instrText>
        </w:r>
        <w:r w:rsidR="00BE052A">
          <w:rPr>
            <w:noProof/>
            <w:webHidden/>
          </w:rPr>
        </w:r>
        <w:r w:rsidR="00BE052A">
          <w:rPr>
            <w:noProof/>
            <w:webHidden/>
          </w:rPr>
          <w:fldChar w:fldCharType="separate"/>
        </w:r>
        <w:r>
          <w:rPr>
            <w:noProof/>
            <w:webHidden/>
          </w:rPr>
          <w:t>5</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50" w:history="1">
        <w:r w:rsidR="00BE052A" w:rsidRPr="0071042E">
          <w:rPr>
            <w:rStyle w:val="Hyperlink"/>
            <w:noProof/>
          </w:rPr>
          <w:t>IV. TRADITIONAL PRO FORMA STUDIES</w:t>
        </w:r>
        <w:r w:rsidR="00BE052A">
          <w:rPr>
            <w:noProof/>
            <w:webHidden/>
          </w:rPr>
          <w:tab/>
        </w:r>
        <w:r w:rsidR="00BE052A">
          <w:rPr>
            <w:noProof/>
            <w:webHidden/>
          </w:rPr>
          <w:fldChar w:fldCharType="begin"/>
        </w:r>
        <w:r w:rsidR="00BE052A">
          <w:rPr>
            <w:noProof/>
            <w:webHidden/>
          </w:rPr>
          <w:instrText xml:space="preserve"> PAGEREF _Toc483209850 \h </w:instrText>
        </w:r>
        <w:r w:rsidR="00BE052A">
          <w:rPr>
            <w:noProof/>
            <w:webHidden/>
          </w:rPr>
        </w:r>
        <w:r w:rsidR="00BE052A">
          <w:rPr>
            <w:noProof/>
            <w:webHidden/>
          </w:rPr>
          <w:fldChar w:fldCharType="separate"/>
        </w:r>
        <w:r>
          <w:rPr>
            <w:noProof/>
            <w:webHidden/>
          </w:rPr>
          <w:t>9</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51" w:history="1">
        <w:r w:rsidR="00BE052A" w:rsidRPr="0071042E">
          <w:rPr>
            <w:rStyle w:val="Hyperlink"/>
            <w:noProof/>
          </w:rPr>
          <w:t>V. END OF PERIOD RATE BASE STUDIES</w:t>
        </w:r>
        <w:r w:rsidR="00BE052A">
          <w:rPr>
            <w:noProof/>
            <w:webHidden/>
          </w:rPr>
          <w:tab/>
        </w:r>
        <w:r w:rsidR="00BE052A">
          <w:rPr>
            <w:noProof/>
            <w:webHidden/>
          </w:rPr>
          <w:fldChar w:fldCharType="begin"/>
        </w:r>
        <w:r w:rsidR="00BE052A">
          <w:rPr>
            <w:noProof/>
            <w:webHidden/>
          </w:rPr>
          <w:instrText xml:space="preserve"> PAGEREF _Toc483209851 \h </w:instrText>
        </w:r>
        <w:r w:rsidR="00BE052A">
          <w:rPr>
            <w:noProof/>
            <w:webHidden/>
          </w:rPr>
        </w:r>
        <w:r w:rsidR="00BE052A">
          <w:rPr>
            <w:noProof/>
            <w:webHidden/>
          </w:rPr>
          <w:fldChar w:fldCharType="separate"/>
        </w:r>
        <w:r>
          <w:rPr>
            <w:noProof/>
            <w:webHidden/>
          </w:rPr>
          <w:t>10</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52" w:history="1">
        <w:r w:rsidR="00BE052A" w:rsidRPr="0071042E">
          <w:rPr>
            <w:rStyle w:val="Hyperlink"/>
            <w:noProof/>
          </w:rPr>
          <w:t>VI. RATE YEAR STUDIES</w:t>
        </w:r>
        <w:r w:rsidR="00BE052A">
          <w:rPr>
            <w:noProof/>
            <w:webHidden/>
          </w:rPr>
          <w:tab/>
        </w:r>
        <w:r w:rsidR="00BE052A">
          <w:rPr>
            <w:noProof/>
            <w:webHidden/>
          </w:rPr>
          <w:fldChar w:fldCharType="begin"/>
        </w:r>
        <w:r w:rsidR="00BE052A">
          <w:rPr>
            <w:noProof/>
            <w:webHidden/>
          </w:rPr>
          <w:instrText xml:space="preserve"> PAGEREF _Toc483209852 \h </w:instrText>
        </w:r>
        <w:r w:rsidR="00BE052A">
          <w:rPr>
            <w:noProof/>
            <w:webHidden/>
          </w:rPr>
        </w:r>
        <w:r w:rsidR="00BE052A">
          <w:rPr>
            <w:noProof/>
            <w:webHidden/>
          </w:rPr>
          <w:fldChar w:fldCharType="separate"/>
        </w:r>
        <w:r>
          <w:rPr>
            <w:noProof/>
            <w:webHidden/>
          </w:rPr>
          <w:t>13</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53" w:history="1">
        <w:r w:rsidR="00BE052A" w:rsidRPr="0071042E">
          <w:rPr>
            <w:rStyle w:val="Hyperlink"/>
            <w:noProof/>
          </w:rPr>
          <w:t>VII.DEPRECIATION STUDY</w:t>
        </w:r>
        <w:r w:rsidR="00BE052A">
          <w:rPr>
            <w:noProof/>
            <w:webHidden/>
          </w:rPr>
          <w:tab/>
        </w:r>
        <w:r w:rsidR="00BE052A">
          <w:rPr>
            <w:noProof/>
            <w:webHidden/>
          </w:rPr>
          <w:fldChar w:fldCharType="begin"/>
        </w:r>
        <w:r w:rsidR="00BE052A">
          <w:rPr>
            <w:noProof/>
            <w:webHidden/>
          </w:rPr>
          <w:instrText xml:space="preserve"> PAGEREF _Toc483209853 \h </w:instrText>
        </w:r>
        <w:r w:rsidR="00BE052A">
          <w:rPr>
            <w:noProof/>
            <w:webHidden/>
          </w:rPr>
        </w:r>
        <w:r w:rsidR="00BE052A">
          <w:rPr>
            <w:noProof/>
            <w:webHidden/>
          </w:rPr>
          <w:fldChar w:fldCharType="separate"/>
        </w:r>
        <w:r>
          <w:rPr>
            <w:noProof/>
            <w:webHidden/>
          </w:rPr>
          <w:t>19</w:t>
        </w:r>
        <w:r w:rsidR="00BE052A">
          <w:rPr>
            <w:noProof/>
            <w:webHidden/>
          </w:rPr>
          <w:fldChar w:fldCharType="end"/>
        </w:r>
      </w:hyperlink>
    </w:p>
    <w:p w:rsidR="00BE052A" w:rsidRDefault="00BB1C83" w:rsidP="00194221">
      <w:pPr>
        <w:pStyle w:val="TOC3"/>
        <w:rPr>
          <w:rFonts w:asciiTheme="minorHAnsi" w:eastAsiaTheme="minorEastAsia" w:hAnsiTheme="minorHAnsi" w:cstheme="minorBidi"/>
          <w:noProof/>
          <w:sz w:val="22"/>
          <w:szCs w:val="22"/>
        </w:rPr>
      </w:pPr>
      <w:hyperlink w:anchor="_Toc483209854" w:history="1">
        <w:r w:rsidR="00BE052A" w:rsidRPr="0071042E">
          <w:rPr>
            <w:rStyle w:val="Hyperlink"/>
            <w:noProof/>
          </w:rPr>
          <w:t>VIII. REPORTING FOR CAPITAL ADDITIONS</w:t>
        </w:r>
        <w:r w:rsidR="00BE052A">
          <w:rPr>
            <w:noProof/>
            <w:webHidden/>
          </w:rPr>
          <w:tab/>
        </w:r>
        <w:r w:rsidR="00BE052A">
          <w:rPr>
            <w:noProof/>
            <w:webHidden/>
          </w:rPr>
          <w:fldChar w:fldCharType="begin"/>
        </w:r>
        <w:r w:rsidR="00BE052A">
          <w:rPr>
            <w:noProof/>
            <w:webHidden/>
          </w:rPr>
          <w:instrText xml:space="preserve"> PAGEREF _Toc483209854 \h </w:instrText>
        </w:r>
        <w:r w:rsidR="00BE052A">
          <w:rPr>
            <w:noProof/>
            <w:webHidden/>
          </w:rPr>
        </w:r>
        <w:r w:rsidR="00BE052A">
          <w:rPr>
            <w:noProof/>
            <w:webHidden/>
          </w:rPr>
          <w:fldChar w:fldCharType="separate"/>
        </w:r>
        <w:r>
          <w:rPr>
            <w:noProof/>
            <w:webHidden/>
          </w:rPr>
          <w:t>20</w:t>
        </w:r>
        <w:r w:rsidR="00BE052A">
          <w:rPr>
            <w:noProof/>
            <w:webHidden/>
          </w:rPr>
          <w:fldChar w:fldCharType="end"/>
        </w:r>
      </w:hyperlink>
    </w:p>
    <w:p w:rsidR="00A80AC2" w:rsidRPr="00C73973" w:rsidRDefault="008B0443" w:rsidP="00CC00B7">
      <w:pPr>
        <w:pStyle w:val="BodyText2"/>
        <w:ind w:left="630" w:right="1454" w:firstLine="90"/>
        <w:rPr>
          <w:b/>
          <w:bCs/>
        </w:rPr>
      </w:pPr>
      <w:r w:rsidRPr="00C73973">
        <w:rPr>
          <w:noProof/>
        </w:rPr>
        <w:fldChar w:fldCharType="end"/>
      </w:r>
    </w:p>
    <w:p w:rsidR="002E2403" w:rsidRPr="00C73973" w:rsidRDefault="002E2403" w:rsidP="00CC00B7">
      <w:pPr>
        <w:pStyle w:val="BodyText2"/>
        <w:ind w:firstLine="720"/>
        <w:rPr>
          <w:b/>
          <w:bCs/>
        </w:rPr>
      </w:pPr>
      <w:r w:rsidRPr="00C73973">
        <w:rPr>
          <w:b/>
          <w:bCs/>
        </w:rPr>
        <w:t>Q.</w:t>
      </w:r>
      <w:r w:rsidRPr="00C73973">
        <w:rPr>
          <w:b/>
          <w:bCs/>
        </w:rPr>
        <w:tab/>
        <w:t>Are you sponsoring any exhibits?</w:t>
      </w:r>
    </w:p>
    <w:p w:rsidR="00726166" w:rsidRPr="00C73973" w:rsidRDefault="002E2403" w:rsidP="00552C70">
      <w:pPr>
        <w:pStyle w:val="BodyText2"/>
        <w:ind w:firstLine="720"/>
      </w:pPr>
      <w:r w:rsidRPr="00C73973">
        <w:t>A.</w:t>
      </w:r>
      <w:r w:rsidRPr="00C73973">
        <w:tab/>
        <w:t>Yes</w:t>
      </w:r>
      <w:r w:rsidR="001C7EFE" w:rsidRPr="00C73973">
        <w:t xml:space="preserve">. </w:t>
      </w:r>
      <w:r w:rsidR="00B828B4" w:rsidRPr="00C73973">
        <w:t xml:space="preserve">I am sponsoring </w:t>
      </w:r>
      <w:proofErr w:type="spellStart"/>
      <w:r w:rsidR="00B828B4" w:rsidRPr="00C73973">
        <w:t>Exh</w:t>
      </w:r>
      <w:proofErr w:type="spellEnd"/>
      <w:r w:rsidR="00B828B4" w:rsidRPr="00C73973">
        <w:t xml:space="preserve">. </w:t>
      </w:r>
      <w:r w:rsidR="0003294C" w:rsidRPr="00C73973">
        <w:t>KKS</w:t>
      </w:r>
      <w:r w:rsidRPr="00C73973">
        <w:t>-</w:t>
      </w:r>
      <w:r w:rsidR="00AC2CA8" w:rsidRPr="00C73973">
        <w:t xml:space="preserve">2 </w:t>
      </w:r>
      <w:r w:rsidRPr="00C73973">
        <w:t>which w</w:t>
      </w:r>
      <w:r w:rsidR="008D622B" w:rsidRPr="00C73973">
        <w:t>as</w:t>
      </w:r>
      <w:r w:rsidRPr="00C73973">
        <w:t xml:space="preserve"> prepared</w:t>
      </w:r>
      <w:r w:rsidR="00CD5A85" w:rsidRPr="00C73973">
        <w:t xml:space="preserve"> by me</w:t>
      </w:r>
      <w:r w:rsidR="0049689D">
        <w:t>. This exhibit</w:t>
      </w:r>
      <w:r w:rsidR="00C62DE6" w:rsidRPr="00C73973">
        <w:t xml:space="preserve"> provide</w:t>
      </w:r>
      <w:r w:rsidR="0049689D">
        <w:t>s</w:t>
      </w:r>
      <w:r w:rsidR="00C62DE6" w:rsidRPr="00C73973">
        <w:t xml:space="preserve"> </w:t>
      </w:r>
      <w:r w:rsidR="003925FF" w:rsidRPr="00C73973">
        <w:t>a summary</w:t>
      </w:r>
      <w:r w:rsidR="00C73973">
        <w:t xml:space="preserve"> of</w:t>
      </w:r>
      <w:r w:rsidR="00C62DE6" w:rsidRPr="00C73973">
        <w:t xml:space="preserve"> the capital </w:t>
      </w:r>
      <w:r w:rsidR="00EA356C" w:rsidRPr="00C73973">
        <w:t xml:space="preserve">investments included in </w:t>
      </w:r>
      <w:r w:rsidR="006A42BA" w:rsidRPr="00C73973">
        <w:t>each</w:t>
      </w:r>
      <w:r w:rsidR="0049689D">
        <w:t xml:space="preserve"> of the capital</w:t>
      </w:r>
      <w:r w:rsidR="006A42BA" w:rsidRPr="00C73973">
        <w:t xml:space="preserve"> witnesses</w:t>
      </w:r>
      <w:r w:rsidR="0049689D">
        <w:rPr>
          <w:rStyle w:val="FootnoteReference"/>
        </w:rPr>
        <w:footnoteReference w:id="1"/>
      </w:r>
      <w:r w:rsidR="006A42BA" w:rsidRPr="00C73973">
        <w:t xml:space="preserve"> testimony by year</w:t>
      </w:r>
      <w:r w:rsidR="0049689D">
        <w:t>.</w:t>
      </w:r>
      <w:r w:rsidR="006A42BA" w:rsidRPr="00C73973">
        <w:t xml:space="preserve"> </w:t>
      </w:r>
    </w:p>
    <w:p w:rsidR="004E0929" w:rsidRPr="00C73973" w:rsidRDefault="004E0929" w:rsidP="00552C70">
      <w:pPr>
        <w:pStyle w:val="BodyText2"/>
        <w:ind w:firstLine="720"/>
      </w:pPr>
    </w:p>
    <w:p w:rsidR="003708B5" w:rsidRPr="00C73973" w:rsidRDefault="007D512E" w:rsidP="00194221">
      <w:pPr>
        <w:pStyle w:val="Heading3"/>
        <w:tabs>
          <w:tab w:val="clear" w:pos="1260"/>
        </w:tabs>
        <w:ind w:firstLine="0"/>
        <w:rPr>
          <w:rStyle w:val="PageNumber"/>
          <w:u w:val="single"/>
        </w:rPr>
      </w:pPr>
      <w:bookmarkStart w:id="1" w:name="_Toc483209848"/>
      <w:r w:rsidRPr="00C73973">
        <w:rPr>
          <w:rStyle w:val="PageNumber"/>
          <w:u w:val="single"/>
        </w:rPr>
        <w:t>I</w:t>
      </w:r>
      <w:r w:rsidR="002547C5" w:rsidRPr="00C73973">
        <w:rPr>
          <w:rStyle w:val="PageNumber"/>
          <w:u w:val="single"/>
        </w:rPr>
        <w:t>I</w:t>
      </w:r>
      <w:r w:rsidR="001C7EFE" w:rsidRPr="00C73973">
        <w:rPr>
          <w:rStyle w:val="PageNumber"/>
          <w:u w:val="single"/>
        </w:rPr>
        <w:t xml:space="preserve">. </w:t>
      </w:r>
      <w:r w:rsidR="0022463C" w:rsidRPr="00C73973">
        <w:rPr>
          <w:rStyle w:val="PageNumber"/>
          <w:u w:val="single"/>
        </w:rPr>
        <w:t>WITNESSES TESTIFYING TO CAPITAL ADDITIONS</w:t>
      </w:r>
      <w:bookmarkEnd w:id="1"/>
    </w:p>
    <w:p w:rsidR="00CA33AC" w:rsidRPr="00C73973" w:rsidRDefault="00CA33AC" w:rsidP="006C58A2">
      <w:pPr>
        <w:pStyle w:val="BodyText2"/>
        <w:tabs>
          <w:tab w:val="left" w:pos="1440"/>
        </w:tabs>
        <w:ind w:firstLine="720"/>
        <w:rPr>
          <w:b/>
        </w:rPr>
      </w:pPr>
      <w:r w:rsidRPr="00C73973">
        <w:rPr>
          <w:b/>
        </w:rPr>
        <w:t>Q.</w:t>
      </w:r>
      <w:r w:rsidRPr="00C73973">
        <w:rPr>
          <w:b/>
        </w:rPr>
        <w:tab/>
        <w:t xml:space="preserve">Would you please provide a brief summary of the </w:t>
      </w:r>
      <w:r w:rsidR="006C58A2" w:rsidRPr="00C73973">
        <w:rPr>
          <w:b/>
        </w:rPr>
        <w:t xml:space="preserve">witnesses </w:t>
      </w:r>
      <w:r w:rsidR="0049689D">
        <w:rPr>
          <w:b/>
        </w:rPr>
        <w:t xml:space="preserve">who provide testimony related to </w:t>
      </w:r>
      <w:r w:rsidR="006C58A2" w:rsidRPr="00C73973">
        <w:rPr>
          <w:b/>
        </w:rPr>
        <w:t>capital additions</w:t>
      </w:r>
      <w:r w:rsidRPr="00C73973">
        <w:rPr>
          <w:b/>
        </w:rPr>
        <w:t xml:space="preserve"> in this proceeding?</w:t>
      </w:r>
    </w:p>
    <w:p w:rsidR="00CC00B7" w:rsidRDefault="006C58A2" w:rsidP="00CC00B7">
      <w:pPr>
        <w:pStyle w:val="BodyText2"/>
        <w:tabs>
          <w:tab w:val="left" w:pos="1440"/>
        </w:tabs>
        <w:ind w:firstLine="720"/>
      </w:pPr>
      <w:r w:rsidRPr="00C73973">
        <w:t>A.</w:t>
      </w:r>
      <w:r w:rsidRPr="00C73973">
        <w:tab/>
        <w:t>Yes.  The following witnesses ar</w:t>
      </w:r>
      <w:r w:rsidR="00D04A9C" w:rsidRPr="00C73973">
        <w:t>e presenting direct testimony</w:t>
      </w:r>
      <w:r w:rsidRPr="00C73973">
        <w:t xml:space="preserve"> supporting capital additions in this case:</w:t>
      </w:r>
    </w:p>
    <w:p w:rsidR="0049689D" w:rsidRPr="00C73973" w:rsidRDefault="0049689D" w:rsidP="00CC00B7">
      <w:pPr>
        <w:pStyle w:val="BodyText2"/>
        <w:tabs>
          <w:tab w:val="left" w:pos="1440"/>
        </w:tabs>
        <w:ind w:firstLine="720"/>
      </w:pPr>
      <w:r w:rsidRPr="00C73973">
        <w:rPr>
          <w:u w:val="single"/>
        </w:rPr>
        <w:lastRenderedPageBreak/>
        <w:t>Mr. Scott Kinney</w:t>
      </w:r>
      <w:r w:rsidRPr="00C73973">
        <w:t>, Director of Power Supply, will provide detailed explanations of the Company’s power supply-related capital additions as well as the capital requirements for the implementation of Protection, Mitigation and Enhancement programs</w:t>
      </w:r>
      <w:r>
        <w:t xml:space="preserve"> (“PM&amp;E”)</w:t>
      </w:r>
      <w:r w:rsidR="00D1482B">
        <w:t xml:space="preserve">, related to hydroelectric licenses. </w:t>
      </w:r>
      <w:r w:rsidRPr="00C73973">
        <w:t xml:space="preserve"> </w:t>
      </w:r>
    </w:p>
    <w:p w:rsidR="006C58A2" w:rsidRPr="00C73973" w:rsidRDefault="006C58A2" w:rsidP="006C58A2">
      <w:pPr>
        <w:pStyle w:val="TestBody"/>
        <w:spacing w:line="480" w:lineRule="auto"/>
        <w:ind w:left="0" w:firstLine="720"/>
        <w:rPr>
          <w:rFonts w:ascii="Times New Roman" w:hAnsi="Times New Roman" w:cs="Times New Roman"/>
        </w:rPr>
      </w:pPr>
      <w:r w:rsidRPr="00C73973">
        <w:rPr>
          <w:rFonts w:ascii="Times New Roman" w:hAnsi="Times New Roman" w:cs="Times New Roman"/>
          <w:u w:val="single"/>
        </w:rPr>
        <w:t>Ms. Heather Rosentrater</w:t>
      </w:r>
      <w:r w:rsidRPr="00C73973">
        <w:rPr>
          <w:rFonts w:ascii="Times New Roman" w:hAnsi="Times New Roman" w:cs="Times New Roman"/>
        </w:rPr>
        <w:t xml:space="preserve">, Vice President of Energy Delivery, will </w:t>
      </w:r>
      <w:r w:rsidR="00D1482B">
        <w:rPr>
          <w:rFonts w:ascii="Times New Roman" w:hAnsi="Times New Roman" w:cs="Times New Roman"/>
        </w:rPr>
        <w:t>explain</w:t>
      </w:r>
      <w:r w:rsidR="00A07AA9" w:rsidRPr="00C73973">
        <w:rPr>
          <w:rFonts w:ascii="Times New Roman" w:hAnsi="Times New Roman" w:cs="Times New Roman"/>
        </w:rPr>
        <w:t xml:space="preserve"> capital additions </w:t>
      </w:r>
      <w:r w:rsidR="0049689D">
        <w:rPr>
          <w:rFonts w:ascii="Times New Roman" w:hAnsi="Times New Roman" w:cs="Times New Roman"/>
        </w:rPr>
        <w:t xml:space="preserve">related to electric transmission and distribution, </w:t>
      </w:r>
      <w:r w:rsidRPr="00C73973">
        <w:rPr>
          <w:rFonts w:ascii="Times New Roman" w:hAnsi="Times New Roman" w:cs="Times New Roman"/>
        </w:rPr>
        <w:t>natural</w:t>
      </w:r>
      <w:r w:rsidR="0049689D">
        <w:rPr>
          <w:rFonts w:ascii="Times New Roman" w:hAnsi="Times New Roman" w:cs="Times New Roman"/>
        </w:rPr>
        <w:t xml:space="preserve"> gas </w:t>
      </w:r>
      <w:r w:rsidR="00D04A9C" w:rsidRPr="00C73973">
        <w:rPr>
          <w:rFonts w:ascii="Times New Roman" w:hAnsi="Times New Roman" w:cs="Times New Roman"/>
        </w:rPr>
        <w:t>delivery</w:t>
      </w:r>
      <w:r w:rsidR="00C73973">
        <w:rPr>
          <w:rFonts w:ascii="Times New Roman" w:hAnsi="Times New Roman" w:cs="Times New Roman"/>
        </w:rPr>
        <w:t>,</w:t>
      </w:r>
      <w:r w:rsidR="00D04A9C" w:rsidRPr="00C73973">
        <w:rPr>
          <w:rFonts w:ascii="Times New Roman" w:hAnsi="Times New Roman" w:cs="Times New Roman"/>
        </w:rPr>
        <w:t xml:space="preserve"> facilities</w:t>
      </w:r>
      <w:r w:rsidR="008D622B" w:rsidRPr="00C73973">
        <w:rPr>
          <w:rFonts w:ascii="Times New Roman" w:hAnsi="Times New Roman" w:cs="Times New Roman"/>
        </w:rPr>
        <w:t>,</w:t>
      </w:r>
      <w:r w:rsidR="00EA356C" w:rsidRPr="00C73973">
        <w:rPr>
          <w:rFonts w:ascii="Times New Roman" w:hAnsi="Times New Roman" w:cs="Times New Roman"/>
        </w:rPr>
        <w:t xml:space="preserve"> fleet, </w:t>
      </w:r>
      <w:r w:rsidR="00D04A9C" w:rsidRPr="00C73973">
        <w:rPr>
          <w:rFonts w:ascii="Times New Roman" w:hAnsi="Times New Roman" w:cs="Times New Roman"/>
        </w:rPr>
        <w:t>as well as general plant</w:t>
      </w:r>
      <w:r w:rsidR="0049689D">
        <w:rPr>
          <w:rFonts w:ascii="Times New Roman" w:hAnsi="Times New Roman" w:cs="Times New Roman"/>
        </w:rPr>
        <w:t>.</w:t>
      </w:r>
      <w:r w:rsidR="00D04A9C" w:rsidRPr="00C73973">
        <w:rPr>
          <w:rFonts w:ascii="Times New Roman" w:hAnsi="Times New Roman" w:cs="Times New Roman"/>
        </w:rPr>
        <w:t xml:space="preserve"> </w:t>
      </w:r>
    </w:p>
    <w:p w:rsidR="006C58A2" w:rsidRPr="00C73973" w:rsidRDefault="006C58A2" w:rsidP="006C58A2">
      <w:pPr>
        <w:adjustRightInd w:val="0"/>
        <w:spacing w:line="480" w:lineRule="auto"/>
        <w:ind w:firstLine="720"/>
        <w:jc w:val="both"/>
      </w:pPr>
      <w:r w:rsidRPr="00C73973">
        <w:rPr>
          <w:u w:val="single"/>
        </w:rPr>
        <w:t>Mr. James Kensok</w:t>
      </w:r>
      <w:r w:rsidRPr="00C73973">
        <w:t>, Vice President and Chief Information and Security Officer, will provide an overview of Avista’s Information Service/Information Technology (IS/IT) programs and projects.  This includes summaries of the Company’s capital investments for a range of</w:t>
      </w:r>
      <w:r w:rsidR="006A42BA" w:rsidRPr="00C73973">
        <w:t xml:space="preserve"> IS/IT</w:t>
      </w:r>
      <w:r w:rsidRPr="00C73973">
        <w:t xml:space="preserve"> systems used by the Company. </w:t>
      </w:r>
    </w:p>
    <w:p w:rsidR="00D04A9C" w:rsidRPr="00C73973" w:rsidRDefault="00D1482B" w:rsidP="00D04A9C">
      <w:pPr>
        <w:pStyle w:val="BodyText2"/>
        <w:tabs>
          <w:tab w:val="left" w:pos="1440"/>
        </w:tabs>
        <w:ind w:firstLine="720"/>
        <w:rPr>
          <w:b/>
        </w:rPr>
      </w:pPr>
      <w:r>
        <w:rPr>
          <w:b/>
        </w:rPr>
        <w:t>Q.</w:t>
      </w:r>
      <w:r>
        <w:rPr>
          <w:b/>
        </w:rPr>
        <w:tab/>
        <w:t xml:space="preserve">How have </w:t>
      </w:r>
      <w:r w:rsidR="00D04A9C" w:rsidRPr="00C73973">
        <w:rPr>
          <w:b/>
        </w:rPr>
        <w:t>capital witnesses presented the transfers-to-plant in their testimony?</w:t>
      </w:r>
    </w:p>
    <w:p w:rsidR="00CC00B7" w:rsidRDefault="00D04A9C" w:rsidP="00CC00B7">
      <w:pPr>
        <w:spacing w:line="480" w:lineRule="auto"/>
        <w:ind w:firstLine="720"/>
        <w:jc w:val="both"/>
      </w:pPr>
      <w:r w:rsidRPr="00C73973">
        <w:t>A.</w:t>
      </w:r>
      <w:r w:rsidRPr="00C73973">
        <w:tab/>
      </w:r>
      <w:r w:rsidR="007C049E" w:rsidRPr="00C73973">
        <w:t>Mr</w:t>
      </w:r>
      <w:r w:rsidR="007C049E">
        <w:t>. Kinney, Ms. Rosentrater</w:t>
      </w:r>
      <w:r w:rsidRPr="00C73973">
        <w:t xml:space="preserve"> </w:t>
      </w:r>
      <w:r w:rsidR="0088359A">
        <w:t>and Mr. Kensok present</w:t>
      </w:r>
      <w:r w:rsidR="00937174" w:rsidRPr="00C73973">
        <w:t xml:space="preserve"> </w:t>
      </w:r>
      <w:r w:rsidRPr="00C73973">
        <w:t>capital transfers</w:t>
      </w:r>
      <w:r w:rsidR="0086145C">
        <w:t>-</w:t>
      </w:r>
      <w:r w:rsidRPr="00C73973">
        <w:t>to</w:t>
      </w:r>
      <w:r w:rsidR="0086145C">
        <w:t>-</w:t>
      </w:r>
      <w:r w:rsidRPr="00C73973">
        <w:t xml:space="preserve">plant on a calendar </w:t>
      </w:r>
      <w:r w:rsidR="00C0765B" w:rsidRPr="00C73973">
        <w:t xml:space="preserve">year </w:t>
      </w:r>
      <w:r w:rsidR="00937174" w:rsidRPr="00C73973">
        <w:t xml:space="preserve">basis from January 1, 2017 through December 31, </w:t>
      </w:r>
      <w:r w:rsidR="00D1482B">
        <w:t xml:space="preserve">2021 on a total system basis, </w:t>
      </w:r>
      <w:proofErr w:type="spellStart"/>
      <w:r w:rsidR="00D1482B">
        <w:t>i.e</w:t>
      </w:r>
      <w:proofErr w:type="spellEnd"/>
      <w:r w:rsidR="00D1482B">
        <w:t>, the totals include all</w:t>
      </w:r>
      <w:r w:rsidR="0086145C">
        <w:rPr>
          <w:rStyle w:val="FootnoteReference"/>
        </w:rPr>
        <w:footnoteReference w:id="2"/>
      </w:r>
      <w:r w:rsidR="00D1482B">
        <w:t xml:space="preserve"> planned transfers to plant for electric and natural gas operations, for the Washington, Idaho and Oregon Jurisdictions. </w:t>
      </w:r>
      <w:r w:rsidR="006A42BA" w:rsidRPr="00C73973">
        <w:rPr>
          <w:rStyle w:val="PageNumber"/>
        </w:rPr>
        <w:t xml:space="preserve">A detailed listing of project names and calendar year totals can be found in </w:t>
      </w:r>
      <w:proofErr w:type="spellStart"/>
      <w:r w:rsidR="006A42BA" w:rsidRPr="00C73973">
        <w:rPr>
          <w:rStyle w:val="PageNumber"/>
        </w:rPr>
        <w:t>Exh</w:t>
      </w:r>
      <w:proofErr w:type="spellEnd"/>
      <w:r w:rsidR="006A42BA" w:rsidRPr="00C73973">
        <w:rPr>
          <w:rStyle w:val="PageNumber"/>
        </w:rPr>
        <w:t>. KKS-2.</w:t>
      </w:r>
      <w:r w:rsidR="00CC00B7">
        <w:br w:type="page"/>
      </w:r>
    </w:p>
    <w:p w:rsidR="00D04A9C" w:rsidRPr="00C73973" w:rsidRDefault="00A71692" w:rsidP="0049689D">
      <w:pPr>
        <w:pStyle w:val="BodyText2"/>
        <w:tabs>
          <w:tab w:val="left" w:pos="1440"/>
        </w:tabs>
        <w:ind w:firstLine="720"/>
      </w:pPr>
      <w:r w:rsidRPr="00A71692">
        <w:rPr>
          <w:noProof/>
        </w:rPr>
        <w:lastRenderedPageBreak/>
        <w:drawing>
          <wp:anchor distT="0" distB="0" distL="114300" distR="114300" simplePos="0" relativeHeight="251973632" behindDoc="0" locked="0" layoutInCell="1" allowOverlap="1">
            <wp:simplePos x="0" y="0"/>
            <wp:positionH relativeFrom="column">
              <wp:posOffset>-35781</wp:posOffset>
            </wp:positionH>
            <wp:positionV relativeFrom="paragraph">
              <wp:posOffset>628153</wp:posOffset>
            </wp:positionV>
            <wp:extent cx="5667205" cy="1765190"/>
            <wp:effectExtent l="0" t="0" r="0" b="698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9675" cy="1769074"/>
                    </a:xfrm>
                    <a:prstGeom prst="rect">
                      <a:avLst/>
                    </a:prstGeom>
                    <a:noFill/>
                    <a:ln>
                      <a:noFill/>
                    </a:ln>
                  </pic:spPr>
                </pic:pic>
              </a:graphicData>
            </a:graphic>
            <wp14:sizeRelH relativeFrom="page">
              <wp14:pctWidth>0</wp14:pctWidth>
            </wp14:sizeRelH>
            <wp14:sizeRelV relativeFrom="page">
              <wp14:pctHeight>0</wp14:pctHeight>
            </wp14:sizeRelV>
          </wp:anchor>
        </w:drawing>
      </w:r>
      <w:r w:rsidR="00B73F5F" w:rsidRPr="00C73973">
        <w:t xml:space="preserve">The table below reflects the </w:t>
      </w:r>
      <w:r w:rsidR="00937174" w:rsidRPr="00C73973">
        <w:t>calendar year</w:t>
      </w:r>
      <w:r w:rsidR="0049689D">
        <w:t xml:space="preserve"> transfers to plant</w:t>
      </w:r>
      <w:r w:rsidR="00B73F5F" w:rsidRPr="00C73973">
        <w:t xml:space="preserve"> totals that are represented in</w:t>
      </w:r>
      <w:r>
        <w:t xml:space="preserve"> each witness’</w:t>
      </w:r>
      <w:r w:rsidR="00B73F5F" w:rsidRPr="00C73973">
        <w:t xml:space="preserve"> testimony: </w:t>
      </w:r>
    </w:p>
    <w:p w:rsidR="00B73F5F" w:rsidRPr="00C73973" w:rsidRDefault="00B73F5F" w:rsidP="0049689D">
      <w:pPr>
        <w:adjustRightInd w:val="0"/>
        <w:spacing w:line="480" w:lineRule="auto"/>
        <w:ind w:firstLine="720"/>
        <w:jc w:val="both"/>
      </w:pPr>
    </w:p>
    <w:p w:rsidR="00C70903" w:rsidRPr="00C73973" w:rsidRDefault="00C70903" w:rsidP="0049689D">
      <w:pPr>
        <w:adjustRightInd w:val="0"/>
        <w:spacing w:line="480" w:lineRule="auto"/>
        <w:ind w:firstLine="720"/>
        <w:jc w:val="both"/>
      </w:pPr>
    </w:p>
    <w:p w:rsidR="002039CE" w:rsidRPr="00C73973" w:rsidRDefault="002039CE" w:rsidP="0049689D">
      <w:pPr>
        <w:adjustRightInd w:val="0"/>
        <w:spacing w:line="480" w:lineRule="auto"/>
        <w:ind w:firstLine="720"/>
        <w:jc w:val="both"/>
      </w:pPr>
    </w:p>
    <w:p w:rsidR="00933505" w:rsidRDefault="00933505" w:rsidP="0049689D">
      <w:pPr>
        <w:spacing w:line="480" w:lineRule="auto"/>
        <w:jc w:val="center"/>
        <w:rPr>
          <w:rStyle w:val="PageNumber"/>
          <w:b/>
          <w:u w:val="single"/>
        </w:rPr>
      </w:pPr>
    </w:p>
    <w:p w:rsidR="00D1482B" w:rsidRDefault="00D1482B" w:rsidP="00D1482B">
      <w:pPr>
        <w:pStyle w:val="TestBody"/>
        <w:spacing w:line="480" w:lineRule="auto"/>
        <w:ind w:left="0" w:firstLine="720"/>
        <w:rPr>
          <w:rFonts w:ascii="Times New Roman" w:hAnsi="Times New Roman"/>
          <w:b/>
        </w:rPr>
      </w:pPr>
    </w:p>
    <w:p w:rsidR="00A71692" w:rsidRDefault="00A71692" w:rsidP="00D1482B">
      <w:pPr>
        <w:pStyle w:val="TestBody"/>
        <w:spacing w:line="480" w:lineRule="auto"/>
        <w:ind w:left="0" w:firstLine="720"/>
        <w:rPr>
          <w:rFonts w:ascii="Times New Roman" w:hAnsi="Times New Roman"/>
          <w:b/>
        </w:rPr>
      </w:pPr>
    </w:p>
    <w:p w:rsidR="00D1482B" w:rsidRPr="000357C0" w:rsidRDefault="00D1482B" w:rsidP="00D1482B">
      <w:pPr>
        <w:pStyle w:val="TestBody"/>
        <w:spacing w:line="480" w:lineRule="auto"/>
        <w:ind w:left="0" w:firstLine="720"/>
        <w:rPr>
          <w:rFonts w:ascii="Times New Roman" w:hAnsi="Times New Roman"/>
          <w:b/>
        </w:rPr>
      </w:pPr>
      <w:r w:rsidRPr="000357C0">
        <w:rPr>
          <w:rFonts w:ascii="Times New Roman" w:hAnsi="Times New Roman"/>
          <w:b/>
        </w:rPr>
        <w:t>Q.</w:t>
      </w:r>
      <w:r w:rsidRPr="000357C0">
        <w:rPr>
          <w:rFonts w:ascii="Times New Roman" w:hAnsi="Times New Roman"/>
          <w:b/>
        </w:rPr>
        <w:tab/>
      </w:r>
      <w:r>
        <w:rPr>
          <w:rFonts w:ascii="Times New Roman" w:hAnsi="Times New Roman"/>
          <w:b/>
        </w:rPr>
        <w:t xml:space="preserve">Mr. Thies makes reference to planned capital expenditures of $405 million per year. Why are some of the annual totals in Table No. 1 different than $405 million? </w:t>
      </w:r>
      <w:r w:rsidRPr="000357C0">
        <w:rPr>
          <w:rFonts w:ascii="Times New Roman" w:hAnsi="Times New Roman"/>
          <w:b/>
        </w:rPr>
        <w:t xml:space="preserve"> </w:t>
      </w:r>
    </w:p>
    <w:p w:rsidR="00D1482B" w:rsidRDefault="00D1482B" w:rsidP="00D1482B">
      <w:pPr>
        <w:pStyle w:val="TestBody"/>
        <w:spacing w:line="480" w:lineRule="auto"/>
        <w:ind w:left="0" w:firstLine="720"/>
        <w:rPr>
          <w:rFonts w:ascii="Times New Roman" w:hAnsi="Times New Roman"/>
        </w:rPr>
      </w:pPr>
      <w:r>
        <w:rPr>
          <w:rFonts w:ascii="Times New Roman" w:hAnsi="Times New Roman"/>
        </w:rPr>
        <w:t>A.</w:t>
      </w:r>
      <w:r>
        <w:rPr>
          <w:rFonts w:ascii="Times New Roman" w:hAnsi="Times New Roman"/>
        </w:rPr>
        <w:tab/>
        <w:t>There are two pri</w:t>
      </w:r>
      <w:r w:rsidR="007C049E">
        <w:rPr>
          <w:rFonts w:ascii="Times New Roman" w:hAnsi="Times New Roman"/>
        </w:rPr>
        <w:t>mary reasons. First, totals in T</w:t>
      </w:r>
      <w:r>
        <w:rPr>
          <w:rFonts w:ascii="Times New Roman" w:hAnsi="Times New Roman"/>
        </w:rPr>
        <w:t xml:space="preserve">able No. 1 above represent </w:t>
      </w:r>
      <w:r w:rsidR="0086145C">
        <w:rPr>
          <w:rFonts w:ascii="Times New Roman" w:hAnsi="Times New Roman"/>
          <w:u w:val="single"/>
        </w:rPr>
        <w:t>transfers-to-</w:t>
      </w:r>
      <w:r w:rsidRPr="00D1482B">
        <w:rPr>
          <w:rFonts w:ascii="Times New Roman" w:hAnsi="Times New Roman"/>
          <w:u w:val="single"/>
        </w:rPr>
        <w:t>plant</w:t>
      </w:r>
      <w:r>
        <w:rPr>
          <w:rFonts w:ascii="Times New Roman" w:hAnsi="Times New Roman"/>
        </w:rPr>
        <w:t xml:space="preserve">, whereas, Mr. Thies’ $405 million represents capital </w:t>
      </w:r>
      <w:r w:rsidRPr="007C049E">
        <w:rPr>
          <w:rFonts w:ascii="Times New Roman" w:hAnsi="Times New Roman"/>
          <w:u w:val="single"/>
        </w:rPr>
        <w:t>expenditures</w:t>
      </w:r>
      <w:r>
        <w:rPr>
          <w:rFonts w:ascii="Times New Roman" w:hAnsi="Times New Roman"/>
        </w:rPr>
        <w:t>. There is a timing difference between when the dollars are spen</w:t>
      </w:r>
      <w:r w:rsidR="004E1542">
        <w:rPr>
          <w:rFonts w:ascii="Times New Roman" w:hAnsi="Times New Roman"/>
        </w:rPr>
        <w:t>t</w:t>
      </w:r>
      <w:r>
        <w:rPr>
          <w:rFonts w:ascii="Times New Roman" w:hAnsi="Times New Roman"/>
        </w:rPr>
        <w:t>, and when the various capital projects are com</w:t>
      </w:r>
      <w:r w:rsidR="0086145C">
        <w:rPr>
          <w:rFonts w:ascii="Times New Roman" w:hAnsi="Times New Roman"/>
        </w:rPr>
        <w:t>pleted and transferred to plant-in-</w:t>
      </w:r>
      <w:r>
        <w:rPr>
          <w:rFonts w:ascii="Times New Roman" w:hAnsi="Times New Roman"/>
        </w:rPr>
        <w:t xml:space="preserve">service. </w:t>
      </w:r>
    </w:p>
    <w:p w:rsidR="00B80EAB" w:rsidRDefault="00D1482B" w:rsidP="00B80EAB">
      <w:pPr>
        <w:pStyle w:val="TestBody"/>
        <w:spacing w:line="480" w:lineRule="auto"/>
        <w:ind w:left="0" w:firstLine="720"/>
      </w:pPr>
      <w:r>
        <w:rPr>
          <w:rFonts w:ascii="Times New Roman" w:hAnsi="Times New Roman"/>
        </w:rPr>
        <w:t xml:space="preserve">Second, Mr. Thies’ $405 million </w:t>
      </w:r>
      <w:r w:rsidRPr="00D1482B">
        <w:rPr>
          <w:rFonts w:ascii="Times New Roman" w:hAnsi="Times New Roman"/>
          <w:u w:val="single"/>
        </w:rPr>
        <w:t>includes</w:t>
      </w:r>
      <w:r>
        <w:rPr>
          <w:rFonts w:ascii="Times New Roman" w:hAnsi="Times New Roman"/>
        </w:rPr>
        <w:t xml:space="preserve"> the investment associated with Advanced Metering Infrastructure (“AMI”), and Table No. 1 excludes all investment associated with AMI. Avista has excluded AMI investment from this general rate case, and has requested separate regulatory accounting treatment for AMI through an accounting petition filed May 1, </w:t>
      </w:r>
      <w:r w:rsidRPr="00EC110D">
        <w:rPr>
          <w:rFonts w:ascii="Times New Roman" w:hAnsi="Times New Roman"/>
        </w:rPr>
        <w:t xml:space="preserve">2017 in </w:t>
      </w:r>
      <w:r w:rsidR="00EC110D" w:rsidRPr="00EC110D">
        <w:rPr>
          <w:rFonts w:ascii="Times New Roman" w:hAnsi="Times New Roman"/>
        </w:rPr>
        <w:t>Docket No</w:t>
      </w:r>
      <w:r w:rsidR="0086145C">
        <w:rPr>
          <w:rFonts w:ascii="Times New Roman" w:hAnsi="Times New Roman"/>
        </w:rPr>
        <w:t>s</w:t>
      </w:r>
      <w:r w:rsidR="00EC110D" w:rsidRPr="00EC110D">
        <w:rPr>
          <w:rFonts w:ascii="Times New Roman" w:hAnsi="Times New Roman"/>
        </w:rPr>
        <w:t>. UE-170327</w:t>
      </w:r>
      <w:r w:rsidR="0086145C">
        <w:rPr>
          <w:rFonts w:ascii="Times New Roman" w:hAnsi="Times New Roman"/>
        </w:rPr>
        <w:t xml:space="preserve"> and UG-170328</w:t>
      </w:r>
      <w:r w:rsidRPr="00EC110D">
        <w:rPr>
          <w:rFonts w:ascii="Times New Roman" w:hAnsi="Times New Roman"/>
        </w:rPr>
        <w:t>.</w:t>
      </w:r>
      <w:r>
        <w:rPr>
          <w:rFonts w:ascii="Times New Roman" w:hAnsi="Times New Roman"/>
        </w:rPr>
        <w:t xml:space="preserve"> </w:t>
      </w:r>
      <w:r w:rsidR="00B80EAB">
        <w:rPr>
          <w:rFonts w:ascii="Times New Roman" w:hAnsi="Times New Roman"/>
        </w:rPr>
        <w:br w:type="page"/>
      </w:r>
    </w:p>
    <w:p w:rsidR="00793953" w:rsidRPr="00C73973" w:rsidRDefault="00793953" w:rsidP="00194221">
      <w:pPr>
        <w:pStyle w:val="Heading3"/>
        <w:ind w:firstLine="0"/>
        <w:rPr>
          <w:rStyle w:val="PageNumber"/>
          <w:u w:val="single"/>
        </w:rPr>
      </w:pPr>
      <w:bookmarkStart w:id="2" w:name="_Toc483209849"/>
      <w:r w:rsidRPr="00C73973">
        <w:rPr>
          <w:rStyle w:val="PageNumber"/>
          <w:u w:val="single"/>
        </w:rPr>
        <w:lastRenderedPageBreak/>
        <w:t>I</w:t>
      </w:r>
      <w:r w:rsidR="0088128A" w:rsidRPr="00C73973">
        <w:rPr>
          <w:rStyle w:val="PageNumber"/>
          <w:u w:val="single"/>
        </w:rPr>
        <w:t>I</w:t>
      </w:r>
      <w:r w:rsidRPr="00C73973">
        <w:rPr>
          <w:rStyle w:val="PageNumber"/>
          <w:u w:val="single"/>
        </w:rPr>
        <w:t>I. CAPITAL ADJUSTMENT OVERVIEW</w:t>
      </w:r>
      <w:bookmarkEnd w:id="2"/>
    </w:p>
    <w:p w:rsidR="00C73973" w:rsidRPr="000357C0" w:rsidRDefault="00C73973" w:rsidP="00C73973">
      <w:pPr>
        <w:pStyle w:val="TestBody"/>
        <w:spacing w:line="480" w:lineRule="auto"/>
        <w:ind w:left="0" w:firstLine="720"/>
        <w:rPr>
          <w:rFonts w:ascii="Times New Roman" w:hAnsi="Times New Roman"/>
          <w:b/>
        </w:rPr>
      </w:pPr>
      <w:r w:rsidRPr="000357C0">
        <w:rPr>
          <w:rFonts w:ascii="Times New Roman" w:hAnsi="Times New Roman"/>
          <w:b/>
        </w:rPr>
        <w:t>Q.</w:t>
      </w:r>
      <w:r w:rsidRPr="000357C0">
        <w:rPr>
          <w:rFonts w:ascii="Times New Roman" w:hAnsi="Times New Roman"/>
          <w:b/>
        </w:rPr>
        <w:tab/>
      </w:r>
      <w:r>
        <w:rPr>
          <w:rFonts w:ascii="Times New Roman" w:hAnsi="Times New Roman"/>
          <w:b/>
        </w:rPr>
        <w:t xml:space="preserve">Prior to explaining the adjustments you </w:t>
      </w:r>
      <w:r w:rsidR="002A7DA3">
        <w:rPr>
          <w:rFonts w:ascii="Times New Roman" w:hAnsi="Times New Roman"/>
          <w:b/>
        </w:rPr>
        <w:t xml:space="preserve">make to incorporate Avista’s investments in the proposed revenue requirement in this case, </w:t>
      </w:r>
      <w:r>
        <w:rPr>
          <w:rFonts w:ascii="Times New Roman" w:hAnsi="Times New Roman"/>
          <w:b/>
        </w:rPr>
        <w:t>p</w:t>
      </w:r>
      <w:r w:rsidRPr="000357C0">
        <w:rPr>
          <w:rFonts w:ascii="Times New Roman" w:hAnsi="Times New Roman"/>
          <w:b/>
        </w:rPr>
        <w:t xml:space="preserve">lease summarize the different </w:t>
      </w:r>
      <w:r w:rsidR="0049689D">
        <w:rPr>
          <w:rFonts w:ascii="Times New Roman" w:hAnsi="Times New Roman"/>
          <w:b/>
        </w:rPr>
        <w:t>ratemaking s</w:t>
      </w:r>
      <w:r w:rsidRPr="000357C0">
        <w:rPr>
          <w:rFonts w:ascii="Times New Roman" w:hAnsi="Times New Roman"/>
          <w:b/>
        </w:rPr>
        <w:t>tudies</w:t>
      </w:r>
      <w:r>
        <w:rPr>
          <w:rFonts w:ascii="Times New Roman" w:hAnsi="Times New Roman"/>
          <w:b/>
        </w:rPr>
        <w:t xml:space="preserve">, </w:t>
      </w:r>
      <w:r w:rsidR="004B4F1B">
        <w:rPr>
          <w:rFonts w:ascii="Times New Roman" w:hAnsi="Times New Roman"/>
          <w:b/>
        </w:rPr>
        <w:t xml:space="preserve">and </w:t>
      </w:r>
      <w:r>
        <w:rPr>
          <w:rFonts w:ascii="Times New Roman" w:hAnsi="Times New Roman"/>
          <w:b/>
        </w:rPr>
        <w:t>what adjustment</w:t>
      </w:r>
      <w:r w:rsidR="002A7DA3">
        <w:rPr>
          <w:rFonts w:ascii="Times New Roman" w:hAnsi="Times New Roman"/>
          <w:b/>
        </w:rPr>
        <w:t>s are</w:t>
      </w:r>
      <w:r>
        <w:rPr>
          <w:rFonts w:ascii="Times New Roman" w:hAnsi="Times New Roman"/>
          <w:b/>
        </w:rPr>
        <w:t xml:space="preserve"> included in each</w:t>
      </w:r>
      <w:r w:rsidR="004B4F1B">
        <w:rPr>
          <w:rFonts w:ascii="Times New Roman" w:hAnsi="Times New Roman"/>
          <w:b/>
        </w:rPr>
        <w:t>.</w:t>
      </w:r>
      <w:r w:rsidRPr="000357C0">
        <w:rPr>
          <w:rFonts w:ascii="Times New Roman" w:hAnsi="Times New Roman"/>
          <w:b/>
        </w:rPr>
        <w:t xml:space="preserve"> </w:t>
      </w:r>
    </w:p>
    <w:p w:rsidR="00C73973" w:rsidRDefault="00C73973" w:rsidP="00C73973">
      <w:pPr>
        <w:pStyle w:val="TestBody"/>
        <w:spacing w:line="480" w:lineRule="auto"/>
        <w:ind w:left="0" w:firstLine="720"/>
        <w:rPr>
          <w:rFonts w:ascii="Times New Roman" w:hAnsi="Times New Roman"/>
        </w:rPr>
      </w:pPr>
      <w:r>
        <w:rPr>
          <w:rFonts w:ascii="Times New Roman" w:hAnsi="Times New Roman"/>
        </w:rPr>
        <w:t>A.</w:t>
      </w:r>
      <w:r>
        <w:rPr>
          <w:rFonts w:ascii="Times New Roman" w:hAnsi="Times New Roman"/>
        </w:rPr>
        <w:tab/>
        <w:t>As discussed by Ms. Andrews, as part of Avista’s demonstration of our need for electric and natural gas revenue increases, the Company has presented four ratemaking</w:t>
      </w:r>
      <w:r w:rsidR="002A7DA3">
        <w:rPr>
          <w:rFonts w:ascii="Times New Roman" w:hAnsi="Times New Roman"/>
        </w:rPr>
        <w:t xml:space="preserve"> studies. Each Study is summarized</w:t>
      </w:r>
      <w:r>
        <w:rPr>
          <w:rFonts w:ascii="Times New Roman" w:hAnsi="Times New Roman"/>
        </w:rPr>
        <w:t xml:space="preserve"> below, along with </w:t>
      </w:r>
      <w:r w:rsidR="00A71692">
        <w:rPr>
          <w:rFonts w:ascii="Times New Roman" w:hAnsi="Times New Roman"/>
        </w:rPr>
        <w:t xml:space="preserve">a brief explanation of </w:t>
      </w:r>
      <w:r>
        <w:rPr>
          <w:rFonts w:ascii="Times New Roman" w:hAnsi="Times New Roman"/>
        </w:rPr>
        <w:t>the capital adjustment</w:t>
      </w:r>
      <w:r w:rsidR="002A7DA3">
        <w:rPr>
          <w:rFonts w:ascii="Times New Roman" w:hAnsi="Times New Roman"/>
        </w:rPr>
        <w:t>s</w:t>
      </w:r>
      <w:r>
        <w:rPr>
          <w:rFonts w:ascii="Times New Roman" w:hAnsi="Times New Roman"/>
        </w:rPr>
        <w:t xml:space="preserve"> included in each </w:t>
      </w:r>
      <w:r w:rsidR="00A71692">
        <w:rPr>
          <w:rFonts w:ascii="Times New Roman" w:hAnsi="Times New Roman"/>
        </w:rPr>
        <w:t>study</w:t>
      </w:r>
      <w:r>
        <w:rPr>
          <w:rFonts w:ascii="Times New Roman" w:hAnsi="Times New Roman"/>
        </w:rPr>
        <w:t xml:space="preserve">:  </w:t>
      </w:r>
    </w:p>
    <w:p w:rsidR="00C73973" w:rsidRDefault="00C73973" w:rsidP="00C73973">
      <w:pPr>
        <w:pStyle w:val="TestBody"/>
        <w:spacing w:line="240" w:lineRule="auto"/>
        <w:ind w:left="1094" w:hanging="547"/>
        <w:rPr>
          <w:rFonts w:ascii="Times New Roman" w:hAnsi="Times New Roman"/>
        </w:rPr>
      </w:pPr>
      <w:r>
        <w:rPr>
          <w:rFonts w:ascii="Times New Roman" w:hAnsi="Times New Roman"/>
        </w:rPr>
        <w:t>1)</w:t>
      </w:r>
      <w:r>
        <w:rPr>
          <w:rFonts w:ascii="Times New Roman" w:hAnsi="Times New Roman"/>
        </w:rPr>
        <w:tab/>
      </w:r>
      <w:r w:rsidRPr="005F50DC">
        <w:rPr>
          <w:rFonts w:ascii="Times New Roman" w:hAnsi="Times New Roman"/>
          <w:b/>
        </w:rPr>
        <w:t>Traditional</w:t>
      </w:r>
      <w:r w:rsidRPr="002C1EA0">
        <w:rPr>
          <w:rFonts w:ascii="Times New Roman" w:hAnsi="Times New Roman"/>
          <w:b/>
        </w:rPr>
        <w:t xml:space="preserve"> Pro Forma Study</w:t>
      </w:r>
      <w:r>
        <w:rPr>
          <w:rFonts w:ascii="Times New Roman" w:hAnsi="Times New Roman"/>
        </w:rPr>
        <w:t xml:space="preserve"> – The Traditional Historical Modified Test Year Pro Forma Study. This Study starts with </w:t>
      </w:r>
      <w:r w:rsidR="004B4F1B">
        <w:rPr>
          <w:rFonts w:ascii="Times New Roman" w:hAnsi="Times New Roman"/>
        </w:rPr>
        <w:t>average-</w:t>
      </w:r>
      <w:r w:rsidR="002A7DA3">
        <w:rPr>
          <w:rFonts w:ascii="Times New Roman" w:hAnsi="Times New Roman"/>
        </w:rPr>
        <w:t>of-</w:t>
      </w:r>
      <w:r w:rsidR="004B4F1B">
        <w:rPr>
          <w:rFonts w:ascii="Times New Roman" w:hAnsi="Times New Roman"/>
        </w:rPr>
        <w:t>monthly average (“</w:t>
      </w:r>
      <w:r>
        <w:rPr>
          <w:rFonts w:ascii="Times New Roman" w:hAnsi="Times New Roman"/>
        </w:rPr>
        <w:t>AMA</w:t>
      </w:r>
      <w:r w:rsidR="004B4F1B">
        <w:rPr>
          <w:rFonts w:ascii="Times New Roman" w:hAnsi="Times New Roman"/>
        </w:rPr>
        <w:t>”)</w:t>
      </w:r>
      <w:r>
        <w:rPr>
          <w:rFonts w:ascii="Times New Roman" w:hAnsi="Times New Roman"/>
        </w:rPr>
        <w:t xml:space="preserve"> </w:t>
      </w:r>
      <w:r w:rsidR="002A7DA3">
        <w:rPr>
          <w:rFonts w:ascii="Times New Roman" w:hAnsi="Times New Roman"/>
        </w:rPr>
        <w:t>rate base</w:t>
      </w:r>
      <w:r w:rsidR="002A7DA3">
        <w:rPr>
          <w:rStyle w:val="FootnoteReference"/>
          <w:rFonts w:ascii="Times New Roman" w:hAnsi="Times New Roman"/>
        </w:rPr>
        <w:footnoteReference w:id="3"/>
      </w:r>
      <w:r w:rsidR="002A7DA3">
        <w:rPr>
          <w:rFonts w:ascii="Times New Roman" w:hAnsi="Times New Roman"/>
        </w:rPr>
        <w:t xml:space="preserve"> for </w:t>
      </w:r>
      <w:r>
        <w:rPr>
          <w:rFonts w:ascii="Times New Roman" w:hAnsi="Times New Roman"/>
        </w:rPr>
        <w:t>2016 and includes a “Threshold” adjustment</w:t>
      </w:r>
      <w:r w:rsidR="000B306A">
        <w:rPr>
          <w:rStyle w:val="FootnoteReference"/>
          <w:rFonts w:ascii="Times New Roman" w:hAnsi="Times New Roman"/>
        </w:rPr>
        <w:footnoteReference w:id="4"/>
      </w:r>
      <w:r>
        <w:rPr>
          <w:rFonts w:ascii="Times New Roman" w:hAnsi="Times New Roman"/>
        </w:rPr>
        <w:t xml:space="preserve"> related to 2017 capital addit</w:t>
      </w:r>
      <w:r w:rsidR="00A71692">
        <w:rPr>
          <w:rFonts w:ascii="Times New Roman" w:hAnsi="Times New Roman"/>
        </w:rPr>
        <w:t>ions, as explained later in my testimony</w:t>
      </w:r>
      <w:r>
        <w:rPr>
          <w:rFonts w:ascii="Times New Roman" w:hAnsi="Times New Roman"/>
        </w:rPr>
        <w:t xml:space="preserve">. </w:t>
      </w:r>
    </w:p>
    <w:p w:rsidR="00C73973" w:rsidRDefault="00C73973" w:rsidP="00C73973">
      <w:pPr>
        <w:pStyle w:val="TestBody"/>
        <w:spacing w:line="240" w:lineRule="auto"/>
        <w:ind w:left="1094" w:hanging="547"/>
        <w:rPr>
          <w:rFonts w:ascii="Times New Roman" w:hAnsi="Times New Roman"/>
        </w:rPr>
      </w:pPr>
    </w:p>
    <w:p w:rsidR="00C73973" w:rsidRDefault="00C73973" w:rsidP="00C73973">
      <w:pPr>
        <w:pStyle w:val="TestBody"/>
        <w:spacing w:line="240" w:lineRule="auto"/>
        <w:ind w:left="1094" w:hanging="547"/>
        <w:rPr>
          <w:rFonts w:ascii="Times New Roman" w:hAnsi="Times New Roman"/>
        </w:rPr>
      </w:pPr>
      <w:r>
        <w:rPr>
          <w:rFonts w:ascii="Times New Roman" w:hAnsi="Times New Roman"/>
        </w:rPr>
        <w:t>2)</w:t>
      </w:r>
      <w:r>
        <w:rPr>
          <w:rFonts w:ascii="Times New Roman" w:hAnsi="Times New Roman"/>
        </w:rPr>
        <w:tab/>
      </w:r>
      <w:r w:rsidRPr="002C1EA0">
        <w:rPr>
          <w:rFonts w:ascii="Times New Roman" w:hAnsi="Times New Roman"/>
          <w:b/>
        </w:rPr>
        <w:t>EOP Rate Base Study</w:t>
      </w:r>
      <w:r>
        <w:rPr>
          <w:rFonts w:ascii="Times New Roman" w:hAnsi="Times New Roman"/>
        </w:rPr>
        <w:t xml:space="preserve"> – An End of Period (EOP) Rate Base Study, which also employs the use of an adjusted </w:t>
      </w:r>
      <w:r w:rsidRPr="00D84DCE">
        <w:rPr>
          <w:rFonts w:ascii="Times New Roman" w:hAnsi="Times New Roman"/>
        </w:rPr>
        <w:t>capital structure.</w:t>
      </w:r>
      <w:r>
        <w:rPr>
          <w:rFonts w:ascii="Times New Roman" w:hAnsi="Times New Roman"/>
        </w:rPr>
        <w:t xml:space="preserve"> This Study </w:t>
      </w:r>
      <w:r w:rsidRPr="00503F7F">
        <w:rPr>
          <w:rFonts w:ascii="Times New Roman" w:hAnsi="Times New Roman"/>
          <w:u w:val="single"/>
        </w:rPr>
        <w:t>starts</w:t>
      </w:r>
      <w:r>
        <w:rPr>
          <w:rFonts w:ascii="Times New Roman" w:hAnsi="Times New Roman"/>
        </w:rPr>
        <w:t xml:space="preserve"> with the </w:t>
      </w:r>
      <w:r w:rsidR="00B71AD5">
        <w:rPr>
          <w:rFonts w:ascii="Times New Roman" w:hAnsi="Times New Roman"/>
        </w:rPr>
        <w:t xml:space="preserve">Traditional </w:t>
      </w:r>
      <w:r>
        <w:rPr>
          <w:rFonts w:ascii="Times New Roman" w:hAnsi="Times New Roman"/>
        </w:rPr>
        <w:t xml:space="preserve">Pro Forma Study results and adjusts total </w:t>
      </w:r>
      <w:r w:rsidR="002A7DA3">
        <w:rPr>
          <w:rFonts w:ascii="Times New Roman" w:hAnsi="Times New Roman"/>
        </w:rPr>
        <w:t>rate base</w:t>
      </w:r>
      <w:r>
        <w:rPr>
          <w:rFonts w:ascii="Times New Roman" w:hAnsi="Times New Roman"/>
        </w:rPr>
        <w:t xml:space="preserve">, including all 2017 </w:t>
      </w:r>
      <w:r w:rsidR="006F6425">
        <w:rPr>
          <w:rFonts w:ascii="Times New Roman" w:hAnsi="Times New Roman"/>
        </w:rPr>
        <w:t xml:space="preserve">remaining </w:t>
      </w:r>
      <w:r>
        <w:rPr>
          <w:rFonts w:ascii="Times New Roman" w:hAnsi="Times New Roman"/>
        </w:rPr>
        <w:t xml:space="preserve">capital additions, to a </w:t>
      </w:r>
      <w:r w:rsidR="002A7DA3">
        <w:rPr>
          <w:rFonts w:ascii="Times New Roman" w:hAnsi="Times New Roman"/>
        </w:rPr>
        <w:t xml:space="preserve">December 31, </w:t>
      </w:r>
      <w:r>
        <w:rPr>
          <w:rFonts w:ascii="Times New Roman" w:hAnsi="Times New Roman"/>
        </w:rPr>
        <w:t>2017 EOP basis</w:t>
      </w:r>
      <w:r w:rsidR="002A7DA3">
        <w:rPr>
          <w:rFonts w:ascii="Times New Roman" w:hAnsi="Times New Roman"/>
        </w:rPr>
        <w:t xml:space="preserve"> to determine the proposed revenue increase</w:t>
      </w:r>
      <w:r>
        <w:rPr>
          <w:rFonts w:ascii="Times New Roman" w:hAnsi="Times New Roman"/>
        </w:rPr>
        <w:t xml:space="preserve"> for Rate Year 1 beginning May 1, 2018.  A K-Factor is used to determine the revenue increases for rate years two and three (effective May 1, 2019 and May 1, 2020</w:t>
      </w:r>
      <w:r w:rsidR="00A71692">
        <w:rPr>
          <w:rFonts w:ascii="Times New Roman" w:hAnsi="Times New Roman"/>
        </w:rPr>
        <w:t>) of the three-year rate plan, as explained by Ms. Andrews.</w:t>
      </w:r>
    </w:p>
    <w:p w:rsidR="00C73973" w:rsidRDefault="00C73973" w:rsidP="00C73973">
      <w:pPr>
        <w:pStyle w:val="TestBody"/>
        <w:spacing w:line="240" w:lineRule="auto"/>
        <w:ind w:left="1094" w:hanging="547"/>
        <w:rPr>
          <w:rFonts w:ascii="Times New Roman" w:hAnsi="Times New Roman"/>
        </w:rPr>
      </w:pPr>
    </w:p>
    <w:p w:rsidR="00C73973" w:rsidRDefault="00C73973" w:rsidP="00C73973">
      <w:pPr>
        <w:pStyle w:val="TestBody"/>
        <w:spacing w:line="240" w:lineRule="auto"/>
        <w:ind w:left="1094" w:hanging="547"/>
        <w:rPr>
          <w:rFonts w:ascii="Times New Roman" w:hAnsi="Times New Roman"/>
        </w:rPr>
      </w:pPr>
      <w:r>
        <w:rPr>
          <w:rFonts w:ascii="Times New Roman" w:hAnsi="Times New Roman"/>
        </w:rPr>
        <w:t>3)</w:t>
      </w:r>
      <w:r>
        <w:rPr>
          <w:rFonts w:ascii="Times New Roman" w:hAnsi="Times New Roman"/>
        </w:rPr>
        <w:tab/>
      </w:r>
      <w:r w:rsidRPr="002C1EA0">
        <w:rPr>
          <w:rFonts w:ascii="Times New Roman" w:hAnsi="Times New Roman"/>
          <w:b/>
        </w:rPr>
        <w:t>K-Factor Study</w:t>
      </w:r>
      <w:r>
        <w:rPr>
          <w:rFonts w:ascii="Times New Roman" w:hAnsi="Times New Roman"/>
        </w:rPr>
        <w:t xml:space="preserve"> – A study which employs the use of an annual revenue escalator (K-Factor) for a multi-year period to d</w:t>
      </w:r>
      <w:r w:rsidR="002A7DA3">
        <w:rPr>
          <w:rFonts w:ascii="Times New Roman" w:hAnsi="Times New Roman"/>
        </w:rPr>
        <w:t>etermine the revenue increases</w:t>
      </w:r>
      <w:r>
        <w:rPr>
          <w:rFonts w:ascii="Times New Roman" w:hAnsi="Times New Roman"/>
        </w:rPr>
        <w:t xml:space="preserve">.  This Study starts with the restated Commission Basis results (including 2016 AMA net plant balances). </w:t>
      </w:r>
    </w:p>
    <w:p w:rsidR="00C73973" w:rsidRDefault="00C73973" w:rsidP="00C73973">
      <w:pPr>
        <w:pStyle w:val="TestBody"/>
        <w:spacing w:line="240" w:lineRule="auto"/>
        <w:ind w:left="1094" w:hanging="547"/>
        <w:rPr>
          <w:rFonts w:ascii="Times New Roman" w:hAnsi="Times New Roman"/>
        </w:rPr>
      </w:pPr>
    </w:p>
    <w:p w:rsidR="00CC00B7" w:rsidRDefault="00C73973" w:rsidP="00CC00B7">
      <w:pPr>
        <w:pStyle w:val="TestBody"/>
        <w:spacing w:line="240" w:lineRule="auto"/>
        <w:ind w:left="1094" w:hanging="547"/>
        <w:rPr>
          <w:rFonts w:ascii="Times New Roman" w:hAnsi="Times New Roman"/>
        </w:rPr>
      </w:pPr>
      <w:r>
        <w:rPr>
          <w:rFonts w:ascii="Times New Roman" w:hAnsi="Times New Roman"/>
        </w:rPr>
        <w:t>4)</w:t>
      </w:r>
      <w:r>
        <w:rPr>
          <w:rFonts w:ascii="Times New Roman" w:hAnsi="Times New Roman"/>
        </w:rPr>
        <w:tab/>
      </w:r>
      <w:r w:rsidRPr="00360AE4">
        <w:rPr>
          <w:rFonts w:ascii="Times New Roman" w:hAnsi="Times New Roman"/>
          <w:b/>
        </w:rPr>
        <w:t>Rate Year Study</w:t>
      </w:r>
      <w:r>
        <w:rPr>
          <w:rFonts w:ascii="Times New Roman" w:hAnsi="Times New Roman"/>
        </w:rPr>
        <w:t xml:space="preserve"> – A study which incorporates all of the planned capital investments, operating expenses, and revenues for each year of the Three-Year Rate Plan.  This study i</w:t>
      </w:r>
      <w:r w:rsidR="00B71AD5">
        <w:rPr>
          <w:rFonts w:ascii="Times New Roman" w:hAnsi="Times New Roman"/>
        </w:rPr>
        <w:t>ncludes</w:t>
      </w:r>
      <w:r>
        <w:rPr>
          <w:rFonts w:ascii="Times New Roman" w:hAnsi="Times New Roman"/>
        </w:rPr>
        <w:t xml:space="preserve"> all capital </w:t>
      </w:r>
      <w:r w:rsidR="002A7DA3">
        <w:rPr>
          <w:rFonts w:ascii="Times New Roman" w:hAnsi="Times New Roman"/>
        </w:rPr>
        <w:t>additions on an AMA basis for</w:t>
      </w:r>
      <w:r>
        <w:rPr>
          <w:rFonts w:ascii="Times New Roman" w:hAnsi="Times New Roman"/>
        </w:rPr>
        <w:t xml:space="preserve"> each Rate Year beginning May 1, 2018 through April 30, 2021.</w:t>
      </w:r>
    </w:p>
    <w:p w:rsidR="00CC00B7" w:rsidRDefault="00CC00B7" w:rsidP="00CC00B7">
      <w:pPr>
        <w:pStyle w:val="TestBody"/>
        <w:spacing w:line="480" w:lineRule="auto"/>
        <w:ind w:left="1094" w:hanging="547"/>
        <w:rPr>
          <w:rFonts w:ascii="Times New Roman" w:hAnsi="Times New Roman"/>
        </w:rPr>
      </w:pPr>
    </w:p>
    <w:p w:rsidR="00C73973" w:rsidRDefault="00C73973" w:rsidP="00CC00B7">
      <w:pPr>
        <w:pStyle w:val="TestBody"/>
        <w:spacing w:line="480" w:lineRule="auto"/>
        <w:ind w:left="0" w:firstLine="720"/>
        <w:rPr>
          <w:rFonts w:ascii="Times New Roman" w:hAnsi="Times New Roman"/>
        </w:rPr>
      </w:pPr>
      <w:r>
        <w:rPr>
          <w:rFonts w:ascii="Times New Roman" w:hAnsi="Times New Roman"/>
        </w:rPr>
        <w:lastRenderedPageBreak/>
        <w:t xml:space="preserve">The Company’s electric and natural gas revenue increases in this case for the </w:t>
      </w:r>
      <w:r w:rsidR="002A7DA3">
        <w:rPr>
          <w:rFonts w:ascii="Times New Roman" w:hAnsi="Times New Roman"/>
        </w:rPr>
        <w:t>rate year beginning May 1, 2018</w:t>
      </w:r>
      <w:r>
        <w:rPr>
          <w:rFonts w:ascii="Times New Roman" w:hAnsi="Times New Roman"/>
        </w:rPr>
        <w:t xml:space="preserve"> are based on the EOP Rate Base Study.  The </w:t>
      </w:r>
      <w:r w:rsidR="002A7DA3">
        <w:rPr>
          <w:rFonts w:ascii="Times New Roman" w:hAnsi="Times New Roman"/>
        </w:rPr>
        <w:t xml:space="preserve">proposed </w:t>
      </w:r>
      <w:r>
        <w:rPr>
          <w:rFonts w:ascii="Times New Roman" w:hAnsi="Times New Roman"/>
        </w:rPr>
        <w:t xml:space="preserve">revenue </w:t>
      </w:r>
      <w:r w:rsidR="002A7DA3">
        <w:rPr>
          <w:rFonts w:ascii="Times New Roman" w:hAnsi="Times New Roman"/>
        </w:rPr>
        <w:t xml:space="preserve">increases </w:t>
      </w:r>
      <w:r>
        <w:rPr>
          <w:rFonts w:ascii="Times New Roman" w:hAnsi="Times New Roman"/>
        </w:rPr>
        <w:t>for May 1, 2019 (Rate Year 2)</w:t>
      </w:r>
      <w:r w:rsidR="00310105">
        <w:rPr>
          <w:rFonts w:ascii="Times New Roman" w:hAnsi="Times New Roman"/>
        </w:rPr>
        <w:t>, and May 1, 2020</w:t>
      </w:r>
      <w:r>
        <w:rPr>
          <w:rFonts w:ascii="Times New Roman" w:hAnsi="Times New Roman"/>
        </w:rPr>
        <w:t xml:space="preserve"> (Rate Year 3), are based on the application of a “K-Factor” revenue escalator applied to the non-Energy Recovery Mechanism (ERM) and non-gas cost authorized revenues.</w:t>
      </w:r>
    </w:p>
    <w:p w:rsidR="00C73973" w:rsidRDefault="00C73973" w:rsidP="00CC00B7">
      <w:pPr>
        <w:pStyle w:val="TestBody"/>
        <w:spacing w:line="480" w:lineRule="auto"/>
        <w:ind w:left="0" w:firstLine="720"/>
        <w:rPr>
          <w:rFonts w:ascii="Times New Roman" w:hAnsi="Times New Roman"/>
        </w:rPr>
      </w:pPr>
      <w:r>
        <w:rPr>
          <w:rFonts w:ascii="Times New Roman" w:hAnsi="Times New Roman"/>
        </w:rPr>
        <w:t>As noted above, the EOP Rate Base Studies begin with the Traditional Pro Forma Study results.  The other three studies are foundational evidence that demonstrate, among other things, that the results from the Traditional Pro Forma Studies will not yield the electric and natural gas revenue increases necessary for the prospective rate year</w:t>
      </w:r>
      <w:r w:rsidR="006F6425">
        <w:rPr>
          <w:rFonts w:ascii="Times New Roman" w:hAnsi="Times New Roman"/>
        </w:rPr>
        <w:t>s</w:t>
      </w:r>
      <w:r>
        <w:rPr>
          <w:rFonts w:ascii="Times New Roman" w:hAnsi="Times New Roman"/>
        </w:rPr>
        <w:t xml:space="preserve">. </w:t>
      </w:r>
    </w:p>
    <w:p w:rsidR="00C73973" w:rsidRDefault="00C73973" w:rsidP="00C73973">
      <w:pPr>
        <w:pStyle w:val="TestBody"/>
        <w:spacing w:line="480" w:lineRule="auto"/>
        <w:ind w:left="0" w:firstLine="720"/>
        <w:rPr>
          <w:rFonts w:ascii="Times New Roman" w:hAnsi="Times New Roman"/>
          <w:b/>
        </w:rPr>
      </w:pPr>
      <w:r w:rsidRPr="000357C0">
        <w:rPr>
          <w:rFonts w:ascii="Times New Roman" w:hAnsi="Times New Roman"/>
          <w:b/>
        </w:rPr>
        <w:t>Q.</w:t>
      </w:r>
      <w:r w:rsidRPr="000357C0">
        <w:rPr>
          <w:rFonts w:ascii="Times New Roman" w:hAnsi="Times New Roman"/>
          <w:b/>
        </w:rPr>
        <w:tab/>
      </w:r>
      <w:r w:rsidR="00B71AD5">
        <w:rPr>
          <w:rFonts w:ascii="Times New Roman" w:hAnsi="Times New Roman"/>
          <w:b/>
        </w:rPr>
        <w:t>Please</w:t>
      </w:r>
      <w:r w:rsidR="00310105">
        <w:rPr>
          <w:rFonts w:ascii="Times New Roman" w:hAnsi="Times New Roman"/>
          <w:b/>
        </w:rPr>
        <w:t xml:space="preserve"> explain how you have incorporated</w:t>
      </w:r>
      <w:r>
        <w:rPr>
          <w:rFonts w:ascii="Times New Roman" w:hAnsi="Times New Roman"/>
          <w:b/>
        </w:rPr>
        <w:t xml:space="preserve"> the el</w:t>
      </w:r>
      <w:r w:rsidR="00310105">
        <w:rPr>
          <w:rFonts w:ascii="Times New Roman" w:hAnsi="Times New Roman"/>
          <w:b/>
        </w:rPr>
        <w:t xml:space="preserve">ectric and natural gas capital investments into the proposed revenue requirements in this case. </w:t>
      </w:r>
    </w:p>
    <w:p w:rsidR="00B71AD5" w:rsidRDefault="00C73973" w:rsidP="00CC00B7">
      <w:pPr>
        <w:pStyle w:val="TestBody"/>
        <w:spacing w:line="480" w:lineRule="auto"/>
        <w:ind w:left="0" w:firstLine="720"/>
      </w:pPr>
      <w:r>
        <w:rPr>
          <w:rFonts w:ascii="Times New Roman" w:hAnsi="Times New Roman"/>
        </w:rPr>
        <w:t>A.</w:t>
      </w:r>
      <w:r>
        <w:rPr>
          <w:rFonts w:ascii="Times New Roman" w:hAnsi="Times New Roman"/>
        </w:rPr>
        <w:tab/>
        <w:t xml:space="preserve">Summarized below in Table No. 2 are the </w:t>
      </w:r>
      <w:r w:rsidRPr="00310105">
        <w:rPr>
          <w:rFonts w:ascii="Times New Roman" w:hAnsi="Times New Roman"/>
          <w:u w:val="single"/>
        </w:rPr>
        <w:t>electric</w:t>
      </w:r>
      <w:r>
        <w:rPr>
          <w:rFonts w:ascii="Times New Roman" w:hAnsi="Times New Roman"/>
        </w:rPr>
        <w:t xml:space="preserve"> capital adjustments </w:t>
      </w:r>
      <w:r w:rsidR="00310105">
        <w:rPr>
          <w:rFonts w:ascii="Times New Roman" w:hAnsi="Times New Roman"/>
        </w:rPr>
        <w:t>I have prepared for the following studies: 1) Traditional Pro Forma Study, 2) EOP Rate Base Study, and 3) Rate Year Study.</w:t>
      </w:r>
      <w:r w:rsidR="00B71AD5">
        <w:br w:type="page"/>
      </w:r>
    </w:p>
    <w:p w:rsidR="00A2723E" w:rsidRDefault="00AC70F0" w:rsidP="00CF0A0E">
      <w:pPr>
        <w:pStyle w:val="BodyText2"/>
        <w:tabs>
          <w:tab w:val="left" w:pos="720"/>
        </w:tabs>
        <w:ind w:firstLine="720"/>
        <w:rPr>
          <w:b/>
          <w:bCs/>
        </w:rPr>
      </w:pPr>
      <w:r w:rsidRPr="00AC70F0">
        <w:rPr>
          <w:noProof/>
        </w:rPr>
        <w:lastRenderedPageBreak/>
        <w:drawing>
          <wp:anchor distT="0" distB="0" distL="114300" distR="114300" simplePos="0" relativeHeight="251971584" behindDoc="0" locked="0" layoutInCell="1" allowOverlap="1">
            <wp:simplePos x="0" y="0"/>
            <wp:positionH relativeFrom="column">
              <wp:posOffset>-102870</wp:posOffset>
            </wp:positionH>
            <wp:positionV relativeFrom="paragraph">
              <wp:posOffset>76200</wp:posOffset>
            </wp:positionV>
            <wp:extent cx="5669280" cy="462332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4623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E1528E" w:rsidRDefault="00E1528E" w:rsidP="00CF0A0E">
      <w:pPr>
        <w:pStyle w:val="BodyText2"/>
        <w:tabs>
          <w:tab w:val="left" w:pos="720"/>
        </w:tabs>
        <w:ind w:firstLine="720"/>
        <w:rPr>
          <w:b/>
          <w:bCs/>
        </w:rPr>
      </w:pPr>
    </w:p>
    <w:p w:rsidR="00A2723E" w:rsidRDefault="00A2723E" w:rsidP="00CF0A0E">
      <w:pPr>
        <w:pStyle w:val="BodyText2"/>
        <w:tabs>
          <w:tab w:val="left" w:pos="720"/>
        </w:tabs>
        <w:ind w:firstLine="720"/>
        <w:rPr>
          <w:b/>
          <w:bCs/>
        </w:rPr>
      </w:pPr>
    </w:p>
    <w:p w:rsidR="00310105" w:rsidRDefault="00310105" w:rsidP="00A2723E">
      <w:pPr>
        <w:pStyle w:val="BodyText2"/>
        <w:tabs>
          <w:tab w:val="left" w:pos="1440"/>
        </w:tabs>
        <w:ind w:firstLine="720"/>
      </w:pPr>
    </w:p>
    <w:p w:rsidR="00060CDB" w:rsidRDefault="00060CDB" w:rsidP="00CC00B7">
      <w:pPr>
        <w:pStyle w:val="TestBody"/>
        <w:spacing w:line="480" w:lineRule="auto"/>
        <w:ind w:left="0" w:firstLine="720"/>
        <w:rPr>
          <w:rFonts w:ascii="Times New Roman" w:hAnsi="Times New Roman"/>
        </w:rPr>
      </w:pPr>
    </w:p>
    <w:p w:rsidR="00933551" w:rsidRDefault="000F7DB8" w:rsidP="00CC00B7">
      <w:pPr>
        <w:pStyle w:val="TestBody"/>
        <w:spacing w:line="480" w:lineRule="auto"/>
        <w:ind w:left="0" w:firstLine="720"/>
      </w:pPr>
      <w:r>
        <w:rPr>
          <w:rFonts w:ascii="Times New Roman" w:hAnsi="Times New Roman"/>
        </w:rPr>
        <w:t>Summarized below in Table No. 3</w:t>
      </w:r>
      <w:r w:rsidR="00B71AD5">
        <w:rPr>
          <w:rFonts w:ascii="Times New Roman" w:hAnsi="Times New Roman"/>
        </w:rPr>
        <w:t xml:space="preserve"> below </w:t>
      </w:r>
      <w:r w:rsidR="00A2723E">
        <w:rPr>
          <w:rFonts w:ascii="Times New Roman" w:hAnsi="Times New Roman"/>
        </w:rPr>
        <w:t xml:space="preserve">are the </w:t>
      </w:r>
      <w:r w:rsidR="00A2723E" w:rsidRPr="00060CDB">
        <w:rPr>
          <w:rFonts w:ascii="Times New Roman" w:hAnsi="Times New Roman"/>
          <w:u w:val="single"/>
        </w:rPr>
        <w:t>natural gas</w:t>
      </w:r>
      <w:r w:rsidR="00A2723E">
        <w:rPr>
          <w:rFonts w:ascii="Times New Roman" w:hAnsi="Times New Roman"/>
        </w:rPr>
        <w:t xml:space="preserve"> capital adjustments </w:t>
      </w:r>
      <w:r w:rsidR="00060CDB">
        <w:rPr>
          <w:rFonts w:ascii="Times New Roman" w:hAnsi="Times New Roman"/>
        </w:rPr>
        <w:t xml:space="preserve">I have prepared for the following three studies: 1) Traditional Pro Forma Study, 2) EOP Rate Base Study, and 3) Rate Year Study. </w:t>
      </w:r>
      <w:r w:rsidR="00933551">
        <w:br w:type="page"/>
      </w:r>
    </w:p>
    <w:p w:rsidR="00A2723E" w:rsidRDefault="00AC70F0" w:rsidP="00A2723E">
      <w:pPr>
        <w:pStyle w:val="BodyText2"/>
        <w:tabs>
          <w:tab w:val="left" w:pos="1440"/>
        </w:tabs>
        <w:ind w:firstLine="720"/>
      </w:pPr>
      <w:r w:rsidRPr="00AC70F0">
        <w:rPr>
          <w:noProof/>
        </w:rPr>
        <w:lastRenderedPageBreak/>
        <w:drawing>
          <wp:anchor distT="0" distB="0" distL="114300" distR="114300" simplePos="0" relativeHeight="251972608" behindDoc="0" locked="0" layoutInCell="1" allowOverlap="1">
            <wp:simplePos x="0" y="0"/>
            <wp:positionH relativeFrom="column">
              <wp:posOffset>-121920</wp:posOffset>
            </wp:positionH>
            <wp:positionV relativeFrom="paragraph">
              <wp:posOffset>66675</wp:posOffset>
            </wp:positionV>
            <wp:extent cx="5669280" cy="4793119"/>
            <wp:effectExtent l="0" t="0" r="762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4793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A2723E" w:rsidRDefault="00A2723E" w:rsidP="00A2723E">
      <w:pPr>
        <w:pStyle w:val="BodyText2"/>
        <w:tabs>
          <w:tab w:val="left" w:pos="1440"/>
        </w:tabs>
        <w:ind w:firstLine="720"/>
      </w:pPr>
    </w:p>
    <w:p w:rsidR="00E1528E" w:rsidRDefault="00E1528E" w:rsidP="00A2723E">
      <w:pPr>
        <w:pStyle w:val="BodyText2"/>
        <w:tabs>
          <w:tab w:val="left" w:pos="1440"/>
        </w:tabs>
        <w:ind w:firstLine="720"/>
      </w:pPr>
    </w:p>
    <w:p w:rsidR="00060CDB" w:rsidRDefault="00060CDB" w:rsidP="00A2723E">
      <w:pPr>
        <w:pStyle w:val="BodyText2"/>
        <w:tabs>
          <w:tab w:val="left" w:pos="1440"/>
        </w:tabs>
        <w:ind w:firstLine="720"/>
      </w:pPr>
    </w:p>
    <w:p w:rsidR="00060CDB" w:rsidRDefault="00060CDB" w:rsidP="00A2723E">
      <w:pPr>
        <w:pStyle w:val="BodyText2"/>
        <w:tabs>
          <w:tab w:val="left" w:pos="1440"/>
        </w:tabs>
        <w:ind w:firstLine="720"/>
      </w:pPr>
    </w:p>
    <w:p w:rsidR="00EA356C" w:rsidRPr="00C73973" w:rsidRDefault="0088359A" w:rsidP="00EA356C">
      <w:pPr>
        <w:adjustRightInd w:val="0"/>
        <w:spacing w:line="480" w:lineRule="auto"/>
        <w:ind w:firstLine="720"/>
        <w:jc w:val="both"/>
      </w:pPr>
      <w:r>
        <w:t>The</w:t>
      </w:r>
      <w:r w:rsidR="00937174" w:rsidRPr="00C73973">
        <w:t xml:space="preserve"> </w:t>
      </w:r>
      <w:r w:rsidR="00EA356C" w:rsidRPr="00C73973">
        <w:t xml:space="preserve">transfers to plant adjustments presented in my testimony and reflected in the Three-Year Rate Plan, have been </w:t>
      </w:r>
      <w:r w:rsidR="00C433EC">
        <w:t>included</w:t>
      </w:r>
      <w:r w:rsidR="00EA356C" w:rsidRPr="00C73973">
        <w:t xml:space="preserve"> using</w:t>
      </w:r>
      <w:r w:rsidR="00C433EC">
        <w:t xml:space="preserve"> Washington’s share (electric and natural gas) of</w:t>
      </w:r>
      <w:r w:rsidR="00EA356C" w:rsidRPr="00C73973">
        <w:t xml:space="preserve"> the monthly transfers to plant </w:t>
      </w:r>
      <w:r w:rsidR="00C433EC">
        <w:t xml:space="preserve">for each rate year as follows: </w:t>
      </w:r>
      <w:r w:rsidR="00EA356C" w:rsidRPr="00C73973">
        <w:t>May 1, 2018</w:t>
      </w:r>
      <w:r w:rsidR="00EA4DC8" w:rsidRPr="00C73973">
        <w:t xml:space="preserve"> –April 30, 2019 - </w:t>
      </w:r>
      <w:r w:rsidR="00EA356C" w:rsidRPr="00C73973">
        <w:rPr>
          <w:i/>
        </w:rPr>
        <w:t>Rate Year 1</w:t>
      </w:r>
      <w:r w:rsidR="00C433EC">
        <w:t>;</w:t>
      </w:r>
      <w:r w:rsidR="00EA356C" w:rsidRPr="00C73973">
        <w:t xml:space="preserve"> May 1, 2019 – April 30, 2020 – </w:t>
      </w:r>
      <w:r w:rsidR="00EA356C" w:rsidRPr="00C73973">
        <w:rPr>
          <w:i/>
        </w:rPr>
        <w:t>Rate Year 2</w:t>
      </w:r>
      <w:r w:rsidR="00C433EC">
        <w:t>;</w:t>
      </w:r>
      <w:r w:rsidR="00EA356C" w:rsidRPr="00C73973">
        <w:t xml:space="preserve"> and May 1, 2020 – April 30, 2021 – </w:t>
      </w:r>
      <w:r w:rsidR="00EA356C" w:rsidRPr="00C73973">
        <w:rPr>
          <w:i/>
        </w:rPr>
        <w:t>Rate Year 3</w:t>
      </w:r>
      <w:r w:rsidR="00EA356C" w:rsidRPr="00C73973">
        <w:t xml:space="preserve">.  </w:t>
      </w:r>
      <w:r w:rsidR="00060CDB">
        <w:t>Mr. Kinney, Ms. Rosentrater and Mr. Kensok have provided transfers to plant on a syst</w:t>
      </w:r>
      <w:r w:rsidR="0086145C">
        <w:t xml:space="preserve">em basis for each </w:t>
      </w:r>
      <w:r w:rsidR="0086145C" w:rsidRPr="00A71692">
        <w:rPr>
          <w:u w:val="single"/>
        </w:rPr>
        <w:t>calendar year</w:t>
      </w:r>
      <w:r w:rsidR="00A71692">
        <w:t>,</w:t>
      </w:r>
      <w:r w:rsidR="0086145C">
        <w:t xml:space="preserve"> and</w:t>
      </w:r>
      <w:r w:rsidR="00060CDB">
        <w:t xml:space="preserve"> I have incorporated the Washington share of these investments for the three rate years beginning May 1, 2018. </w:t>
      </w:r>
    </w:p>
    <w:p w:rsidR="00294265" w:rsidRPr="00C73973" w:rsidRDefault="00294265" w:rsidP="00382DD9">
      <w:pPr>
        <w:pStyle w:val="BodyText2"/>
        <w:tabs>
          <w:tab w:val="left" w:pos="1440"/>
        </w:tabs>
        <w:ind w:firstLine="720"/>
      </w:pPr>
    </w:p>
    <w:p w:rsidR="00A27760" w:rsidRPr="00C73973" w:rsidRDefault="00A27760" w:rsidP="00194221">
      <w:pPr>
        <w:pStyle w:val="Heading3"/>
        <w:ind w:firstLine="0"/>
        <w:rPr>
          <w:rStyle w:val="PageNumber"/>
          <w:u w:val="single"/>
        </w:rPr>
      </w:pPr>
      <w:bookmarkStart w:id="3" w:name="_Toc483209850"/>
      <w:r w:rsidRPr="00C73973">
        <w:rPr>
          <w:rStyle w:val="PageNumber"/>
          <w:u w:val="single"/>
        </w:rPr>
        <w:lastRenderedPageBreak/>
        <w:t>IV</w:t>
      </w:r>
      <w:r w:rsidR="00260043" w:rsidRPr="00C73973">
        <w:rPr>
          <w:rStyle w:val="PageNumber"/>
          <w:u w:val="single"/>
        </w:rPr>
        <w:t xml:space="preserve">. </w:t>
      </w:r>
      <w:r w:rsidR="00137E8F" w:rsidRPr="00C73973">
        <w:rPr>
          <w:rStyle w:val="PageNumber"/>
          <w:u w:val="single"/>
        </w:rPr>
        <w:t>TRADITIONAL PRO FORMA</w:t>
      </w:r>
      <w:r w:rsidR="00260043" w:rsidRPr="00C73973">
        <w:rPr>
          <w:rStyle w:val="PageNumber"/>
          <w:u w:val="single"/>
        </w:rPr>
        <w:t xml:space="preserve"> </w:t>
      </w:r>
      <w:r w:rsidR="00C97288" w:rsidRPr="00C73973">
        <w:rPr>
          <w:rStyle w:val="PageNumber"/>
          <w:u w:val="single"/>
        </w:rPr>
        <w:t>STUDIES</w:t>
      </w:r>
      <w:bookmarkEnd w:id="3"/>
      <w:r w:rsidR="00C97288" w:rsidRPr="00C73973">
        <w:rPr>
          <w:rStyle w:val="PageNumber"/>
          <w:u w:val="single"/>
        </w:rPr>
        <w:t xml:space="preserve"> </w:t>
      </w:r>
    </w:p>
    <w:p w:rsidR="00C97288" w:rsidRPr="00C73973" w:rsidRDefault="00C97288" w:rsidP="00C97288">
      <w:pPr>
        <w:pStyle w:val="BodyText2"/>
        <w:tabs>
          <w:tab w:val="left" w:pos="1440"/>
        </w:tabs>
        <w:ind w:firstLine="720"/>
        <w:rPr>
          <w:b/>
        </w:rPr>
      </w:pPr>
      <w:r w:rsidRPr="00C73973">
        <w:rPr>
          <w:b/>
        </w:rPr>
        <w:t>Q.</w:t>
      </w:r>
      <w:r w:rsidRPr="00C73973">
        <w:rPr>
          <w:b/>
        </w:rPr>
        <w:tab/>
        <w:t xml:space="preserve">How were the capital additions developed for the </w:t>
      </w:r>
      <w:r w:rsidR="00060CDB">
        <w:rPr>
          <w:b/>
        </w:rPr>
        <w:t xml:space="preserve">Traditional </w:t>
      </w:r>
      <w:r w:rsidRPr="00C73973">
        <w:rPr>
          <w:b/>
        </w:rPr>
        <w:t>Pro Forma Studies?</w:t>
      </w:r>
    </w:p>
    <w:p w:rsidR="00060CDB" w:rsidRPr="00C73973" w:rsidRDefault="00D301A9" w:rsidP="00060CDB">
      <w:pPr>
        <w:pStyle w:val="BodyText2"/>
        <w:tabs>
          <w:tab w:val="left" w:pos="1440"/>
        </w:tabs>
        <w:ind w:firstLine="720"/>
      </w:pPr>
      <w:r w:rsidRPr="00C73973">
        <w:t>A.</w:t>
      </w:r>
      <w:r w:rsidRPr="00C73973">
        <w:tab/>
      </w:r>
      <w:r w:rsidR="00060CDB" w:rsidRPr="00C73973">
        <w:t>As discussed by Ms. Andrews, the</w:t>
      </w:r>
      <w:r w:rsidR="00060CDB" w:rsidRPr="00C73973">
        <w:rPr>
          <w:b/>
        </w:rPr>
        <w:t xml:space="preserve"> </w:t>
      </w:r>
      <w:r w:rsidR="00060CDB" w:rsidRPr="003E2454">
        <w:t>electric and natural gas</w:t>
      </w:r>
      <w:r w:rsidR="00060CDB">
        <w:t xml:space="preserve"> </w:t>
      </w:r>
      <w:r w:rsidR="00060CDB" w:rsidRPr="00E14E67">
        <w:t>Traditional Pro</w:t>
      </w:r>
      <w:r w:rsidR="00060CDB" w:rsidRPr="00C73973">
        <w:t xml:space="preserve"> Forma Studies</w:t>
      </w:r>
      <w:r w:rsidR="00060CDB">
        <w:t xml:space="preserve">, </w:t>
      </w:r>
      <w:r w:rsidR="00060CDB" w:rsidRPr="00C73973">
        <w:t>include traditional restating and pro forma adjustments beyond the historical test year (2016), traditionally accepted and approved by the Washington Utilities and Transportation Commission (</w:t>
      </w:r>
      <w:r w:rsidR="0086145C">
        <w:t>“</w:t>
      </w:r>
      <w:r w:rsidR="00060CDB" w:rsidRPr="00C73973">
        <w:t>WUTC</w:t>
      </w:r>
      <w:r w:rsidR="0086145C">
        <w:t>”</w:t>
      </w:r>
      <w:r w:rsidR="00060CDB" w:rsidRPr="00C73973">
        <w:t xml:space="preserve"> or </w:t>
      </w:r>
      <w:r w:rsidR="0086145C">
        <w:t>“</w:t>
      </w:r>
      <w:r w:rsidR="00060CDB" w:rsidRPr="00C73973">
        <w:t>Commission</w:t>
      </w:r>
      <w:r w:rsidR="0086145C">
        <w:t>”</w:t>
      </w:r>
      <w:r w:rsidR="00060CDB" w:rsidRPr="00C73973">
        <w:t xml:space="preserve">). </w:t>
      </w:r>
    </w:p>
    <w:p w:rsidR="00060CDB" w:rsidRDefault="002A77EB" w:rsidP="00E14E67">
      <w:pPr>
        <w:pStyle w:val="BodyText2"/>
        <w:tabs>
          <w:tab w:val="left" w:pos="1440"/>
        </w:tabs>
        <w:ind w:firstLine="720"/>
        <w:rPr>
          <w:bCs/>
        </w:rPr>
      </w:pPr>
      <w:r w:rsidRPr="00C73973">
        <w:rPr>
          <w:bCs/>
        </w:rPr>
        <w:t>Avista started with rate base for the historical test year</w:t>
      </w:r>
      <w:r w:rsidR="00E14E67">
        <w:rPr>
          <w:bCs/>
        </w:rPr>
        <w:t xml:space="preserve"> ending December 31, 2016 on an </w:t>
      </w:r>
      <w:r w:rsidR="004E1542">
        <w:rPr>
          <w:bCs/>
        </w:rPr>
        <w:t>AMA</w:t>
      </w:r>
      <w:r w:rsidR="00E14E67">
        <w:rPr>
          <w:bCs/>
        </w:rPr>
        <w:t xml:space="preserve"> basis.  Per Commission Order 05, in </w:t>
      </w:r>
      <w:r w:rsidR="00E14E67">
        <w:t xml:space="preserve">Docket Nos. UE-150204 and UG-150205 (Consolidated), the Company </w:t>
      </w:r>
      <w:r w:rsidR="00D71E2D" w:rsidRPr="00C73973">
        <w:rPr>
          <w:bCs/>
        </w:rPr>
        <w:t xml:space="preserve">determined a threshold </w:t>
      </w:r>
      <w:r w:rsidR="00FA146D" w:rsidRPr="00C73973">
        <w:rPr>
          <w:bCs/>
        </w:rPr>
        <w:t xml:space="preserve">for the </w:t>
      </w:r>
      <w:r w:rsidR="005C22AC">
        <w:rPr>
          <w:bCs/>
        </w:rPr>
        <w:t xml:space="preserve">Pro Forma </w:t>
      </w:r>
      <w:r w:rsidR="00FA146D" w:rsidRPr="00C73973">
        <w:rPr>
          <w:bCs/>
        </w:rPr>
        <w:t xml:space="preserve">electric and natural gas </w:t>
      </w:r>
      <w:r w:rsidR="005C22AC">
        <w:rPr>
          <w:bCs/>
        </w:rPr>
        <w:t>projects</w:t>
      </w:r>
      <w:r w:rsidR="00782F18">
        <w:rPr>
          <w:bCs/>
        </w:rPr>
        <w:t xml:space="preserve"> of </w:t>
      </w:r>
      <w:r w:rsidRPr="00C73973">
        <w:rPr>
          <w:bCs/>
        </w:rPr>
        <w:t>one-half of one percent of the Company’s rate base</w:t>
      </w:r>
      <w:r w:rsidR="00782F18">
        <w:rPr>
          <w:bCs/>
        </w:rPr>
        <w:t>. Per th</w:t>
      </w:r>
      <w:r w:rsidR="005C22AC">
        <w:rPr>
          <w:bCs/>
        </w:rPr>
        <w:t xml:space="preserve">at threshold, the Company </w:t>
      </w:r>
      <w:r w:rsidR="00782F18">
        <w:rPr>
          <w:bCs/>
        </w:rPr>
        <w:t>identified Pro Forma Projects</w:t>
      </w:r>
      <w:r w:rsidR="00EC240E">
        <w:rPr>
          <w:bCs/>
        </w:rPr>
        <w:t xml:space="preserve"> that are</w:t>
      </w:r>
      <w:r w:rsidRPr="00C73973">
        <w:rPr>
          <w:bCs/>
        </w:rPr>
        <w:t xml:space="preserve"> above</w:t>
      </w:r>
      <w:r w:rsidR="005C22AC">
        <w:rPr>
          <w:bCs/>
        </w:rPr>
        <w:t xml:space="preserve"> the threshold of</w:t>
      </w:r>
      <w:r w:rsidRPr="00C73973">
        <w:rPr>
          <w:bCs/>
        </w:rPr>
        <w:t xml:space="preserve"> $6.</w:t>
      </w:r>
      <w:r w:rsidR="00374A18" w:rsidRPr="00C73973">
        <w:rPr>
          <w:bCs/>
        </w:rPr>
        <w:t>9 million for electric and $1.3</w:t>
      </w:r>
      <w:r w:rsidRPr="00C73973">
        <w:rPr>
          <w:bCs/>
        </w:rPr>
        <w:t xml:space="preserve"> million for natural gas</w:t>
      </w:r>
      <w:r w:rsidR="00EC240E">
        <w:rPr>
          <w:bCs/>
        </w:rPr>
        <w:t xml:space="preserve"> (i.e. equivalent to </w:t>
      </w:r>
      <w:r w:rsidR="00EC240E" w:rsidRPr="00C73973">
        <w:rPr>
          <w:bCs/>
        </w:rPr>
        <w:t>one-half of one percent of the Company’s rate base</w:t>
      </w:r>
      <w:r w:rsidR="00EC240E">
        <w:rPr>
          <w:bCs/>
        </w:rPr>
        <w:t>)</w:t>
      </w:r>
      <w:r w:rsidRPr="00C73973">
        <w:rPr>
          <w:bCs/>
        </w:rPr>
        <w:t>.</w:t>
      </w:r>
      <w:r w:rsidR="005C22AC">
        <w:rPr>
          <w:bCs/>
        </w:rPr>
        <w:t xml:space="preserve"> This threshold yielded </w:t>
      </w:r>
      <w:r w:rsidR="005C22AC" w:rsidRPr="00A71692">
        <w:rPr>
          <w:bCs/>
          <w:u w:val="single"/>
        </w:rPr>
        <w:t>six</w:t>
      </w:r>
      <w:r w:rsidR="00EA356C" w:rsidRPr="00C73973">
        <w:rPr>
          <w:bCs/>
        </w:rPr>
        <w:t xml:space="preserve"> electric projects </w:t>
      </w:r>
      <w:r w:rsidR="00937174" w:rsidRPr="00C73973">
        <w:rPr>
          <w:bCs/>
        </w:rPr>
        <w:t xml:space="preserve">and </w:t>
      </w:r>
      <w:r w:rsidR="005C22AC" w:rsidRPr="00A71692">
        <w:rPr>
          <w:bCs/>
          <w:u w:val="single"/>
        </w:rPr>
        <w:t>seven</w:t>
      </w:r>
      <w:r w:rsidR="00EA356C" w:rsidRPr="00C73973">
        <w:rPr>
          <w:bCs/>
        </w:rPr>
        <w:t xml:space="preserve"> natural gas projects</w:t>
      </w:r>
      <w:r w:rsidR="00EC240E">
        <w:rPr>
          <w:bCs/>
        </w:rPr>
        <w:t xml:space="preserve"> to be</w:t>
      </w:r>
      <w:r w:rsidR="00EA356C" w:rsidRPr="00C73973">
        <w:rPr>
          <w:bCs/>
        </w:rPr>
        <w:t xml:space="preserve"> included within </w:t>
      </w:r>
      <w:r w:rsidR="00EC240E">
        <w:rPr>
          <w:bCs/>
        </w:rPr>
        <w:t>Avista’s</w:t>
      </w:r>
      <w:r w:rsidR="00FA146D" w:rsidRPr="00C73973">
        <w:rPr>
          <w:bCs/>
        </w:rPr>
        <w:t xml:space="preserve"> Pro Forma Stud</w:t>
      </w:r>
      <w:r w:rsidR="00EC240E">
        <w:rPr>
          <w:bCs/>
        </w:rPr>
        <w:t>ies</w:t>
      </w:r>
      <w:r w:rsidR="00FA146D" w:rsidRPr="00C73973">
        <w:rPr>
          <w:bCs/>
        </w:rPr>
        <w:t xml:space="preserve">. </w:t>
      </w:r>
    </w:p>
    <w:p w:rsidR="002A77EB" w:rsidRPr="00C73973" w:rsidRDefault="00FA146D" w:rsidP="00E14E67">
      <w:pPr>
        <w:pStyle w:val="BodyText2"/>
        <w:tabs>
          <w:tab w:val="left" w:pos="1440"/>
        </w:tabs>
        <w:ind w:firstLine="720"/>
        <w:rPr>
          <w:bCs/>
        </w:rPr>
      </w:pPr>
      <w:r w:rsidRPr="00C73973">
        <w:rPr>
          <w:bCs/>
        </w:rPr>
        <w:t>These Pro Forma projects were inc</w:t>
      </w:r>
      <w:r w:rsidR="005C22AC">
        <w:rPr>
          <w:bCs/>
        </w:rPr>
        <w:t>luded on a 2017 EOP</w:t>
      </w:r>
      <w:r w:rsidRPr="00C73973">
        <w:rPr>
          <w:bCs/>
        </w:rPr>
        <w:t xml:space="preserve"> basis together with the associated accumulated depreciation (“AD”) and accumulated deferred federal income taxes (“ADFIT”).  The associated ADFIT includes </w:t>
      </w:r>
      <w:r w:rsidR="0086145C">
        <w:rPr>
          <w:bCs/>
        </w:rPr>
        <w:t xml:space="preserve">the </w:t>
      </w:r>
      <w:r w:rsidRPr="00C73973">
        <w:rPr>
          <w:bCs/>
        </w:rPr>
        <w:t xml:space="preserve">repairs </w:t>
      </w:r>
      <w:r w:rsidR="0086145C">
        <w:rPr>
          <w:bCs/>
        </w:rPr>
        <w:t xml:space="preserve">deduction </w:t>
      </w:r>
      <w:r w:rsidRPr="00C73973">
        <w:rPr>
          <w:bCs/>
        </w:rPr>
        <w:t xml:space="preserve">and bonus tax depreciation expected through 2017 on an EOP basis. </w:t>
      </w:r>
      <w:r w:rsidR="00EC240E">
        <w:rPr>
          <w:bCs/>
        </w:rPr>
        <w:t>These adjustments</w:t>
      </w:r>
      <w:r w:rsidRPr="00C73973">
        <w:rPr>
          <w:bCs/>
        </w:rPr>
        <w:t xml:space="preserve"> </w:t>
      </w:r>
      <w:r w:rsidR="00EC240E">
        <w:rPr>
          <w:bCs/>
        </w:rPr>
        <w:t xml:space="preserve">also </w:t>
      </w:r>
      <w:r w:rsidRPr="00C73973">
        <w:rPr>
          <w:bCs/>
        </w:rPr>
        <w:t xml:space="preserve">include associated depreciation </w:t>
      </w:r>
      <w:r w:rsidR="00EC240E">
        <w:rPr>
          <w:bCs/>
        </w:rPr>
        <w:t>expense for each</w:t>
      </w:r>
      <w:r w:rsidRPr="00C73973">
        <w:rPr>
          <w:bCs/>
        </w:rPr>
        <w:t xml:space="preserve"> capital addition.  </w:t>
      </w:r>
      <w:r w:rsidR="00EC240E">
        <w:rPr>
          <w:bCs/>
        </w:rPr>
        <w:t>These</w:t>
      </w:r>
      <w:r w:rsidR="00866A1B" w:rsidRPr="00C73973">
        <w:rPr>
          <w:bCs/>
        </w:rPr>
        <w:t xml:space="preserve"> adjustment</w:t>
      </w:r>
      <w:r w:rsidR="00EC240E">
        <w:rPr>
          <w:bCs/>
        </w:rPr>
        <w:t>s</w:t>
      </w:r>
      <w:r w:rsidR="00866A1B" w:rsidRPr="00C73973">
        <w:rPr>
          <w:bCs/>
        </w:rPr>
        <w:t xml:space="preserve"> </w:t>
      </w:r>
      <w:r w:rsidR="00EC240E">
        <w:rPr>
          <w:bCs/>
        </w:rPr>
        <w:t>are included by</w:t>
      </w:r>
      <w:r w:rsidR="00866A1B" w:rsidRPr="00C73973">
        <w:rPr>
          <w:bCs/>
        </w:rPr>
        <w:t xml:space="preserve"> Ms. Andrews </w:t>
      </w:r>
      <w:r w:rsidR="00EC240E">
        <w:rPr>
          <w:bCs/>
        </w:rPr>
        <w:t xml:space="preserve">as Pro Forma </w:t>
      </w:r>
      <w:r w:rsidR="005C22AC">
        <w:rPr>
          <w:bCs/>
        </w:rPr>
        <w:t>A</w:t>
      </w:r>
      <w:r w:rsidR="00D301A9" w:rsidRPr="00C73973">
        <w:rPr>
          <w:bCs/>
        </w:rPr>
        <w:t>djustment 3.10</w:t>
      </w:r>
      <w:r w:rsidR="00EC240E">
        <w:rPr>
          <w:bCs/>
        </w:rPr>
        <w:t xml:space="preserve"> in her electric and </w:t>
      </w:r>
      <w:r w:rsidR="00D301A9" w:rsidRPr="00C73973">
        <w:rPr>
          <w:bCs/>
        </w:rPr>
        <w:t>natural gas</w:t>
      </w:r>
      <w:r w:rsidR="00EC240E">
        <w:rPr>
          <w:bCs/>
        </w:rPr>
        <w:t xml:space="preserve"> </w:t>
      </w:r>
      <w:r w:rsidR="00060CDB">
        <w:rPr>
          <w:bCs/>
        </w:rPr>
        <w:t xml:space="preserve">Traditional </w:t>
      </w:r>
      <w:r w:rsidR="00EC240E">
        <w:rPr>
          <w:bCs/>
        </w:rPr>
        <w:t>Pro Forma Studies. The Pro Forma threshold adjustments are reflected</w:t>
      </w:r>
      <w:r w:rsidR="00937174" w:rsidRPr="00C73973">
        <w:rPr>
          <w:bCs/>
        </w:rPr>
        <w:t xml:space="preserve"> in Table Nos. 2 and 3</w:t>
      </w:r>
      <w:r w:rsidR="00080FD9">
        <w:rPr>
          <w:bCs/>
        </w:rPr>
        <w:t xml:space="preserve"> and the</w:t>
      </w:r>
      <w:r w:rsidR="004E1542">
        <w:rPr>
          <w:bCs/>
        </w:rPr>
        <w:t xml:space="preserve"> </w:t>
      </w:r>
      <w:r w:rsidR="004E1542">
        <w:rPr>
          <w:bCs/>
        </w:rPr>
        <w:lastRenderedPageBreak/>
        <w:t>specific</w:t>
      </w:r>
      <w:r w:rsidR="00080FD9">
        <w:rPr>
          <w:bCs/>
        </w:rPr>
        <w:t xml:space="preserve"> projects are identified </w:t>
      </w:r>
      <w:r w:rsidR="004E1542">
        <w:rPr>
          <w:bCs/>
        </w:rPr>
        <w:t xml:space="preserve">in </w:t>
      </w:r>
      <w:proofErr w:type="spellStart"/>
      <w:r w:rsidR="004E1542">
        <w:rPr>
          <w:bCs/>
        </w:rPr>
        <w:t>Exh</w:t>
      </w:r>
      <w:proofErr w:type="spellEnd"/>
      <w:r w:rsidR="004E1542">
        <w:rPr>
          <w:bCs/>
        </w:rPr>
        <w:t>.</w:t>
      </w:r>
      <w:r w:rsidR="00080FD9">
        <w:rPr>
          <w:bCs/>
        </w:rPr>
        <w:t xml:space="preserve"> KKS-2 on a calendar</w:t>
      </w:r>
      <w:r w:rsidR="00A71692">
        <w:rPr>
          <w:bCs/>
        </w:rPr>
        <w:t xml:space="preserve"> year</w:t>
      </w:r>
      <w:r w:rsidR="00080FD9">
        <w:rPr>
          <w:bCs/>
        </w:rPr>
        <w:t xml:space="preserve"> basis</w:t>
      </w:r>
      <w:r w:rsidR="004E1542">
        <w:rPr>
          <w:bCs/>
        </w:rPr>
        <w:t>,</w:t>
      </w:r>
      <w:r w:rsidR="00080FD9">
        <w:rPr>
          <w:bCs/>
        </w:rPr>
        <w:t xml:space="preserve"> as well as in my workpapers. </w:t>
      </w:r>
    </w:p>
    <w:p w:rsidR="0068214C" w:rsidRDefault="00060CDB" w:rsidP="00194221">
      <w:pPr>
        <w:pStyle w:val="BodyText2"/>
        <w:ind w:firstLine="720"/>
        <w:rPr>
          <w:bCs/>
        </w:rPr>
      </w:pPr>
      <w:r>
        <w:rPr>
          <w:bCs/>
        </w:rPr>
        <w:t>T</w:t>
      </w:r>
      <w:r w:rsidR="00EA2A23">
        <w:rPr>
          <w:bCs/>
        </w:rPr>
        <w:t xml:space="preserve">he results of the </w:t>
      </w:r>
      <w:r>
        <w:rPr>
          <w:bCs/>
        </w:rPr>
        <w:t xml:space="preserve">Traditional </w:t>
      </w:r>
      <w:r w:rsidR="00EA2A23">
        <w:rPr>
          <w:bCs/>
        </w:rPr>
        <w:t>Pro Forma Stud</w:t>
      </w:r>
      <w:r w:rsidR="0088359A">
        <w:rPr>
          <w:bCs/>
        </w:rPr>
        <w:t>y</w:t>
      </w:r>
      <w:r>
        <w:rPr>
          <w:bCs/>
        </w:rPr>
        <w:t xml:space="preserve"> </w:t>
      </w:r>
      <w:r w:rsidR="00EA2A23">
        <w:rPr>
          <w:bCs/>
        </w:rPr>
        <w:t>reflect</w:t>
      </w:r>
      <w:r w:rsidR="00A71692">
        <w:rPr>
          <w:bCs/>
        </w:rPr>
        <w:t xml:space="preserve"> only a portion</w:t>
      </w:r>
      <w:r w:rsidR="00EA2A23">
        <w:rPr>
          <w:bCs/>
        </w:rPr>
        <w:t xml:space="preserve"> the rate base that will be in service serving customers during the rate year beginning May 1, 2018. Additional adjustments necessary to reflect the level of rate base serving customers are discussed below within the EOP </w:t>
      </w:r>
      <w:r w:rsidR="002223E1">
        <w:rPr>
          <w:bCs/>
        </w:rPr>
        <w:t xml:space="preserve">Rate Base </w:t>
      </w:r>
      <w:r w:rsidR="00EA2A23">
        <w:rPr>
          <w:bCs/>
        </w:rPr>
        <w:t xml:space="preserve">and Rate Year Studies. </w:t>
      </w:r>
    </w:p>
    <w:p w:rsidR="0068214C" w:rsidRDefault="0068214C" w:rsidP="00CC00B7">
      <w:pPr>
        <w:autoSpaceDE/>
        <w:autoSpaceDN/>
        <w:spacing w:line="480" w:lineRule="auto"/>
        <w:rPr>
          <w:bCs/>
        </w:rPr>
      </w:pPr>
    </w:p>
    <w:p w:rsidR="00314C0A" w:rsidRPr="00C73973" w:rsidRDefault="005862B2" w:rsidP="00194221">
      <w:pPr>
        <w:pStyle w:val="Heading3"/>
        <w:ind w:firstLine="0"/>
        <w:rPr>
          <w:rStyle w:val="PageNumber"/>
          <w:b w:val="0"/>
          <w:u w:val="single"/>
        </w:rPr>
      </w:pPr>
      <w:bookmarkStart w:id="4" w:name="_Toc483209851"/>
      <w:r w:rsidRPr="00C73973">
        <w:rPr>
          <w:rStyle w:val="PageNumber"/>
          <w:u w:val="single"/>
        </w:rPr>
        <w:t xml:space="preserve">V. </w:t>
      </w:r>
      <w:r w:rsidR="00010D4E" w:rsidRPr="00C73973">
        <w:rPr>
          <w:rStyle w:val="PageNumber"/>
          <w:u w:val="single"/>
        </w:rPr>
        <w:t>END OF PERIOD RATE BASE</w:t>
      </w:r>
      <w:r w:rsidR="00422DFB" w:rsidRPr="00C73973">
        <w:rPr>
          <w:rStyle w:val="PageNumber"/>
          <w:u w:val="single"/>
        </w:rPr>
        <w:t xml:space="preserve"> </w:t>
      </w:r>
      <w:r w:rsidR="00C97288" w:rsidRPr="00C73973">
        <w:rPr>
          <w:rStyle w:val="PageNumber"/>
          <w:u w:val="single"/>
        </w:rPr>
        <w:t>STUDIES</w:t>
      </w:r>
      <w:bookmarkEnd w:id="4"/>
    </w:p>
    <w:p w:rsidR="00C97288" w:rsidRPr="00C73973" w:rsidRDefault="00C97288" w:rsidP="00C97288">
      <w:pPr>
        <w:pStyle w:val="BodyText2"/>
        <w:tabs>
          <w:tab w:val="left" w:pos="1440"/>
        </w:tabs>
        <w:ind w:firstLine="720"/>
        <w:rPr>
          <w:b/>
          <w:bCs/>
        </w:rPr>
      </w:pPr>
      <w:r w:rsidRPr="00C73973">
        <w:rPr>
          <w:rStyle w:val="LineNumber"/>
          <w:b/>
        </w:rPr>
        <w:t>Q.</w:t>
      </w:r>
      <w:r w:rsidRPr="00C73973">
        <w:rPr>
          <w:rStyle w:val="LineNumber"/>
          <w:b/>
        </w:rPr>
        <w:tab/>
        <w:t>How were the</w:t>
      </w:r>
      <w:r w:rsidRPr="00C73973">
        <w:rPr>
          <w:b/>
          <w:bCs/>
        </w:rPr>
        <w:t xml:space="preserve"> capital additions developed for </w:t>
      </w:r>
      <w:r w:rsidRPr="00C73973">
        <w:rPr>
          <w:b/>
        </w:rPr>
        <w:t>the</w:t>
      </w:r>
      <w:r w:rsidR="00FA146D" w:rsidRPr="00C73973">
        <w:rPr>
          <w:b/>
        </w:rPr>
        <w:t xml:space="preserve"> electric and natural gas</w:t>
      </w:r>
      <w:r w:rsidRPr="00C73973">
        <w:rPr>
          <w:b/>
        </w:rPr>
        <w:t xml:space="preserve"> </w:t>
      </w:r>
      <w:r w:rsidR="00D1228B" w:rsidRPr="00C73973">
        <w:rPr>
          <w:b/>
        </w:rPr>
        <w:t>EOP</w:t>
      </w:r>
      <w:r w:rsidR="002223E1">
        <w:rPr>
          <w:b/>
        </w:rPr>
        <w:t xml:space="preserve"> Rate Base</w:t>
      </w:r>
      <w:r w:rsidRPr="00C73973">
        <w:rPr>
          <w:b/>
        </w:rPr>
        <w:t xml:space="preserve"> Studies</w:t>
      </w:r>
      <w:r w:rsidRPr="00C73973">
        <w:rPr>
          <w:b/>
          <w:bCs/>
        </w:rPr>
        <w:t>?</w:t>
      </w:r>
    </w:p>
    <w:p w:rsidR="001F3BEB" w:rsidRDefault="00C97288" w:rsidP="00797D75">
      <w:pPr>
        <w:pStyle w:val="BodyText2"/>
        <w:tabs>
          <w:tab w:val="left" w:pos="1440"/>
        </w:tabs>
        <w:ind w:firstLine="720"/>
        <w:rPr>
          <w:bCs/>
        </w:rPr>
      </w:pPr>
      <w:r w:rsidRPr="00C73973">
        <w:rPr>
          <w:bCs/>
        </w:rPr>
        <w:t>A.</w:t>
      </w:r>
      <w:r w:rsidR="008A5BA6" w:rsidRPr="00C73973">
        <w:t xml:space="preserve"> </w:t>
      </w:r>
      <w:r w:rsidR="008A5BA6" w:rsidRPr="00C73973">
        <w:tab/>
      </w:r>
      <w:r w:rsidR="00D71E2D" w:rsidRPr="00C73973">
        <w:rPr>
          <w:bCs/>
        </w:rPr>
        <w:t xml:space="preserve">Avista </w:t>
      </w:r>
      <w:r w:rsidR="005D6C13" w:rsidRPr="00C73973">
        <w:rPr>
          <w:bCs/>
        </w:rPr>
        <w:t>reviewed the planned capital projects</w:t>
      </w:r>
      <w:r w:rsidR="00FA146D" w:rsidRPr="00C73973">
        <w:rPr>
          <w:bCs/>
        </w:rPr>
        <w:t xml:space="preserve"> </w:t>
      </w:r>
      <w:r w:rsidR="00D71E2D" w:rsidRPr="00C73973">
        <w:rPr>
          <w:bCs/>
        </w:rPr>
        <w:t>that were</w:t>
      </w:r>
      <w:r w:rsidR="007273EA" w:rsidRPr="00C73973">
        <w:rPr>
          <w:bCs/>
        </w:rPr>
        <w:t xml:space="preserve"> below the </w:t>
      </w:r>
      <w:r w:rsidR="00933551">
        <w:rPr>
          <w:bCs/>
        </w:rPr>
        <w:t xml:space="preserve">0.5 percent </w:t>
      </w:r>
      <w:r w:rsidR="007273EA" w:rsidRPr="00C73973">
        <w:rPr>
          <w:bCs/>
        </w:rPr>
        <w:t xml:space="preserve">threshold for </w:t>
      </w:r>
      <w:r w:rsidR="00FA146D" w:rsidRPr="00C73973">
        <w:rPr>
          <w:bCs/>
        </w:rPr>
        <w:t xml:space="preserve">2017 </w:t>
      </w:r>
      <w:r w:rsidR="00797D75">
        <w:rPr>
          <w:bCs/>
        </w:rPr>
        <w:t>(</w:t>
      </w:r>
      <w:r w:rsidR="00EF40CD">
        <w:rPr>
          <w:bCs/>
        </w:rPr>
        <w:t xml:space="preserve">i.e., </w:t>
      </w:r>
      <w:r w:rsidR="00797D75">
        <w:rPr>
          <w:bCs/>
        </w:rPr>
        <w:t xml:space="preserve">those </w:t>
      </w:r>
      <w:r w:rsidR="00FA146D" w:rsidRPr="00C73973">
        <w:rPr>
          <w:bCs/>
        </w:rPr>
        <w:t xml:space="preserve">not included in </w:t>
      </w:r>
      <w:r w:rsidR="007273EA" w:rsidRPr="00C73973">
        <w:rPr>
          <w:bCs/>
        </w:rPr>
        <w:t xml:space="preserve">the </w:t>
      </w:r>
      <w:r w:rsidR="002223E1">
        <w:rPr>
          <w:bCs/>
        </w:rPr>
        <w:t xml:space="preserve">Traditional </w:t>
      </w:r>
      <w:r w:rsidR="001E45DE" w:rsidRPr="00C73973">
        <w:rPr>
          <w:bCs/>
        </w:rPr>
        <w:t>Pro Forma</w:t>
      </w:r>
      <w:r w:rsidR="000B7322" w:rsidRPr="00C73973">
        <w:rPr>
          <w:bCs/>
        </w:rPr>
        <w:t xml:space="preserve"> Studies discussed</w:t>
      </w:r>
      <w:r w:rsidR="007273EA" w:rsidRPr="00C73973">
        <w:rPr>
          <w:bCs/>
        </w:rPr>
        <w:t xml:space="preserve"> above</w:t>
      </w:r>
      <w:r w:rsidR="00797D75">
        <w:rPr>
          <w:bCs/>
        </w:rPr>
        <w:t>)</w:t>
      </w:r>
      <w:r w:rsidR="00D71E2D" w:rsidRPr="00C73973">
        <w:rPr>
          <w:bCs/>
        </w:rPr>
        <w:t xml:space="preserve">. </w:t>
      </w:r>
      <w:r w:rsidR="008618D0" w:rsidRPr="00C73973">
        <w:rPr>
          <w:bCs/>
        </w:rPr>
        <w:t xml:space="preserve"> </w:t>
      </w:r>
      <w:r w:rsidR="00D71E2D" w:rsidRPr="00C73973">
        <w:rPr>
          <w:bCs/>
        </w:rPr>
        <w:t>These additions</w:t>
      </w:r>
      <w:r w:rsidR="007273EA" w:rsidRPr="00C73973">
        <w:rPr>
          <w:bCs/>
        </w:rPr>
        <w:t xml:space="preserve"> we</w:t>
      </w:r>
      <w:r w:rsidR="000B7322" w:rsidRPr="00C73973">
        <w:rPr>
          <w:bCs/>
        </w:rPr>
        <w:t>re included in the EOP</w:t>
      </w:r>
      <w:r w:rsidR="002223E1">
        <w:rPr>
          <w:bCs/>
        </w:rPr>
        <w:t xml:space="preserve"> Rate Base </w:t>
      </w:r>
      <w:r w:rsidR="007273EA" w:rsidRPr="00C73973">
        <w:rPr>
          <w:bCs/>
        </w:rPr>
        <w:t xml:space="preserve">Studies for 2017, together with the associated AD and ADFIT on </w:t>
      </w:r>
      <w:r w:rsidR="00D1228B" w:rsidRPr="00C73973">
        <w:rPr>
          <w:bCs/>
        </w:rPr>
        <w:t>a</w:t>
      </w:r>
      <w:r w:rsidR="007273EA" w:rsidRPr="00C73973">
        <w:rPr>
          <w:bCs/>
        </w:rPr>
        <w:t xml:space="preserve"> 2017 EOP basis.</w:t>
      </w:r>
      <w:r w:rsidR="000B016B" w:rsidRPr="00C73973">
        <w:rPr>
          <w:rStyle w:val="FootnoteReference"/>
          <w:bCs/>
        </w:rPr>
        <w:footnoteReference w:id="5"/>
      </w:r>
      <w:r w:rsidR="007273EA" w:rsidRPr="00C73973">
        <w:rPr>
          <w:bCs/>
        </w:rPr>
        <w:t xml:space="preserve">  The associated ADFIT includes</w:t>
      </w:r>
      <w:r w:rsidR="0086145C">
        <w:rPr>
          <w:bCs/>
        </w:rPr>
        <w:t xml:space="preserve"> the</w:t>
      </w:r>
      <w:r w:rsidR="007273EA" w:rsidRPr="00C73973">
        <w:rPr>
          <w:bCs/>
        </w:rPr>
        <w:t xml:space="preserve"> repairs</w:t>
      </w:r>
      <w:r w:rsidR="0086145C">
        <w:rPr>
          <w:bCs/>
        </w:rPr>
        <w:t xml:space="preserve"> deduction</w:t>
      </w:r>
      <w:r w:rsidR="007273EA" w:rsidRPr="00C73973">
        <w:rPr>
          <w:bCs/>
        </w:rPr>
        <w:t xml:space="preserve"> and bonus tax depreciation expected through 2017 on an EOP basis</w:t>
      </w:r>
      <w:r w:rsidR="007273EA" w:rsidRPr="00C73973">
        <w:rPr>
          <w:rStyle w:val="FootnoteReference"/>
          <w:bCs/>
        </w:rPr>
        <w:footnoteReference w:id="6"/>
      </w:r>
      <w:r w:rsidR="00151255">
        <w:rPr>
          <w:rStyle w:val="FootnoteReference"/>
          <w:bCs/>
        </w:rPr>
        <w:footnoteReference w:id="7"/>
      </w:r>
      <w:r w:rsidR="007273EA" w:rsidRPr="00C73973">
        <w:rPr>
          <w:bCs/>
        </w:rPr>
        <w:t>. In addition, the plant-in-service for 201</w:t>
      </w:r>
      <w:r w:rsidR="00D1228B" w:rsidRPr="00C73973">
        <w:rPr>
          <w:bCs/>
        </w:rPr>
        <w:t>6 AMA was adjusted to a 2017</w:t>
      </w:r>
      <w:r w:rsidR="007273EA" w:rsidRPr="00C73973">
        <w:rPr>
          <w:bCs/>
        </w:rPr>
        <w:t xml:space="preserve"> </w:t>
      </w:r>
      <w:r w:rsidR="00D1228B" w:rsidRPr="00C73973">
        <w:rPr>
          <w:bCs/>
        </w:rPr>
        <w:t>EOP</w:t>
      </w:r>
      <w:r w:rsidR="007273EA" w:rsidRPr="00C73973">
        <w:rPr>
          <w:bCs/>
        </w:rPr>
        <w:t xml:space="preserve"> basis.</w:t>
      </w:r>
      <w:r w:rsidR="001E45DE" w:rsidRPr="00C73973">
        <w:rPr>
          <w:bCs/>
        </w:rPr>
        <w:t xml:space="preserve"> </w:t>
      </w:r>
    </w:p>
    <w:p w:rsidR="00797D75" w:rsidRPr="00C73973" w:rsidRDefault="002223E1" w:rsidP="00797D75">
      <w:pPr>
        <w:pStyle w:val="BodyText2"/>
        <w:tabs>
          <w:tab w:val="left" w:pos="720"/>
        </w:tabs>
        <w:ind w:firstLine="720"/>
        <w:rPr>
          <w:b/>
        </w:rPr>
      </w:pPr>
      <w:r>
        <w:rPr>
          <w:b/>
        </w:rPr>
        <w:lastRenderedPageBreak/>
        <w:t>Q.</w:t>
      </w:r>
      <w:r>
        <w:rPr>
          <w:b/>
        </w:rPr>
        <w:tab/>
        <w:t>How do</w:t>
      </w:r>
      <w:r w:rsidR="00797D75" w:rsidRPr="00C73973">
        <w:rPr>
          <w:b/>
        </w:rPr>
        <w:t xml:space="preserve"> the results of </w:t>
      </w:r>
      <w:r>
        <w:rPr>
          <w:b/>
        </w:rPr>
        <w:t xml:space="preserve">EOP </w:t>
      </w:r>
      <w:r w:rsidR="00797D75" w:rsidRPr="00C73973">
        <w:rPr>
          <w:b/>
        </w:rPr>
        <w:t>Rate Base Studies</w:t>
      </w:r>
      <w:r>
        <w:rPr>
          <w:b/>
        </w:rPr>
        <w:t xml:space="preserve"> compare with those of the Traditional Pro Forma Study</w:t>
      </w:r>
      <w:r w:rsidR="00797D75" w:rsidRPr="00C73973">
        <w:rPr>
          <w:b/>
        </w:rPr>
        <w:t xml:space="preserve">? </w:t>
      </w:r>
    </w:p>
    <w:p w:rsidR="00797D75" w:rsidRPr="00C73973" w:rsidRDefault="00797D75" w:rsidP="00797D75">
      <w:pPr>
        <w:pStyle w:val="BodyText2"/>
        <w:tabs>
          <w:tab w:val="left" w:pos="720"/>
        </w:tabs>
        <w:ind w:firstLine="720"/>
      </w:pPr>
      <w:r w:rsidRPr="00C73973">
        <w:t>A.</w:t>
      </w:r>
      <w:r w:rsidRPr="00C73973">
        <w:tab/>
      </w:r>
      <w:r w:rsidR="00EF40CD">
        <w:t xml:space="preserve">Illustration No. 1 </w:t>
      </w:r>
      <w:r w:rsidR="002223E1">
        <w:t xml:space="preserve">below provides a comparison of the </w:t>
      </w:r>
      <w:r w:rsidRPr="00C73973">
        <w:t xml:space="preserve">electric </w:t>
      </w:r>
      <w:r w:rsidR="002223E1">
        <w:t xml:space="preserve">rate base for </w:t>
      </w:r>
      <w:r w:rsidRPr="00C73973">
        <w:t xml:space="preserve">the electric </w:t>
      </w:r>
      <w:r w:rsidR="00933551">
        <w:t xml:space="preserve">Traditional </w:t>
      </w:r>
      <w:r w:rsidRPr="00C73973">
        <w:t>Pro Forma Study</w:t>
      </w:r>
      <w:r>
        <w:t xml:space="preserve"> and the </w:t>
      </w:r>
      <w:r w:rsidRPr="00C73973">
        <w:t>EOP</w:t>
      </w:r>
      <w:r w:rsidR="002223E1">
        <w:t xml:space="preserve"> Rate Base</w:t>
      </w:r>
      <w:r w:rsidRPr="00C73973">
        <w:t xml:space="preserve"> Study</w:t>
      </w:r>
      <w:r w:rsidR="00A71692">
        <w:t xml:space="preserve"> for the rate year beginning May 1, 2018. </w:t>
      </w:r>
      <w:r>
        <w:t xml:space="preserve"> </w:t>
      </w:r>
    </w:p>
    <w:p w:rsidR="00797D75" w:rsidRPr="00C73973" w:rsidRDefault="00C7397F" w:rsidP="00797D75">
      <w:pPr>
        <w:pStyle w:val="BodyText2"/>
        <w:tabs>
          <w:tab w:val="left" w:pos="720"/>
        </w:tabs>
        <w:ind w:right="18"/>
        <w:rPr>
          <w:b/>
          <w:u w:val="single"/>
        </w:rPr>
      </w:pPr>
      <w:r>
        <w:rPr>
          <w:bCs/>
          <w:noProof/>
        </w:rPr>
        <w:drawing>
          <wp:anchor distT="0" distB="0" distL="114300" distR="114300" simplePos="0" relativeHeight="251974656" behindDoc="0" locked="0" layoutInCell="1" allowOverlap="1">
            <wp:simplePos x="0" y="0"/>
            <wp:positionH relativeFrom="column">
              <wp:posOffset>345882</wp:posOffset>
            </wp:positionH>
            <wp:positionV relativeFrom="paragraph">
              <wp:posOffset>291051</wp:posOffset>
            </wp:positionV>
            <wp:extent cx="5181600" cy="3482340"/>
            <wp:effectExtent l="19050" t="19050" r="19050" b="2286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3482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97D75" w:rsidRPr="00C73973">
        <w:rPr>
          <w:b/>
          <w:u w:val="single"/>
        </w:rPr>
        <w:t>Illustration No. 1:</w:t>
      </w: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797D75" w:rsidRDefault="00797D75" w:rsidP="00797D75">
      <w:pPr>
        <w:pStyle w:val="BodyText2"/>
        <w:tabs>
          <w:tab w:val="left" w:pos="1440"/>
        </w:tabs>
        <w:ind w:firstLine="720"/>
        <w:rPr>
          <w:bCs/>
        </w:rPr>
      </w:pPr>
    </w:p>
    <w:p w:rsidR="00CC00B7" w:rsidRDefault="00CC00B7" w:rsidP="00797D75">
      <w:pPr>
        <w:pStyle w:val="BodyText2"/>
        <w:tabs>
          <w:tab w:val="left" w:pos="1440"/>
        </w:tabs>
        <w:ind w:firstLine="720"/>
        <w:rPr>
          <w:bCs/>
        </w:rPr>
      </w:pPr>
    </w:p>
    <w:p w:rsidR="00EF40CD" w:rsidRDefault="00EF40CD" w:rsidP="00797D75">
      <w:pPr>
        <w:pStyle w:val="WARateCase"/>
        <w:jc w:val="both"/>
        <w:rPr>
          <w:rFonts w:ascii="Times New Roman" w:hAnsi="Times New Roman"/>
          <w:b w:val="0"/>
          <w:sz w:val="24"/>
          <w:szCs w:val="24"/>
        </w:rPr>
      </w:pPr>
      <w:r>
        <w:rPr>
          <w:rFonts w:ascii="Times New Roman" w:hAnsi="Times New Roman"/>
          <w:b w:val="0"/>
          <w:sz w:val="24"/>
          <w:szCs w:val="24"/>
        </w:rPr>
        <w:t>The illustration demonstrates that using the Traditional Pro Forma Study, approximately $120 million of net electric plant after ADFIT, would not be included in rate base, even though the rate base will be in service serving customers</w:t>
      </w:r>
      <w:r w:rsidR="0088359A">
        <w:rPr>
          <w:rFonts w:ascii="Times New Roman" w:hAnsi="Times New Roman"/>
          <w:b w:val="0"/>
          <w:sz w:val="24"/>
          <w:szCs w:val="24"/>
        </w:rPr>
        <w:t xml:space="preserve"> by December 31, 2017 - </w:t>
      </w:r>
      <w:r w:rsidR="007919AB">
        <w:rPr>
          <w:rFonts w:ascii="Times New Roman" w:hAnsi="Times New Roman"/>
          <w:b w:val="0"/>
          <w:sz w:val="24"/>
          <w:szCs w:val="24"/>
        </w:rPr>
        <w:t xml:space="preserve">well before new retail rates would take effect May 1, 2018. </w:t>
      </w:r>
    </w:p>
    <w:p w:rsidR="005B2056" w:rsidRDefault="00EF40CD" w:rsidP="005B2056">
      <w:pPr>
        <w:pStyle w:val="WARateCase"/>
        <w:ind w:firstLine="720"/>
        <w:jc w:val="both"/>
      </w:pPr>
      <w:r>
        <w:rPr>
          <w:rFonts w:ascii="Times New Roman" w:hAnsi="Times New Roman"/>
          <w:b w:val="0"/>
          <w:sz w:val="24"/>
          <w:szCs w:val="24"/>
        </w:rPr>
        <w:t xml:space="preserve">Illustration No. 2 </w:t>
      </w:r>
      <w:r w:rsidR="00797D75" w:rsidRPr="00C73973">
        <w:rPr>
          <w:rFonts w:ascii="Times New Roman" w:hAnsi="Times New Roman"/>
          <w:b w:val="0"/>
          <w:sz w:val="24"/>
          <w:szCs w:val="24"/>
        </w:rPr>
        <w:t xml:space="preserve">shows a similar comparison for natural gas </w:t>
      </w:r>
      <w:r w:rsidR="007919AB">
        <w:rPr>
          <w:rFonts w:ascii="Times New Roman" w:hAnsi="Times New Roman"/>
          <w:b w:val="0"/>
          <w:sz w:val="24"/>
          <w:szCs w:val="24"/>
        </w:rPr>
        <w:t>rate base</w:t>
      </w:r>
      <w:r w:rsidR="00797D75" w:rsidRPr="00C73973">
        <w:rPr>
          <w:rFonts w:ascii="Times New Roman" w:hAnsi="Times New Roman"/>
          <w:b w:val="0"/>
          <w:sz w:val="24"/>
          <w:szCs w:val="24"/>
        </w:rPr>
        <w:t xml:space="preserve">: </w:t>
      </w:r>
      <w:r w:rsidR="005B2056">
        <w:rPr>
          <w:rFonts w:ascii="Times New Roman" w:hAnsi="Times New Roman"/>
          <w:b w:val="0"/>
          <w:sz w:val="24"/>
          <w:szCs w:val="24"/>
        </w:rPr>
        <w:br w:type="page"/>
      </w:r>
    </w:p>
    <w:p w:rsidR="00797D75" w:rsidRPr="00C73973" w:rsidRDefault="00C7397F" w:rsidP="00797D75">
      <w:pPr>
        <w:pStyle w:val="BodyText2"/>
        <w:tabs>
          <w:tab w:val="left" w:pos="720"/>
        </w:tabs>
        <w:ind w:right="18"/>
        <w:rPr>
          <w:b/>
          <w:u w:val="single"/>
        </w:rPr>
      </w:pPr>
      <w:r>
        <w:rPr>
          <w:noProof/>
          <w:highlight w:val="yellow"/>
        </w:rPr>
        <w:lastRenderedPageBreak/>
        <w:drawing>
          <wp:anchor distT="0" distB="0" distL="114300" distR="114300" simplePos="0" relativeHeight="251975680" behindDoc="0" locked="0" layoutInCell="1" allowOverlap="1">
            <wp:simplePos x="0" y="0"/>
            <wp:positionH relativeFrom="column">
              <wp:posOffset>155050</wp:posOffset>
            </wp:positionH>
            <wp:positionV relativeFrom="paragraph">
              <wp:posOffset>349857</wp:posOffset>
            </wp:positionV>
            <wp:extent cx="4738978" cy="3558540"/>
            <wp:effectExtent l="19050" t="19050" r="24130" b="2286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1291" cy="356027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97D75" w:rsidRPr="00C73973">
        <w:rPr>
          <w:b/>
          <w:u w:val="single"/>
        </w:rPr>
        <w:t>Illustration No. 2:</w:t>
      </w:r>
    </w:p>
    <w:p w:rsidR="00797D75" w:rsidRPr="00C73973" w:rsidRDefault="00797D75" w:rsidP="00797D75">
      <w:pPr>
        <w:pStyle w:val="BodyText2"/>
        <w:tabs>
          <w:tab w:val="left" w:pos="720"/>
        </w:tabs>
        <w:ind w:right="18"/>
        <w:rPr>
          <w:highlight w:val="yellow"/>
        </w:rPr>
      </w:pPr>
    </w:p>
    <w:p w:rsidR="00797D75" w:rsidRPr="00C73973" w:rsidRDefault="00797D75" w:rsidP="00797D75">
      <w:pPr>
        <w:pStyle w:val="BodyText2"/>
        <w:tabs>
          <w:tab w:val="left" w:pos="720"/>
        </w:tabs>
        <w:ind w:right="18"/>
        <w:rPr>
          <w:highlight w:val="yellow"/>
        </w:rPr>
      </w:pPr>
    </w:p>
    <w:p w:rsidR="00797D75" w:rsidRDefault="00797D75" w:rsidP="00797D75">
      <w:pPr>
        <w:pStyle w:val="BodyText2"/>
        <w:tabs>
          <w:tab w:val="left" w:pos="720"/>
        </w:tabs>
        <w:ind w:right="18"/>
        <w:rPr>
          <w:highlight w:val="yellow"/>
        </w:rPr>
      </w:pPr>
    </w:p>
    <w:p w:rsidR="002223E1" w:rsidRPr="00C73973" w:rsidRDefault="002223E1" w:rsidP="00797D75">
      <w:pPr>
        <w:pStyle w:val="BodyText2"/>
        <w:tabs>
          <w:tab w:val="left" w:pos="720"/>
        </w:tabs>
        <w:ind w:right="18"/>
        <w:rPr>
          <w:highlight w:val="yellow"/>
        </w:rPr>
      </w:pPr>
    </w:p>
    <w:p w:rsidR="00797D75" w:rsidRPr="00C73973" w:rsidRDefault="00797D75" w:rsidP="00797D75">
      <w:pPr>
        <w:pStyle w:val="BodyText2"/>
        <w:tabs>
          <w:tab w:val="left" w:pos="720"/>
        </w:tabs>
        <w:ind w:right="18"/>
        <w:rPr>
          <w:highlight w:val="yellow"/>
        </w:rPr>
      </w:pPr>
    </w:p>
    <w:p w:rsidR="00797D75" w:rsidRPr="00C73973" w:rsidRDefault="00797D75" w:rsidP="00797D75">
      <w:pPr>
        <w:pStyle w:val="BodyText2"/>
        <w:tabs>
          <w:tab w:val="left" w:pos="720"/>
        </w:tabs>
        <w:ind w:right="18"/>
        <w:rPr>
          <w:highlight w:val="yellow"/>
        </w:rPr>
      </w:pPr>
    </w:p>
    <w:p w:rsidR="00797D75" w:rsidRDefault="00797D75" w:rsidP="00797D75">
      <w:pPr>
        <w:pStyle w:val="BodyText2"/>
        <w:tabs>
          <w:tab w:val="left" w:pos="720"/>
        </w:tabs>
        <w:ind w:right="18"/>
        <w:rPr>
          <w:highlight w:val="yellow"/>
        </w:rPr>
      </w:pPr>
    </w:p>
    <w:p w:rsidR="00054F28" w:rsidRDefault="00054F28" w:rsidP="00797D75">
      <w:pPr>
        <w:pStyle w:val="BodyText2"/>
        <w:tabs>
          <w:tab w:val="left" w:pos="720"/>
        </w:tabs>
        <w:ind w:right="18"/>
        <w:rPr>
          <w:highlight w:val="yellow"/>
        </w:rPr>
      </w:pPr>
    </w:p>
    <w:p w:rsidR="00797D75" w:rsidRDefault="00797D75" w:rsidP="00797D75">
      <w:pPr>
        <w:pStyle w:val="BodyText2"/>
        <w:tabs>
          <w:tab w:val="left" w:pos="720"/>
        </w:tabs>
        <w:ind w:right="18"/>
        <w:rPr>
          <w:highlight w:val="yellow"/>
        </w:rPr>
      </w:pPr>
    </w:p>
    <w:p w:rsidR="00797D75" w:rsidRPr="00C73973" w:rsidRDefault="00797D75" w:rsidP="00797D75">
      <w:pPr>
        <w:pStyle w:val="BodyText2"/>
        <w:tabs>
          <w:tab w:val="left" w:pos="720"/>
        </w:tabs>
        <w:ind w:right="18"/>
        <w:rPr>
          <w:highlight w:val="yellow"/>
        </w:rPr>
      </w:pPr>
    </w:p>
    <w:p w:rsidR="00797D75" w:rsidRDefault="00797D75" w:rsidP="00797D75">
      <w:pPr>
        <w:pStyle w:val="BodyText2"/>
        <w:tabs>
          <w:tab w:val="left" w:pos="720"/>
        </w:tabs>
        <w:ind w:right="18"/>
        <w:rPr>
          <w:highlight w:val="yellow"/>
        </w:rPr>
      </w:pPr>
    </w:p>
    <w:p w:rsidR="007919AB" w:rsidRDefault="007919AB" w:rsidP="007919AB">
      <w:pPr>
        <w:pStyle w:val="WARateCase"/>
        <w:jc w:val="both"/>
        <w:rPr>
          <w:rFonts w:ascii="Times New Roman" w:hAnsi="Times New Roman"/>
          <w:b w:val="0"/>
          <w:sz w:val="24"/>
          <w:szCs w:val="24"/>
        </w:rPr>
      </w:pPr>
      <w:r>
        <w:rPr>
          <w:rFonts w:ascii="Times New Roman" w:hAnsi="Times New Roman"/>
          <w:b w:val="0"/>
          <w:sz w:val="24"/>
          <w:szCs w:val="24"/>
        </w:rPr>
        <w:t xml:space="preserve">The illustration demonstrates that using the Traditional Pro </w:t>
      </w:r>
      <w:r w:rsidR="004E1542">
        <w:rPr>
          <w:rFonts w:ascii="Times New Roman" w:hAnsi="Times New Roman"/>
          <w:b w:val="0"/>
          <w:sz w:val="24"/>
          <w:szCs w:val="24"/>
        </w:rPr>
        <w:t>Forma Study, approximately $14</w:t>
      </w:r>
      <w:r>
        <w:rPr>
          <w:rFonts w:ascii="Times New Roman" w:hAnsi="Times New Roman"/>
          <w:b w:val="0"/>
          <w:sz w:val="24"/>
          <w:szCs w:val="24"/>
        </w:rPr>
        <w:t xml:space="preserve"> million of net natural gas plant after ADFIT, would not be included in rate base, even though the rate base will be in service serving customers by December 31, 2017; well before new retail rates would take effect May 1, 2018. </w:t>
      </w:r>
    </w:p>
    <w:p w:rsidR="0068214C" w:rsidRDefault="00797D75" w:rsidP="007919AB">
      <w:pPr>
        <w:pStyle w:val="WARateCase"/>
        <w:ind w:firstLine="720"/>
        <w:jc w:val="both"/>
      </w:pPr>
      <w:r w:rsidRPr="00C73973">
        <w:rPr>
          <w:rFonts w:ascii="Times New Roman" w:hAnsi="Times New Roman"/>
          <w:b w:val="0"/>
          <w:sz w:val="24"/>
          <w:szCs w:val="24"/>
        </w:rPr>
        <w:t xml:space="preserve">These illustrations show that the electric and natural gas </w:t>
      </w:r>
      <w:r w:rsidR="007919AB">
        <w:rPr>
          <w:rFonts w:ascii="Times New Roman" w:hAnsi="Times New Roman"/>
          <w:b w:val="0"/>
          <w:sz w:val="24"/>
          <w:szCs w:val="24"/>
        </w:rPr>
        <w:t>rate base</w:t>
      </w:r>
      <w:r w:rsidR="00933551">
        <w:rPr>
          <w:rFonts w:ascii="Times New Roman" w:hAnsi="Times New Roman"/>
          <w:b w:val="0"/>
          <w:sz w:val="24"/>
          <w:szCs w:val="24"/>
        </w:rPr>
        <w:t xml:space="preserve"> adjustments</w:t>
      </w:r>
      <w:r w:rsidR="007919AB">
        <w:rPr>
          <w:rFonts w:ascii="Times New Roman" w:hAnsi="Times New Roman"/>
          <w:b w:val="0"/>
          <w:sz w:val="24"/>
          <w:szCs w:val="24"/>
        </w:rPr>
        <w:t xml:space="preserve"> for the Traditional Pro Forma Study</w:t>
      </w:r>
      <w:r w:rsidRPr="00C73973">
        <w:rPr>
          <w:rFonts w:ascii="Times New Roman" w:hAnsi="Times New Roman"/>
          <w:b w:val="0"/>
          <w:sz w:val="24"/>
          <w:szCs w:val="24"/>
        </w:rPr>
        <w:t xml:space="preserve"> fall well below the level of rate base that will be </w:t>
      </w:r>
      <w:r w:rsidR="007919AB">
        <w:rPr>
          <w:rFonts w:ascii="Times New Roman" w:hAnsi="Times New Roman"/>
          <w:b w:val="0"/>
          <w:sz w:val="24"/>
          <w:szCs w:val="24"/>
        </w:rPr>
        <w:t>in service</w:t>
      </w:r>
      <w:r w:rsidRPr="00C73973">
        <w:rPr>
          <w:rFonts w:ascii="Times New Roman" w:hAnsi="Times New Roman"/>
          <w:b w:val="0"/>
          <w:sz w:val="24"/>
          <w:szCs w:val="24"/>
        </w:rPr>
        <w:t xml:space="preserve"> during the first rate year. </w:t>
      </w:r>
      <w:r w:rsidR="0068214C">
        <w:br w:type="page"/>
      </w:r>
    </w:p>
    <w:p w:rsidR="00260043" w:rsidRPr="00C73973" w:rsidRDefault="00260043" w:rsidP="00194221">
      <w:pPr>
        <w:pStyle w:val="Heading3"/>
        <w:ind w:firstLine="0"/>
        <w:rPr>
          <w:rStyle w:val="PageNumber"/>
          <w:b w:val="0"/>
          <w:u w:val="single"/>
        </w:rPr>
      </w:pPr>
      <w:bookmarkStart w:id="5" w:name="_Toc483209852"/>
      <w:r w:rsidRPr="00C73973">
        <w:rPr>
          <w:rStyle w:val="PageNumber"/>
          <w:u w:val="single"/>
        </w:rPr>
        <w:lastRenderedPageBreak/>
        <w:t>V</w:t>
      </w:r>
      <w:r w:rsidR="00312A1D">
        <w:rPr>
          <w:rStyle w:val="PageNumber"/>
          <w:u w:val="single"/>
        </w:rPr>
        <w:t>I</w:t>
      </w:r>
      <w:r w:rsidR="008A5BA6" w:rsidRPr="00C73973">
        <w:rPr>
          <w:rStyle w:val="PageNumber"/>
          <w:u w:val="single"/>
        </w:rPr>
        <w:t>. RATE YEAR</w:t>
      </w:r>
      <w:r w:rsidR="00C97288" w:rsidRPr="00C73973">
        <w:rPr>
          <w:rStyle w:val="PageNumber"/>
          <w:u w:val="single"/>
        </w:rPr>
        <w:t xml:space="preserve"> STUDIES</w:t>
      </w:r>
      <w:bookmarkEnd w:id="5"/>
    </w:p>
    <w:p w:rsidR="00C97288" w:rsidRPr="00C73973" w:rsidRDefault="00C97288" w:rsidP="00595427">
      <w:pPr>
        <w:pStyle w:val="BodyText2"/>
        <w:tabs>
          <w:tab w:val="left" w:pos="1440"/>
        </w:tabs>
        <w:ind w:firstLine="720"/>
        <w:rPr>
          <w:b/>
          <w:bCs/>
        </w:rPr>
      </w:pPr>
      <w:r w:rsidRPr="00C73973">
        <w:rPr>
          <w:rStyle w:val="LineNumber"/>
          <w:b/>
        </w:rPr>
        <w:t>Q.</w:t>
      </w:r>
      <w:r w:rsidRPr="00C73973">
        <w:rPr>
          <w:rStyle w:val="LineNumber"/>
          <w:b/>
        </w:rPr>
        <w:tab/>
        <w:t>How were the</w:t>
      </w:r>
      <w:r w:rsidRPr="00C73973">
        <w:rPr>
          <w:b/>
          <w:bCs/>
        </w:rPr>
        <w:t xml:space="preserve"> capital additions developed for </w:t>
      </w:r>
      <w:r w:rsidRPr="00C73973">
        <w:rPr>
          <w:b/>
        </w:rPr>
        <w:t xml:space="preserve">the </w:t>
      </w:r>
      <w:r w:rsidR="00E222C1" w:rsidRPr="00C73973">
        <w:rPr>
          <w:b/>
        </w:rPr>
        <w:t>Rate Year</w:t>
      </w:r>
      <w:r w:rsidRPr="00C73973">
        <w:rPr>
          <w:b/>
        </w:rPr>
        <w:t xml:space="preserve"> Studies</w:t>
      </w:r>
      <w:r w:rsidRPr="00C73973">
        <w:rPr>
          <w:b/>
          <w:bCs/>
        </w:rPr>
        <w:t>?</w:t>
      </w:r>
    </w:p>
    <w:p w:rsidR="0055617B" w:rsidRPr="00C73973" w:rsidRDefault="00C97288" w:rsidP="0055617B">
      <w:pPr>
        <w:pStyle w:val="BodyText2"/>
        <w:tabs>
          <w:tab w:val="left" w:pos="1440"/>
        </w:tabs>
        <w:ind w:firstLine="720"/>
      </w:pPr>
      <w:r w:rsidRPr="00C73973">
        <w:rPr>
          <w:bCs/>
        </w:rPr>
        <w:t>A.</w:t>
      </w:r>
      <w:r w:rsidR="0055617B" w:rsidRPr="00C73973">
        <w:rPr>
          <w:bCs/>
        </w:rPr>
        <w:tab/>
      </w:r>
      <w:r w:rsidR="003036B1" w:rsidRPr="00C73973">
        <w:t>The Rate Year</w:t>
      </w:r>
      <w:r w:rsidR="0055617B" w:rsidRPr="00C73973">
        <w:t xml:space="preserve"> Studies include</w:t>
      </w:r>
      <w:r w:rsidR="007919AB">
        <w:t xml:space="preserve"> all</w:t>
      </w:r>
      <w:r w:rsidR="0055617B" w:rsidRPr="00C73973">
        <w:t xml:space="preserve"> capital additions for the </w:t>
      </w:r>
      <w:r w:rsidR="00D1228B" w:rsidRPr="00C73973">
        <w:t>T</w:t>
      </w:r>
      <w:r w:rsidR="008B2FDD" w:rsidRPr="00C73973">
        <w:t>hree-</w:t>
      </w:r>
      <w:r w:rsidR="00D1228B" w:rsidRPr="00C73973">
        <w:t>Year Rate Plan</w:t>
      </w:r>
      <w:r w:rsidR="008B2FDD" w:rsidRPr="00C73973">
        <w:t xml:space="preserve"> for the periods</w:t>
      </w:r>
      <w:r w:rsidR="008E7505" w:rsidRPr="00C73973">
        <w:t xml:space="preserve">, May 1, 2018 –April 30, 2019 – </w:t>
      </w:r>
      <w:r w:rsidR="008E7505" w:rsidRPr="00C73973">
        <w:rPr>
          <w:i/>
        </w:rPr>
        <w:t>Rate Year 1</w:t>
      </w:r>
      <w:r w:rsidR="00F306AA">
        <w:t>;</w:t>
      </w:r>
      <w:r w:rsidR="008E7505" w:rsidRPr="00C73973">
        <w:t xml:space="preserve"> May 1, 2019 – April 30, 2020 – </w:t>
      </w:r>
      <w:r w:rsidR="008E7505" w:rsidRPr="00C73973">
        <w:rPr>
          <w:i/>
        </w:rPr>
        <w:t>Rate Year 2</w:t>
      </w:r>
      <w:r w:rsidR="00F306AA">
        <w:t>;</w:t>
      </w:r>
      <w:r w:rsidR="008E7505" w:rsidRPr="00C73973">
        <w:t xml:space="preserve"> and May 1, 2020 – April 30, 2021 – </w:t>
      </w:r>
      <w:r w:rsidR="008E7505" w:rsidRPr="00C73973">
        <w:rPr>
          <w:i/>
        </w:rPr>
        <w:t xml:space="preserve">Rate Year 3, </w:t>
      </w:r>
      <w:r w:rsidR="0055617B" w:rsidRPr="00C73973">
        <w:t>together with the associated AD and ADFIT. This includes associated depreciation expense for the capital additions.</w:t>
      </w:r>
      <w:r w:rsidR="00305825">
        <w:t xml:space="preserve"> T</w:t>
      </w:r>
      <w:r w:rsidR="00106466" w:rsidRPr="00C73973">
        <w:t xml:space="preserve">he plant-in-service </w:t>
      </w:r>
      <w:r w:rsidR="0055617B" w:rsidRPr="00C73973">
        <w:t>was</w:t>
      </w:r>
      <w:r w:rsidR="008B2FDD" w:rsidRPr="00C73973">
        <w:t xml:space="preserve"> adjusted each </w:t>
      </w:r>
      <w:r w:rsidR="008E7505" w:rsidRPr="00C73973">
        <w:t xml:space="preserve">rate </w:t>
      </w:r>
      <w:r w:rsidR="00E222C1" w:rsidRPr="00C73973">
        <w:t>year</w:t>
      </w:r>
      <w:r w:rsidR="000B63E1">
        <w:t xml:space="preserve"> in the Three-Year Rate P</w:t>
      </w:r>
      <w:r w:rsidR="008B2FDD" w:rsidRPr="00C73973">
        <w:t>lan</w:t>
      </w:r>
      <w:r w:rsidR="00305825">
        <w:t xml:space="preserve"> to reflect rate base</w:t>
      </w:r>
      <w:r w:rsidR="008B2FDD" w:rsidRPr="00C73973">
        <w:t xml:space="preserve"> on an</w:t>
      </w:r>
      <w:r w:rsidR="0055617B" w:rsidRPr="00C73973">
        <w:t xml:space="preserve"> AMA basis. </w:t>
      </w:r>
      <w:r w:rsidR="00305825">
        <w:t xml:space="preserve">These rate base adjustments are summarized in Tables 2 and 3 above. </w:t>
      </w:r>
    </w:p>
    <w:p w:rsidR="00EA2B4C" w:rsidRPr="00C73973" w:rsidRDefault="00305825" w:rsidP="00EA2B4C">
      <w:pPr>
        <w:pStyle w:val="BodyText2"/>
        <w:tabs>
          <w:tab w:val="left" w:pos="720"/>
        </w:tabs>
        <w:ind w:firstLine="720"/>
        <w:rPr>
          <w:b/>
        </w:rPr>
      </w:pPr>
      <w:r>
        <w:rPr>
          <w:b/>
        </w:rPr>
        <w:t>Q.</w:t>
      </w:r>
      <w:r>
        <w:rPr>
          <w:b/>
        </w:rPr>
        <w:tab/>
        <w:t xml:space="preserve">How do </w:t>
      </w:r>
      <w:r w:rsidR="00EA2B4C" w:rsidRPr="00C73973">
        <w:rPr>
          <w:b/>
        </w:rPr>
        <w:t xml:space="preserve">the results of </w:t>
      </w:r>
      <w:r w:rsidR="00EA2B4C">
        <w:rPr>
          <w:b/>
        </w:rPr>
        <w:t>Rate Year</w:t>
      </w:r>
      <w:r>
        <w:rPr>
          <w:b/>
        </w:rPr>
        <w:t xml:space="preserve"> </w:t>
      </w:r>
      <w:r w:rsidR="00225641">
        <w:rPr>
          <w:b/>
        </w:rPr>
        <w:t>Studies</w:t>
      </w:r>
      <w:r>
        <w:rPr>
          <w:b/>
        </w:rPr>
        <w:t xml:space="preserve"> compare with those of the Traditional Pro Forma Studies</w:t>
      </w:r>
      <w:r w:rsidR="00EA2B4C" w:rsidRPr="00C73973">
        <w:rPr>
          <w:b/>
        </w:rPr>
        <w:t xml:space="preserve">? </w:t>
      </w:r>
    </w:p>
    <w:p w:rsidR="009A06E6" w:rsidRDefault="00EA2B4C" w:rsidP="009A06E6">
      <w:pPr>
        <w:pStyle w:val="BodyText2"/>
        <w:tabs>
          <w:tab w:val="left" w:pos="720"/>
        </w:tabs>
        <w:ind w:firstLine="720"/>
        <w:rPr>
          <w:b/>
          <w:u w:val="single"/>
        </w:rPr>
      </w:pPr>
      <w:r w:rsidRPr="00C73973">
        <w:t>A.</w:t>
      </w:r>
      <w:r w:rsidRPr="00C73973">
        <w:tab/>
      </w:r>
      <w:r w:rsidR="009A06E6">
        <w:t xml:space="preserve">Illustration No. 3 below provides a comparison of the </w:t>
      </w:r>
      <w:r w:rsidR="009A06E6" w:rsidRPr="00C73973">
        <w:t xml:space="preserve">electric </w:t>
      </w:r>
      <w:r w:rsidR="009A06E6">
        <w:t xml:space="preserve">rate base for </w:t>
      </w:r>
      <w:r w:rsidR="009A06E6" w:rsidRPr="00C73973">
        <w:t xml:space="preserve">the electric </w:t>
      </w:r>
      <w:r w:rsidR="009A06E6">
        <w:t xml:space="preserve">Traditional </w:t>
      </w:r>
      <w:r w:rsidR="009A06E6" w:rsidRPr="00C73973">
        <w:t>Pro Forma Study</w:t>
      </w:r>
      <w:r w:rsidR="009A06E6">
        <w:t xml:space="preserve"> and the Rate Year</w:t>
      </w:r>
      <w:r w:rsidR="009A06E6" w:rsidRPr="00C73973">
        <w:t xml:space="preserve"> Study</w:t>
      </w:r>
      <w:r w:rsidR="00DD7176">
        <w:t xml:space="preserve">, for the first rate year beginning May 1, 2018. </w:t>
      </w:r>
      <w:r w:rsidR="009A06E6">
        <w:rPr>
          <w:b/>
          <w:u w:val="single"/>
        </w:rPr>
        <w:br w:type="page"/>
      </w:r>
    </w:p>
    <w:p w:rsidR="00D6626B" w:rsidRPr="00C73973" w:rsidRDefault="00DD7176" w:rsidP="00EA2B4C">
      <w:pPr>
        <w:pStyle w:val="BodyText2"/>
        <w:tabs>
          <w:tab w:val="left" w:pos="720"/>
        </w:tabs>
        <w:ind w:right="18"/>
        <w:rPr>
          <w:b/>
          <w:u w:val="single"/>
        </w:rPr>
      </w:pPr>
      <w:r>
        <w:rPr>
          <w:b/>
          <w:noProof/>
          <w:highlight w:val="yellow"/>
        </w:rPr>
        <w:lastRenderedPageBreak/>
        <w:drawing>
          <wp:anchor distT="0" distB="0" distL="114300" distR="114300" simplePos="0" relativeHeight="251976704" behindDoc="0" locked="0" layoutInCell="1" allowOverlap="1">
            <wp:simplePos x="0" y="0"/>
            <wp:positionH relativeFrom="column">
              <wp:posOffset>139147</wp:posOffset>
            </wp:positionH>
            <wp:positionV relativeFrom="paragraph">
              <wp:posOffset>294226</wp:posOffset>
            </wp:positionV>
            <wp:extent cx="5181600" cy="3467100"/>
            <wp:effectExtent l="19050" t="19050" r="19050" b="1905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3467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A2B4C">
        <w:rPr>
          <w:b/>
          <w:u w:val="single"/>
        </w:rPr>
        <w:t>I</w:t>
      </w:r>
      <w:r w:rsidR="00EA2B4C" w:rsidRPr="00C73973">
        <w:rPr>
          <w:b/>
          <w:u w:val="single"/>
        </w:rPr>
        <w:t xml:space="preserve">llustration No. </w:t>
      </w:r>
      <w:r w:rsidR="00EA2B4C">
        <w:rPr>
          <w:b/>
          <w:u w:val="single"/>
        </w:rPr>
        <w:t>3</w:t>
      </w:r>
      <w:r w:rsidR="00EA2B4C" w:rsidRPr="00C73973">
        <w:rPr>
          <w:b/>
          <w:u w:val="single"/>
        </w:rPr>
        <w:t>:</w:t>
      </w:r>
    </w:p>
    <w:p w:rsidR="00B166BE" w:rsidRPr="00C73973" w:rsidRDefault="00B166BE" w:rsidP="00876AF3">
      <w:pPr>
        <w:pStyle w:val="BodyText2"/>
        <w:tabs>
          <w:tab w:val="left" w:pos="1440"/>
        </w:tabs>
        <w:ind w:firstLine="720"/>
        <w:rPr>
          <w:b/>
          <w:highlight w:val="yellow"/>
        </w:rPr>
      </w:pPr>
    </w:p>
    <w:p w:rsidR="00B166BE" w:rsidRPr="00C73973" w:rsidRDefault="00B166BE" w:rsidP="00876AF3">
      <w:pPr>
        <w:pStyle w:val="BodyText2"/>
        <w:tabs>
          <w:tab w:val="left" w:pos="1440"/>
        </w:tabs>
        <w:ind w:firstLine="720"/>
        <w:rPr>
          <w:b/>
          <w:highlight w:val="yellow"/>
        </w:rPr>
      </w:pPr>
    </w:p>
    <w:p w:rsidR="00E8253D" w:rsidRPr="00C73973" w:rsidRDefault="00E8253D" w:rsidP="00876AF3">
      <w:pPr>
        <w:pStyle w:val="BodyText2"/>
        <w:tabs>
          <w:tab w:val="left" w:pos="1440"/>
        </w:tabs>
        <w:ind w:firstLine="720"/>
        <w:rPr>
          <w:b/>
        </w:rPr>
      </w:pPr>
    </w:p>
    <w:p w:rsidR="00950DAA" w:rsidRPr="00C73973" w:rsidRDefault="00950DAA" w:rsidP="003B05BC">
      <w:pPr>
        <w:spacing w:line="480" w:lineRule="auto"/>
        <w:ind w:firstLine="720"/>
        <w:jc w:val="both"/>
        <w:rPr>
          <w:b/>
        </w:rPr>
      </w:pPr>
    </w:p>
    <w:p w:rsidR="00D9651A" w:rsidRPr="00C73973" w:rsidRDefault="00D9651A" w:rsidP="003B05BC">
      <w:pPr>
        <w:spacing w:line="480" w:lineRule="auto"/>
        <w:ind w:firstLine="720"/>
        <w:jc w:val="both"/>
        <w:rPr>
          <w:b/>
        </w:rPr>
      </w:pPr>
    </w:p>
    <w:p w:rsidR="00D9651A" w:rsidRPr="00C73973" w:rsidRDefault="00D9651A" w:rsidP="003B05BC">
      <w:pPr>
        <w:spacing w:line="480" w:lineRule="auto"/>
        <w:ind w:firstLine="720"/>
        <w:jc w:val="both"/>
        <w:rPr>
          <w:b/>
        </w:rPr>
      </w:pPr>
    </w:p>
    <w:p w:rsidR="00D9651A" w:rsidRPr="00C73973" w:rsidRDefault="00D9651A" w:rsidP="003B05BC">
      <w:pPr>
        <w:spacing w:line="480" w:lineRule="auto"/>
        <w:ind w:firstLine="720"/>
        <w:jc w:val="both"/>
        <w:rPr>
          <w:b/>
        </w:rPr>
      </w:pPr>
    </w:p>
    <w:p w:rsidR="00D9651A" w:rsidRPr="00C73973" w:rsidRDefault="00D9651A" w:rsidP="003B05BC">
      <w:pPr>
        <w:spacing w:line="480" w:lineRule="auto"/>
        <w:ind w:firstLine="720"/>
        <w:jc w:val="both"/>
        <w:rPr>
          <w:b/>
        </w:rPr>
      </w:pPr>
    </w:p>
    <w:p w:rsidR="00D9651A" w:rsidRPr="00C73973" w:rsidRDefault="00D9651A" w:rsidP="003B05BC">
      <w:pPr>
        <w:spacing w:line="480" w:lineRule="auto"/>
        <w:ind w:firstLine="720"/>
        <w:jc w:val="both"/>
        <w:rPr>
          <w:b/>
        </w:rPr>
      </w:pPr>
    </w:p>
    <w:p w:rsidR="008E7505" w:rsidRPr="00C73973" w:rsidRDefault="008E7505" w:rsidP="003B05BC">
      <w:pPr>
        <w:pStyle w:val="BodyText2"/>
        <w:tabs>
          <w:tab w:val="left" w:pos="1440"/>
        </w:tabs>
        <w:ind w:firstLine="720"/>
      </w:pPr>
    </w:p>
    <w:p w:rsidR="007C4647" w:rsidRDefault="007C4647" w:rsidP="007C4647">
      <w:pPr>
        <w:pStyle w:val="WARateCase"/>
        <w:jc w:val="both"/>
        <w:rPr>
          <w:rFonts w:ascii="Times New Roman" w:hAnsi="Times New Roman"/>
          <w:b w:val="0"/>
          <w:sz w:val="24"/>
          <w:szCs w:val="24"/>
        </w:rPr>
      </w:pPr>
    </w:p>
    <w:p w:rsidR="009A06E6" w:rsidRDefault="009A06E6" w:rsidP="009A06E6">
      <w:pPr>
        <w:pStyle w:val="WARateCase"/>
        <w:jc w:val="both"/>
        <w:rPr>
          <w:rFonts w:ascii="Times New Roman" w:hAnsi="Times New Roman"/>
          <w:b w:val="0"/>
          <w:sz w:val="24"/>
          <w:szCs w:val="24"/>
        </w:rPr>
      </w:pPr>
      <w:r>
        <w:rPr>
          <w:rFonts w:ascii="Times New Roman" w:hAnsi="Times New Roman"/>
          <w:b w:val="0"/>
          <w:sz w:val="24"/>
          <w:szCs w:val="24"/>
        </w:rPr>
        <w:t xml:space="preserve">The illustration demonstrates that using the Traditional Pro Forma Study, approximately $128 million of net electric plant after ADFIT, would </w:t>
      </w:r>
      <w:r w:rsidR="00DD7176">
        <w:rPr>
          <w:rFonts w:ascii="Times New Roman" w:hAnsi="Times New Roman"/>
          <w:b w:val="0"/>
          <w:sz w:val="24"/>
          <w:szCs w:val="24"/>
        </w:rPr>
        <w:t xml:space="preserve">be in service serving customers during the first rate year beginning May 1, 2018, would not be reflected in retail rates. </w:t>
      </w:r>
    </w:p>
    <w:p w:rsidR="00F25AB1" w:rsidRDefault="007C4647" w:rsidP="0086145C">
      <w:pPr>
        <w:pStyle w:val="WARateCase"/>
        <w:ind w:firstLine="720"/>
        <w:jc w:val="both"/>
        <w:rPr>
          <w:b w:val="0"/>
          <w:u w:val="single"/>
        </w:rPr>
      </w:pPr>
      <w:r>
        <w:rPr>
          <w:rFonts w:ascii="Times New Roman" w:hAnsi="Times New Roman"/>
          <w:b w:val="0"/>
          <w:sz w:val="24"/>
          <w:szCs w:val="24"/>
        </w:rPr>
        <w:t xml:space="preserve">Illustration No. 4 </w:t>
      </w:r>
      <w:r w:rsidR="000B63E1" w:rsidRPr="00C73973">
        <w:rPr>
          <w:rFonts w:ascii="Times New Roman" w:hAnsi="Times New Roman"/>
          <w:b w:val="0"/>
          <w:sz w:val="24"/>
          <w:szCs w:val="24"/>
        </w:rPr>
        <w:t xml:space="preserve">shows a similar comparison for natural gas </w:t>
      </w:r>
      <w:r w:rsidR="009A06E6">
        <w:rPr>
          <w:rFonts w:ascii="Times New Roman" w:hAnsi="Times New Roman"/>
          <w:b w:val="0"/>
          <w:sz w:val="24"/>
          <w:szCs w:val="24"/>
        </w:rPr>
        <w:t>rate base</w:t>
      </w:r>
      <w:r w:rsidR="000B63E1" w:rsidRPr="00C73973">
        <w:rPr>
          <w:rFonts w:ascii="Times New Roman" w:hAnsi="Times New Roman"/>
          <w:b w:val="0"/>
          <w:sz w:val="24"/>
          <w:szCs w:val="24"/>
        </w:rPr>
        <w:t xml:space="preserve">: </w:t>
      </w:r>
      <w:r w:rsidR="00F25AB1">
        <w:rPr>
          <w:b w:val="0"/>
          <w:u w:val="single"/>
        </w:rPr>
        <w:br w:type="page"/>
      </w:r>
    </w:p>
    <w:p w:rsidR="00EA2B4C" w:rsidRPr="00C73973" w:rsidRDefault="00DD0F60" w:rsidP="00EA2B4C">
      <w:pPr>
        <w:pStyle w:val="BodyText2"/>
        <w:tabs>
          <w:tab w:val="left" w:pos="720"/>
        </w:tabs>
        <w:ind w:right="18"/>
        <w:rPr>
          <w:b/>
          <w:u w:val="single"/>
        </w:rPr>
      </w:pPr>
      <w:r>
        <w:rPr>
          <w:b/>
          <w:noProof/>
          <w:highlight w:val="yellow"/>
        </w:rPr>
        <w:lastRenderedPageBreak/>
        <w:drawing>
          <wp:anchor distT="0" distB="0" distL="114300" distR="114300" simplePos="0" relativeHeight="251977728" behindDoc="0" locked="0" layoutInCell="1" allowOverlap="1">
            <wp:simplePos x="0" y="0"/>
            <wp:positionH relativeFrom="column">
              <wp:posOffset>59635</wp:posOffset>
            </wp:positionH>
            <wp:positionV relativeFrom="paragraph">
              <wp:posOffset>318052</wp:posOffset>
            </wp:positionV>
            <wp:extent cx="4802588" cy="3481876"/>
            <wp:effectExtent l="19050" t="19050" r="17145" b="2349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8679" cy="3486292"/>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sidR="00F25AB1">
        <w:rPr>
          <w:b/>
          <w:u w:val="single"/>
        </w:rPr>
        <w:t>I</w:t>
      </w:r>
      <w:r w:rsidR="00EA2B4C" w:rsidRPr="00C73973">
        <w:rPr>
          <w:b/>
          <w:u w:val="single"/>
        </w:rPr>
        <w:t xml:space="preserve">llustration No. </w:t>
      </w:r>
      <w:r w:rsidR="000B63E1">
        <w:rPr>
          <w:b/>
          <w:u w:val="single"/>
        </w:rPr>
        <w:t>4</w:t>
      </w:r>
      <w:r w:rsidR="00EA2B4C" w:rsidRPr="00C73973">
        <w:rPr>
          <w:b/>
          <w:u w:val="single"/>
        </w:rPr>
        <w:t>:</w:t>
      </w:r>
    </w:p>
    <w:p w:rsidR="008E7505" w:rsidRPr="00C73973" w:rsidRDefault="008E7505" w:rsidP="00876AF3">
      <w:pPr>
        <w:pStyle w:val="BodyText2"/>
        <w:tabs>
          <w:tab w:val="left" w:pos="720"/>
        </w:tabs>
        <w:jc w:val="left"/>
        <w:rPr>
          <w:b/>
          <w:highlight w:val="yellow"/>
        </w:rPr>
      </w:pPr>
    </w:p>
    <w:p w:rsidR="008E7505" w:rsidRPr="00C73973" w:rsidRDefault="008E7505" w:rsidP="00876AF3">
      <w:pPr>
        <w:pStyle w:val="BodyText2"/>
        <w:tabs>
          <w:tab w:val="left" w:pos="720"/>
        </w:tabs>
        <w:jc w:val="left"/>
        <w:rPr>
          <w:b/>
          <w:highlight w:val="yellow"/>
        </w:rPr>
      </w:pPr>
    </w:p>
    <w:p w:rsidR="008E7505" w:rsidRPr="00C73973" w:rsidRDefault="008E7505" w:rsidP="00876AF3">
      <w:pPr>
        <w:pStyle w:val="BodyText2"/>
        <w:tabs>
          <w:tab w:val="left" w:pos="720"/>
        </w:tabs>
        <w:jc w:val="left"/>
        <w:rPr>
          <w:b/>
          <w:highlight w:val="yellow"/>
        </w:rPr>
      </w:pPr>
    </w:p>
    <w:p w:rsidR="008E7505" w:rsidRDefault="008E7505" w:rsidP="00876AF3">
      <w:pPr>
        <w:pStyle w:val="BodyText2"/>
        <w:tabs>
          <w:tab w:val="left" w:pos="720"/>
        </w:tabs>
        <w:jc w:val="left"/>
        <w:rPr>
          <w:b/>
          <w:highlight w:val="yellow"/>
        </w:rPr>
      </w:pPr>
    </w:p>
    <w:p w:rsidR="009A06E6" w:rsidRPr="00C73973" w:rsidRDefault="009A06E6" w:rsidP="00876AF3">
      <w:pPr>
        <w:pStyle w:val="BodyText2"/>
        <w:tabs>
          <w:tab w:val="left" w:pos="720"/>
        </w:tabs>
        <w:jc w:val="left"/>
        <w:rPr>
          <w:b/>
          <w:highlight w:val="yellow"/>
        </w:rPr>
      </w:pPr>
    </w:p>
    <w:p w:rsidR="008E7505" w:rsidRPr="00C73973" w:rsidRDefault="008E7505" w:rsidP="00876AF3">
      <w:pPr>
        <w:pStyle w:val="BodyText2"/>
        <w:tabs>
          <w:tab w:val="left" w:pos="720"/>
        </w:tabs>
        <w:jc w:val="left"/>
        <w:rPr>
          <w:b/>
          <w:highlight w:val="yellow"/>
        </w:rPr>
      </w:pPr>
    </w:p>
    <w:p w:rsidR="003B05BC" w:rsidRDefault="003B05BC" w:rsidP="00876AF3">
      <w:pPr>
        <w:pStyle w:val="BodyText2"/>
        <w:tabs>
          <w:tab w:val="left" w:pos="720"/>
        </w:tabs>
        <w:jc w:val="left"/>
        <w:rPr>
          <w:b/>
          <w:highlight w:val="yellow"/>
        </w:rPr>
      </w:pPr>
    </w:p>
    <w:p w:rsidR="00816846" w:rsidRDefault="00816846" w:rsidP="00876AF3">
      <w:pPr>
        <w:pStyle w:val="BodyText2"/>
        <w:tabs>
          <w:tab w:val="left" w:pos="720"/>
        </w:tabs>
        <w:jc w:val="left"/>
        <w:rPr>
          <w:b/>
          <w:highlight w:val="yellow"/>
        </w:rPr>
      </w:pPr>
    </w:p>
    <w:p w:rsidR="003B05BC" w:rsidRDefault="003B05BC" w:rsidP="00876AF3">
      <w:pPr>
        <w:pStyle w:val="BodyText2"/>
        <w:tabs>
          <w:tab w:val="left" w:pos="720"/>
        </w:tabs>
        <w:jc w:val="left"/>
        <w:rPr>
          <w:b/>
          <w:highlight w:val="yellow"/>
        </w:rPr>
      </w:pPr>
    </w:p>
    <w:p w:rsidR="00D6626B" w:rsidRPr="00C73973" w:rsidRDefault="00D6626B" w:rsidP="00876AF3">
      <w:pPr>
        <w:pStyle w:val="BodyText2"/>
        <w:tabs>
          <w:tab w:val="left" w:pos="720"/>
        </w:tabs>
        <w:jc w:val="left"/>
        <w:rPr>
          <w:b/>
          <w:highlight w:val="yellow"/>
        </w:rPr>
      </w:pPr>
    </w:p>
    <w:p w:rsidR="00876AF3" w:rsidRPr="00C73973" w:rsidRDefault="00876AF3" w:rsidP="00876AF3">
      <w:pPr>
        <w:pStyle w:val="BodyText2"/>
        <w:tabs>
          <w:tab w:val="left" w:pos="720"/>
        </w:tabs>
        <w:jc w:val="left"/>
        <w:rPr>
          <w:b/>
          <w:highlight w:val="yellow"/>
        </w:rPr>
      </w:pPr>
    </w:p>
    <w:p w:rsidR="00DD0F60" w:rsidRDefault="009A06E6" w:rsidP="00194221">
      <w:pPr>
        <w:pStyle w:val="WARateCase"/>
        <w:jc w:val="both"/>
        <w:rPr>
          <w:rFonts w:ascii="Times New Roman" w:hAnsi="Times New Roman"/>
          <w:b w:val="0"/>
          <w:sz w:val="24"/>
          <w:szCs w:val="24"/>
        </w:rPr>
      </w:pPr>
      <w:r>
        <w:rPr>
          <w:rFonts w:ascii="Times New Roman" w:hAnsi="Times New Roman"/>
          <w:b w:val="0"/>
          <w:sz w:val="24"/>
          <w:szCs w:val="24"/>
        </w:rPr>
        <w:t xml:space="preserve">The illustration demonstrates that using the Traditional Pro </w:t>
      </w:r>
      <w:r w:rsidR="004E1542">
        <w:rPr>
          <w:rFonts w:ascii="Times New Roman" w:hAnsi="Times New Roman"/>
          <w:b w:val="0"/>
          <w:sz w:val="24"/>
          <w:szCs w:val="24"/>
        </w:rPr>
        <w:t>Forma Study, approximately $19</w:t>
      </w:r>
      <w:r>
        <w:rPr>
          <w:rFonts w:ascii="Times New Roman" w:hAnsi="Times New Roman"/>
          <w:b w:val="0"/>
          <w:sz w:val="24"/>
          <w:szCs w:val="24"/>
        </w:rPr>
        <w:t xml:space="preserve"> million of net natural gas plant after ADFIT, </w:t>
      </w:r>
      <w:r w:rsidR="00DD0F60">
        <w:rPr>
          <w:rFonts w:ascii="Times New Roman" w:hAnsi="Times New Roman"/>
          <w:b w:val="0"/>
          <w:sz w:val="24"/>
          <w:szCs w:val="24"/>
        </w:rPr>
        <w:t xml:space="preserve">that would be in service serving customers during the first rate year beginning May 1, 2018, would not be reflected in retail rates. </w:t>
      </w:r>
    </w:p>
    <w:p w:rsidR="009A06E6" w:rsidRDefault="009A06E6" w:rsidP="00DD0F60">
      <w:pPr>
        <w:pStyle w:val="WARateCase"/>
        <w:ind w:firstLine="720"/>
        <w:jc w:val="both"/>
        <w:rPr>
          <w:rFonts w:ascii="Times New Roman" w:hAnsi="Times New Roman"/>
          <w:b w:val="0"/>
          <w:sz w:val="24"/>
          <w:szCs w:val="24"/>
        </w:rPr>
      </w:pPr>
      <w:r w:rsidRPr="00C73973">
        <w:rPr>
          <w:rFonts w:ascii="Times New Roman" w:hAnsi="Times New Roman"/>
          <w:b w:val="0"/>
          <w:sz w:val="24"/>
          <w:szCs w:val="24"/>
        </w:rPr>
        <w:t xml:space="preserve">These illustrations show that the electric and natural gas </w:t>
      </w:r>
      <w:r>
        <w:rPr>
          <w:rFonts w:ascii="Times New Roman" w:hAnsi="Times New Roman"/>
          <w:b w:val="0"/>
          <w:sz w:val="24"/>
          <w:szCs w:val="24"/>
        </w:rPr>
        <w:t>rate base adjustments for the Traditional Pro Forma Study</w:t>
      </w:r>
      <w:r w:rsidRPr="00C73973">
        <w:rPr>
          <w:rFonts w:ascii="Times New Roman" w:hAnsi="Times New Roman"/>
          <w:b w:val="0"/>
          <w:sz w:val="24"/>
          <w:szCs w:val="24"/>
        </w:rPr>
        <w:t xml:space="preserve"> fall well below the level of rate base that will be </w:t>
      </w:r>
      <w:r>
        <w:rPr>
          <w:rFonts w:ascii="Times New Roman" w:hAnsi="Times New Roman"/>
          <w:b w:val="0"/>
          <w:sz w:val="24"/>
          <w:szCs w:val="24"/>
        </w:rPr>
        <w:t>in service</w:t>
      </w:r>
      <w:r w:rsidRPr="00C73973">
        <w:rPr>
          <w:rFonts w:ascii="Times New Roman" w:hAnsi="Times New Roman"/>
          <w:b w:val="0"/>
          <w:sz w:val="24"/>
          <w:szCs w:val="24"/>
        </w:rPr>
        <w:t xml:space="preserve"> during the first rate year.</w:t>
      </w:r>
    </w:p>
    <w:p w:rsidR="00664E65" w:rsidRPr="00DC52F3" w:rsidRDefault="00987091" w:rsidP="00F35D1D">
      <w:pPr>
        <w:pStyle w:val="BodyText2"/>
        <w:tabs>
          <w:tab w:val="left" w:pos="1440"/>
        </w:tabs>
        <w:ind w:firstLine="720"/>
        <w:rPr>
          <w:b/>
        </w:rPr>
      </w:pPr>
      <w:r w:rsidRPr="00DC52F3">
        <w:rPr>
          <w:b/>
        </w:rPr>
        <w:t>Q.</w:t>
      </w:r>
      <w:r w:rsidRPr="00DC52F3">
        <w:rPr>
          <w:b/>
        </w:rPr>
        <w:tab/>
        <w:t xml:space="preserve">Please summarize the level of electric and natural gas </w:t>
      </w:r>
      <w:r w:rsidR="009A06E6">
        <w:rPr>
          <w:b/>
        </w:rPr>
        <w:t>rate base</w:t>
      </w:r>
      <w:r w:rsidRPr="00DC52F3">
        <w:rPr>
          <w:b/>
        </w:rPr>
        <w:t xml:space="preserve"> under the </w:t>
      </w:r>
      <w:r w:rsidR="008570EA">
        <w:rPr>
          <w:b/>
        </w:rPr>
        <w:t xml:space="preserve">Traditional </w:t>
      </w:r>
      <w:r w:rsidRPr="00DC52F3">
        <w:rPr>
          <w:b/>
        </w:rPr>
        <w:t xml:space="preserve">Pro Forma Studies, </w:t>
      </w:r>
      <w:r w:rsidR="008570EA">
        <w:rPr>
          <w:b/>
        </w:rPr>
        <w:t xml:space="preserve">the </w:t>
      </w:r>
      <w:r w:rsidRPr="00DC52F3">
        <w:rPr>
          <w:b/>
        </w:rPr>
        <w:t xml:space="preserve">EOP </w:t>
      </w:r>
      <w:r w:rsidR="008570EA">
        <w:rPr>
          <w:b/>
        </w:rPr>
        <w:t xml:space="preserve">Rate Base </w:t>
      </w:r>
      <w:r w:rsidRPr="00DC52F3">
        <w:rPr>
          <w:b/>
        </w:rPr>
        <w:t>Studies and</w:t>
      </w:r>
      <w:r w:rsidR="008570EA">
        <w:rPr>
          <w:b/>
        </w:rPr>
        <w:t xml:space="preserve"> the</w:t>
      </w:r>
      <w:r w:rsidRPr="00DC52F3">
        <w:rPr>
          <w:b/>
        </w:rPr>
        <w:t xml:space="preserve"> Rate Year Studies. </w:t>
      </w:r>
    </w:p>
    <w:p w:rsidR="0068214C" w:rsidRDefault="00987091" w:rsidP="00CC00B7">
      <w:pPr>
        <w:pStyle w:val="BodyText2"/>
        <w:tabs>
          <w:tab w:val="left" w:pos="1440"/>
        </w:tabs>
        <w:ind w:firstLine="720"/>
      </w:pPr>
      <w:r>
        <w:t>A.</w:t>
      </w:r>
      <w:r>
        <w:tab/>
        <w:t xml:space="preserve">Illustration No. 5 below </w:t>
      </w:r>
      <w:r w:rsidR="00DD0F60">
        <w:t xml:space="preserve">provides a comparison of the level of electric rate base reflected in each of the three studies for the first rate year beginning May 1, 2018. </w:t>
      </w:r>
      <w:r w:rsidR="0068214C">
        <w:br w:type="page"/>
      </w:r>
    </w:p>
    <w:p w:rsidR="00816846" w:rsidRPr="00C73973" w:rsidRDefault="00816846" w:rsidP="00816846">
      <w:pPr>
        <w:pStyle w:val="BodyText2"/>
        <w:tabs>
          <w:tab w:val="left" w:pos="720"/>
        </w:tabs>
        <w:ind w:right="18"/>
        <w:rPr>
          <w:b/>
          <w:u w:val="single"/>
        </w:rPr>
      </w:pPr>
      <w:r>
        <w:rPr>
          <w:b/>
          <w:u w:val="single"/>
        </w:rPr>
        <w:lastRenderedPageBreak/>
        <w:t>I</w:t>
      </w:r>
      <w:r w:rsidRPr="00C73973">
        <w:rPr>
          <w:b/>
          <w:u w:val="single"/>
        </w:rPr>
        <w:t xml:space="preserve">llustration No. </w:t>
      </w:r>
      <w:r>
        <w:rPr>
          <w:b/>
          <w:u w:val="single"/>
        </w:rPr>
        <w:t>5</w:t>
      </w:r>
      <w:r w:rsidRPr="00C73973">
        <w:rPr>
          <w:b/>
          <w:u w:val="single"/>
        </w:rPr>
        <w:t>:</w:t>
      </w:r>
    </w:p>
    <w:p w:rsidR="00816846" w:rsidRDefault="00DD0F60" w:rsidP="00816846">
      <w:pPr>
        <w:pStyle w:val="BodyText2"/>
        <w:tabs>
          <w:tab w:val="left" w:pos="720"/>
        </w:tabs>
        <w:ind w:right="18"/>
        <w:rPr>
          <w:b/>
          <w:u w:val="single"/>
        </w:rPr>
      </w:pPr>
      <w:r>
        <w:rPr>
          <w:b/>
          <w:noProof/>
          <w:u w:val="single"/>
        </w:rPr>
        <w:drawing>
          <wp:anchor distT="0" distB="0" distL="114300" distR="114300" simplePos="0" relativeHeight="251978752" behindDoc="0" locked="0" layoutInCell="1" allowOverlap="1">
            <wp:simplePos x="0" y="0"/>
            <wp:positionH relativeFrom="column">
              <wp:posOffset>3976</wp:posOffset>
            </wp:positionH>
            <wp:positionV relativeFrom="paragraph">
              <wp:posOffset>-663</wp:posOffset>
            </wp:positionV>
            <wp:extent cx="5417820" cy="3703320"/>
            <wp:effectExtent l="19050" t="19050" r="11430" b="1143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7820" cy="3703320"/>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816846" w:rsidRDefault="00816846" w:rsidP="00816846">
      <w:pPr>
        <w:pStyle w:val="BodyText2"/>
        <w:tabs>
          <w:tab w:val="left" w:pos="720"/>
        </w:tabs>
        <w:ind w:right="18"/>
        <w:rPr>
          <w:b/>
          <w:u w:val="single"/>
        </w:rPr>
      </w:pPr>
    </w:p>
    <w:p w:rsidR="00CF349A" w:rsidRDefault="00CF349A" w:rsidP="00816846">
      <w:pPr>
        <w:pStyle w:val="BodyText2"/>
        <w:tabs>
          <w:tab w:val="left" w:pos="720"/>
        </w:tabs>
        <w:ind w:right="18"/>
        <w:rPr>
          <w:b/>
          <w:u w:val="single"/>
        </w:rPr>
      </w:pPr>
    </w:p>
    <w:p w:rsidR="008570EA" w:rsidRDefault="008570EA" w:rsidP="008570EA">
      <w:pPr>
        <w:pStyle w:val="WARateCase"/>
        <w:jc w:val="both"/>
        <w:rPr>
          <w:rFonts w:ascii="Times New Roman" w:hAnsi="Times New Roman"/>
          <w:b w:val="0"/>
          <w:sz w:val="24"/>
          <w:szCs w:val="24"/>
        </w:rPr>
      </w:pPr>
      <w:r>
        <w:rPr>
          <w:rFonts w:ascii="Times New Roman" w:hAnsi="Times New Roman"/>
          <w:b w:val="0"/>
          <w:sz w:val="24"/>
          <w:szCs w:val="24"/>
        </w:rPr>
        <w:t>The illustration demonstrates that using th</w:t>
      </w:r>
      <w:r w:rsidR="0088359A">
        <w:rPr>
          <w:rFonts w:ascii="Times New Roman" w:hAnsi="Times New Roman"/>
          <w:b w:val="0"/>
          <w:sz w:val="24"/>
          <w:szCs w:val="24"/>
        </w:rPr>
        <w:t xml:space="preserve">e Traditional Pro Forma Study, </w:t>
      </w:r>
      <w:r>
        <w:rPr>
          <w:rFonts w:ascii="Times New Roman" w:hAnsi="Times New Roman"/>
          <w:b w:val="0"/>
          <w:sz w:val="24"/>
          <w:szCs w:val="24"/>
        </w:rPr>
        <w:t>when compared to the other two Studies</w:t>
      </w:r>
      <w:r w:rsidR="00DD0F60">
        <w:rPr>
          <w:rFonts w:ascii="Times New Roman" w:hAnsi="Times New Roman"/>
          <w:b w:val="0"/>
          <w:sz w:val="24"/>
          <w:szCs w:val="24"/>
        </w:rPr>
        <w:t>,</w:t>
      </w:r>
      <w:r>
        <w:rPr>
          <w:rFonts w:ascii="Times New Roman" w:hAnsi="Times New Roman"/>
          <w:b w:val="0"/>
          <w:sz w:val="24"/>
          <w:szCs w:val="24"/>
        </w:rPr>
        <w:t xml:space="preserve"> significantly understates the level of net electric plant after ADFIT, </w:t>
      </w:r>
      <w:r w:rsidR="00DD0F60">
        <w:rPr>
          <w:rFonts w:ascii="Times New Roman" w:hAnsi="Times New Roman"/>
          <w:b w:val="0"/>
          <w:sz w:val="24"/>
          <w:szCs w:val="24"/>
        </w:rPr>
        <w:t xml:space="preserve">for the first rate year beginning May 1, 2018. </w:t>
      </w:r>
    </w:p>
    <w:p w:rsidR="00F25AB1" w:rsidRDefault="008570EA" w:rsidP="0086145C">
      <w:pPr>
        <w:pStyle w:val="WARateCase"/>
        <w:ind w:firstLine="720"/>
        <w:jc w:val="both"/>
        <w:rPr>
          <w:b w:val="0"/>
          <w:u w:val="single"/>
        </w:rPr>
      </w:pPr>
      <w:r>
        <w:rPr>
          <w:rFonts w:ascii="Times New Roman" w:hAnsi="Times New Roman"/>
          <w:b w:val="0"/>
          <w:sz w:val="24"/>
          <w:szCs w:val="24"/>
        </w:rPr>
        <w:t xml:space="preserve">Illustration No. 6 </w:t>
      </w:r>
      <w:r w:rsidRPr="00C73973">
        <w:rPr>
          <w:rFonts w:ascii="Times New Roman" w:hAnsi="Times New Roman"/>
          <w:b w:val="0"/>
          <w:sz w:val="24"/>
          <w:szCs w:val="24"/>
        </w:rPr>
        <w:t xml:space="preserve">shows a similar comparison for natural gas </w:t>
      </w:r>
      <w:r>
        <w:rPr>
          <w:rFonts w:ascii="Times New Roman" w:hAnsi="Times New Roman"/>
          <w:b w:val="0"/>
          <w:sz w:val="24"/>
          <w:szCs w:val="24"/>
        </w:rPr>
        <w:t>rate base</w:t>
      </w:r>
      <w:r w:rsidRPr="00C73973">
        <w:rPr>
          <w:rFonts w:ascii="Times New Roman" w:hAnsi="Times New Roman"/>
          <w:b w:val="0"/>
          <w:sz w:val="24"/>
          <w:szCs w:val="24"/>
        </w:rPr>
        <w:t xml:space="preserve">: </w:t>
      </w:r>
      <w:r w:rsidR="00F25AB1">
        <w:rPr>
          <w:b w:val="0"/>
          <w:u w:val="single"/>
        </w:rPr>
        <w:br w:type="page"/>
      </w:r>
    </w:p>
    <w:p w:rsidR="00816846" w:rsidRPr="00C73973" w:rsidRDefault="00DD0F60" w:rsidP="00816846">
      <w:pPr>
        <w:pStyle w:val="BodyText2"/>
        <w:tabs>
          <w:tab w:val="left" w:pos="720"/>
        </w:tabs>
        <w:ind w:right="18"/>
        <w:rPr>
          <w:b/>
          <w:u w:val="single"/>
        </w:rPr>
      </w:pPr>
      <w:r>
        <w:rPr>
          <w:noProof/>
        </w:rPr>
        <w:lastRenderedPageBreak/>
        <w:drawing>
          <wp:anchor distT="0" distB="0" distL="114300" distR="114300" simplePos="0" relativeHeight="251979776" behindDoc="0" locked="0" layoutInCell="1" allowOverlap="1">
            <wp:simplePos x="0" y="0"/>
            <wp:positionH relativeFrom="column">
              <wp:posOffset>282271</wp:posOffset>
            </wp:positionH>
            <wp:positionV relativeFrom="paragraph">
              <wp:posOffset>349885</wp:posOffset>
            </wp:positionV>
            <wp:extent cx="4579620" cy="3901440"/>
            <wp:effectExtent l="19050" t="19050" r="11430" b="2286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9620" cy="3901440"/>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sidR="00816846">
        <w:rPr>
          <w:b/>
          <w:u w:val="single"/>
        </w:rPr>
        <w:t>I</w:t>
      </w:r>
      <w:r w:rsidR="00816846" w:rsidRPr="00C73973">
        <w:rPr>
          <w:b/>
          <w:u w:val="single"/>
        </w:rPr>
        <w:t xml:space="preserve">llustration No. </w:t>
      </w:r>
      <w:r w:rsidR="00816846">
        <w:rPr>
          <w:b/>
          <w:u w:val="single"/>
        </w:rPr>
        <w:t>6</w:t>
      </w:r>
      <w:r w:rsidR="00816846" w:rsidRPr="00C73973">
        <w:rPr>
          <w:b/>
          <w:u w:val="single"/>
        </w:rPr>
        <w:t>:</w:t>
      </w:r>
    </w:p>
    <w:p w:rsidR="00DC52F3" w:rsidRDefault="00DC52F3" w:rsidP="00DC52F3">
      <w:pPr>
        <w:pStyle w:val="BodyText2"/>
        <w:tabs>
          <w:tab w:val="left" w:pos="7290"/>
        </w:tabs>
        <w:ind w:firstLine="720"/>
      </w:pPr>
    </w:p>
    <w:p w:rsidR="00816846" w:rsidRDefault="00816846" w:rsidP="00DC52F3">
      <w:pPr>
        <w:pStyle w:val="BodyText2"/>
        <w:tabs>
          <w:tab w:val="left" w:pos="7290"/>
        </w:tabs>
        <w:ind w:firstLine="720"/>
      </w:pPr>
    </w:p>
    <w:p w:rsidR="00816846" w:rsidRDefault="00816846" w:rsidP="00DC52F3">
      <w:pPr>
        <w:pStyle w:val="BodyText2"/>
        <w:tabs>
          <w:tab w:val="left" w:pos="7290"/>
        </w:tabs>
        <w:ind w:firstLine="720"/>
      </w:pPr>
    </w:p>
    <w:p w:rsidR="008570EA" w:rsidRDefault="008570EA" w:rsidP="00DC52F3">
      <w:pPr>
        <w:pStyle w:val="BodyText2"/>
        <w:tabs>
          <w:tab w:val="left" w:pos="7290"/>
        </w:tabs>
        <w:ind w:firstLine="720"/>
      </w:pPr>
    </w:p>
    <w:p w:rsidR="008570EA" w:rsidRDefault="008570EA" w:rsidP="00DC52F3">
      <w:pPr>
        <w:pStyle w:val="BodyText2"/>
        <w:tabs>
          <w:tab w:val="left" w:pos="7290"/>
        </w:tabs>
        <w:ind w:firstLine="720"/>
      </w:pPr>
    </w:p>
    <w:p w:rsidR="00816846" w:rsidRDefault="00816846" w:rsidP="00DC52F3">
      <w:pPr>
        <w:pStyle w:val="BodyText2"/>
        <w:tabs>
          <w:tab w:val="left" w:pos="7290"/>
        </w:tabs>
        <w:ind w:firstLine="720"/>
      </w:pPr>
    </w:p>
    <w:p w:rsidR="00816846" w:rsidRDefault="00816846" w:rsidP="00DC52F3">
      <w:pPr>
        <w:pStyle w:val="BodyText2"/>
        <w:tabs>
          <w:tab w:val="left" w:pos="7290"/>
        </w:tabs>
        <w:ind w:firstLine="720"/>
      </w:pPr>
    </w:p>
    <w:p w:rsidR="00816846" w:rsidRDefault="00816846" w:rsidP="00DC52F3">
      <w:pPr>
        <w:pStyle w:val="BodyText2"/>
        <w:tabs>
          <w:tab w:val="left" w:pos="7290"/>
        </w:tabs>
        <w:ind w:firstLine="720"/>
      </w:pPr>
    </w:p>
    <w:p w:rsidR="00816846" w:rsidRDefault="00816846" w:rsidP="00DC52F3">
      <w:pPr>
        <w:pStyle w:val="BodyText2"/>
        <w:tabs>
          <w:tab w:val="left" w:pos="7290"/>
        </w:tabs>
        <w:ind w:firstLine="720"/>
      </w:pPr>
    </w:p>
    <w:p w:rsidR="00570309" w:rsidRDefault="00570309" w:rsidP="00DC52F3">
      <w:pPr>
        <w:pStyle w:val="BodyText2"/>
        <w:tabs>
          <w:tab w:val="left" w:pos="7290"/>
        </w:tabs>
        <w:ind w:firstLine="720"/>
      </w:pPr>
    </w:p>
    <w:p w:rsidR="00570309" w:rsidRDefault="00570309" w:rsidP="00DC52F3">
      <w:pPr>
        <w:pStyle w:val="BodyText2"/>
        <w:tabs>
          <w:tab w:val="left" w:pos="7290"/>
        </w:tabs>
        <w:ind w:firstLine="720"/>
      </w:pPr>
    </w:p>
    <w:p w:rsidR="00570309" w:rsidRDefault="00570309" w:rsidP="00DC52F3">
      <w:pPr>
        <w:pStyle w:val="BodyText2"/>
        <w:tabs>
          <w:tab w:val="left" w:pos="7290"/>
        </w:tabs>
        <w:ind w:firstLine="720"/>
      </w:pPr>
    </w:p>
    <w:p w:rsidR="004A44EE" w:rsidRDefault="00933551" w:rsidP="004A44EE">
      <w:pPr>
        <w:pStyle w:val="WARateCase"/>
        <w:jc w:val="both"/>
        <w:rPr>
          <w:rFonts w:ascii="Times New Roman" w:hAnsi="Times New Roman"/>
          <w:b w:val="0"/>
          <w:sz w:val="24"/>
          <w:szCs w:val="24"/>
        </w:rPr>
      </w:pPr>
      <w:r w:rsidRPr="004A44EE">
        <w:rPr>
          <w:rFonts w:ascii="Times New Roman" w:hAnsi="Times New Roman"/>
          <w:b w:val="0"/>
          <w:sz w:val="24"/>
          <w:szCs w:val="24"/>
        </w:rPr>
        <w:t>Ill</w:t>
      </w:r>
      <w:r w:rsidR="004A44EE">
        <w:rPr>
          <w:rFonts w:ascii="Times New Roman" w:hAnsi="Times New Roman"/>
          <w:b w:val="0"/>
          <w:sz w:val="24"/>
          <w:szCs w:val="24"/>
        </w:rPr>
        <w:t>ustration No. 6</w:t>
      </w:r>
      <w:r w:rsidR="00CF349A" w:rsidRPr="004A44EE">
        <w:rPr>
          <w:rFonts w:ascii="Times New Roman" w:hAnsi="Times New Roman"/>
          <w:b w:val="0"/>
          <w:sz w:val="24"/>
          <w:szCs w:val="24"/>
        </w:rPr>
        <w:t xml:space="preserve"> </w:t>
      </w:r>
      <w:r w:rsidR="004A44EE">
        <w:rPr>
          <w:rFonts w:ascii="Times New Roman" w:hAnsi="Times New Roman"/>
          <w:b w:val="0"/>
          <w:sz w:val="24"/>
          <w:szCs w:val="24"/>
        </w:rPr>
        <w:t>demonstrates that using the Traditional Pro Forma Study</w:t>
      </w:r>
      <w:r w:rsidR="00DD0F60">
        <w:rPr>
          <w:rFonts w:ascii="Times New Roman" w:hAnsi="Times New Roman"/>
          <w:b w:val="0"/>
          <w:sz w:val="24"/>
          <w:szCs w:val="24"/>
        </w:rPr>
        <w:t>,</w:t>
      </w:r>
      <w:r w:rsidR="004A44EE">
        <w:rPr>
          <w:rFonts w:ascii="Times New Roman" w:hAnsi="Times New Roman"/>
          <w:b w:val="0"/>
          <w:sz w:val="24"/>
          <w:szCs w:val="24"/>
        </w:rPr>
        <w:t xml:space="preserve"> when compared to the other two Studies</w:t>
      </w:r>
      <w:r w:rsidR="00DD0F60">
        <w:rPr>
          <w:rFonts w:ascii="Times New Roman" w:hAnsi="Times New Roman"/>
          <w:b w:val="0"/>
          <w:sz w:val="24"/>
          <w:szCs w:val="24"/>
        </w:rPr>
        <w:t>,</w:t>
      </w:r>
      <w:r w:rsidR="004A44EE">
        <w:rPr>
          <w:rFonts w:ascii="Times New Roman" w:hAnsi="Times New Roman"/>
          <w:b w:val="0"/>
          <w:sz w:val="24"/>
          <w:szCs w:val="24"/>
        </w:rPr>
        <w:t xml:space="preserve"> significantly understates the level of net natural gas plant after ADFIT</w:t>
      </w:r>
      <w:r w:rsidR="00DD0F60">
        <w:rPr>
          <w:rFonts w:ascii="Times New Roman" w:hAnsi="Times New Roman"/>
          <w:b w:val="0"/>
          <w:sz w:val="24"/>
          <w:szCs w:val="24"/>
        </w:rPr>
        <w:t xml:space="preserve"> for the first rate year beginning May 1, 2018</w:t>
      </w:r>
      <w:r w:rsidR="009C6212">
        <w:rPr>
          <w:rFonts w:ascii="Times New Roman" w:hAnsi="Times New Roman"/>
          <w:b w:val="0"/>
          <w:sz w:val="24"/>
          <w:szCs w:val="24"/>
        </w:rPr>
        <w:t>.</w:t>
      </w:r>
    </w:p>
    <w:p w:rsidR="009C6212" w:rsidRPr="009C6212" w:rsidRDefault="00060CDB" w:rsidP="00060CDB">
      <w:pPr>
        <w:pStyle w:val="BodyText2"/>
        <w:tabs>
          <w:tab w:val="left" w:pos="1440"/>
        </w:tabs>
        <w:ind w:firstLine="720"/>
        <w:rPr>
          <w:b/>
        </w:rPr>
      </w:pPr>
      <w:r w:rsidRPr="009C6212">
        <w:rPr>
          <w:b/>
        </w:rPr>
        <w:t>Q.</w:t>
      </w:r>
      <w:r w:rsidRPr="009C6212">
        <w:rPr>
          <w:b/>
        </w:rPr>
        <w:tab/>
      </w:r>
      <w:r w:rsidR="009C6212" w:rsidRPr="009C6212">
        <w:rPr>
          <w:b/>
        </w:rPr>
        <w:t>Ms. Andrews refers to capital additions for 2019 and 2020 being lower than in prior years</w:t>
      </w:r>
      <w:r w:rsidR="0086145C">
        <w:rPr>
          <w:b/>
        </w:rPr>
        <w:t>. D</w:t>
      </w:r>
      <w:r w:rsidR="009C6212" w:rsidRPr="009C6212">
        <w:rPr>
          <w:b/>
        </w:rPr>
        <w:t xml:space="preserve">oes the information you have provided illustrate this reduced growth in capital additions for 2019 and 2020? </w:t>
      </w:r>
    </w:p>
    <w:p w:rsidR="00DD0F60" w:rsidRDefault="009C6212" w:rsidP="00DD0F60">
      <w:pPr>
        <w:pStyle w:val="BodyText2"/>
        <w:tabs>
          <w:tab w:val="left" w:pos="1440"/>
        </w:tabs>
        <w:ind w:firstLine="720"/>
      </w:pPr>
      <w:r w:rsidRPr="00CB1E53">
        <w:t>A.</w:t>
      </w:r>
      <w:r w:rsidRPr="00CB1E53">
        <w:tab/>
      </w:r>
      <w:r w:rsidR="00301822" w:rsidRPr="00CB1E53">
        <w:t xml:space="preserve">Yes. </w:t>
      </w:r>
      <w:r w:rsidR="009D097E">
        <w:t>As shown below</w:t>
      </w:r>
      <w:r w:rsidR="007A7079">
        <w:t xml:space="preserve"> in Table No. 4</w:t>
      </w:r>
      <w:r w:rsidR="009D097E">
        <w:t xml:space="preserve"> the average annual rate base increase from December 31, 2016 AMA to April 30, 2019 </w:t>
      </w:r>
      <w:r w:rsidR="009D097E" w:rsidRPr="009D097E">
        <w:t xml:space="preserve">is approximately $70 million for electric plant </w:t>
      </w:r>
      <w:r w:rsidR="007A7079">
        <w:t>and $16 million for natural gas.</w:t>
      </w:r>
      <w:r w:rsidR="00DD0F60">
        <w:br w:type="page"/>
      </w:r>
    </w:p>
    <w:p w:rsidR="009D097E" w:rsidRPr="00C73973" w:rsidRDefault="009D097E" w:rsidP="009D097E">
      <w:pPr>
        <w:pStyle w:val="BodyText2"/>
        <w:tabs>
          <w:tab w:val="left" w:pos="720"/>
        </w:tabs>
        <w:ind w:right="18"/>
        <w:rPr>
          <w:b/>
          <w:u w:val="single"/>
        </w:rPr>
      </w:pPr>
      <w:r>
        <w:rPr>
          <w:b/>
          <w:u w:val="single"/>
        </w:rPr>
        <w:lastRenderedPageBreak/>
        <w:t>Table</w:t>
      </w:r>
      <w:r w:rsidRPr="00C73973">
        <w:rPr>
          <w:b/>
          <w:u w:val="single"/>
        </w:rPr>
        <w:t xml:space="preserve"> No. </w:t>
      </w:r>
      <w:r>
        <w:rPr>
          <w:b/>
          <w:u w:val="single"/>
        </w:rPr>
        <w:t>4</w:t>
      </w:r>
      <w:r w:rsidRPr="00C73973">
        <w:rPr>
          <w:b/>
          <w:u w:val="single"/>
        </w:rPr>
        <w:t>:</w:t>
      </w:r>
    </w:p>
    <w:p w:rsidR="007A7079" w:rsidRDefault="00DD0F60" w:rsidP="00060CDB">
      <w:pPr>
        <w:pStyle w:val="BodyText2"/>
        <w:tabs>
          <w:tab w:val="left" w:pos="1440"/>
        </w:tabs>
        <w:ind w:firstLine="720"/>
      </w:pPr>
      <w:r w:rsidRPr="00DD0F60">
        <w:rPr>
          <w:noProof/>
        </w:rPr>
        <w:drawing>
          <wp:anchor distT="0" distB="0" distL="114300" distR="114300" simplePos="0" relativeHeight="251980800" behindDoc="0" locked="0" layoutInCell="1" allowOverlap="1">
            <wp:simplePos x="0" y="0"/>
            <wp:positionH relativeFrom="column">
              <wp:posOffset>457200</wp:posOffset>
            </wp:positionH>
            <wp:positionV relativeFrom="paragraph">
              <wp:posOffset>-663</wp:posOffset>
            </wp:positionV>
            <wp:extent cx="4293870" cy="1979930"/>
            <wp:effectExtent l="0" t="0" r="0" b="127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3870"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079" w:rsidRDefault="007A7079" w:rsidP="00060CDB">
      <w:pPr>
        <w:pStyle w:val="BodyText2"/>
        <w:tabs>
          <w:tab w:val="left" w:pos="1440"/>
        </w:tabs>
        <w:ind w:firstLine="720"/>
      </w:pPr>
    </w:p>
    <w:p w:rsidR="007A7079" w:rsidRDefault="007A7079" w:rsidP="00060CDB">
      <w:pPr>
        <w:pStyle w:val="BodyText2"/>
        <w:tabs>
          <w:tab w:val="left" w:pos="1440"/>
        </w:tabs>
        <w:ind w:firstLine="720"/>
      </w:pPr>
    </w:p>
    <w:p w:rsidR="007A7079" w:rsidRDefault="007A7079" w:rsidP="00060CDB">
      <w:pPr>
        <w:pStyle w:val="BodyText2"/>
        <w:tabs>
          <w:tab w:val="left" w:pos="1440"/>
        </w:tabs>
        <w:ind w:firstLine="720"/>
      </w:pPr>
    </w:p>
    <w:p w:rsidR="007A7079" w:rsidRDefault="007A7079" w:rsidP="00060CDB">
      <w:pPr>
        <w:pStyle w:val="BodyText2"/>
        <w:tabs>
          <w:tab w:val="left" w:pos="1440"/>
        </w:tabs>
        <w:ind w:firstLine="720"/>
      </w:pPr>
    </w:p>
    <w:p w:rsidR="009D097E" w:rsidRDefault="009D097E" w:rsidP="00060CDB">
      <w:pPr>
        <w:pStyle w:val="BodyText2"/>
        <w:tabs>
          <w:tab w:val="left" w:pos="1440"/>
        </w:tabs>
        <w:ind w:firstLine="720"/>
      </w:pPr>
    </w:p>
    <w:p w:rsidR="009D097E" w:rsidRPr="00CB1E53" w:rsidRDefault="009D097E" w:rsidP="00060CDB">
      <w:pPr>
        <w:pStyle w:val="BodyText2"/>
        <w:tabs>
          <w:tab w:val="left" w:pos="1440"/>
        </w:tabs>
        <w:ind w:firstLine="720"/>
        <w:rPr>
          <w:highlight w:val="yellow"/>
        </w:rPr>
      </w:pPr>
    </w:p>
    <w:p w:rsidR="002862E3" w:rsidRDefault="00060CDB" w:rsidP="002862E3">
      <w:pPr>
        <w:spacing w:line="480" w:lineRule="auto"/>
        <w:ind w:firstLine="720"/>
        <w:jc w:val="both"/>
      </w:pPr>
      <w:r w:rsidRPr="007A7079">
        <w:t>When reviewing Ra</w:t>
      </w:r>
      <w:r w:rsidR="007A7079" w:rsidRPr="007A7079">
        <w:t>te Year</w:t>
      </w:r>
      <w:r w:rsidRPr="007A7079">
        <w:t xml:space="preserve"> 2 for electric and natural gas </w:t>
      </w:r>
      <w:r w:rsidR="007A7079" w:rsidRPr="007A7079">
        <w:t>rate base</w:t>
      </w:r>
      <w:r w:rsidRPr="007A7079">
        <w:t xml:space="preserve">, </w:t>
      </w:r>
      <w:r w:rsidR="00DD0F60">
        <w:t>the growth in rate base</w:t>
      </w:r>
      <w:r w:rsidRPr="007A7079">
        <w:t xml:space="preserve"> has decreased to approximately $35 million and $15 million</w:t>
      </w:r>
      <w:r w:rsidR="00DD0F60">
        <w:t xml:space="preserve"> for</w:t>
      </w:r>
      <w:r w:rsidRPr="007A7079">
        <w:t xml:space="preserve"> electric and natural gas, respectively.  The </w:t>
      </w:r>
      <w:r w:rsidR="00DD0F60">
        <w:t>lower growth</w:t>
      </w:r>
      <w:r w:rsidRPr="007A7079">
        <w:t xml:space="preserve"> in </w:t>
      </w:r>
      <w:r w:rsidR="004E1542">
        <w:t>rate base</w:t>
      </w:r>
      <w:r w:rsidRPr="007A7079">
        <w:t xml:space="preserve"> in Rate Year</w:t>
      </w:r>
      <w:r w:rsidR="002862E3">
        <w:t xml:space="preserve"> 2 for both services is due in large part to</w:t>
      </w:r>
      <w:r w:rsidRPr="007A7079">
        <w:t xml:space="preserve"> the timing of transfers to plant. There are approximately $63 million less transfers to plant on a system basis, when compared to the average of the previous periods. Also, the continued impact of </w:t>
      </w:r>
      <w:r w:rsidR="0086145C">
        <w:t xml:space="preserve">the </w:t>
      </w:r>
      <w:r w:rsidRPr="007A7079">
        <w:t xml:space="preserve">repairs </w:t>
      </w:r>
      <w:r w:rsidR="0086145C">
        <w:t xml:space="preserve">deduction </w:t>
      </w:r>
      <w:r w:rsidRPr="007A7079">
        <w:t>and bonus</w:t>
      </w:r>
      <w:r w:rsidR="0086145C">
        <w:t xml:space="preserve"> depreciation</w:t>
      </w:r>
      <w:r w:rsidRPr="007A7079">
        <w:t xml:space="preserve"> on ADFIT through 2020 will also </w:t>
      </w:r>
      <w:r w:rsidR="002862E3">
        <w:t>slow the growth in</w:t>
      </w:r>
      <w:r w:rsidRPr="007A7079">
        <w:t xml:space="preserve"> net plant balances for electric and natural gas in these periods. Finally, carrying forward the accumulated depreciation on all plant from December 31, 2016 on an AMA basis to each rate year will impact each rate years</w:t>
      </w:r>
      <w:r w:rsidR="002862E3">
        <w:t>’ net plant adjustment amount.</w:t>
      </w:r>
      <w:r w:rsidRPr="007A7079">
        <w:t xml:space="preserve"> </w:t>
      </w:r>
      <w:r w:rsidR="002862E3">
        <w:t>A summary of</w:t>
      </w:r>
      <w:r w:rsidR="007A7079" w:rsidRPr="007A7079">
        <w:t xml:space="preserve"> each plant component (Gross</w:t>
      </w:r>
      <w:r w:rsidR="007A7079">
        <w:t xml:space="preserve"> Plant in Service</w:t>
      </w:r>
      <w:r w:rsidR="002862E3">
        <w:t>, AD and ADFIT) is</w:t>
      </w:r>
      <w:r w:rsidR="007A7079" w:rsidRPr="007A7079">
        <w:t xml:space="preserve"> s</w:t>
      </w:r>
      <w:r w:rsidR="004E1542">
        <w:t xml:space="preserve">hown in Table Nos. 2 and 3 earlier in my testimony. </w:t>
      </w:r>
      <w:r w:rsidR="007A7079">
        <w:t xml:space="preserve"> </w:t>
      </w:r>
      <w:r w:rsidR="002862E3">
        <w:br w:type="page"/>
      </w:r>
    </w:p>
    <w:p w:rsidR="005D53F7" w:rsidRPr="00C73973" w:rsidRDefault="005D53F7" w:rsidP="00194221">
      <w:pPr>
        <w:pStyle w:val="Heading3"/>
        <w:ind w:firstLine="0"/>
        <w:rPr>
          <w:u w:val="single"/>
        </w:rPr>
      </w:pPr>
      <w:bookmarkStart w:id="6" w:name="_Toc483209853"/>
      <w:r w:rsidRPr="00C73973">
        <w:rPr>
          <w:u w:val="single"/>
        </w:rPr>
        <w:lastRenderedPageBreak/>
        <w:t>V</w:t>
      </w:r>
      <w:r w:rsidR="00987696" w:rsidRPr="00C73973">
        <w:rPr>
          <w:u w:val="single"/>
        </w:rPr>
        <w:t>I</w:t>
      </w:r>
      <w:r w:rsidR="00312A1D">
        <w:rPr>
          <w:u w:val="single"/>
        </w:rPr>
        <w:t>I</w:t>
      </w:r>
      <w:proofErr w:type="gramStart"/>
      <w:r w:rsidRPr="00C73973">
        <w:rPr>
          <w:u w:val="single"/>
        </w:rPr>
        <w:t>.</w:t>
      </w:r>
      <w:r w:rsidR="00194221">
        <w:rPr>
          <w:u w:val="single"/>
        </w:rPr>
        <w:t xml:space="preserve">  </w:t>
      </w:r>
      <w:r w:rsidR="00CA33AC" w:rsidRPr="00C73973">
        <w:rPr>
          <w:u w:val="single"/>
        </w:rPr>
        <w:t>DEPRECIATION</w:t>
      </w:r>
      <w:proofErr w:type="gramEnd"/>
      <w:r w:rsidR="00CA33AC" w:rsidRPr="00C73973">
        <w:rPr>
          <w:u w:val="single"/>
        </w:rPr>
        <w:t xml:space="preserve"> STUDY</w:t>
      </w:r>
      <w:bookmarkEnd w:id="6"/>
    </w:p>
    <w:p w:rsidR="00635B4B" w:rsidRPr="00C73973" w:rsidRDefault="00151255" w:rsidP="00635B4B">
      <w:pPr>
        <w:suppressAutoHyphens/>
        <w:spacing w:line="480" w:lineRule="auto"/>
        <w:ind w:firstLine="720"/>
        <w:jc w:val="both"/>
        <w:rPr>
          <w:b/>
        </w:rPr>
      </w:pPr>
      <w:r>
        <w:rPr>
          <w:b/>
        </w:rPr>
        <w:t>Q.</w:t>
      </w:r>
      <w:r>
        <w:rPr>
          <w:b/>
        </w:rPr>
        <w:tab/>
        <w:t>When has Avista planned for its</w:t>
      </w:r>
      <w:r w:rsidR="00635B4B" w:rsidRPr="00C73973">
        <w:rPr>
          <w:b/>
        </w:rPr>
        <w:t xml:space="preserve"> next depreciation study? </w:t>
      </w:r>
    </w:p>
    <w:p w:rsidR="00635B4B" w:rsidRPr="00C73973" w:rsidRDefault="00635B4B" w:rsidP="0086145C">
      <w:pPr>
        <w:spacing w:line="480" w:lineRule="auto"/>
        <w:ind w:firstLine="720"/>
        <w:jc w:val="both"/>
      </w:pPr>
      <w:r w:rsidRPr="00C73973">
        <w:t>A.</w:t>
      </w:r>
      <w:r w:rsidRPr="00C73973">
        <w:tab/>
        <w:t xml:space="preserve">Avista’s next depreciation study is currently underway and is expected to be completed towards the end of 2017. </w:t>
      </w:r>
      <w:r w:rsidR="00151255">
        <w:t>After completion of this study</w:t>
      </w:r>
      <w:r w:rsidRPr="00C73973">
        <w:t xml:space="preserve"> the Company will file a petition</w:t>
      </w:r>
      <w:r w:rsidR="00950DAA" w:rsidRPr="00C73973">
        <w:t xml:space="preserve"> in all </w:t>
      </w:r>
      <w:r w:rsidR="00611A42">
        <w:t xml:space="preserve">of </w:t>
      </w:r>
      <w:r w:rsidR="00950DAA" w:rsidRPr="00C73973">
        <w:t>its jurisdictions</w:t>
      </w:r>
      <w:r w:rsidRPr="00C73973">
        <w:t xml:space="preserve"> to </w:t>
      </w:r>
      <w:r w:rsidR="00151255">
        <w:t xml:space="preserve">request to </w:t>
      </w:r>
      <w:r w:rsidRPr="00C73973">
        <w:t>change depreciation rates</w:t>
      </w:r>
      <w:r w:rsidR="00151255">
        <w:t xml:space="preserve"> as determined by this study</w:t>
      </w:r>
      <w:r w:rsidRPr="00C73973">
        <w:t xml:space="preserve">.  </w:t>
      </w:r>
    </w:p>
    <w:p w:rsidR="00861A55" w:rsidRPr="00C73973" w:rsidRDefault="00635B4B" w:rsidP="00861A55">
      <w:pPr>
        <w:suppressAutoHyphens/>
        <w:spacing w:line="480" w:lineRule="auto"/>
        <w:ind w:firstLine="720"/>
        <w:jc w:val="both"/>
        <w:rPr>
          <w:b/>
        </w:rPr>
      </w:pPr>
      <w:r w:rsidRPr="00C73973">
        <w:rPr>
          <w:b/>
        </w:rPr>
        <w:t>Q.</w:t>
      </w:r>
      <w:r w:rsidRPr="00C73973">
        <w:rPr>
          <w:b/>
        </w:rPr>
        <w:tab/>
        <w:t xml:space="preserve">Why </w:t>
      </w:r>
      <w:r w:rsidR="00151255">
        <w:rPr>
          <w:b/>
        </w:rPr>
        <w:t xml:space="preserve">is this </w:t>
      </w:r>
      <w:r w:rsidR="00861A55" w:rsidRPr="00C73973">
        <w:rPr>
          <w:b/>
        </w:rPr>
        <w:t xml:space="preserve">depreciation study </w:t>
      </w:r>
      <w:r w:rsidR="00151255">
        <w:rPr>
          <w:b/>
        </w:rPr>
        <w:t xml:space="preserve">being </w:t>
      </w:r>
      <w:r w:rsidR="00861A55" w:rsidRPr="00C73973">
        <w:rPr>
          <w:b/>
        </w:rPr>
        <w:t>performed?</w:t>
      </w:r>
    </w:p>
    <w:p w:rsidR="00861A55" w:rsidRPr="00C73973" w:rsidRDefault="00861A55" w:rsidP="00CF0A0E">
      <w:pPr>
        <w:suppressAutoHyphens/>
        <w:spacing w:line="480" w:lineRule="auto"/>
        <w:ind w:firstLine="720"/>
        <w:jc w:val="both"/>
      </w:pPr>
      <w:r w:rsidRPr="00C73973">
        <w:t>A.</w:t>
      </w:r>
      <w:r w:rsidRPr="00C73973">
        <w:tab/>
      </w:r>
      <w:r w:rsidRPr="00C73973">
        <w:rPr>
          <w:snapToGrid w:val="0"/>
        </w:rPr>
        <w:t xml:space="preserve">The objective of </w:t>
      </w:r>
      <w:r w:rsidR="00635B4B" w:rsidRPr="00C73973">
        <w:rPr>
          <w:snapToGrid w:val="0"/>
        </w:rPr>
        <w:t>a depreciation study</w:t>
      </w:r>
      <w:r w:rsidRPr="00C73973">
        <w:rPr>
          <w:snapToGrid w:val="0"/>
        </w:rPr>
        <w:t xml:space="preserve"> is to recommend depreciation rates to be utilized by Avista for accounting and ratemaking purposes.  Also, i</w:t>
      </w:r>
      <w:r w:rsidRPr="00C73973">
        <w:t xml:space="preserve">t is sound accounting practice to periodically update depreciation rates to recognize additions to investment in plant assets and to reflect changes in asset characteristics, technology, salvage, removal costs, life span estimates and other factors that impact depreciation rate calculations.  The Company last changed its depreciation rates in Washington effective January 1, 2013, </w:t>
      </w:r>
      <w:r w:rsidR="00151255">
        <w:t>per</w:t>
      </w:r>
      <w:r w:rsidRPr="00C73973">
        <w:t xml:space="preserve"> Order No. 09 in Docket Nos. UE-120436 and UG-120437.  The depreciation rates approved by the Commission were developed from a study based on depreciable plant balances at </w:t>
      </w:r>
      <w:r w:rsidR="00C60E41" w:rsidRPr="00C73973">
        <w:t xml:space="preserve">December 31, 2011 for Transportation assets and </w:t>
      </w:r>
      <w:r w:rsidRPr="00C73973">
        <w:t>December 31, 2010</w:t>
      </w:r>
      <w:r w:rsidR="00C60E41" w:rsidRPr="00C73973">
        <w:t xml:space="preserve"> for all other assets</w:t>
      </w:r>
      <w:r w:rsidRPr="00C73973">
        <w:t>.  The Company typically conducts depreciation studies at approximately five-year intervals.  For the current study, Avista hired Gannett Fleming, Inc. to</w:t>
      </w:r>
      <w:r w:rsidRPr="00C73973">
        <w:rPr>
          <w:snapToGrid w:val="0"/>
        </w:rPr>
        <w:t xml:space="preserve"> undertake a depreciation study of its depreciable electric, natural gas and general plant in service as of December 31, 201</w:t>
      </w:r>
      <w:r w:rsidR="00AE5E56" w:rsidRPr="00C73973">
        <w:rPr>
          <w:snapToGrid w:val="0"/>
        </w:rPr>
        <w:t>6</w:t>
      </w:r>
      <w:r w:rsidRPr="00C73973">
        <w:rPr>
          <w:snapToGrid w:val="0"/>
        </w:rPr>
        <w:t>.</w:t>
      </w:r>
    </w:p>
    <w:p w:rsidR="00861A55" w:rsidRPr="00C73973" w:rsidRDefault="00861A55" w:rsidP="00635B4B">
      <w:pPr>
        <w:spacing w:line="480" w:lineRule="auto"/>
        <w:ind w:firstLine="720"/>
        <w:jc w:val="both"/>
      </w:pPr>
      <w:r w:rsidRPr="00C73973">
        <w:rPr>
          <w:b/>
        </w:rPr>
        <w:t>Q.</w:t>
      </w:r>
      <w:r w:rsidRPr="00C73973">
        <w:rPr>
          <w:b/>
        </w:rPr>
        <w:tab/>
        <w:t>Is it important to maintain uniform dep</w:t>
      </w:r>
      <w:r w:rsidR="00635B4B" w:rsidRPr="00C73973">
        <w:rPr>
          <w:b/>
        </w:rPr>
        <w:t xml:space="preserve">reciation rates on common plant </w:t>
      </w:r>
      <w:r w:rsidRPr="00C73973">
        <w:rPr>
          <w:b/>
        </w:rPr>
        <w:t xml:space="preserve">by the Company’s three jurisdictions? </w:t>
      </w:r>
    </w:p>
    <w:p w:rsidR="00861A55" w:rsidRPr="00C73973" w:rsidRDefault="00861A55" w:rsidP="00194221">
      <w:pPr>
        <w:pStyle w:val="BodyTextIndent"/>
        <w:keepNext/>
        <w:tabs>
          <w:tab w:val="left" w:pos="1440"/>
          <w:tab w:val="left" w:pos="2160"/>
          <w:tab w:val="left" w:pos="2880"/>
          <w:tab w:val="left" w:pos="3600"/>
          <w:tab w:val="left" w:pos="4320"/>
          <w:tab w:val="left" w:pos="5040"/>
          <w:tab w:val="left" w:pos="5760"/>
          <w:tab w:val="left" w:pos="6480"/>
          <w:tab w:val="left" w:pos="7200"/>
          <w:tab w:val="left" w:pos="7920"/>
        </w:tabs>
        <w:autoSpaceDE/>
        <w:autoSpaceDN/>
        <w:spacing w:after="0" w:line="480" w:lineRule="auto"/>
        <w:ind w:left="0" w:firstLine="720"/>
        <w:jc w:val="both"/>
      </w:pPr>
      <w:r w:rsidRPr="00C73973">
        <w:t>A.</w:t>
      </w:r>
      <w:r w:rsidRPr="00C73973">
        <w:tab/>
        <w:t xml:space="preserve">Yes.  </w:t>
      </w:r>
      <w:r w:rsidR="00AE5E56" w:rsidRPr="00C73973">
        <w:t>Avista will be</w:t>
      </w:r>
      <w:r w:rsidR="00151255">
        <w:t xml:space="preserve"> making </w:t>
      </w:r>
      <w:r w:rsidRPr="00C73973">
        <w:t>similar depreciation filing</w:t>
      </w:r>
      <w:r w:rsidR="00151255">
        <w:t>s</w:t>
      </w:r>
      <w:r w:rsidRPr="00C73973">
        <w:t xml:space="preserve"> with the Idaho Public Utilities Commission and the Public Utility Commission of Oregon.  It is important that the </w:t>
      </w:r>
      <w:r w:rsidRPr="00C73973">
        <w:lastRenderedPageBreak/>
        <w:t xml:space="preserve">Company maintain uniform plant accounts and depreciation </w:t>
      </w:r>
      <w:r w:rsidR="00611A42">
        <w:t xml:space="preserve">rates on common plant that are </w:t>
      </w:r>
      <w:r w:rsidRPr="00C73973">
        <w:t xml:space="preserve">allocated to the various services and jurisdictions in which the Company operates.  In the event different depreciation rates or methods were to be ordered, it would result in multiple sets of depreciation accounts and records that would need to be adjusted annually for changes </w:t>
      </w:r>
      <w:r w:rsidR="00C60E41" w:rsidRPr="00C73973">
        <w:t>i</w:t>
      </w:r>
      <w:r w:rsidRPr="00C73973">
        <w:t>n allocation factors</w:t>
      </w:r>
      <w:r w:rsidR="00151255">
        <w:t>. This</w:t>
      </w:r>
      <w:r w:rsidRPr="00C73973">
        <w:t xml:space="preserve"> would impose a costly administrative burden on the Company and unnecessary expense for the Company’s ratepayers. </w:t>
      </w:r>
    </w:p>
    <w:p w:rsidR="00635B4B" w:rsidRPr="00C73973" w:rsidRDefault="00635B4B" w:rsidP="00861A55">
      <w:pPr>
        <w:pStyle w:val="BodyTextIndent"/>
        <w:keepNext/>
        <w:tabs>
          <w:tab w:val="left" w:pos="1260"/>
          <w:tab w:val="left" w:pos="1440"/>
          <w:tab w:val="left" w:pos="2160"/>
          <w:tab w:val="left" w:pos="2880"/>
          <w:tab w:val="left" w:pos="3600"/>
          <w:tab w:val="left" w:pos="4320"/>
          <w:tab w:val="left" w:pos="5040"/>
          <w:tab w:val="left" w:pos="5760"/>
          <w:tab w:val="left" w:pos="6480"/>
          <w:tab w:val="left" w:pos="7200"/>
          <w:tab w:val="left" w:pos="7920"/>
        </w:tabs>
        <w:autoSpaceDE/>
        <w:autoSpaceDN/>
        <w:spacing w:after="0" w:line="480" w:lineRule="auto"/>
        <w:ind w:left="0" w:firstLine="720"/>
        <w:jc w:val="both"/>
        <w:rPr>
          <w:b/>
        </w:rPr>
      </w:pPr>
    </w:p>
    <w:p w:rsidR="00595DDC" w:rsidRPr="00C73973" w:rsidRDefault="00312A1D" w:rsidP="00194221">
      <w:pPr>
        <w:pStyle w:val="Heading3"/>
        <w:ind w:firstLine="0"/>
        <w:rPr>
          <w:u w:val="single"/>
        </w:rPr>
      </w:pPr>
      <w:bookmarkStart w:id="7" w:name="_Toc483209854"/>
      <w:r>
        <w:rPr>
          <w:u w:val="single"/>
        </w:rPr>
        <w:t>VIII</w:t>
      </w:r>
      <w:r w:rsidR="00595DDC" w:rsidRPr="00C73973">
        <w:rPr>
          <w:u w:val="single"/>
        </w:rPr>
        <w:t>.</w:t>
      </w:r>
      <w:r w:rsidR="0088128A" w:rsidRPr="00C73973">
        <w:rPr>
          <w:u w:val="single"/>
        </w:rPr>
        <w:t xml:space="preserve"> </w:t>
      </w:r>
      <w:r w:rsidR="00FB1C77" w:rsidRPr="00C73973">
        <w:rPr>
          <w:u w:val="single"/>
        </w:rPr>
        <w:t>REPORTING</w:t>
      </w:r>
      <w:r w:rsidR="001D1799" w:rsidRPr="00C73973">
        <w:rPr>
          <w:u w:val="single"/>
        </w:rPr>
        <w:t xml:space="preserve"> FOR CAPITAL ADDITIONS</w:t>
      </w:r>
      <w:bookmarkEnd w:id="7"/>
    </w:p>
    <w:p w:rsidR="001B33FC" w:rsidRDefault="001B33FC" w:rsidP="00301822">
      <w:pPr>
        <w:pStyle w:val="BodyTextIndent"/>
        <w:spacing w:line="480" w:lineRule="auto"/>
        <w:ind w:firstLine="360"/>
        <w:jc w:val="both"/>
        <w:rPr>
          <w:b/>
        </w:rPr>
      </w:pPr>
      <w:r w:rsidRPr="0049065C">
        <w:rPr>
          <w:b/>
        </w:rPr>
        <w:t>Q.</w:t>
      </w:r>
      <w:r w:rsidRPr="0049065C">
        <w:rPr>
          <w:b/>
        </w:rPr>
        <w:tab/>
      </w:r>
      <w:r w:rsidR="002862E3">
        <w:rPr>
          <w:b/>
        </w:rPr>
        <w:t>Is the Company proposing a periodic report to the Commission on completed capital additions as part of its proposed Three-Year Rate Plan</w:t>
      </w:r>
      <w:r>
        <w:rPr>
          <w:b/>
        </w:rPr>
        <w:t>?</w:t>
      </w:r>
    </w:p>
    <w:p w:rsidR="001B33FC" w:rsidRDefault="001B33FC" w:rsidP="00194221">
      <w:pPr>
        <w:pStyle w:val="BodyTextIndent"/>
        <w:spacing w:line="480" w:lineRule="auto"/>
        <w:ind w:left="0" w:firstLine="720"/>
        <w:jc w:val="both"/>
      </w:pPr>
      <w:r>
        <w:t>A.</w:t>
      </w:r>
      <w:r>
        <w:tab/>
      </w:r>
      <w:r w:rsidR="002862E3">
        <w:t xml:space="preserve">Yes. </w:t>
      </w:r>
      <w:r>
        <w:t>For Rate Years 2 and 3 effective May 1, 2019 and May 1, 2020, the Company is proposing to file with this Commission an Annual Washington Electric and Natural Gas Capital Report by February 15, 2019 and February 15, 2020 (approximately 75 days) prior to new rates going into effect.  The annual report would provide actual year-end balances for the calendar year as of December 31</w:t>
      </w:r>
      <w:r w:rsidRPr="00C37648">
        <w:rPr>
          <w:vertAlign w:val="superscript"/>
        </w:rPr>
        <w:t>st</w:t>
      </w:r>
      <w:r>
        <w:t xml:space="preserve"> (EOP net plant balances including impact of A/D and ADFIT). This would provide assurance to the Commission that the rate increases approved effective May 1, 2019 and 2020, would include net plant which</w:t>
      </w:r>
      <w:r w:rsidR="0088359A">
        <w:t xml:space="preserve"> actually</w:t>
      </w:r>
      <w:r>
        <w:t xml:space="preserve"> is in-service </w:t>
      </w:r>
      <w:r w:rsidR="0086145C">
        <w:t xml:space="preserve">and </w:t>
      </w:r>
      <w:r>
        <w:t>serving customers prior to new rates going into effect.</w:t>
      </w:r>
    </w:p>
    <w:p w:rsidR="00DE77E1" w:rsidRPr="00C73973" w:rsidRDefault="005E5AA3" w:rsidP="00281074">
      <w:pPr>
        <w:suppressAutoHyphens/>
        <w:spacing w:line="480" w:lineRule="auto"/>
        <w:ind w:firstLine="720"/>
        <w:jc w:val="both"/>
        <w:rPr>
          <w:b/>
        </w:rPr>
      </w:pPr>
      <w:r w:rsidRPr="00C73973">
        <w:rPr>
          <w:b/>
        </w:rPr>
        <w:t>Q.</w:t>
      </w:r>
      <w:r w:rsidRPr="00C73973">
        <w:rPr>
          <w:b/>
        </w:rPr>
        <w:tab/>
        <w:t xml:space="preserve">What type of information will this report include </w:t>
      </w:r>
      <w:r w:rsidR="00DE77E1" w:rsidRPr="00C73973">
        <w:rPr>
          <w:b/>
        </w:rPr>
        <w:t xml:space="preserve">on capital additions? </w:t>
      </w:r>
    </w:p>
    <w:p w:rsidR="005E5AA3" w:rsidRPr="00C73973" w:rsidRDefault="005E5AA3" w:rsidP="00281074">
      <w:pPr>
        <w:suppressAutoHyphens/>
        <w:spacing w:line="480" w:lineRule="auto"/>
        <w:ind w:firstLine="720"/>
        <w:jc w:val="both"/>
      </w:pPr>
      <w:r w:rsidRPr="00C73973">
        <w:lastRenderedPageBreak/>
        <w:t>A.</w:t>
      </w:r>
      <w:r w:rsidRPr="00C73973">
        <w:tab/>
        <w:t xml:space="preserve">This report will include similar information regarding </w:t>
      </w:r>
      <w:r w:rsidRPr="00C73973">
        <w:rPr>
          <w:u w:val="single"/>
        </w:rPr>
        <w:t>transfers to plant</w:t>
      </w:r>
      <w:r w:rsidR="00106466" w:rsidRPr="00C73973">
        <w:t xml:space="preserve">, </w:t>
      </w:r>
      <w:r w:rsidRPr="00C73973">
        <w:t xml:space="preserve">as the Company has provided in </w:t>
      </w:r>
      <w:r w:rsidR="00202FAE">
        <w:t xml:space="preserve">previous </w:t>
      </w:r>
      <w:r w:rsidRPr="00C73973">
        <w:t xml:space="preserve">reports </w:t>
      </w:r>
      <w:r w:rsidR="00C60E41" w:rsidRPr="00C73973">
        <w:t xml:space="preserve">where this Commission required certain annual reporting </w:t>
      </w:r>
      <w:r w:rsidR="00FE14DE" w:rsidRPr="00C73973">
        <w:t>to support a</w:t>
      </w:r>
      <w:r w:rsidR="00C60E41" w:rsidRPr="00C73973">
        <w:t xml:space="preserve"> multi-year rate plan.</w:t>
      </w:r>
      <w:r w:rsidR="001C420A" w:rsidRPr="001C420A">
        <w:rPr>
          <w:rStyle w:val="FootnoteReference"/>
        </w:rPr>
        <w:t xml:space="preserve"> </w:t>
      </w:r>
      <w:r w:rsidR="001C420A" w:rsidRPr="00C73973">
        <w:rPr>
          <w:rStyle w:val="FootnoteReference"/>
        </w:rPr>
        <w:footnoteReference w:id="8"/>
      </w:r>
      <w:r w:rsidR="00C60E41" w:rsidRPr="00C73973">
        <w:t xml:space="preserve"> </w:t>
      </w:r>
    </w:p>
    <w:p w:rsidR="00435706" w:rsidRPr="00C73973" w:rsidRDefault="00435706" w:rsidP="00277436">
      <w:pPr>
        <w:pStyle w:val="BodyTextIndent2"/>
        <w:tabs>
          <w:tab w:val="clear" w:pos="1260"/>
          <w:tab w:val="left" w:pos="1440"/>
        </w:tabs>
        <w:ind w:left="0" w:firstLine="720"/>
        <w:rPr>
          <w:b/>
          <w:bCs/>
        </w:rPr>
      </w:pPr>
      <w:r w:rsidRPr="00C73973">
        <w:rPr>
          <w:b/>
          <w:bCs/>
        </w:rPr>
        <w:t>Q.</w:t>
      </w:r>
      <w:r w:rsidRPr="00C73973">
        <w:rPr>
          <w:b/>
          <w:bCs/>
        </w:rPr>
        <w:tab/>
        <w:t xml:space="preserve">Does this conclude your </w:t>
      </w:r>
      <w:r w:rsidR="005A2A7F" w:rsidRPr="00C73973">
        <w:rPr>
          <w:b/>
          <w:bCs/>
        </w:rPr>
        <w:t>pre</w:t>
      </w:r>
      <w:r w:rsidR="00024CC7" w:rsidRPr="00C73973">
        <w:rPr>
          <w:b/>
          <w:bCs/>
        </w:rPr>
        <w:t>-</w:t>
      </w:r>
      <w:r w:rsidR="005A2A7F" w:rsidRPr="00C73973">
        <w:rPr>
          <w:b/>
          <w:bCs/>
        </w:rPr>
        <w:t>filed direct</w:t>
      </w:r>
      <w:r w:rsidRPr="00C73973">
        <w:rPr>
          <w:b/>
          <w:bCs/>
        </w:rPr>
        <w:t xml:space="preserve"> testimony?</w:t>
      </w:r>
    </w:p>
    <w:p w:rsidR="00435706" w:rsidRPr="00C73973" w:rsidRDefault="00435706" w:rsidP="00296150">
      <w:pPr>
        <w:pStyle w:val="BodyText2"/>
        <w:tabs>
          <w:tab w:val="left" w:pos="1440"/>
        </w:tabs>
        <w:ind w:firstLine="720"/>
      </w:pPr>
      <w:r w:rsidRPr="00C73973">
        <w:t>A.</w:t>
      </w:r>
      <w:r w:rsidRPr="00C73973">
        <w:tab/>
        <w:t>Yes, it does.</w:t>
      </w:r>
    </w:p>
    <w:sectPr w:rsidR="00435706" w:rsidRPr="00C73973" w:rsidSect="00EA7DA2">
      <w:footerReference w:type="first" r:id="rId21"/>
      <w:pgSz w:w="12240" w:h="15840" w:code="1"/>
      <w:pgMar w:top="1440" w:right="1440" w:bottom="1584" w:left="1872" w:header="720" w:footer="360" w:gutter="0"/>
      <w:lnNumType w:countBy="1" w:distance="43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A6" w:rsidRDefault="00696FA6">
      <w:r>
        <w:separator/>
      </w:r>
    </w:p>
  </w:endnote>
  <w:endnote w:type="continuationSeparator" w:id="0">
    <w:p w:rsidR="00696FA6" w:rsidRDefault="0069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Pr="00D904C9" w:rsidRDefault="00696FA6" w:rsidP="00410453">
    <w:pPr>
      <w:pStyle w:val="Footer"/>
      <w:tabs>
        <w:tab w:val="clear" w:pos="4320"/>
        <w:tab w:val="clear" w:pos="8640"/>
        <w:tab w:val="left" w:pos="180"/>
        <w:tab w:val="right" w:pos="9360"/>
      </w:tabs>
    </w:pPr>
    <w:r w:rsidRPr="00D904C9">
      <w:t>Direct Testi</w:t>
    </w:r>
    <w:r>
      <w:t>mony of Karen K. Schuh</w:t>
    </w:r>
  </w:p>
  <w:p w:rsidR="00696FA6" w:rsidRPr="00D904C9" w:rsidRDefault="00696FA6" w:rsidP="00410453">
    <w:pPr>
      <w:pStyle w:val="Footer"/>
      <w:tabs>
        <w:tab w:val="clear" w:pos="4320"/>
        <w:tab w:val="clear" w:pos="8640"/>
        <w:tab w:val="left" w:pos="180"/>
        <w:tab w:val="right" w:pos="9360"/>
      </w:tabs>
      <w:rPr>
        <w:rStyle w:val="PageNumber"/>
        <w:lang w:val="fr-FR"/>
      </w:rPr>
    </w:pPr>
    <w:r w:rsidRPr="00D904C9">
      <w:rPr>
        <w:lang w:val="fr-FR"/>
      </w:rPr>
      <w:t>Avista Corporation</w:t>
    </w:r>
  </w:p>
  <w:p w:rsidR="00696FA6" w:rsidRPr="00BC6BB7" w:rsidRDefault="00696FA6" w:rsidP="00AE6EFD">
    <w:pPr>
      <w:pStyle w:val="Footer"/>
      <w:tabs>
        <w:tab w:val="clear" w:pos="4320"/>
        <w:tab w:val="clear" w:pos="8640"/>
        <w:tab w:val="left" w:pos="180"/>
        <w:tab w:val="right" w:pos="8910"/>
      </w:tabs>
      <w:rPr>
        <w:lang w:val="fr-FR"/>
      </w:rPr>
    </w:pPr>
    <w:proofErr w:type="spellStart"/>
    <w:r w:rsidRPr="00D904C9">
      <w:rPr>
        <w:lang w:val="fr-FR"/>
      </w:rPr>
      <w:t>Docket</w:t>
    </w:r>
    <w:proofErr w:type="spellEnd"/>
    <w:r w:rsidRPr="00D904C9">
      <w:rPr>
        <w:lang w:val="fr-FR"/>
      </w:rPr>
      <w:t xml:space="preserve"> Nos. </w:t>
    </w:r>
    <w:r>
      <w:rPr>
        <w:lang w:val="fr-FR"/>
      </w:rPr>
      <w:t>UE-1</w:t>
    </w:r>
    <w:r w:rsidR="0022463C">
      <w:rPr>
        <w:lang w:val="fr-FR"/>
      </w:rPr>
      <w:t>7</w:t>
    </w:r>
    <w:r w:rsidRPr="00BC6BB7">
      <w:rPr>
        <w:lang w:val="fr-FR"/>
      </w:rPr>
      <w:t>_______ &amp; UG-1</w:t>
    </w:r>
    <w:r w:rsidR="0022463C">
      <w:rPr>
        <w:lang w:val="fr-FR"/>
      </w:rPr>
      <w:t>7</w:t>
    </w:r>
    <w:r w:rsidRPr="00BC6BB7">
      <w:rPr>
        <w:lang w:val="fr-FR"/>
      </w:rPr>
      <w:t>_______</w:t>
    </w:r>
    <w:r w:rsidRPr="00877B33">
      <w:rPr>
        <w:lang w:val="fr-FR"/>
      </w:rPr>
      <w:t xml:space="preserve"> </w:t>
    </w:r>
    <w:r>
      <w:rPr>
        <w:lang w:val="fr-FR"/>
      </w:rPr>
      <w:tab/>
    </w:r>
    <w:r w:rsidRPr="00D904C9">
      <w:rPr>
        <w:lang w:val="fr-FR"/>
      </w:rPr>
      <w:t xml:space="preserve">Page </w:t>
    </w:r>
    <w:r w:rsidRPr="00D904C9">
      <w:rPr>
        <w:rStyle w:val="PageNumber"/>
      </w:rPr>
      <w:fldChar w:fldCharType="begin"/>
    </w:r>
    <w:r w:rsidRPr="00D904C9">
      <w:rPr>
        <w:rStyle w:val="PageNumber"/>
        <w:lang w:val="fr-FR"/>
      </w:rPr>
      <w:instrText xml:space="preserve"> PAGE </w:instrText>
    </w:r>
    <w:r w:rsidRPr="00D904C9">
      <w:rPr>
        <w:rStyle w:val="PageNumber"/>
      </w:rPr>
      <w:fldChar w:fldCharType="separate"/>
    </w:r>
    <w:r w:rsidR="00BB1C83">
      <w:rPr>
        <w:rStyle w:val="PageNumber"/>
        <w:noProof/>
        <w:lang w:val="fr-FR"/>
      </w:rPr>
      <w:t>20</w:t>
    </w:r>
    <w:r w:rsidRPr="00D904C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Pr="00D904C9" w:rsidRDefault="00696FA6" w:rsidP="00F41BE5">
    <w:pPr>
      <w:pStyle w:val="Footer"/>
      <w:tabs>
        <w:tab w:val="clear" w:pos="4320"/>
        <w:tab w:val="clear" w:pos="8640"/>
        <w:tab w:val="left" w:pos="180"/>
        <w:tab w:val="right" w:pos="8910"/>
      </w:tabs>
    </w:pPr>
    <w:r w:rsidRPr="00D904C9">
      <w:t>Dire</w:t>
    </w:r>
    <w:r>
      <w:t>ct Testimony of Karen K. Schuh</w:t>
    </w:r>
  </w:p>
  <w:p w:rsidR="00696FA6" w:rsidRDefault="00696FA6" w:rsidP="00145DEF">
    <w:pPr>
      <w:pStyle w:val="Footer"/>
      <w:tabs>
        <w:tab w:val="clear" w:pos="4320"/>
        <w:tab w:val="clear" w:pos="8640"/>
        <w:tab w:val="left" w:pos="180"/>
        <w:tab w:val="right" w:pos="9360"/>
      </w:tabs>
      <w:rPr>
        <w:lang w:val="fr-FR"/>
      </w:rPr>
    </w:pPr>
    <w:r w:rsidRPr="00D904C9">
      <w:rPr>
        <w:lang w:val="fr-FR"/>
      </w:rPr>
      <w:t>Avista Corporation</w:t>
    </w:r>
  </w:p>
  <w:p w:rsidR="00696FA6" w:rsidRPr="00F41BE5" w:rsidRDefault="00696FA6" w:rsidP="00F41BE5">
    <w:pPr>
      <w:pStyle w:val="Footer"/>
      <w:tabs>
        <w:tab w:val="clear" w:pos="4320"/>
        <w:tab w:val="clear" w:pos="8640"/>
        <w:tab w:val="left" w:pos="180"/>
        <w:tab w:val="right" w:pos="8910"/>
      </w:tabs>
      <w:rPr>
        <w:lang w:val="fr-FR"/>
      </w:rPr>
    </w:pPr>
    <w:proofErr w:type="spellStart"/>
    <w:r w:rsidRPr="00D904C9">
      <w:rPr>
        <w:lang w:val="fr-FR"/>
      </w:rPr>
      <w:t>Docket</w:t>
    </w:r>
    <w:proofErr w:type="spellEnd"/>
    <w:r w:rsidRPr="00D904C9">
      <w:rPr>
        <w:lang w:val="fr-FR"/>
      </w:rPr>
      <w:t xml:space="preserve"> Nos. </w:t>
    </w:r>
    <w:r w:rsidRPr="00D904C9">
      <w:t>UE-1</w:t>
    </w:r>
    <w:r w:rsidR="0022463C">
      <w:t>7</w:t>
    </w:r>
    <w:r w:rsidRPr="00D904C9">
      <w:t>_______ &amp; UG-1</w:t>
    </w:r>
    <w:r w:rsidR="0022463C">
      <w:t>7</w:t>
    </w:r>
    <w:r w:rsidRPr="00D904C9">
      <w:t>_______</w:t>
    </w:r>
    <w:r>
      <w:tab/>
    </w:r>
    <w:r w:rsidRPr="00D904C9">
      <w:rPr>
        <w:lang w:val="fr-FR"/>
      </w:rPr>
      <w:t xml:space="preserve">Page </w:t>
    </w:r>
    <w:r w:rsidRPr="00D904C9">
      <w:rPr>
        <w:rStyle w:val="PageNumber"/>
      </w:rPr>
      <w:fldChar w:fldCharType="begin"/>
    </w:r>
    <w:r w:rsidRPr="00D904C9">
      <w:rPr>
        <w:rStyle w:val="PageNumber"/>
        <w:lang w:val="fr-FR"/>
      </w:rPr>
      <w:instrText xml:space="preserve"> PAGE </w:instrText>
    </w:r>
    <w:r w:rsidRPr="00D904C9">
      <w:rPr>
        <w:rStyle w:val="PageNumber"/>
      </w:rPr>
      <w:fldChar w:fldCharType="separate"/>
    </w:r>
    <w:r w:rsidR="00BB1C83">
      <w:rPr>
        <w:rStyle w:val="PageNumber"/>
        <w:noProof/>
        <w:lang w:val="fr-FR"/>
      </w:rPr>
      <w:t>1</w:t>
    </w:r>
    <w:r w:rsidRPr="00D904C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A6" w:rsidRDefault="00696FA6">
      <w:r>
        <w:separator/>
      </w:r>
    </w:p>
  </w:footnote>
  <w:footnote w:type="continuationSeparator" w:id="0">
    <w:p w:rsidR="00696FA6" w:rsidRDefault="00696FA6">
      <w:r>
        <w:continuationSeparator/>
      </w:r>
    </w:p>
  </w:footnote>
  <w:footnote w:id="1">
    <w:p w:rsidR="0049689D" w:rsidRDefault="0049689D">
      <w:pPr>
        <w:pStyle w:val="FootnoteText"/>
      </w:pPr>
      <w:r>
        <w:rPr>
          <w:rStyle w:val="FootnoteReference"/>
        </w:rPr>
        <w:footnoteRef/>
      </w:r>
      <w:r w:rsidR="007C049E">
        <w:t xml:space="preserve"> Company</w:t>
      </w:r>
      <w:r>
        <w:t xml:space="preserve"> witnesses Mr. Kinney, Ms. Rosentrater and Mr. Kensok</w:t>
      </w:r>
      <w:r w:rsidR="007C049E">
        <w:t xml:space="preserve"> sponsor testimony explaining the Company’s capital investments</w:t>
      </w:r>
      <w:r>
        <w:t xml:space="preserve">. </w:t>
      </w:r>
    </w:p>
  </w:footnote>
  <w:footnote w:id="2">
    <w:p w:rsidR="0086145C" w:rsidRDefault="0086145C" w:rsidP="004B60E8">
      <w:pPr>
        <w:pStyle w:val="FootnoteText"/>
        <w:jc w:val="both"/>
      </w:pPr>
      <w:r w:rsidRPr="004B60E8">
        <w:rPr>
          <w:rStyle w:val="FootnoteReference"/>
        </w:rPr>
        <w:footnoteRef/>
      </w:r>
      <w:r w:rsidRPr="004B60E8">
        <w:t xml:space="preserve"> References to “all” plant within this testimony refer to all plant excluding the Company’s Advanced Metering Infrastructure (“AMI”) project. </w:t>
      </w:r>
      <w:r w:rsidR="004B60E8" w:rsidRPr="004B60E8">
        <w:t>Avista has excluded AMI investment from this general rate case, and has requested separate regulatory accounting treatment for AMI through an accounting petition filed May 1, 2017 in Docket Nos. UE-170327 and UG-170328.</w:t>
      </w:r>
      <w:r w:rsidR="004B60E8">
        <w:t xml:space="preserve"> </w:t>
      </w:r>
    </w:p>
  </w:footnote>
  <w:footnote w:id="3">
    <w:p w:rsidR="002A7DA3" w:rsidRDefault="002A7DA3" w:rsidP="000B306A">
      <w:pPr>
        <w:pStyle w:val="FootnoteText"/>
        <w:jc w:val="both"/>
      </w:pPr>
      <w:r>
        <w:rPr>
          <w:rStyle w:val="FootnoteReference"/>
        </w:rPr>
        <w:footnoteRef/>
      </w:r>
      <w:r>
        <w:t xml:space="preserve"> My reference to rate base reflects net plant after ADFIT. My rate base figures do not include working capital and other adjustments that are made to rate base. </w:t>
      </w:r>
    </w:p>
  </w:footnote>
  <w:footnote w:id="4">
    <w:p w:rsidR="000B306A" w:rsidRDefault="000B306A" w:rsidP="000B306A">
      <w:pPr>
        <w:pStyle w:val="FootnoteText"/>
        <w:jc w:val="both"/>
      </w:pPr>
      <w:r>
        <w:rPr>
          <w:rStyle w:val="FootnoteReference"/>
        </w:rPr>
        <w:footnoteRef/>
      </w:r>
      <w:r>
        <w:t xml:space="preserve"> The </w:t>
      </w:r>
      <w:r>
        <w:rPr>
          <w:bCs/>
        </w:rPr>
        <w:t xml:space="preserve">Company reviewed planned capital projects from January 1, 2017 through December 31, 2017.  Based on </w:t>
      </w:r>
      <w:r w:rsidRPr="00374A18">
        <w:rPr>
          <w:bCs/>
        </w:rPr>
        <w:t>Commission Order 05</w:t>
      </w:r>
      <w:r>
        <w:rPr>
          <w:bCs/>
        </w:rPr>
        <w:t>, Dockets UE-150204/UG-150205, t</w:t>
      </w:r>
      <w:r w:rsidRPr="000A0706">
        <w:rPr>
          <w:bCs/>
        </w:rPr>
        <w:t>he</w:t>
      </w:r>
      <w:r>
        <w:rPr>
          <w:bCs/>
        </w:rPr>
        <w:t xml:space="preserve"> Company identified electric and natural gas Pro Forma capital projects that met the threshold of one-half of one percent of the Company’s rate base (i.e., above $6.9 million for electric and $1.3 million for natural gas).</w:t>
      </w:r>
    </w:p>
  </w:footnote>
  <w:footnote w:id="5">
    <w:p w:rsidR="000B016B" w:rsidRDefault="000B016B" w:rsidP="001537D1">
      <w:pPr>
        <w:pStyle w:val="FootnoteText"/>
        <w:jc w:val="both"/>
      </w:pPr>
      <w:r w:rsidRPr="000B7322">
        <w:rPr>
          <w:rStyle w:val="FootnoteReference"/>
        </w:rPr>
        <w:footnoteRef/>
      </w:r>
      <w:r w:rsidRPr="000B7322">
        <w:rPr>
          <w:rStyle w:val="FootnoteReference"/>
        </w:rPr>
        <w:t xml:space="preserve"> </w:t>
      </w:r>
      <w:r w:rsidR="000C73E6">
        <w:t>The Company reviewed large</w:t>
      </w:r>
      <w:r>
        <w:t xml:space="preserve"> capital additions in 2017 </w:t>
      </w:r>
      <w:r w:rsidRPr="00A55750">
        <w:t xml:space="preserve">to determine any offsets (e.g., reduced O&amp;M costs, reduced load losses, etc.). Maintenance records were reviewed to determine whether any specific maintenance costs </w:t>
      </w:r>
      <w:r>
        <w:t>were incurred in the test year</w:t>
      </w:r>
      <w:r w:rsidRPr="00A55750">
        <w:t xml:space="preserve"> that would be reduced or eliminated b</w:t>
      </w:r>
      <w:r w:rsidR="00EF40CD">
        <w:t>y the investment</w:t>
      </w:r>
      <w:r w:rsidRPr="00A55750">
        <w:t xml:space="preserve">. Those costs were quantified and included as a reduction to O&amp;M costs in the </w:t>
      </w:r>
      <w:r w:rsidR="00EA2B4C">
        <w:t>P</w:t>
      </w:r>
      <w:r w:rsidR="00EA2B4C" w:rsidRPr="00A55750">
        <w:t xml:space="preserve">ro </w:t>
      </w:r>
      <w:r w:rsidR="00EA2B4C">
        <w:t>F</w:t>
      </w:r>
      <w:r w:rsidR="00EA2B4C" w:rsidRPr="00A55750">
        <w:t xml:space="preserve">orma </w:t>
      </w:r>
      <w:r w:rsidRPr="00A55750">
        <w:t xml:space="preserve">O&amp;M Savings </w:t>
      </w:r>
      <w:r>
        <w:t>adjustment included by Ms. Andrews</w:t>
      </w:r>
      <w:r w:rsidRPr="00A55750">
        <w:t xml:space="preserve"> as a part of her </w:t>
      </w:r>
      <w:r w:rsidR="00010D4E">
        <w:t xml:space="preserve">End of Period Rate Base </w:t>
      </w:r>
      <w:r w:rsidRPr="00A55750">
        <w:t>Study. In addition, the output from generation assets is included in the AURORA</w:t>
      </w:r>
      <w:r w:rsidRPr="00A55750">
        <w:rPr>
          <w:vertAlign w:val="subscript"/>
        </w:rPr>
        <w:t>XMP</w:t>
      </w:r>
      <w:r w:rsidRPr="00A55750">
        <w:t xml:space="preserve"> power cost model. Therefore, to the extent that the additional investments serve to either preserve or increase generation from the generation projects, the benefits are already reflected in the AURORA</w:t>
      </w:r>
      <w:r w:rsidRPr="00A55750">
        <w:rPr>
          <w:vertAlign w:val="subscript"/>
        </w:rPr>
        <w:t>XMP</w:t>
      </w:r>
      <w:r w:rsidRPr="00A55750">
        <w:t xml:space="preserve"> model.</w:t>
      </w:r>
    </w:p>
  </w:footnote>
  <w:footnote w:id="6">
    <w:p w:rsidR="007273EA" w:rsidRDefault="007273EA" w:rsidP="001537D1">
      <w:pPr>
        <w:pStyle w:val="FootnoteText"/>
        <w:jc w:val="both"/>
      </w:pPr>
      <w:r w:rsidRPr="004F6263">
        <w:rPr>
          <w:rStyle w:val="FootnoteReference"/>
        </w:rPr>
        <w:footnoteRef/>
      </w:r>
      <w:r w:rsidRPr="004F6263">
        <w:t xml:space="preserve"> The IRS extended b</w:t>
      </w:r>
      <w:r w:rsidR="00E14C76" w:rsidRPr="004F6263">
        <w:t>onus depreciation through 2019</w:t>
      </w:r>
      <w:r w:rsidR="00EA2B4C">
        <w:t>. T</w:t>
      </w:r>
      <w:r w:rsidR="00E14C76" w:rsidRPr="004F6263">
        <w:t>he Company has inclu</w:t>
      </w:r>
      <w:r w:rsidR="004F6263" w:rsidRPr="004F6263">
        <w:t xml:space="preserve">ded bonus </w:t>
      </w:r>
      <w:r w:rsidR="0086145C">
        <w:t>depreciation</w:t>
      </w:r>
      <w:r w:rsidR="004F6263" w:rsidRPr="004F6263">
        <w:t xml:space="preserve"> through 2019</w:t>
      </w:r>
      <w:r w:rsidR="00EA2B4C">
        <w:t xml:space="preserve"> within its capital adjustments. </w:t>
      </w:r>
    </w:p>
  </w:footnote>
  <w:footnote w:id="7">
    <w:p w:rsidR="00151255" w:rsidRDefault="00151255" w:rsidP="001537D1">
      <w:pPr>
        <w:pStyle w:val="FootnoteText"/>
        <w:jc w:val="both"/>
      </w:pPr>
      <w:r>
        <w:rPr>
          <w:rStyle w:val="FootnoteReference"/>
        </w:rPr>
        <w:footnoteRef/>
      </w:r>
      <w:r>
        <w:t xml:space="preserve"> </w:t>
      </w:r>
      <w:r w:rsidRPr="00C73973">
        <w:t xml:space="preserve">The Company used estimated retirements for the period January 1, 2017 through April 30, 2021, and then allocated these by functional group to service and </w:t>
      </w:r>
      <w:r w:rsidR="00EF40CD">
        <w:t xml:space="preserve">jurisdiction. Further detail has been </w:t>
      </w:r>
      <w:r w:rsidRPr="00C73973">
        <w:t>provided in my workpapers.</w:t>
      </w:r>
    </w:p>
  </w:footnote>
  <w:footnote w:id="8">
    <w:p w:rsidR="001C420A" w:rsidRDefault="001C420A" w:rsidP="001C420A">
      <w:pPr>
        <w:pStyle w:val="FootnoteText"/>
      </w:pPr>
      <w:r>
        <w:rPr>
          <w:rStyle w:val="FootnoteReference"/>
        </w:rPr>
        <w:footnoteRef/>
      </w:r>
      <w:r>
        <w:t xml:space="preserve"> Order 09</w:t>
      </w:r>
      <w:r w:rsidRPr="00C60E41">
        <w:t xml:space="preserve"> in Docket Nos. </w:t>
      </w:r>
      <w:r>
        <w:t xml:space="preserve"> UE-120436 a</w:t>
      </w:r>
      <w:bookmarkStart w:id="8" w:name="_GoBack"/>
      <w:bookmarkEnd w:id="8"/>
      <w:r>
        <w:t xml:space="preserve">nd UG-120437 </w:t>
      </w:r>
      <w:r w:rsidRPr="00C60E41">
        <w:rPr>
          <w:i/>
        </w:rPr>
        <w:t>(Consolidated)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Default="00696FA6" w:rsidP="00AA0996">
    <w:pPr>
      <w:pStyle w:val="Header"/>
      <w:jc w:val="right"/>
    </w:pPr>
    <w:proofErr w:type="spellStart"/>
    <w:r w:rsidRPr="007945B5">
      <w:t>Exh</w:t>
    </w:r>
    <w:proofErr w:type="spellEnd"/>
    <w:r w:rsidR="00B828B4">
      <w:t xml:space="preserve">. </w:t>
    </w:r>
    <w:r>
      <w:t>KKS</w:t>
    </w:r>
    <w:r w:rsidRPr="007945B5">
      <w:t>-</w:t>
    </w:r>
    <w:r>
      <w:t>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A6" w:rsidRDefault="00696FA6" w:rsidP="0002734A">
    <w:pPr>
      <w:pStyle w:val="Header"/>
      <w:tabs>
        <w:tab w:val="clear" w:pos="8640"/>
        <w:tab w:val="right" w:pos="9270"/>
      </w:tabs>
      <w:jc w:val="right"/>
    </w:pPr>
    <w:proofErr w:type="spellStart"/>
    <w:r>
      <w:t>E</w:t>
    </w:r>
    <w:r w:rsidR="00E222C1">
      <w:t>xh</w:t>
    </w:r>
    <w:proofErr w:type="spellEnd"/>
    <w:r>
      <w:t>.</w:t>
    </w:r>
    <w:r w:rsidR="00E222C1">
      <w:t xml:space="preserve"> KKS-1T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15:restartNumberingAfterBreak="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15:restartNumberingAfterBreak="0">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15:restartNumberingAfterBreak="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15:restartNumberingAfterBreak="0">
    <w:nsid w:val="540C2556"/>
    <w:multiLevelType w:val="hybridMultilevel"/>
    <w:tmpl w:val="7F3A6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47D0546"/>
    <w:multiLevelType w:val="hybridMultilevel"/>
    <w:tmpl w:val="34644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8" w15:restartNumberingAfterBreak="0">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D35CB6"/>
    <w:multiLevelType w:val="hybridMultilevel"/>
    <w:tmpl w:val="131EB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9691E"/>
    <w:multiLevelType w:val="hybridMultilevel"/>
    <w:tmpl w:val="03B8F23E"/>
    <w:lvl w:ilvl="0" w:tplc="E77874CA">
      <w:start w:val="1"/>
      <w:numFmt w:val="bullet"/>
      <w:lvlText w:val="•"/>
      <w:lvlJc w:val="left"/>
      <w:pPr>
        <w:tabs>
          <w:tab w:val="num" w:pos="720"/>
        </w:tabs>
        <w:ind w:left="720" w:hanging="360"/>
      </w:pPr>
      <w:rPr>
        <w:rFonts w:ascii="Arial" w:hAnsi="Arial" w:hint="default"/>
      </w:rPr>
    </w:lvl>
    <w:lvl w:ilvl="1" w:tplc="F13E7CEA" w:tentative="1">
      <w:start w:val="1"/>
      <w:numFmt w:val="bullet"/>
      <w:lvlText w:val="•"/>
      <w:lvlJc w:val="left"/>
      <w:pPr>
        <w:tabs>
          <w:tab w:val="num" w:pos="1440"/>
        </w:tabs>
        <w:ind w:left="1440" w:hanging="360"/>
      </w:pPr>
      <w:rPr>
        <w:rFonts w:ascii="Arial" w:hAnsi="Arial" w:hint="default"/>
      </w:rPr>
    </w:lvl>
    <w:lvl w:ilvl="2" w:tplc="A510E0A6" w:tentative="1">
      <w:start w:val="1"/>
      <w:numFmt w:val="bullet"/>
      <w:lvlText w:val="•"/>
      <w:lvlJc w:val="left"/>
      <w:pPr>
        <w:tabs>
          <w:tab w:val="num" w:pos="2160"/>
        </w:tabs>
        <w:ind w:left="2160" w:hanging="360"/>
      </w:pPr>
      <w:rPr>
        <w:rFonts w:ascii="Arial" w:hAnsi="Arial" w:hint="default"/>
      </w:rPr>
    </w:lvl>
    <w:lvl w:ilvl="3" w:tplc="C60E9B6A" w:tentative="1">
      <w:start w:val="1"/>
      <w:numFmt w:val="bullet"/>
      <w:lvlText w:val="•"/>
      <w:lvlJc w:val="left"/>
      <w:pPr>
        <w:tabs>
          <w:tab w:val="num" w:pos="2880"/>
        </w:tabs>
        <w:ind w:left="2880" w:hanging="360"/>
      </w:pPr>
      <w:rPr>
        <w:rFonts w:ascii="Arial" w:hAnsi="Arial" w:hint="default"/>
      </w:rPr>
    </w:lvl>
    <w:lvl w:ilvl="4" w:tplc="9EEEB11A" w:tentative="1">
      <w:start w:val="1"/>
      <w:numFmt w:val="bullet"/>
      <w:lvlText w:val="•"/>
      <w:lvlJc w:val="left"/>
      <w:pPr>
        <w:tabs>
          <w:tab w:val="num" w:pos="3600"/>
        </w:tabs>
        <w:ind w:left="3600" w:hanging="360"/>
      </w:pPr>
      <w:rPr>
        <w:rFonts w:ascii="Arial" w:hAnsi="Arial" w:hint="default"/>
      </w:rPr>
    </w:lvl>
    <w:lvl w:ilvl="5" w:tplc="CDAE0A66" w:tentative="1">
      <w:start w:val="1"/>
      <w:numFmt w:val="bullet"/>
      <w:lvlText w:val="•"/>
      <w:lvlJc w:val="left"/>
      <w:pPr>
        <w:tabs>
          <w:tab w:val="num" w:pos="4320"/>
        </w:tabs>
        <w:ind w:left="4320" w:hanging="360"/>
      </w:pPr>
      <w:rPr>
        <w:rFonts w:ascii="Arial" w:hAnsi="Arial" w:hint="default"/>
      </w:rPr>
    </w:lvl>
    <w:lvl w:ilvl="6" w:tplc="4FB659EE" w:tentative="1">
      <w:start w:val="1"/>
      <w:numFmt w:val="bullet"/>
      <w:lvlText w:val="•"/>
      <w:lvlJc w:val="left"/>
      <w:pPr>
        <w:tabs>
          <w:tab w:val="num" w:pos="5040"/>
        </w:tabs>
        <w:ind w:left="5040" w:hanging="360"/>
      </w:pPr>
      <w:rPr>
        <w:rFonts w:ascii="Arial" w:hAnsi="Arial" w:hint="default"/>
      </w:rPr>
    </w:lvl>
    <w:lvl w:ilvl="7" w:tplc="748A3C62" w:tentative="1">
      <w:start w:val="1"/>
      <w:numFmt w:val="bullet"/>
      <w:lvlText w:val="•"/>
      <w:lvlJc w:val="left"/>
      <w:pPr>
        <w:tabs>
          <w:tab w:val="num" w:pos="5760"/>
        </w:tabs>
        <w:ind w:left="5760" w:hanging="360"/>
      </w:pPr>
      <w:rPr>
        <w:rFonts w:ascii="Arial" w:hAnsi="Arial" w:hint="default"/>
      </w:rPr>
    </w:lvl>
    <w:lvl w:ilvl="8" w:tplc="C9FA158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21"/>
  </w:num>
  <w:num w:numId="4">
    <w:abstractNumId w:val="32"/>
  </w:num>
  <w:num w:numId="5">
    <w:abstractNumId w:val="12"/>
  </w:num>
  <w:num w:numId="6">
    <w:abstractNumId w:val="1"/>
  </w:num>
  <w:num w:numId="7">
    <w:abstractNumId w:val="29"/>
  </w:num>
  <w:num w:numId="8">
    <w:abstractNumId w:val="16"/>
  </w:num>
  <w:num w:numId="9">
    <w:abstractNumId w:val="31"/>
  </w:num>
  <w:num w:numId="10">
    <w:abstractNumId w:val="0"/>
  </w:num>
  <w:num w:numId="11">
    <w:abstractNumId w:val="2"/>
  </w:num>
  <w:num w:numId="12">
    <w:abstractNumId w:val="28"/>
  </w:num>
  <w:num w:numId="13">
    <w:abstractNumId w:val="24"/>
  </w:num>
  <w:num w:numId="14">
    <w:abstractNumId w:val="17"/>
  </w:num>
  <w:num w:numId="15">
    <w:abstractNumId w:val="27"/>
  </w:num>
  <w:num w:numId="16">
    <w:abstractNumId w:val="14"/>
  </w:num>
  <w:num w:numId="17">
    <w:abstractNumId w:val="15"/>
  </w:num>
  <w:num w:numId="18">
    <w:abstractNumId w:val="10"/>
  </w:num>
  <w:num w:numId="19">
    <w:abstractNumId w:val="25"/>
  </w:num>
  <w:num w:numId="20">
    <w:abstractNumId w:val="30"/>
  </w:num>
  <w:num w:numId="21">
    <w:abstractNumId w:val="9"/>
  </w:num>
  <w:num w:numId="22">
    <w:abstractNumId w:val="26"/>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 w:numId="32">
    <w:abstractNumId w:val="34"/>
  </w:num>
  <w:num w:numId="33">
    <w:abstractNumId w:val="22"/>
  </w:num>
  <w:num w:numId="34">
    <w:abstractNumId w:val="33"/>
  </w:num>
  <w:num w:numId="3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37"/>
    <w:rsid w:val="0000035F"/>
    <w:rsid w:val="000015D0"/>
    <w:rsid w:val="000016C8"/>
    <w:rsid w:val="000025CC"/>
    <w:rsid w:val="000033A7"/>
    <w:rsid w:val="00003FC5"/>
    <w:rsid w:val="00006AA6"/>
    <w:rsid w:val="00006C16"/>
    <w:rsid w:val="00007C57"/>
    <w:rsid w:val="00007DCA"/>
    <w:rsid w:val="0001097C"/>
    <w:rsid w:val="00010D4E"/>
    <w:rsid w:val="000116CA"/>
    <w:rsid w:val="000118D0"/>
    <w:rsid w:val="000119D1"/>
    <w:rsid w:val="00013CA6"/>
    <w:rsid w:val="00015E12"/>
    <w:rsid w:val="00016E13"/>
    <w:rsid w:val="000210C4"/>
    <w:rsid w:val="00021122"/>
    <w:rsid w:val="00021192"/>
    <w:rsid w:val="00021C4E"/>
    <w:rsid w:val="00021E20"/>
    <w:rsid w:val="000230EA"/>
    <w:rsid w:val="0002321A"/>
    <w:rsid w:val="00023A14"/>
    <w:rsid w:val="00024CC7"/>
    <w:rsid w:val="0002507C"/>
    <w:rsid w:val="000257F5"/>
    <w:rsid w:val="00026E54"/>
    <w:rsid w:val="00026F67"/>
    <w:rsid w:val="00027164"/>
    <w:rsid w:val="0002734A"/>
    <w:rsid w:val="0002798A"/>
    <w:rsid w:val="000300B8"/>
    <w:rsid w:val="00030590"/>
    <w:rsid w:val="00030673"/>
    <w:rsid w:val="00031A8D"/>
    <w:rsid w:val="00032744"/>
    <w:rsid w:val="0003294C"/>
    <w:rsid w:val="000331E7"/>
    <w:rsid w:val="000333A8"/>
    <w:rsid w:val="00033A70"/>
    <w:rsid w:val="00035601"/>
    <w:rsid w:val="00036F0A"/>
    <w:rsid w:val="00040031"/>
    <w:rsid w:val="00040C62"/>
    <w:rsid w:val="00041E5F"/>
    <w:rsid w:val="00041ECC"/>
    <w:rsid w:val="00044C99"/>
    <w:rsid w:val="00044D4B"/>
    <w:rsid w:val="00046A38"/>
    <w:rsid w:val="00046EDD"/>
    <w:rsid w:val="000471D7"/>
    <w:rsid w:val="000519DE"/>
    <w:rsid w:val="0005237C"/>
    <w:rsid w:val="000542D4"/>
    <w:rsid w:val="00054501"/>
    <w:rsid w:val="00054F28"/>
    <w:rsid w:val="00054F2D"/>
    <w:rsid w:val="000558CC"/>
    <w:rsid w:val="00055A11"/>
    <w:rsid w:val="0005723D"/>
    <w:rsid w:val="000605FE"/>
    <w:rsid w:val="00060CDB"/>
    <w:rsid w:val="0006376C"/>
    <w:rsid w:val="00064581"/>
    <w:rsid w:val="00064B5A"/>
    <w:rsid w:val="0006541A"/>
    <w:rsid w:val="00067279"/>
    <w:rsid w:val="000717F7"/>
    <w:rsid w:val="00073CB8"/>
    <w:rsid w:val="000752C9"/>
    <w:rsid w:val="00075D5A"/>
    <w:rsid w:val="00076F75"/>
    <w:rsid w:val="00077387"/>
    <w:rsid w:val="00077BBE"/>
    <w:rsid w:val="00080843"/>
    <w:rsid w:val="00080FD9"/>
    <w:rsid w:val="00081998"/>
    <w:rsid w:val="00081E17"/>
    <w:rsid w:val="0008263D"/>
    <w:rsid w:val="00083671"/>
    <w:rsid w:val="0008400A"/>
    <w:rsid w:val="000848B9"/>
    <w:rsid w:val="00084FDA"/>
    <w:rsid w:val="00085A7D"/>
    <w:rsid w:val="000867CA"/>
    <w:rsid w:val="000873EE"/>
    <w:rsid w:val="00087599"/>
    <w:rsid w:val="00087DEA"/>
    <w:rsid w:val="000906A8"/>
    <w:rsid w:val="00091165"/>
    <w:rsid w:val="00093A14"/>
    <w:rsid w:val="00094F2D"/>
    <w:rsid w:val="000950EB"/>
    <w:rsid w:val="00097A07"/>
    <w:rsid w:val="00097A98"/>
    <w:rsid w:val="000A25BF"/>
    <w:rsid w:val="000A3E11"/>
    <w:rsid w:val="000A58C6"/>
    <w:rsid w:val="000A69C3"/>
    <w:rsid w:val="000A76A1"/>
    <w:rsid w:val="000B016B"/>
    <w:rsid w:val="000B29C1"/>
    <w:rsid w:val="000B306A"/>
    <w:rsid w:val="000B63E1"/>
    <w:rsid w:val="000B6812"/>
    <w:rsid w:val="000B7322"/>
    <w:rsid w:val="000C1B47"/>
    <w:rsid w:val="000C3018"/>
    <w:rsid w:val="000C3663"/>
    <w:rsid w:val="000C43F9"/>
    <w:rsid w:val="000C61AB"/>
    <w:rsid w:val="000C73E6"/>
    <w:rsid w:val="000D13AF"/>
    <w:rsid w:val="000D213D"/>
    <w:rsid w:val="000D3433"/>
    <w:rsid w:val="000D448B"/>
    <w:rsid w:val="000D4D51"/>
    <w:rsid w:val="000D61BB"/>
    <w:rsid w:val="000D6B0A"/>
    <w:rsid w:val="000D7190"/>
    <w:rsid w:val="000E0F90"/>
    <w:rsid w:val="000E1E5D"/>
    <w:rsid w:val="000E2061"/>
    <w:rsid w:val="000E448A"/>
    <w:rsid w:val="000E4A23"/>
    <w:rsid w:val="000E4EA5"/>
    <w:rsid w:val="000E5967"/>
    <w:rsid w:val="000E6976"/>
    <w:rsid w:val="000E6EAF"/>
    <w:rsid w:val="000F139B"/>
    <w:rsid w:val="000F1DB3"/>
    <w:rsid w:val="000F25D6"/>
    <w:rsid w:val="000F59F1"/>
    <w:rsid w:val="000F629E"/>
    <w:rsid w:val="000F6C26"/>
    <w:rsid w:val="000F7689"/>
    <w:rsid w:val="000F7DB8"/>
    <w:rsid w:val="00103242"/>
    <w:rsid w:val="00106466"/>
    <w:rsid w:val="0010686E"/>
    <w:rsid w:val="00107BA3"/>
    <w:rsid w:val="00110A29"/>
    <w:rsid w:val="00111299"/>
    <w:rsid w:val="00113222"/>
    <w:rsid w:val="00115B95"/>
    <w:rsid w:val="00115E94"/>
    <w:rsid w:val="00115F0A"/>
    <w:rsid w:val="001166CD"/>
    <w:rsid w:val="0012048F"/>
    <w:rsid w:val="001219CE"/>
    <w:rsid w:val="001223A0"/>
    <w:rsid w:val="00122624"/>
    <w:rsid w:val="001248C1"/>
    <w:rsid w:val="0012572F"/>
    <w:rsid w:val="00127314"/>
    <w:rsid w:val="00127CDD"/>
    <w:rsid w:val="001315D2"/>
    <w:rsid w:val="0013247D"/>
    <w:rsid w:val="00133BEF"/>
    <w:rsid w:val="001364C1"/>
    <w:rsid w:val="00136777"/>
    <w:rsid w:val="00137142"/>
    <w:rsid w:val="0013788C"/>
    <w:rsid w:val="00137E8F"/>
    <w:rsid w:val="00140817"/>
    <w:rsid w:val="00140858"/>
    <w:rsid w:val="00142684"/>
    <w:rsid w:val="00142816"/>
    <w:rsid w:val="001428EC"/>
    <w:rsid w:val="00143126"/>
    <w:rsid w:val="00143C35"/>
    <w:rsid w:val="00145088"/>
    <w:rsid w:val="00145DEF"/>
    <w:rsid w:val="00146C41"/>
    <w:rsid w:val="0014751D"/>
    <w:rsid w:val="00147E11"/>
    <w:rsid w:val="00150394"/>
    <w:rsid w:val="00150F10"/>
    <w:rsid w:val="00151255"/>
    <w:rsid w:val="001522BE"/>
    <w:rsid w:val="00152598"/>
    <w:rsid w:val="00152FA8"/>
    <w:rsid w:val="001537D1"/>
    <w:rsid w:val="00154A73"/>
    <w:rsid w:val="001551C4"/>
    <w:rsid w:val="00155C92"/>
    <w:rsid w:val="001617A2"/>
    <w:rsid w:val="001630DA"/>
    <w:rsid w:val="00163185"/>
    <w:rsid w:val="001636A8"/>
    <w:rsid w:val="00164D21"/>
    <w:rsid w:val="00166EDB"/>
    <w:rsid w:val="00167E7B"/>
    <w:rsid w:val="001703B6"/>
    <w:rsid w:val="0017098B"/>
    <w:rsid w:val="00171CEB"/>
    <w:rsid w:val="00171E75"/>
    <w:rsid w:val="0017208B"/>
    <w:rsid w:val="00173504"/>
    <w:rsid w:val="001749CE"/>
    <w:rsid w:val="001770EE"/>
    <w:rsid w:val="001803F9"/>
    <w:rsid w:val="0018050A"/>
    <w:rsid w:val="00180A93"/>
    <w:rsid w:val="001836ED"/>
    <w:rsid w:val="00183E92"/>
    <w:rsid w:val="001853C4"/>
    <w:rsid w:val="00185889"/>
    <w:rsid w:val="00185ACA"/>
    <w:rsid w:val="00186196"/>
    <w:rsid w:val="00186668"/>
    <w:rsid w:val="00187A8E"/>
    <w:rsid w:val="0019074F"/>
    <w:rsid w:val="00191021"/>
    <w:rsid w:val="0019114B"/>
    <w:rsid w:val="00191C6F"/>
    <w:rsid w:val="00192151"/>
    <w:rsid w:val="0019383E"/>
    <w:rsid w:val="00194221"/>
    <w:rsid w:val="00196156"/>
    <w:rsid w:val="00196D5C"/>
    <w:rsid w:val="001A01D7"/>
    <w:rsid w:val="001A12DB"/>
    <w:rsid w:val="001A1525"/>
    <w:rsid w:val="001A1FB1"/>
    <w:rsid w:val="001A238C"/>
    <w:rsid w:val="001A2F9A"/>
    <w:rsid w:val="001A2FBB"/>
    <w:rsid w:val="001A34F7"/>
    <w:rsid w:val="001A37ED"/>
    <w:rsid w:val="001A5F24"/>
    <w:rsid w:val="001B22B6"/>
    <w:rsid w:val="001B33FC"/>
    <w:rsid w:val="001B3838"/>
    <w:rsid w:val="001B73BA"/>
    <w:rsid w:val="001B7F50"/>
    <w:rsid w:val="001C092A"/>
    <w:rsid w:val="001C420A"/>
    <w:rsid w:val="001C4B44"/>
    <w:rsid w:val="001C5ADC"/>
    <w:rsid w:val="001C6B09"/>
    <w:rsid w:val="001C712C"/>
    <w:rsid w:val="001C7EFE"/>
    <w:rsid w:val="001D0F87"/>
    <w:rsid w:val="001D1799"/>
    <w:rsid w:val="001D1F4A"/>
    <w:rsid w:val="001D2507"/>
    <w:rsid w:val="001D59E0"/>
    <w:rsid w:val="001D68C0"/>
    <w:rsid w:val="001D72E9"/>
    <w:rsid w:val="001E0B1E"/>
    <w:rsid w:val="001E1E05"/>
    <w:rsid w:val="001E2D76"/>
    <w:rsid w:val="001E3221"/>
    <w:rsid w:val="001E45DE"/>
    <w:rsid w:val="001E5381"/>
    <w:rsid w:val="001E54DC"/>
    <w:rsid w:val="001E5B1C"/>
    <w:rsid w:val="001E5F55"/>
    <w:rsid w:val="001E7391"/>
    <w:rsid w:val="001F2140"/>
    <w:rsid w:val="001F3BEB"/>
    <w:rsid w:val="001F3C77"/>
    <w:rsid w:val="001F3D82"/>
    <w:rsid w:val="001F40A4"/>
    <w:rsid w:val="001F522F"/>
    <w:rsid w:val="001F59DB"/>
    <w:rsid w:val="001F7A04"/>
    <w:rsid w:val="0020201F"/>
    <w:rsid w:val="002028BB"/>
    <w:rsid w:val="00202FAE"/>
    <w:rsid w:val="002039CE"/>
    <w:rsid w:val="00203A63"/>
    <w:rsid w:val="00204B95"/>
    <w:rsid w:val="00205C3C"/>
    <w:rsid w:val="00206625"/>
    <w:rsid w:val="00206D72"/>
    <w:rsid w:val="00206E3C"/>
    <w:rsid w:val="00207612"/>
    <w:rsid w:val="00207776"/>
    <w:rsid w:val="00207B96"/>
    <w:rsid w:val="00211DA6"/>
    <w:rsid w:val="00213762"/>
    <w:rsid w:val="00214E5F"/>
    <w:rsid w:val="00215CCC"/>
    <w:rsid w:val="0021630A"/>
    <w:rsid w:val="00216EEA"/>
    <w:rsid w:val="00217883"/>
    <w:rsid w:val="00217917"/>
    <w:rsid w:val="00217F7F"/>
    <w:rsid w:val="00220767"/>
    <w:rsid w:val="00221585"/>
    <w:rsid w:val="0022193A"/>
    <w:rsid w:val="002223E1"/>
    <w:rsid w:val="0022241B"/>
    <w:rsid w:val="002232BF"/>
    <w:rsid w:val="002236C9"/>
    <w:rsid w:val="0022463C"/>
    <w:rsid w:val="00224CB4"/>
    <w:rsid w:val="0022508A"/>
    <w:rsid w:val="00225641"/>
    <w:rsid w:val="002268EE"/>
    <w:rsid w:val="00226E1A"/>
    <w:rsid w:val="00227922"/>
    <w:rsid w:val="002310F3"/>
    <w:rsid w:val="002323EA"/>
    <w:rsid w:val="00232853"/>
    <w:rsid w:val="002333F6"/>
    <w:rsid w:val="00234382"/>
    <w:rsid w:val="00236A74"/>
    <w:rsid w:val="0023734E"/>
    <w:rsid w:val="002416B1"/>
    <w:rsid w:val="002416C6"/>
    <w:rsid w:val="00242108"/>
    <w:rsid w:val="002425EF"/>
    <w:rsid w:val="00243461"/>
    <w:rsid w:val="00243E52"/>
    <w:rsid w:val="00244A3B"/>
    <w:rsid w:val="00244C0A"/>
    <w:rsid w:val="00247251"/>
    <w:rsid w:val="00247DAD"/>
    <w:rsid w:val="00250D66"/>
    <w:rsid w:val="002512E0"/>
    <w:rsid w:val="002518E3"/>
    <w:rsid w:val="00254483"/>
    <w:rsid w:val="00254729"/>
    <w:rsid w:val="002547C5"/>
    <w:rsid w:val="00254954"/>
    <w:rsid w:val="00254BC6"/>
    <w:rsid w:val="00255145"/>
    <w:rsid w:val="002556CA"/>
    <w:rsid w:val="0025608B"/>
    <w:rsid w:val="00257B27"/>
    <w:rsid w:val="00260043"/>
    <w:rsid w:val="00260BDF"/>
    <w:rsid w:val="00260D04"/>
    <w:rsid w:val="002639D2"/>
    <w:rsid w:val="00263F25"/>
    <w:rsid w:val="00265EEF"/>
    <w:rsid w:val="00266C5C"/>
    <w:rsid w:val="00267CB8"/>
    <w:rsid w:val="00270A7A"/>
    <w:rsid w:val="00272EF2"/>
    <w:rsid w:val="00273703"/>
    <w:rsid w:val="00273778"/>
    <w:rsid w:val="00274239"/>
    <w:rsid w:val="002749A0"/>
    <w:rsid w:val="002770A6"/>
    <w:rsid w:val="00277436"/>
    <w:rsid w:val="00281074"/>
    <w:rsid w:val="00282643"/>
    <w:rsid w:val="00282A8B"/>
    <w:rsid w:val="002846F5"/>
    <w:rsid w:val="0028564A"/>
    <w:rsid w:val="002862E3"/>
    <w:rsid w:val="002867DC"/>
    <w:rsid w:val="0028696B"/>
    <w:rsid w:val="002874F0"/>
    <w:rsid w:val="0029096C"/>
    <w:rsid w:val="002909ED"/>
    <w:rsid w:val="00294265"/>
    <w:rsid w:val="00295636"/>
    <w:rsid w:val="00296150"/>
    <w:rsid w:val="00296216"/>
    <w:rsid w:val="002A06E1"/>
    <w:rsid w:val="002A1A85"/>
    <w:rsid w:val="002A375D"/>
    <w:rsid w:val="002A3BB0"/>
    <w:rsid w:val="002A4362"/>
    <w:rsid w:val="002A77EB"/>
    <w:rsid w:val="002A7DA3"/>
    <w:rsid w:val="002B0EE8"/>
    <w:rsid w:val="002B2A5C"/>
    <w:rsid w:val="002B4F7F"/>
    <w:rsid w:val="002B7421"/>
    <w:rsid w:val="002B7B25"/>
    <w:rsid w:val="002B7B78"/>
    <w:rsid w:val="002C0E0A"/>
    <w:rsid w:val="002C169A"/>
    <w:rsid w:val="002C2920"/>
    <w:rsid w:val="002C3E1E"/>
    <w:rsid w:val="002C429D"/>
    <w:rsid w:val="002C4EE3"/>
    <w:rsid w:val="002C5F32"/>
    <w:rsid w:val="002C7EDB"/>
    <w:rsid w:val="002D4311"/>
    <w:rsid w:val="002D56B4"/>
    <w:rsid w:val="002D605C"/>
    <w:rsid w:val="002D6E70"/>
    <w:rsid w:val="002D7127"/>
    <w:rsid w:val="002D77BF"/>
    <w:rsid w:val="002E0D9B"/>
    <w:rsid w:val="002E2403"/>
    <w:rsid w:val="002E4197"/>
    <w:rsid w:val="002E58FD"/>
    <w:rsid w:val="002E64D4"/>
    <w:rsid w:val="002E7599"/>
    <w:rsid w:val="002E7A3B"/>
    <w:rsid w:val="002F0E35"/>
    <w:rsid w:val="002F41CC"/>
    <w:rsid w:val="002F5833"/>
    <w:rsid w:val="002F663C"/>
    <w:rsid w:val="002F673E"/>
    <w:rsid w:val="002F6F9A"/>
    <w:rsid w:val="00301822"/>
    <w:rsid w:val="00301D2F"/>
    <w:rsid w:val="003034AB"/>
    <w:rsid w:val="003036B1"/>
    <w:rsid w:val="00303D7D"/>
    <w:rsid w:val="00305131"/>
    <w:rsid w:val="00305558"/>
    <w:rsid w:val="00305825"/>
    <w:rsid w:val="0030619F"/>
    <w:rsid w:val="00310105"/>
    <w:rsid w:val="003109D2"/>
    <w:rsid w:val="00312861"/>
    <w:rsid w:val="00312A1D"/>
    <w:rsid w:val="0031323D"/>
    <w:rsid w:val="00313C12"/>
    <w:rsid w:val="00314BC1"/>
    <w:rsid w:val="00314C0A"/>
    <w:rsid w:val="00316CAE"/>
    <w:rsid w:val="00317089"/>
    <w:rsid w:val="00317B90"/>
    <w:rsid w:val="0032215D"/>
    <w:rsid w:val="00322332"/>
    <w:rsid w:val="003233C8"/>
    <w:rsid w:val="00323796"/>
    <w:rsid w:val="0032494A"/>
    <w:rsid w:val="00324D60"/>
    <w:rsid w:val="00326A8A"/>
    <w:rsid w:val="0033053B"/>
    <w:rsid w:val="003314E1"/>
    <w:rsid w:val="00331DAE"/>
    <w:rsid w:val="00331EC4"/>
    <w:rsid w:val="0033264A"/>
    <w:rsid w:val="003337E6"/>
    <w:rsid w:val="003338C7"/>
    <w:rsid w:val="00333AFD"/>
    <w:rsid w:val="00334007"/>
    <w:rsid w:val="003363CE"/>
    <w:rsid w:val="0034003F"/>
    <w:rsid w:val="00340163"/>
    <w:rsid w:val="003413DB"/>
    <w:rsid w:val="00344541"/>
    <w:rsid w:val="003461E8"/>
    <w:rsid w:val="003466BD"/>
    <w:rsid w:val="003505CF"/>
    <w:rsid w:val="003533D4"/>
    <w:rsid w:val="0035600E"/>
    <w:rsid w:val="0035634D"/>
    <w:rsid w:val="0035781E"/>
    <w:rsid w:val="00360EA2"/>
    <w:rsid w:val="00360F30"/>
    <w:rsid w:val="00363481"/>
    <w:rsid w:val="00363D0A"/>
    <w:rsid w:val="00364CBA"/>
    <w:rsid w:val="003708B5"/>
    <w:rsid w:val="00370A87"/>
    <w:rsid w:val="00371FDC"/>
    <w:rsid w:val="00373971"/>
    <w:rsid w:val="00374094"/>
    <w:rsid w:val="00374A18"/>
    <w:rsid w:val="0037638E"/>
    <w:rsid w:val="0037656A"/>
    <w:rsid w:val="003766DE"/>
    <w:rsid w:val="0038000F"/>
    <w:rsid w:val="00381803"/>
    <w:rsid w:val="0038237F"/>
    <w:rsid w:val="00382B34"/>
    <w:rsid w:val="00382DD9"/>
    <w:rsid w:val="00383864"/>
    <w:rsid w:val="00383E9D"/>
    <w:rsid w:val="0038498D"/>
    <w:rsid w:val="00384C6B"/>
    <w:rsid w:val="00384ED5"/>
    <w:rsid w:val="00385E98"/>
    <w:rsid w:val="00386186"/>
    <w:rsid w:val="00386C7F"/>
    <w:rsid w:val="00386D4E"/>
    <w:rsid w:val="003925FF"/>
    <w:rsid w:val="00394677"/>
    <w:rsid w:val="00395D30"/>
    <w:rsid w:val="00396795"/>
    <w:rsid w:val="003A4A08"/>
    <w:rsid w:val="003A60BA"/>
    <w:rsid w:val="003A7E91"/>
    <w:rsid w:val="003B05BC"/>
    <w:rsid w:val="003B0813"/>
    <w:rsid w:val="003B13DF"/>
    <w:rsid w:val="003B263B"/>
    <w:rsid w:val="003B3469"/>
    <w:rsid w:val="003B4069"/>
    <w:rsid w:val="003B4072"/>
    <w:rsid w:val="003B4193"/>
    <w:rsid w:val="003B476C"/>
    <w:rsid w:val="003C05EB"/>
    <w:rsid w:val="003C0999"/>
    <w:rsid w:val="003C12B5"/>
    <w:rsid w:val="003C15D5"/>
    <w:rsid w:val="003C237E"/>
    <w:rsid w:val="003C3698"/>
    <w:rsid w:val="003C3A6B"/>
    <w:rsid w:val="003C41A4"/>
    <w:rsid w:val="003C48FC"/>
    <w:rsid w:val="003C5B66"/>
    <w:rsid w:val="003C5F15"/>
    <w:rsid w:val="003D26C6"/>
    <w:rsid w:val="003D2969"/>
    <w:rsid w:val="003D2F62"/>
    <w:rsid w:val="003D2F6E"/>
    <w:rsid w:val="003D429E"/>
    <w:rsid w:val="003D6C92"/>
    <w:rsid w:val="003E046C"/>
    <w:rsid w:val="003E1B2F"/>
    <w:rsid w:val="003E2454"/>
    <w:rsid w:val="003E29B4"/>
    <w:rsid w:val="003E2C7A"/>
    <w:rsid w:val="003E4264"/>
    <w:rsid w:val="003E478E"/>
    <w:rsid w:val="003E58AF"/>
    <w:rsid w:val="003E643F"/>
    <w:rsid w:val="003E691A"/>
    <w:rsid w:val="003E762A"/>
    <w:rsid w:val="003E783A"/>
    <w:rsid w:val="003E7F0A"/>
    <w:rsid w:val="003F1068"/>
    <w:rsid w:val="003F1BE2"/>
    <w:rsid w:val="003F1C18"/>
    <w:rsid w:val="003F4844"/>
    <w:rsid w:val="003F6CEC"/>
    <w:rsid w:val="003F6E12"/>
    <w:rsid w:val="003F7A62"/>
    <w:rsid w:val="004007A3"/>
    <w:rsid w:val="00402846"/>
    <w:rsid w:val="004036CC"/>
    <w:rsid w:val="00404EDF"/>
    <w:rsid w:val="00405363"/>
    <w:rsid w:val="0040667C"/>
    <w:rsid w:val="00407309"/>
    <w:rsid w:val="00407C4B"/>
    <w:rsid w:val="00410453"/>
    <w:rsid w:val="004129E0"/>
    <w:rsid w:val="0041302D"/>
    <w:rsid w:val="00413E6F"/>
    <w:rsid w:val="0041447E"/>
    <w:rsid w:val="00416CDD"/>
    <w:rsid w:val="00416D62"/>
    <w:rsid w:val="00416E2D"/>
    <w:rsid w:val="00416FE6"/>
    <w:rsid w:val="00417138"/>
    <w:rsid w:val="004173B6"/>
    <w:rsid w:val="004204EB"/>
    <w:rsid w:val="00422189"/>
    <w:rsid w:val="00422DFB"/>
    <w:rsid w:val="00425F16"/>
    <w:rsid w:val="00426D7C"/>
    <w:rsid w:val="00427FAD"/>
    <w:rsid w:val="00431317"/>
    <w:rsid w:val="0043254D"/>
    <w:rsid w:val="00432F3D"/>
    <w:rsid w:val="004354F3"/>
    <w:rsid w:val="00435706"/>
    <w:rsid w:val="00435862"/>
    <w:rsid w:val="00437B7B"/>
    <w:rsid w:val="00440714"/>
    <w:rsid w:val="0044169E"/>
    <w:rsid w:val="00441FEA"/>
    <w:rsid w:val="00445A89"/>
    <w:rsid w:val="0045076E"/>
    <w:rsid w:val="0045265B"/>
    <w:rsid w:val="00452B06"/>
    <w:rsid w:val="00452C87"/>
    <w:rsid w:val="00453497"/>
    <w:rsid w:val="0045690F"/>
    <w:rsid w:val="004572A4"/>
    <w:rsid w:val="004572CC"/>
    <w:rsid w:val="00461F9E"/>
    <w:rsid w:val="0047126C"/>
    <w:rsid w:val="004717E1"/>
    <w:rsid w:val="00471E9B"/>
    <w:rsid w:val="00472458"/>
    <w:rsid w:val="004741BB"/>
    <w:rsid w:val="00474D35"/>
    <w:rsid w:val="004754A2"/>
    <w:rsid w:val="00476C5E"/>
    <w:rsid w:val="00476F1A"/>
    <w:rsid w:val="00481221"/>
    <w:rsid w:val="00481346"/>
    <w:rsid w:val="0048191A"/>
    <w:rsid w:val="00482918"/>
    <w:rsid w:val="00483287"/>
    <w:rsid w:val="00483292"/>
    <w:rsid w:val="004846A2"/>
    <w:rsid w:val="00484B37"/>
    <w:rsid w:val="004914C6"/>
    <w:rsid w:val="004919B6"/>
    <w:rsid w:val="0049273C"/>
    <w:rsid w:val="00493E0A"/>
    <w:rsid w:val="00494C26"/>
    <w:rsid w:val="0049689D"/>
    <w:rsid w:val="004976CA"/>
    <w:rsid w:val="00497A96"/>
    <w:rsid w:val="004A0097"/>
    <w:rsid w:val="004A2230"/>
    <w:rsid w:val="004A2E84"/>
    <w:rsid w:val="004A3E2E"/>
    <w:rsid w:val="004A44EE"/>
    <w:rsid w:val="004A5B34"/>
    <w:rsid w:val="004A62B7"/>
    <w:rsid w:val="004B0EA4"/>
    <w:rsid w:val="004B4F1B"/>
    <w:rsid w:val="004B60E8"/>
    <w:rsid w:val="004B6167"/>
    <w:rsid w:val="004B7FEB"/>
    <w:rsid w:val="004C0423"/>
    <w:rsid w:val="004C092F"/>
    <w:rsid w:val="004C25C7"/>
    <w:rsid w:val="004C3321"/>
    <w:rsid w:val="004C3330"/>
    <w:rsid w:val="004C40E7"/>
    <w:rsid w:val="004C47AA"/>
    <w:rsid w:val="004C5F0A"/>
    <w:rsid w:val="004C734E"/>
    <w:rsid w:val="004D1BED"/>
    <w:rsid w:val="004E0929"/>
    <w:rsid w:val="004E1196"/>
    <w:rsid w:val="004E1542"/>
    <w:rsid w:val="004E1A57"/>
    <w:rsid w:val="004E23FA"/>
    <w:rsid w:val="004E25FC"/>
    <w:rsid w:val="004E30D3"/>
    <w:rsid w:val="004E4C9D"/>
    <w:rsid w:val="004E7A81"/>
    <w:rsid w:val="004E7B3D"/>
    <w:rsid w:val="004F05E6"/>
    <w:rsid w:val="004F1D03"/>
    <w:rsid w:val="004F3DD4"/>
    <w:rsid w:val="004F411C"/>
    <w:rsid w:val="004F6263"/>
    <w:rsid w:val="00500E45"/>
    <w:rsid w:val="005011A6"/>
    <w:rsid w:val="00501D81"/>
    <w:rsid w:val="00502B2E"/>
    <w:rsid w:val="005037F7"/>
    <w:rsid w:val="00504EC3"/>
    <w:rsid w:val="00505480"/>
    <w:rsid w:val="005059A6"/>
    <w:rsid w:val="00505CFE"/>
    <w:rsid w:val="00506723"/>
    <w:rsid w:val="00506C61"/>
    <w:rsid w:val="00507245"/>
    <w:rsid w:val="00511AF1"/>
    <w:rsid w:val="00511D02"/>
    <w:rsid w:val="00511F92"/>
    <w:rsid w:val="00512A50"/>
    <w:rsid w:val="00513F56"/>
    <w:rsid w:val="00514335"/>
    <w:rsid w:val="00517274"/>
    <w:rsid w:val="00517ACF"/>
    <w:rsid w:val="0052174D"/>
    <w:rsid w:val="00522995"/>
    <w:rsid w:val="00524217"/>
    <w:rsid w:val="00525D2E"/>
    <w:rsid w:val="00527069"/>
    <w:rsid w:val="0052736D"/>
    <w:rsid w:val="00531183"/>
    <w:rsid w:val="0053274B"/>
    <w:rsid w:val="00532876"/>
    <w:rsid w:val="00532C64"/>
    <w:rsid w:val="005335D3"/>
    <w:rsid w:val="00534110"/>
    <w:rsid w:val="00535592"/>
    <w:rsid w:val="00537135"/>
    <w:rsid w:val="0053728A"/>
    <w:rsid w:val="005375AC"/>
    <w:rsid w:val="0053767D"/>
    <w:rsid w:val="00541BF6"/>
    <w:rsid w:val="0054267A"/>
    <w:rsid w:val="00542D69"/>
    <w:rsid w:val="0054393D"/>
    <w:rsid w:val="00546A2A"/>
    <w:rsid w:val="00551EC1"/>
    <w:rsid w:val="00552143"/>
    <w:rsid w:val="00552C70"/>
    <w:rsid w:val="00553329"/>
    <w:rsid w:val="0055416B"/>
    <w:rsid w:val="00554EA7"/>
    <w:rsid w:val="0055617B"/>
    <w:rsid w:val="00560CD7"/>
    <w:rsid w:val="00564CD7"/>
    <w:rsid w:val="00565253"/>
    <w:rsid w:val="00566FF5"/>
    <w:rsid w:val="005677C1"/>
    <w:rsid w:val="00570252"/>
    <w:rsid w:val="00570309"/>
    <w:rsid w:val="00573311"/>
    <w:rsid w:val="005752D8"/>
    <w:rsid w:val="00576A81"/>
    <w:rsid w:val="00576C15"/>
    <w:rsid w:val="005774A4"/>
    <w:rsid w:val="00577EB8"/>
    <w:rsid w:val="00580D09"/>
    <w:rsid w:val="005813D3"/>
    <w:rsid w:val="0058221E"/>
    <w:rsid w:val="00584473"/>
    <w:rsid w:val="005862B2"/>
    <w:rsid w:val="005868F6"/>
    <w:rsid w:val="00591A23"/>
    <w:rsid w:val="00591ADE"/>
    <w:rsid w:val="00592C61"/>
    <w:rsid w:val="00592FAB"/>
    <w:rsid w:val="00594C61"/>
    <w:rsid w:val="00595427"/>
    <w:rsid w:val="00595DDC"/>
    <w:rsid w:val="00595E65"/>
    <w:rsid w:val="00595F37"/>
    <w:rsid w:val="0059705E"/>
    <w:rsid w:val="005A0121"/>
    <w:rsid w:val="005A28E6"/>
    <w:rsid w:val="005A2A7F"/>
    <w:rsid w:val="005A36BE"/>
    <w:rsid w:val="005A3E7A"/>
    <w:rsid w:val="005A4E86"/>
    <w:rsid w:val="005A7460"/>
    <w:rsid w:val="005A7DC7"/>
    <w:rsid w:val="005B034D"/>
    <w:rsid w:val="005B07D1"/>
    <w:rsid w:val="005B137B"/>
    <w:rsid w:val="005B2056"/>
    <w:rsid w:val="005B3CF5"/>
    <w:rsid w:val="005B3EF9"/>
    <w:rsid w:val="005B5088"/>
    <w:rsid w:val="005B5642"/>
    <w:rsid w:val="005B5A94"/>
    <w:rsid w:val="005B64F8"/>
    <w:rsid w:val="005B75AC"/>
    <w:rsid w:val="005C0F94"/>
    <w:rsid w:val="005C12BF"/>
    <w:rsid w:val="005C22AC"/>
    <w:rsid w:val="005C24C3"/>
    <w:rsid w:val="005C2A8A"/>
    <w:rsid w:val="005C2CB1"/>
    <w:rsid w:val="005C2DE5"/>
    <w:rsid w:val="005C3F39"/>
    <w:rsid w:val="005C40D4"/>
    <w:rsid w:val="005C44C6"/>
    <w:rsid w:val="005C5A31"/>
    <w:rsid w:val="005D0CB7"/>
    <w:rsid w:val="005D12C1"/>
    <w:rsid w:val="005D3968"/>
    <w:rsid w:val="005D3D1F"/>
    <w:rsid w:val="005D49E5"/>
    <w:rsid w:val="005D53F7"/>
    <w:rsid w:val="005D65E8"/>
    <w:rsid w:val="005D6739"/>
    <w:rsid w:val="005D6C13"/>
    <w:rsid w:val="005E0A5B"/>
    <w:rsid w:val="005E0FCE"/>
    <w:rsid w:val="005E1B0F"/>
    <w:rsid w:val="005E1D32"/>
    <w:rsid w:val="005E2615"/>
    <w:rsid w:val="005E3234"/>
    <w:rsid w:val="005E32B7"/>
    <w:rsid w:val="005E3A4E"/>
    <w:rsid w:val="005E529D"/>
    <w:rsid w:val="005E5AA3"/>
    <w:rsid w:val="005E5C6A"/>
    <w:rsid w:val="005E6898"/>
    <w:rsid w:val="005E6D70"/>
    <w:rsid w:val="005E6E84"/>
    <w:rsid w:val="005E7252"/>
    <w:rsid w:val="005F0261"/>
    <w:rsid w:val="005F13F1"/>
    <w:rsid w:val="005F1450"/>
    <w:rsid w:val="005F2184"/>
    <w:rsid w:val="005F2486"/>
    <w:rsid w:val="005F2C70"/>
    <w:rsid w:val="005F3367"/>
    <w:rsid w:val="005F5036"/>
    <w:rsid w:val="005F5376"/>
    <w:rsid w:val="005F6558"/>
    <w:rsid w:val="005F7683"/>
    <w:rsid w:val="006006A9"/>
    <w:rsid w:val="00600F82"/>
    <w:rsid w:val="00600FF1"/>
    <w:rsid w:val="006020DB"/>
    <w:rsid w:val="00604E45"/>
    <w:rsid w:val="006056C2"/>
    <w:rsid w:val="00605A34"/>
    <w:rsid w:val="00606CE3"/>
    <w:rsid w:val="00607C7C"/>
    <w:rsid w:val="00610C88"/>
    <w:rsid w:val="00610E92"/>
    <w:rsid w:val="00610FAD"/>
    <w:rsid w:val="00611A42"/>
    <w:rsid w:val="00612152"/>
    <w:rsid w:val="00613116"/>
    <w:rsid w:val="0061565C"/>
    <w:rsid w:val="00616550"/>
    <w:rsid w:val="006177C3"/>
    <w:rsid w:val="00617E2C"/>
    <w:rsid w:val="0062099B"/>
    <w:rsid w:val="00621ACE"/>
    <w:rsid w:val="00622C36"/>
    <w:rsid w:val="00622DF4"/>
    <w:rsid w:val="006237F0"/>
    <w:rsid w:val="006264BA"/>
    <w:rsid w:val="00630ADF"/>
    <w:rsid w:val="00632556"/>
    <w:rsid w:val="00632802"/>
    <w:rsid w:val="00634A66"/>
    <w:rsid w:val="00635898"/>
    <w:rsid w:val="00635B4B"/>
    <w:rsid w:val="00637200"/>
    <w:rsid w:val="006376CF"/>
    <w:rsid w:val="00637BAC"/>
    <w:rsid w:val="006408F0"/>
    <w:rsid w:val="00641E1C"/>
    <w:rsid w:val="00642036"/>
    <w:rsid w:val="006423AC"/>
    <w:rsid w:val="006432B4"/>
    <w:rsid w:val="00643AB0"/>
    <w:rsid w:val="00644B52"/>
    <w:rsid w:val="00645256"/>
    <w:rsid w:val="00645D73"/>
    <w:rsid w:val="0064634B"/>
    <w:rsid w:val="00647E39"/>
    <w:rsid w:val="0065007E"/>
    <w:rsid w:val="006503AF"/>
    <w:rsid w:val="006504D1"/>
    <w:rsid w:val="0065060C"/>
    <w:rsid w:val="006533B0"/>
    <w:rsid w:val="00654133"/>
    <w:rsid w:val="00654314"/>
    <w:rsid w:val="00655432"/>
    <w:rsid w:val="00656210"/>
    <w:rsid w:val="006577C9"/>
    <w:rsid w:val="00657D66"/>
    <w:rsid w:val="006610AC"/>
    <w:rsid w:val="00661F32"/>
    <w:rsid w:val="006622B0"/>
    <w:rsid w:val="006623A8"/>
    <w:rsid w:val="006631E3"/>
    <w:rsid w:val="00663316"/>
    <w:rsid w:val="00664E65"/>
    <w:rsid w:val="00665A82"/>
    <w:rsid w:val="00666314"/>
    <w:rsid w:val="0066717D"/>
    <w:rsid w:val="00670343"/>
    <w:rsid w:val="00670BE2"/>
    <w:rsid w:val="00670D8B"/>
    <w:rsid w:val="0067140C"/>
    <w:rsid w:val="0067192F"/>
    <w:rsid w:val="0067281A"/>
    <w:rsid w:val="00672AD5"/>
    <w:rsid w:val="00673120"/>
    <w:rsid w:val="00676783"/>
    <w:rsid w:val="00676CD9"/>
    <w:rsid w:val="00677CE1"/>
    <w:rsid w:val="0068083F"/>
    <w:rsid w:val="0068214C"/>
    <w:rsid w:val="00683700"/>
    <w:rsid w:val="00683E5F"/>
    <w:rsid w:val="00684DBE"/>
    <w:rsid w:val="00687A0E"/>
    <w:rsid w:val="00687A1D"/>
    <w:rsid w:val="00690563"/>
    <w:rsid w:val="0069094F"/>
    <w:rsid w:val="00690A0B"/>
    <w:rsid w:val="00691058"/>
    <w:rsid w:val="006921A1"/>
    <w:rsid w:val="006928F9"/>
    <w:rsid w:val="0069339F"/>
    <w:rsid w:val="006967A4"/>
    <w:rsid w:val="00696C2A"/>
    <w:rsid w:val="00696CA3"/>
    <w:rsid w:val="00696FA6"/>
    <w:rsid w:val="00697518"/>
    <w:rsid w:val="006A18BE"/>
    <w:rsid w:val="006A1A21"/>
    <w:rsid w:val="006A22DA"/>
    <w:rsid w:val="006A26ED"/>
    <w:rsid w:val="006A42BA"/>
    <w:rsid w:val="006A593D"/>
    <w:rsid w:val="006A59A5"/>
    <w:rsid w:val="006A74CF"/>
    <w:rsid w:val="006B100D"/>
    <w:rsid w:val="006B14A8"/>
    <w:rsid w:val="006B2C30"/>
    <w:rsid w:val="006B414C"/>
    <w:rsid w:val="006B4249"/>
    <w:rsid w:val="006B4487"/>
    <w:rsid w:val="006B4811"/>
    <w:rsid w:val="006B49F5"/>
    <w:rsid w:val="006B5EB7"/>
    <w:rsid w:val="006C2F1D"/>
    <w:rsid w:val="006C4AE4"/>
    <w:rsid w:val="006C58A2"/>
    <w:rsid w:val="006C5A20"/>
    <w:rsid w:val="006C7862"/>
    <w:rsid w:val="006C78B5"/>
    <w:rsid w:val="006D0803"/>
    <w:rsid w:val="006D0A89"/>
    <w:rsid w:val="006D1EC2"/>
    <w:rsid w:val="006D2312"/>
    <w:rsid w:val="006D781F"/>
    <w:rsid w:val="006E0C2F"/>
    <w:rsid w:val="006E0F5B"/>
    <w:rsid w:val="006E1ABA"/>
    <w:rsid w:val="006E1D22"/>
    <w:rsid w:val="006E3378"/>
    <w:rsid w:val="006E618A"/>
    <w:rsid w:val="006E697E"/>
    <w:rsid w:val="006E7D41"/>
    <w:rsid w:val="006E7F62"/>
    <w:rsid w:val="006F0504"/>
    <w:rsid w:val="006F09F4"/>
    <w:rsid w:val="006F1B7C"/>
    <w:rsid w:val="006F264A"/>
    <w:rsid w:val="006F4380"/>
    <w:rsid w:val="006F43F4"/>
    <w:rsid w:val="006F5E5E"/>
    <w:rsid w:val="006F6425"/>
    <w:rsid w:val="006F6C51"/>
    <w:rsid w:val="007005C7"/>
    <w:rsid w:val="00701055"/>
    <w:rsid w:val="0070236D"/>
    <w:rsid w:val="00703220"/>
    <w:rsid w:val="00705DAF"/>
    <w:rsid w:val="00705E4B"/>
    <w:rsid w:val="00706BF3"/>
    <w:rsid w:val="00711543"/>
    <w:rsid w:val="007116FB"/>
    <w:rsid w:val="00713DC6"/>
    <w:rsid w:val="00715912"/>
    <w:rsid w:val="00715EC2"/>
    <w:rsid w:val="00717F84"/>
    <w:rsid w:val="0072004A"/>
    <w:rsid w:val="00721618"/>
    <w:rsid w:val="0072291E"/>
    <w:rsid w:val="00722DE8"/>
    <w:rsid w:val="00723FA3"/>
    <w:rsid w:val="0072521F"/>
    <w:rsid w:val="00726166"/>
    <w:rsid w:val="00726268"/>
    <w:rsid w:val="00726283"/>
    <w:rsid w:val="00726373"/>
    <w:rsid w:val="007267EC"/>
    <w:rsid w:val="007273EA"/>
    <w:rsid w:val="00727633"/>
    <w:rsid w:val="00727A87"/>
    <w:rsid w:val="00730B8C"/>
    <w:rsid w:val="00732471"/>
    <w:rsid w:val="00734AFC"/>
    <w:rsid w:val="00737123"/>
    <w:rsid w:val="00737266"/>
    <w:rsid w:val="00737414"/>
    <w:rsid w:val="00737B6E"/>
    <w:rsid w:val="007401D9"/>
    <w:rsid w:val="00740487"/>
    <w:rsid w:val="00744AFB"/>
    <w:rsid w:val="00745F97"/>
    <w:rsid w:val="00746657"/>
    <w:rsid w:val="0075195B"/>
    <w:rsid w:val="00752919"/>
    <w:rsid w:val="00752B79"/>
    <w:rsid w:val="00752F0B"/>
    <w:rsid w:val="00753FB4"/>
    <w:rsid w:val="00753FE0"/>
    <w:rsid w:val="00757E16"/>
    <w:rsid w:val="0076162E"/>
    <w:rsid w:val="00761760"/>
    <w:rsid w:val="00761B22"/>
    <w:rsid w:val="007649D9"/>
    <w:rsid w:val="00765322"/>
    <w:rsid w:val="00770231"/>
    <w:rsid w:val="00771F86"/>
    <w:rsid w:val="00772AFA"/>
    <w:rsid w:val="00774B2C"/>
    <w:rsid w:val="00775864"/>
    <w:rsid w:val="00777F1D"/>
    <w:rsid w:val="00780968"/>
    <w:rsid w:val="00780F5D"/>
    <w:rsid w:val="00782F18"/>
    <w:rsid w:val="00783B90"/>
    <w:rsid w:val="00784E7F"/>
    <w:rsid w:val="0078682C"/>
    <w:rsid w:val="00786A0F"/>
    <w:rsid w:val="00786DEF"/>
    <w:rsid w:val="007871F5"/>
    <w:rsid w:val="00787343"/>
    <w:rsid w:val="007919AB"/>
    <w:rsid w:val="007920BC"/>
    <w:rsid w:val="00793953"/>
    <w:rsid w:val="00793CE9"/>
    <w:rsid w:val="00794092"/>
    <w:rsid w:val="007945B5"/>
    <w:rsid w:val="00794B11"/>
    <w:rsid w:val="00794E05"/>
    <w:rsid w:val="007951A6"/>
    <w:rsid w:val="00797D75"/>
    <w:rsid w:val="007A0454"/>
    <w:rsid w:val="007A1C62"/>
    <w:rsid w:val="007A2273"/>
    <w:rsid w:val="007A2ACE"/>
    <w:rsid w:val="007A7079"/>
    <w:rsid w:val="007B1D01"/>
    <w:rsid w:val="007B2F06"/>
    <w:rsid w:val="007B2FD7"/>
    <w:rsid w:val="007B3E8F"/>
    <w:rsid w:val="007B4BE0"/>
    <w:rsid w:val="007B50AB"/>
    <w:rsid w:val="007B622E"/>
    <w:rsid w:val="007C049E"/>
    <w:rsid w:val="007C06CD"/>
    <w:rsid w:val="007C275C"/>
    <w:rsid w:val="007C3590"/>
    <w:rsid w:val="007C4647"/>
    <w:rsid w:val="007C5186"/>
    <w:rsid w:val="007C5413"/>
    <w:rsid w:val="007C71EB"/>
    <w:rsid w:val="007D0463"/>
    <w:rsid w:val="007D10CA"/>
    <w:rsid w:val="007D1502"/>
    <w:rsid w:val="007D18C9"/>
    <w:rsid w:val="007D2BAE"/>
    <w:rsid w:val="007D33FA"/>
    <w:rsid w:val="007D3F90"/>
    <w:rsid w:val="007D512E"/>
    <w:rsid w:val="007D639F"/>
    <w:rsid w:val="007D66EA"/>
    <w:rsid w:val="007D7A68"/>
    <w:rsid w:val="007D7C2D"/>
    <w:rsid w:val="007E149B"/>
    <w:rsid w:val="007E320C"/>
    <w:rsid w:val="007E3464"/>
    <w:rsid w:val="007E3D31"/>
    <w:rsid w:val="007E4B89"/>
    <w:rsid w:val="007E77D0"/>
    <w:rsid w:val="007F10AE"/>
    <w:rsid w:val="007F26A0"/>
    <w:rsid w:val="007F270F"/>
    <w:rsid w:val="007F4764"/>
    <w:rsid w:val="007F4C2C"/>
    <w:rsid w:val="007F5EB5"/>
    <w:rsid w:val="007F7343"/>
    <w:rsid w:val="0080138D"/>
    <w:rsid w:val="00801E73"/>
    <w:rsid w:val="00804135"/>
    <w:rsid w:val="008067CC"/>
    <w:rsid w:val="0080796C"/>
    <w:rsid w:val="00810C8F"/>
    <w:rsid w:val="00813292"/>
    <w:rsid w:val="00813629"/>
    <w:rsid w:val="00814511"/>
    <w:rsid w:val="00816846"/>
    <w:rsid w:val="00820915"/>
    <w:rsid w:val="00820934"/>
    <w:rsid w:val="00820ED0"/>
    <w:rsid w:val="00821AA3"/>
    <w:rsid w:val="00822562"/>
    <w:rsid w:val="00824637"/>
    <w:rsid w:val="0082514E"/>
    <w:rsid w:val="0082664A"/>
    <w:rsid w:val="00826CD4"/>
    <w:rsid w:val="008311CB"/>
    <w:rsid w:val="00831A8B"/>
    <w:rsid w:val="0083378B"/>
    <w:rsid w:val="00833F37"/>
    <w:rsid w:val="0083401B"/>
    <w:rsid w:val="00835422"/>
    <w:rsid w:val="0083578C"/>
    <w:rsid w:val="008359A4"/>
    <w:rsid w:val="00835F38"/>
    <w:rsid w:val="00837EEB"/>
    <w:rsid w:val="008419C5"/>
    <w:rsid w:val="008421CD"/>
    <w:rsid w:val="00842620"/>
    <w:rsid w:val="00843FF1"/>
    <w:rsid w:val="008443DA"/>
    <w:rsid w:val="008456B2"/>
    <w:rsid w:val="008458A0"/>
    <w:rsid w:val="00845A0C"/>
    <w:rsid w:val="00846409"/>
    <w:rsid w:val="008465F8"/>
    <w:rsid w:val="00846B96"/>
    <w:rsid w:val="008502D0"/>
    <w:rsid w:val="00850680"/>
    <w:rsid w:val="00851083"/>
    <w:rsid w:val="008513C4"/>
    <w:rsid w:val="00852180"/>
    <w:rsid w:val="00852985"/>
    <w:rsid w:val="008530EF"/>
    <w:rsid w:val="00854211"/>
    <w:rsid w:val="008544B3"/>
    <w:rsid w:val="008548B6"/>
    <w:rsid w:val="008564C2"/>
    <w:rsid w:val="008570EA"/>
    <w:rsid w:val="0086106B"/>
    <w:rsid w:val="00861077"/>
    <w:rsid w:val="008612E8"/>
    <w:rsid w:val="0086145C"/>
    <w:rsid w:val="008618D0"/>
    <w:rsid w:val="00861A55"/>
    <w:rsid w:val="00861B85"/>
    <w:rsid w:val="008626E2"/>
    <w:rsid w:val="00862715"/>
    <w:rsid w:val="008632B0"/>
    <w:rsid w:val="00864ED9"/>
    <w:rsid w:val="00865780"/>
    <w:rsid w:val="00865A69"/>
    <w:rsid w:val="00866059"/>
    <w:rsid w:val="0086623A"/>
    <w:rsid w:val="00866A1B"/>
    <w:rsid w:val="0087074D"/>
    <w:rsid w:val="00870781"/>
    <w:rsid w:val="00874C4D"/>
    <w:rsid w:val="008757C5"/>
    <w:rsid w:val="00876AF3"/>
    <w:rsid w:val="00877AAE"/>
    <w:rsid w:val="00877B33"/>
    <w:rsid w:val="0088128A"/>
    <w:rsid w:val="00881465"/>
    <w:rsid w:val="00881FEF"/>
    <w:rsid w:val="008828AE"/>
    <w:rsid w:val="00882EF6"/>
    <w:rsid w:val="0088337C"/>
    <w:rsid w:val="0088359A"/>
    <w:rsid w:val="00884095"/>
    <w:rsid w:val="00884A0D"/>
    <w:rsid w:val="00885CC9"/>
    <w:rsid w:val="00886AFB"/>
    <w:rsid w:val="0088746B"/>
    <w:rsid w:val="00887DF1"/>
    <w:rsid w:val="00887F59"/>
    <w:rsid w:val="008901CB"/>
    <w:rsid w:val="008919E7"/>
    <w:rsid w:val="00892ECB"/>
    <w:rsid w:val="008931FD"/>
    <w:rsid w:val="008940B1"/>
    <w:rsid w:val="00897593"/>
    <w:rsid w:val="008A07CA"/>
    <w:rsid w:val="008A2141"/>
    <w:rsid w:val="008A2F7C"/>
    <w:rsid w:val="008A40F4"/>
    <w:rsid w:val="008A4856"/>
    <w:rsid w:val="008A4A72"/>
    <w:rsid w:val="008A5BA6"/>
    <w:rsid w:val="008A5D0F"/>
    <w:rsid w:val="008B0443"/>
    <w:rsid w:val="008B0560"/>
    <w:rsid w:val="008B080E"/>
    <w:rsid w:val="008B0BE0"/>
    <w:rsid w:val="008B1780"/>
    <w:rsid w:val="008B2F97"/>
    <w:rsid w:val="008B2FBE"/>
    <w:rsid w:val="008B2FDD"/>
    <w:rsid w:val="008B4B25"/>
    <w:rsid w:val="008B5534"/>
    <w:rsid w:val="008B5C75"/>
    <w:rsid w:val="008B605A"/>
    <w:rsid w:val="008B60C4"/>
    <w:rsid w:val="008B6496"/>
    <w:rsid w:val="008B7AA6"/>
    <w:rsid w:val="008C0EB0"/>
    <w:rsid w:val="008C1FB3"/>
    <w:rsid w:val="008C3340"/>
    <w:rsid w:val="008C45C5"/>
    <w:rsid w:val="008C4F03"/>
    <w:rsid w:val="008D2792"/>
    <w:rsid w:val="008D3A39"/>
    <w:rsid w:val="008D4BFF"/>
    <w:rsid w:val="008D622B"/>
    <w:rsid w:val="008D7437"/>
    <w:rsid w:val="008D7800"/>
    <w:rsid w:val="008E0327"/>
    <w:rsid w:val="008E09CE"/>
    <w:rsid w:val="008E1B5E"/>
    <w:rsid w:val="008E3188"/>
    <w:rsid w:val="008E55F5"/>
    <w:rsid w:val="008E5833"/>
    <w:rsid w:val="008E6300"/>
    <w:rsid w:val="008E7505"/>
    <w:rsid w:val="008F0FCB"/>
    <w:rsid w:val="008F1BE1"/>
    <w:rsid w:val="008F1F2B"/>
    <w:rsid w:val="008F229C"/>
    <w:rsid w:val="008F23A3"/>
    <w:rsid w:val="008F24B0"/>
    <w:rsid w:val="008F4729"/>
    <w:rsid w:val="008F4D63"/>
    <w:rsid w:val="008F56D4"/>
    <w:rsid w:val="008F74CC"/>
    <w:rsid w:val="008F7C65"/>
    <w:rsid w:val="0090041F"/>
    <w:rsid w:val="0090246E"/>
    <w:rsid w:val="00902EE9"/>
    <w:rsid w:val="0090424D"/>
    <w:rsid w:val="009043C4"/>
    <w:rsid w:val="009046A9"/>
    <w:rsid w:val="00904F2E"/>
    <w:rsid w:val="00905800"/>
    <w:rsid w:val="009058B2"/>
    <w:rsid w:val="00907880"/>
    <w:rsid w:val="00907F1F"/>
    <w:rsid w:val="00911111"/>
    <w:rsid w:val="00911E20"/>
    <w:rsid w:val="00911E6F"/>
    <w:rsid w:val="0091339D"/>
    <w:rsid w:val="00913E6D"/>
    <w:rsid w:val="00914408"/>
    <w:rsid w:val="00914648"/>
    <w:rsid w:val="00915C2D"/>
    <w:rsid w:val="009166CF"/>
    <w:rsid w:val="009225FE"/>
    <w:rsid w:val="0092402B"/>
    <w:rsid w:val="00925D33"/>
    <w:rsid w:val="00926D93"/>
    <w:rsid w:val="00927321"/>
    <w:rsid w:val="00932D1F"/>
    <w:rsid w:val="00933505"/>
    <w:rsid w:val="00933551"/>
    <w:rsid w:val="00934C19"/>
    <w:rsid w:val="00934E95"/>
    <w:rsid w:val="00936EFD"/>
    <w:rsid w:val="00937174"/>
    <w:rsid w:val="00937DE9"/>
    <w:rsid w:val="00940946"/>
    <w:rsid w:val="00942591"/>
    <w:rsid w:val="0094363E"/>
    <w:rsid w:val="0094574F"/>
    <w:rsid w:val="00946EA3"/>
    <w:rsid w:val="00950082"/>
    <w:rsid w:val="00950DAA"/>
    <w:rsid w:val="00951146"/>
    <w:rsid w:val="00951523"/>
    <w:rsid w:val="00952678"/>
    <w:rsid w:val="009538AA"/>
    <w:rsid w:val="00955665"/>
    <w:rsid w:val="00956245"/>
    <w:rsid w:val="00957C10"/>
    <w:rsid w:val="00960771"/>
    <w:rsid w:val="009617FA"/>
    <w:rsid w:val="0096232B"/>
    <w:rsid w:val="009629D0"/>
    <w:rsid w:val="00963D86"/>
    <w:rsid w:val="009645A7"/>
    <w:rsid w:val="00965C57"/>
    <w:rsid w:val="00970C9A"/>
    <w:rsid w:val="00973660"/>
    <w:rsid w:val="00973A8C"/>
    <w:rsid w:val="00974670"/>
    <w:rsid w:val="00974874"/>
    <w:rsid w:val="00974A04"/>
    <w:rsid w:val="009807A2"/>
    <w:rsid w:val="00981661"/>
    <w:rsid w:val="00982DF0"/>
    <w:rsid w:val="009837BA"/>
    <w:rsid w:val="00983B79"/>
    <w:rsid w:val="00987091"/>
    <w:rsid w:val="00987696"/>
    <w:rsid w:val="00987C45"/>
    <w:rsid w:val="0099054C"/>
    <w:rsid w:val="00990B3F"/>
    <w:rsid w:val="00990C3C"/>
    <w:rsid w:val="00991443"/>
    <w:rsid w:val="00991A39"/>
    <w:rsid w:val="00991C3C"/>
    <w:rsid w:val="00992922"/>
    <w:rsid w:val="009971D0"/>
    <w:rsid w:val="009A06E6"/>
    <w:rsid w:val="009A0ABB"/>
    <w:rsid w:val="009A0B0B"/>
    <w:rsid w:val="009A0B47"/>
    <w:rsid w:val="009A0BDB"/>
    <w:rsid w:val="009A18A4"/>
    <w:rsid w:val="009A1B4D"/>
    <w:rsid w:val="009A2B1A"/>
    <w:rsid w:val="009A4036"/>
    <w:rsid w:val="009A692D"/>
    <w:rsid w:val="009A7D52"/>
    <w:rsid w:val="009A7E30"/>
    <w:rsid w:val="009A7EEF"/>
    <w:rsid w:val="009B080E"/>
    <w:rsid w:val="009B219C"/>
    <w:rsid w:val="009B25A7"/>
    <w:rsid w:val="009B2804"/>
    <w:rsid w:val="009B5C49"/>
    <w:rsid w:val="009B67B5"/>
    <w:rsid w:val="009B6B3E"/>
    <w:rsid w:val="009B78AE"/>
    <w:rsid w:val="009C2C43"/>
    <w:rsid w:val="009C4F58"/>
    <w:rsid w:val="009C6212"/>
    <w:rsid w:val="009C6AC2"/>
    <w:rsid w:val="009C73ED"/>
    <w:rsid w:val="009D097E"/>
    <w:rsid w:val="009D0D69"/>
    <w:rsid w:val="009D0E28"/>
    <w:rsid w:val="009D10C8"/>
    <w:rsid w:val="009D444C"/>
    <w:rsid w:val="009D4987"/>
    <w:rsid w:val="009D4D5E"/>
    <w:rsid w:val="009D7A47"/>
    <w:rsid w:val="009E261D"/>
    <w:rsid w:val="009E26B6"/>
    <w:rsid w:val="009E4CA3"/>
    <w:rsid w:val="009E5B12"/>
    <w:rsid w:val="009E5FE7"/>
    <w:rsid w:val="009E6B3F"/>
    <w:rsid w:val="009F35AE"/>
    <w:rsid w:val="009F4B9D"/>
    <w:rsid w:val="009F5232"/>
    <w:rsid w:val="00A005B2"/>
    <w:rsid w:val="00A0198B"/>
    <w:rsid w:val="00A019B5"/>
    <w:rsid w:val="00A021CA"/>
    <w:rsid w:val="00A024D1"/>
    <w:rsid w:val="00A02834"/>
    <w:rsid w:val="00A04991"/>
    <w:rsid w:val="00A04C8C"/>
    <w:rsid w:val="00A06D72"/>
    <w:rsid w:val="00A070FB"/>
    <w:rsid w:val="00A07AA9"/>
    <w:rsid w:val="00A07DE9"/>
    <w:rsid w:val="00A1265D"/>
    <w:rsid w:val="00A14549"/>
    <w:rsid w:val="00A15869"/>
    <w:rsid w:val="00A16F40"/>
    <w:rsid w:val="00A17BF5"/>
    <w:rsid w:val="00A207FF"/>
    <w:rsid w:val="00A20DDB"/>
    <w:rsid w:val="00A21415"/>
    <w:rsid w:val="00A233DD"/>
    <w:rsid w:val="00A25C21"/>
    <w:rsid w:val="00A26AC4"/>
    <w:rsid w:val="00A2723E"/>
    <w:rsid w:val="00A27760"/>
    <w:rsid w:val="00A27E8B"/>
    <w:rsid w:val="00A30C4B"/>
    <w:rsid w:val="00A30F85"/>
    <w:rsid w:val="00A3103B"/>
    <w:rsid w:val="00A313AC"/>
    <w:rsid w:val="00A31CEC"/>
    <w:rsid w:val="00A33E10"/>
    <w:rsid w:val="00A354A2"/>
    <w:rsid w:val="00A369B3"/>
    <w:rsid w:val="00A37EC4"/>
    <w:rsid w:val="00A453DA"/>
    <w:rsid w:val="00A4711A"/>
    <w:rsid w:val="00A47E93"/>
    <w:rsid w:val="00A51B33"/>
    <w:rsid w:val="00A52AD2"/>
    <w:rsid w:val="00A544C3"/>
    <w:rsid w:val="00A54F5B"/>
    <w:rsid w:val="00A55750"/>
    <w:rsid w:val="00A56A6C"/>
    <w:rsid w:val="00A574AE"/>
    <w:rsid w:val="00A57B98"/>
    <w:rsid w:val="00A6096F"/>
    <w:rsid w:val="00A60A24"/>
    <w:rsid w:val="00A60BE3"/>
    <w:rsid w:val="00A616F5"/>
    <w:rsid w:val="00A6245A"/>
    <w:rsid w:val="00A64553"/>
    <w:rsid w:val="00A64D7F"/>
    <w:rsid w:val="00A65C24"/>
    <w:rsid w:val="00A66183"/>
    <w:rsid w:val="00A707FA"/>
    <w:rsid w:val="00A70EA2"/>
    <w:rsid w:val="00A71374"/>
    <w:rsid w:val="00A71692"/>
    <w:rsid w:val="00A72B15"/>
    <w:rsid w:val="00A72F59"/>
    <w:rsid w:val="00A743E1"/>
    <w:rsid w:val="00A745A0"/>
    <w:rsid w:val="00A75BD9"/>
    <w:rsid w:val="00A772FA"/>
    <w:rsid w:val="00A77A1B"/>
    <w:rsid w:val="00A80AC2"/>
    <w:rsid w:val="00A820E2"/>
    <w:rsid w:val="00A82D90"/>
    <w:rsid w:val="00A82DC8"/>
    <w:rsid w:val="00A90229"/>
    <w:rsid w:val="00A904A3"/>
    <w:rsid w:val="00A93CC0"/>
    <w:rsid w:val="00A94339"/>
    <w:rsid w:val="00A963A1"/>
    <w:rsid w:val="00A968D3"/>
    <w:rsid w:val="00A96E99"/>
    <w:rsid w:val="00AA0064"/>
    <w:rsid w:val="00AA0996"/>
    <w:rsid w:val="00AA1BA5"/>
    <w:rsid w:val="00AA4100"/>
    <w:rsid w:val="00AA57C6"/>
    <w:rsid w:val="00AA5BAC"/>
    <w:rsid w:val="00AA5F51"/>
    <w:rsid w:val="00AA6234"/>
    <w:rsid w:val="00AA7536"/>
    <w:rsid w:val="00AA7686"/>
    <w:rsid w:val="00AA7947"/>
    <w:rsid w:val="00AB084A"/>
    <w:rsid w:val="00AB1981"/>
    <w:rsid w:val="00AB6C5C"/>
    <w:rsid w:val="00AB7297"/>
    <w:rsid w:val="00AB77EF"/>
    <w:rsid w:val="00AC10A9"/>
    <w:rsid w:val="00AC1C2A"/>
    <w:rsid w:val="00AC1E81"/>
    <w:rsid w:val="00AC2CA8"/>
    <w:rsid w:val="00AC44FC"/>
    <w:rsid w:val="00AC5D5B"/>
    <w:rsid w:val="00AC70F0"/>
    <w:rsid w:val="00AC7C3E"/>
    <w:rsid w:val="00AD0B35"/>
    <w:rsid w:val="00AD0BAB"/>
    <w:rsid w:val="00AD0CA6"/>
    <w:rsid w:val="00AD0CD8"/>
    <w:rsid w:val="00AD14AE"/>
    <w:rsid w:val="00AD5064"/>
    <w:rsid w:val="00AD59F9"/>
    <w:rsid w:val="00AD78F3"/>
    <w:rsid w:val="00AE0302"/>
    <w:rsid w:val="00AE0CCE"/>
    <w:rsid w:val="00AE0FA8"/>
    <w:rsid w:val="00AE5652"/>
    <w:rsid w:val="00AE5E56"/>
    <w:rsid w:val="00AE6EFD"/>
    <w:rsid w:val="00AE7B50"/>
    <w:rsid w:val="00AF1F6A"/>
    <w:rsid w:val="00AF1F8E"/>
    <w:rsid w:val="00AF2948"/>
    <w:rsid w:val="00AF413B"/>
    <w:rsid w:val="00AF4988"/>
    <w:rsid w:val="00AF4E87"/>
    <w:rsid w:val="00B002C7"/>
    <w:rsid w:val="00B01BCB"/>
    <w:rsid w:val="00B02F8D"/>
    <w:rsid w:val="00B03577"/>
    <w:rsid w:val="00B04246"/>
    <w:rsid w:val="00B04918"/>
    <w:rsid w:val="00B05D41"/>
    <w:rsid w:val="00B10BBE"/>
    <w:rsid w:val="00B117A0"/>
    <w:rsid w:val="00B11DD7"/>
    <w:rsid w:val="00B12D84"/>
    <w:rsid w:val="00B13B73"/>
    <w:rsid w:val="00B156B9"/>
    <w:rsid w:val="00B166BE"/>
    <w:rsid w:val="00B20DAB"/>
    <w:rsid w:val="00B20E85"/>
    <w:rsid w:val="00B21182"/>
    <w:rsid w:val="00B215CC"/>
    <w:rsid w:val="00B21B70"/>
    <w:rsid w:val="00B21CAD"/>
    <w:rsid w:val="00B22258"/>
    <w:rsid w:val="00B23DD5"/>
    <w:rsid w:val="00B23E22"/>
    <w:rsid w:val="00B25099"/>
    <w:rsid w:val="00B26023"/>
    <w:rsid w:val="00B31893"/>
    <w:rsid w:val="00B327C3"/>
    <w:rsid w:val="00B349A9"/>
    <w:rsid w:val="00B34BA1"/>
    <w:rsid w:val="00B352FA"/>
    <w:rsid w:val="00B36103"/>
    <w:rsid w:val="00B429F4"/>
    <w:rsid w:val="00B42BA7"/>
    <w:rsid w:val="00B43F8C"/>
    <w:rsid w:val="00B44F9D"/>
    <w:rsid w:val="00B475E9"/>
    <w:rsid w:val="00B4777C"/>
    <w:rsid w:val="00B479AA"/>
    <w:rsid w:val="00B506B4"/>
    <w:rsid w:val="00B52BCE"/>
    <w:rsid w:val="00B554CD"/>
    <w:rsid w:val="00B55A49"/>
    <w:rsid w:val="00B6037F"/>
    <w:rsid w:val="00B6111A"/>
    <w:rsid w:val="00B61992"/>
    <w:rsid w:val="00B63C99"/>
    <w:rsid w:val="00B640BB"/>
    <w:rsid w:val="00B64763"/>
    <w:rsid w:val="00B65DF5"/>
    <w:rsid w:val="00B66651"/>
    <w:rsid w:val="00B67398"/>
    <w:rsid w:val="00B701B1"/>
    <w:rsid w:val="00B70640"/>
    <w:rsid w:val="00B70BF6"/>
    <w:rsid w:val="00B7199F"/>
    <w:rsid w:val="00B71AD5"/>
    <w:rsid w:val="00B73C33"/>
    <w:rsid w:val="00B73F5F"/>
    <w:rsid w:val="00B759D0"/>
    <w:rsid w:val="00B76E68"/>
    <w:rsid w:val="00B76EBA"/>
    <w:rsid w:val="00B77D67"/>
    <w:rsid w:val="00B80182"/>
    <w:rsid w:val="00B80A17"/>
    <w:rsid w:val="00B80EAB"/>
    <w:rsid w:val="00B80F8B"/>
    <w:rsid w:val="00B81390"/>
    <w:rsid w:val="00B828B4"/>
    <w:rsid w:val="00B83963"/>
    <w:rsid w:val="00B83CF2"/>
    <w:rsid w:val="00B850EB"/>
    <w:rsid w:val="00B90192"/>
    <w:rsid w:val="00B91F42"/>
    <w:rsid w:val="00B94FD5"/>
    <w:rsid w:val="00B9556B"/>
    <w:rsid w:val="00B955A8"/>
    <w:rsid w:val="00B97CC3"/>
    <w:rsid w:val="00B97FA5"/>
    <w:rsid w:val="00BA0099"/>
    <w:rsid w:val="00BA0987"/>
    <w:rsid w:val="00BA6DF2"/>
    <w:rsid w:val="00BA6DFB"/>
    <w:rsid w:val="00BB0A5E"/>
    <w:rsid w:val="00BB1C83"/>
    <w:rsid w:val="00BB21DF"/>
    <w:rsid w:val="00BB24DC"/>
    <w:rsid w:val="00BB5F33"/>
    <w:rsid w:val="00BB6788"/>
    <w:rsid w:val="00BC0137"/>
    <w:rsid w:val="00BC0D76"/>
    <w:rsid w:val="00BC142F"/>
    <w:rsid w:val="00BC1C8F"/>
    <w:rsid w:val="00BC273D"/>
    <w:rsid w:val="00BC28F9"/>
    <w:rsid w:val="00BC2A9C"/>
    <w:rsid w:val="00BC2B1F"/>
    <w:rsid w:val="00BC3727"/>
    <w:rsid w:val="00BC4396"/>
    <w:rsid w:val="00BC6862"/>
    <w:rsid w:val="00BC69CC"/>
    <w:rsid w:val="00BC6BB7"/>
    <w:rsid w:val="00BC7822"/>
    <w:rsid w:val="00BC7BB0"/>
    <w:rsid w:val="00BD03F3"/>
    <w:rsid w:val="00BD35EA"/>
    <w:rsid w:val="00BD406A"/>
    <w:rsid w:val="00BD4800"/>
    <w:rsid w:val="00BD48C9"/>
    <w:rsid w:val="00BD4C7D"/>
    <w:rsid w:val="00BD533B"/>
    <w:rsid w:val="00BD565E"/>
    <w:rsid w:val="00BD6349"/>
    <w:rsid w:val="00BD665F"/>
    <w:rsid w:val="00BD7AE3"/>
    <w:rsid w:val="00BE052A"/>
    <w:rsid w:val="00BE1849"/>
    <w:rsid w:val="00BE1EA1"/>
    <w:rsid w:val="00BE2A5D"/>
    <w:rsid w:val="00BE324D"/>
    <w:rsid w:val="00BE362D"/>
    <w:rsid w:val="00BE3CCE"/>
    <w:rsid w:val="00BE469D"/>
    <w:rsid w:val="00BE561D"/>
    <w:rsid w:val="00BF0885"/>
    <w:rsid w:val="00BF11D9"/>
    <w:rsid w:val="00BF22E4"/>
    <w:rsid w:val="00BF41F3"/>
    <w:rsid w:val="00BF5B0C"/>
    <w:rsid w:val="00BF7EA2"/>
    <w:rsid w:val="00BF7EDC"/>
    <w:rsid w:val="00C02902"/>
    <w:rsid w:val="00C03219"/>
    <w:rsid w:val="00C03C60"/>
    <w:rsid w:val="00C03D6C"/>
    <w:rsid w:val="00C06355"/>
    <w:rsid w:val="00C068B5"/>
    <w:rsid w:val="00C069F2"/>
    <w:rsid w:val="00C0765B"/>
    <w:rsid w:val="00C07C4A"/>
    <w:rsid w:val="00C10AAD"/>
    <w:rsid w:val="00C12087"/>
    <w:rsid w:val="00C121A7"/>
    <w:rsid w:val="00C136E5"/>
    <w:rsid w:val="00C14F4E"/>
    <w:rsid w:val="00C16E67"/>
    <w:rsid w:val="00C17920"/>
    <w:rsid w:val="00C20958"/>
    <w:rsid w:val="00C20EA2"/>
    <w:rsid w:val="00C2231A"/>
    <w:rsid w:val="00C2279F"/>
    <w:rsid w:val="00C23840"/>
    <w:rsid w:val="00C2409A"/>
    <w:rsid w:val="00C24AEC"/>
    <w:rsid w:val="00C25B6A"/>
    <w:rsid w:val="00C25B7B"/>
    <w:rsid w:val="00C26C9F"/>
    <w:rsid w:val="00C26F62"/>
    <w:rsid w:val="00C272B1"/>
    <w:rsid w:val="00C32366"/>
    <w:rsid w:val="00C34B88"/>
    <w:rsid w:val="00C40299"/>
    <w:rsid w:val="00C40B16"/>
    <w:rsid w:val="00C40BC6"/>
    <w:rsid w:val="00C432A0"/>
    <w:rsid w:val="00C433EC"/>
    <w:rsid w:val="00C43831"/>
    <w:rsid w:val="00C44F6D"/>
    <w:rsid w:val="00C45FBB"/>
    <w:rsid w:val="00C46B6A"/>
    <w:rsid w:val="00C47817"/>
    <w:rsid w:val="00C50CA5"/>
    <w:rsid w:val="00C517DD"/>
    <w:rsid w:val="00C51AED"/>
    <w:rsid w:val="00C5219A"/>
    <w:rsid w:val="00C5224C"/>
    <w:rsid w:val="00C522F8"/>
    <w:rsid w:val="00C53DD5"/>
    <w:rsid w:val="00C53FE8"/>
    <w:rsid w:val="00C574B2"/>
    <w:rsid w:val="00C60CDE"/>
    <w:rsid w:val="00C60E41"/>
    <w:rsid w:val="00C61574"/>
    <w:rsid w:val="00C62619"/>
    <w:rsid w:val="00C62DE6"/>
    <w:rsid w:val="00C63281"/>
    <w:rsid w:val="00C638E6"/>
    <w:rsid w:val="00C651E9"/>
    <w:rsid w:val="00C66E51"/>
    <w:rsid w:val="00C66EEE"/>
    <w:rsid w:val="00C70023"/>
    <w:rsid w:val="00C707C0"/>
    <w:rsid w:val="00C70903"/>
    <w:rsid w:val="00C70925"/>
    <w:rsid w:val="00C72025"/>
    <w:rsid w:val="00C72CA0"/>
    <w:rsid w:val="00C73973"/>
    <w:rsid w:val="00C7397F"/>
    <w:rsid w:val="00C7748C"/>
    <w:rsid w:val="00C809AD"/>
    <w:rsid w:val="00C819FC"/>
    <w:rsid w:val="00C81C5C"/>
    <w:rsid w:val="00C81CD2"/>
    <w:rsid w:val="00C82363"/>
    <w:rsid w:val="00C83E77"/>
    <w:rsid w:val="00C85B51"/>
    <w:rsid w:val="00C86425"/>
    <w:rsid w:val="00C86D41"/>
    <w:rsid w:val="00C903D1"/>
    <w:rsid w:val="00C915A7"/>
    <w:rsid w:val="00C92BAC"/>
    <w:rsid w:val="00C9403D"/>
    <w:rsid w:val="00C945A7"/>
    <w:rsid w:val="00C94BDA"/>
    <w:rsid w:val="00C95DB5"/>
    <w:rsid w:val="00C95F1C"/>
    <w:rsid w:val="00C97288"/>
    <w:rsid w:val="00CA1DB1"/>
    <w:rsid w:val="00CA1F54"/>
    <w:rsid w:val="00CA2679"/>
    <w:rsid w:val="00CA33AC"/>
    <w:rsid w:val="00CA36F6"/>
    <w:rsid w:val="00CA5316"/>
    <w:rsid w:val="00CA76B2"/>
    <w:rsid w:val="00CB0B21"/>
    <w:rsid w:val="00CB0C97"/>
    <w:rsid w:val="00CB0E7C"/>
    <w:rsid w:val="00CB1E53"/>
    <w:rsid w:val="00CB3347"/>
    <w:rsid w:val="00CB516B"/>
    <w:rsid w:val="00CB5235"/>
    <w:rsid w:val="00CB6D8D"/>
    <w:rsid w:val="00CB7CDB"/>
    <w:rsid w:val="00CC00B7"/>
    <w:rsid w:val="00CC3A80"/>
    <w:rsid w:val="00CC4302"/>
    <w:rsid w:val="00CC4E9D"/>
    <w:rsid w:val="00CC6137"/>
    <w:rsid w:val="00CC76D7"/>
    <w:rsid w:val="00CD16AA"/>
    <w:rsid w:val="00CD5A85"/>
    <w:rsid w:val="00CD6FEB"/>
    <w:rsid w:val="00CD72EB"/>
    <w:rsid w:val="00CD7DB9"/>
    <w:rsid w:val="00CE0D30"/>
    <w:rsid w:val="00CE1EB2"/>
    <w:rsid w:val="00CE1EFD"/>
    <w:rsid w:val="00CE254C"/>
    <w:rsid w:val="00CE39BE"/>
    <w:rsid w:val="00CE4CDE"/>
    <w:rsid w:val="00CE55ED"/>
    <w:rsid w:val="00CE6C8B"/>
    <w:rsid w:val="00CE71C2"/>
    <w:rsid w:val="00CF06D9"/>
    <w:rsid w:val="00CF0A0E"/>
    <w:rsid w:val="00CF0EA4"/>
    <w:rsid w:val="00CF0EEF"/>
    <w:rsid w:val="00CF15BC"/>
    <w:rsid w:val="00CF1BEE"/>
    <w:rsid w:val="00CF349A"/>
    <w:rsid w:val="00CF4D91"/>
    <w:rsid w:val="00CF5812"/>
    <w:rsid w:val="00CF5D5E"/>
    <w:rsid w:val="00CF6AB1"/>
    <w:rsid w:val="00CF758C"/>
    <w:rsid w:val="00CF7A81"/>
    <w:rsid w:val="00D002C0"/>
    <w:rsid w:val="00D0167B"/>
    <w:rsid w:val="00D02D13"/>
    <w:rsid w:val="00D04A9C"/>
    <w:rsid w:val="00D05A77"/>
    <w:rsid w:val="00D0708F"/>
    <w:rsid w:val="00D10EF0"/>
    <w:rsid w:val="00D1228B"/>
    <w:rsid w:val="00D128BB"/>
    <w:rsid w:val="00D13376"/>
    <w:rsid w:val="00D13A22"/>
    <w:rsid w:val="00D13F5B"/>
    <w:rsid w:val="00D1482B"/>
    <w:rsid w:val="00D14FBA"/>
    <w:rsid w:val="00D177D1"/>
    <w:rsid w:val="00D20543"/>
    <w:rsid w:val="00D2124B"/>
    <w:rsid w:val="00D22197"/>
    <w:rsid w:val="00D2223E"/>
    <w:rsid w:val="00D240FF"/>
    <w:rsid w:val="00D253C5"/>
    <w:rsid w:val="00D26722"/>
    <w:rsid w:val="00D269FD"/>
    <w:rsid w:val="00D301A9"/>
    <w:rsid w:val="00D30AD6"/>
    <w:rsid w:val="00D36D80"/>
    <w:rsid w:val="00D377C7"/>
    <w:rsid w:val="00D433F9"/>
    <w:rsid w:val="00D445DA"/>
    <w:rsid w:val="00D448F3"/>
    <w:rsid w:val="00D44E11"/>
    <w:rsid w:val="00D464E4"/>
    <w:rsid w:val="00D46821"/>
    <w:rsid w:val="00D4747C"/>
    <w:rsid w:val="00D4763F"/>
    <w:rsid w:val="00D50803"/>
    <w:rsid w:val="00D51291"/>
    <w:rsid w:val="00D51F8D"/>
    <w:rsid w:val="00D553B4"/>
    <w:rsid w:val="00D5661E"/>
    <w:rsid w:val="00D56746"/>
    <w:rsid w:val="00D56ABE"/>
    <w:rsid w:val="00D57281"/>
    <w:rsid w:val="00D60129"/>
    <w:rsid w:val="00D60B9A"/>
    <w:rsid w:val="00D614CB"/>
    <w:rsid w:val="00D620C7"/>
    <w:rsid w:val="00D62DFE"/>
    <w:rsid w:val="00D64797"/>
    <w:rsid w:val="00D648AD"/>
    <w:rsid w:val="00D6507A"/>
    <w:rsid w:val="00D6626B"/>
    <w:rsid w:val="00D67071"/>
    <w:rsid w:val="00D67A4D"/>
    <w:rsid w:val="00D706C3"/>
    <w:rsid w:val="00D7073A"/>
    <w:rsid w:val="00D70845"/>
    <w:rsid w:val="00D71E2D"/>
    <w:rsid w:val="00D7497E"/>
    <w:rsid w:val="00D74C9F"/>
    <w:rsid w:val="00D7598C"/>
    <w:rsid w:val="00D76B0D"/>
    <w:rsid w:val="00D7770E"/>
    <w:rsid w:val="00D77BF3"/>
    <w:rsid w:val="00D80722"/>
    <w:rsid w:val="00D82053"/>
    <w:rsid w:val="00D83103"/>
    <w:rsid w:val="00D853AA"/>
    <w:rsid w:val="00D857FC"/>
    <w:rsid w:val="00D85C50"/>
    <w:rsid w:val="00D869CF"/>
    <w:rsid w:val="00D87CC8"/>
    <w:rsid w:val="00D904C9"/>
    <w:rsid w:val="00D93041"/>
    <w:rsid w:val="00D93A9A"/>
    <w:rsid w:val="00D949B9"/>
    <w:rsid w:val="00D9651A"/>
    <w:rsid w:val="00D97644"/>
    <w:rsid w:val="00DA04FD"/>
    <w:rsid w:val="00DA1CDB"/>
    <w:rsid w:val="00DA2F74"/>
    <w:rsid w:val="00DA3F2A"/>
    <w:rsid w:val="00DA49D4"/>
    <w:rsid w:val="00DA4F16"/>
    <w:rsid w:val="00DA6FFA"/>
    <w:rsid w:val="00DA7107"/>
    <w:rsid w:val="00DB0CA8"/>
    <w:rsid w:val="00DB2613"/>
    <w:rsid w:val="00DB2D9A"/>
    <w:rsid w:val="00DB49BD"/>
    <w:rsid w:val="00DB66E8"/>
    <w:rsid w:val="00DC06FD"/>
    <w:rsid w:val="00DC150F"/>
    <w:rsid w:val="00DC1A1C"/>
    <w:rsid w:val="00DC2AC5"/>
    <w:rsid w:val="00DC372B"/>
    <w:rsid w:val="00DC52F3"/>
    <w:rsid w:val="00DC6056"/>
    <w:rsid w:val="00DC6833"/>
    <w:rsid w:val="00DD0BE4"/>
    <w:rsid w:val="00DD0F12"/>
    <w:rsid w:val="00DD0F60"/>
    <w:rsid w:val="00DD3A60"/>
    <w:rsid w:val="00DD60B4"/>
    <w:rsid w:val="00DD7176"/>
    <w:rsid w:val="00DE1A20"/>
    <w:rsid w:val="00DE4723"/>
    <w:rsid w:val="00DE5ECF"/>
    <w:rsid w:val="00DE6F50"/>
    <w:rsid w:val="00DE77E1"/>
    <w:rsid w:val="00DE7838"/>
    <w:rsid w:val="00DF14C4"/>
    <w:rsid w:val="00DF1524"/>
    <w:rsid w:val="00DF2627"/>
    <w:rsid w:val="00DF3023"/>
    <w:rsid w:val="00DF3D43"/>
    <w:rsid w:val="00DF48F8"/>
    <w:rsid w:val="00DF589D"/>
    <w:rsid w:val="00E011FF"/>
    <w:rsid w:val="00E01794"/>
    <w:rsid w:val="00E01B8F"/>
    <w:rsid w:val="00E02C78"/>
    <w:rsid w:val="00E058A1"/>
    <w:rsid w:val="00E05F88"/>
    <w:rsid w:val="00E05FD7"/>
    <w:rsid w:val="00E074A5"/>
    <w:rsid w:val="00E12386"/>
    <w:rsid w:val="00E14C76"/>
    <w:rsid w:val="00E14E67"/>
    <w:rsid w:val="00E1528E"/>
    <w:rsid w:val="00E174C1"/>
    <w:rsid w:val="00E17C95"/>
    <w:rsid w:val="00E20222"/>
    <w:rsid w:val="00E20417"/>
    <w:rsid w:val="00E20590"/>
    <w:rsid w:val="00E205DF"/>
    <w:rsid w:val="00E208E3"/>
    <w:rsid w:val="00E20ABD"/>
    <w:rsid w:val="00E20C9A"/>
    <w:rsid w:val="00E21751"/>
    <w:rsid w:val="00E222C1"/>
    <w:rsid w:val="00E22870"/>
    <w:rsid w:val="00E23806"/>
    <w:rsid w:val="00E32229"/>
    <w:rsid w:val="00E32422"/>
    <w:rsid w:val="00E3449C"/>
    <w:rsid w:val="00E35961"/>
    <w:rsid w:val="00E4072E"/>
    <w:rsid w:val="00E40F45"/>
    <w:rsid w:val="00E410BE"/>
    <w:rsid w:val="00E4204A"/>
    <w:rsid w:val="00E431CC"/>
    <w:rsid w:val="00E4332F"/>
    <w:rsid w:val="00E43638"/>
    <w:rsid w:val="00E45B43"/>
    <w:rsid w:val="00E47390"/>
    <w:rsid w:val="00E52867"/>
    <w:rsid w:val="00E52A3C"/>
    <w:rsid w:val="00E53431"/>
    <w:rsid w:val="00E53BD1"/>
    <w:rsid w:val="00E55AB8"/>
    <w:rsid w:val="00E61EB1"/>
    <w:rsid w:val="00E629E3"/>
    <w:rsid w:val="00E62BFF"/>
    <w:rsid w:val="00E63C0D"/>
    <w:rsid w:val="00E646B7"/>
    <w:rsid w:val="00E65B5B"/>
    <w:rsid w:val="00E661DA"/>
    <w:rsid w:val="00E66245"/>
    <w:rsid w:val="00E66DC5"/>
    <w:rsid w:val="00E6717F"/>
    <w:rsid w:val="00E67B0B"/>
    <w:rsid w:val="00E713D3"/>
    <w:rsid w:val="00E7239B"/>
    <w:rsid w:val="00E726CF"/>
    <w:rsid w:val="00E727DB"/>
    <w:rsid w:val="00E73299"/>
    <w:rsid w:val="00E7353D"/>
    <w:rsid w:val="00E75DDE"/>
    <w:rsid w:val="00E76228"/>
    <w:rsid w:val="00E765E7"/>
    <w:rsid w:val="00E7685E"/>
    <w:rsid w:val="00E770CD"/>
    <w:rsid w:val="00E77BC2"/>
    <w:rsid w:val="00E81953"/>
    <w:rsid w:val="00E8253D"/>
    <w:rsid w:val="00E82D05"/>
    <w:rsid w:val="00E846CB"/>
    <w:rsid w:val="00E85676"/>
    <w:rsid w:val="00E90449"/>
    <w:rsid w:val="00E91C6D"/>
    <w:rsid w:val="00E91CE0"/>
    <w:rsid w:val="00E92B06"/>
    <w:rsid w:val="00E92B23"/>
    <w:rsid w:val="00E92E1A"/>
    <w:rsid w:val="00E93CE7"/>
    <w:rsid w:val="00E968A5"/>
    <w:rsid w:val="00E96BE7"/>
    <w:rsid w:val="00E97806"/>
    <w:rsid w:val="00EA15FE"/>
    <w:rsid w:val="00EA2321"/>
    <w:rsid w:val="00EA2A23"/>
    <w:rsid w:val="00EA2B4C"/>
    <w:rsid w:val="00EA356C"/>
    <w:rsid w:val="00EA4568"/>
    <w:rsid w:val="00EA4DC8"/>
    <w:rsid w:val="00EA6F8A"/>
    <w:rsid w:val="00EA6FB5"/>
    <w:rsid w:val="00EA7DA2"/>
    <w:rsid w:val="00EB0C65"/>
    <w:rsid w:val="00EB1381"/>
    <w:rsid w:val="00EB13ED"/>
    <w:rsid w:val="00EB1661"/>
    <w:rsid w:val="00EB17B6"/>
    <w:rsid w:val="00EB28CC"/>
    <w:rsid w:val="00EB3C60"/>
    <w:rsid w:val="00EB460C"/>
    <w:rsid w:val="00EB4A92"/>
    <w:rsid w:val="00EB4D8F"/>
    <w:rsid w:val="00EB67A6"/>
    <w:rsid w:val="00EB7BF1"/>
    <w:rsid w:val="00EC075B"/>
    <w:rsid w:val="00EC0F51"/>
    <w:rsid w:val="00EC110D"/>
    <w:rsid w:val="00EC240E"/>
    <w:rsid w:val="00EC2A70"/>
    <w:rsid w:val="00EC2C64"/>
    <w:rsid w:val="00EC412B"/>
    <w:rsid w:val="00EC4479"/>
    <w:rsid w:val="00EC4C5F"/>
    <w:rsid w:val="00EC6313"/>
    <w:rsid w:val="00ED02F5"/>
    <w:rsid w:val="00ED0A91"/>
    <w:rsid w:val="00ED1384"/>
    <w:rsid w:val="00ED212D"/>
    <w:rsid w:val="00ED4493"/>
    <w:rsid w:val="00ED4595"/>
    <w:rsid w:val="00ED4795"/>
    <w:rsid w:val="00EE1BB3"/>
    <w:rsid w:val="00EE2270"/>
    <w:rsid w:val="00EE2BBF"/>
    <w:rsid w:val="00EE3C74"/>
    <w:rsid w:val="00EE3DD9"/>
    <w:rsid w:val="00EE7658"/>
    <w:rsid w:val="00EE77A3"/>
    <w:rsid w:val="00EF01D3"/>
    <w:rsid w:val="00EF0FBE"/>
    <w:rsid w:val="00EF40CD"/>
    <w:rsid w:val="00EF4111"/>
    <w:rsid w:val="00EF4BE9"/>
    <w:rsid w:val="00EF7147"/>
    <w:rsid w:val="00F016A9"/>
    <w:rsid w:val="00F02AF5"/>
    <w:rsid w:val="00F04826"/>
    <w:rsid w:val="00F05035"/>
    <w:rsid w:val="00F119CE"/>
    <w:rsid w:val="00F1378B"/>
    <w:rsid w:val="00F13E46"/>
    <w:rsid w:val="00F150B4"/>
    <w:rsid w:val="00F16561"/>
    <w:rsid w:val="00F166FD"/>
    <w:rsid w:val="00F174A4"/>
    <w:rsid w:val="00F174A8"/>
    <w:rsid w:val="00F17652"/>
    <w:rsid w:val="00F2045F"/>
    <w:rsid w:val="00F23EE7"/>
    <w:rsid w:val="00F247D7"/>
    <w:rsid w:val="00F24889"/>
    <w:rsid w:val="00F25226"/>
    <w:rsid w:val="00F25AB1"/>
    <w:rsid w:val="00F26616"/>
    <w:rsid w:val="00F306AA"/>
    <w:rsid w:val="00F33138"/>
    <w:rsid w:val="00F331EA"/>
    <w:rsid w:val="00F3347A"/>
    <w:rsid w:val="00F3414E"/>
    <w:rsid w:val="00F35D1D"/>
    <w:rsid w:val="00F3654E"/>
    <w:rsid w:val="00F36D3E"/>
    <w:rsid w:val="00F36D92"/>
    <w:rsid w:val="00F37E11"/>
    <w:rsid w:val="00F4134E"/>
    <w:rsid w:val="00F41BE5"/>
    <w:rsid w:val="00F42355"/>
    <w:rsid w:val="00F42F45"/>
    <w:rsid w:val="00F431B4"/>
    <w:rsid w:val="00F46014"/>
    <w:rsid w:val="00F47066"/>
    <w:rsid w:val="00F5081B"/>
    <w:rsid w:val="00F50C95"/>
    <w:rsid w:val="00F52593"/>
    <w:rsid w:val="00F5393B"/>
    <w:rsid w:val="00F54923"/>
    <w:rsid w:val="00F5691B"/>
    <w:rsid w:val="00F60900"/>
    <w:rsid w:val="00F60935"/>
    <w:rsid w:val="00F6145A"/>
    <w:rsid w:val="00F61F26"/>
    <w:rsid w:val="00F624C0"/>
    <w:rsid w:val="00F63936"/>
    <w:rsid w:val="00F63CFF"/>
    <w:rsid w:val="00F64B57"/>
    <w:rsid w:val="00F66EBF"/>
    <w:rsid w:val="00F67329"/>
    <w:rsid w:val="00F673E6"/>
    <w:rsid w:val="00F70879"/>
    <w:rsid w:val="00F70B13"/>
    <w:rsid w:val="00F70FB4"/>
    <w:rsid w:val="00F71772"/>
    <w:rsid w:val="00F71BFF"/>
    <w:rsid w:val="00F71C44"/>
    <w:rsid w:val="00F71F6F"/>
    <w:rsid w:val="00F747CD"/>
    <w:rsid w:val="00F7484E"/>
    <w:rsid w:val="00F75BC3"/>
    <w:rsid w:val="00F80855"/>
    <w:rsid w:val="00F808E7"/>
    <w:rsid w:val="00F81C86"/>
    <w:rsid w:val="00F84FEB"/>
    <w:rsid w:val="00F85D04"/>
    <w:rsid w:val="00F866A2"/>
    <w:rsid w:val="00F8790C"/>
    <w:rsid w:val="00F9101F"/>
    <w:rsid w:val="00F943A6"/>
    <w:rsid w:val="00F945B3"/>
    <w:rsid w:val="00F94E8A"/>
    <w:rsid w:val="00F9614E"/>
    <w:rsid w:val="00F96C62"/>
    <w:rsid w:val="00F978F5"/>
    <w:rsid w:val="00F979B7"/>
    <w:rsid w:val="00FA08E0"/>
    <w:rsid w:val="00FA146D"/>
    <w:rsid w:val="00FA3504"/>
    <w:rsid w:val="00FA37AB"/>
    <w:rsid w:val="00FA5150"/>
    <w:rsid w:val="00FA5DD0"/>
    <w:rsid w:val="00FA719B"/>
    <w:rsid w:val="00FB0C2A"/>
    <w:rsid w:val="00FB1A3C"/>
    <w:rsid w:val="00FB1C77"/>
    <w:rsid w:val="00FB4B0A"/>
    <w:rsid w:val="00FB5395"/>
    <w:rsid w:val="00FB6366"/>
    <w:rsid w:val="00FB75A8"/>
    <w:rsid w:val="00FB787C"/>
    <w:rsid w:val="00FB7FF2"/>
    <w:rsid w:val="00FC1840"/>
    <w:rsid w:val="00FC19FE"/>
    <w:rsid w:val="00FC24AE"/>
    <w:rsid w:val="00FC2E08"/>
    <w:rsid w:val="00FC3B16"/>
    <w:rsid w:val="00FC54DC"/>
    <w:rsid w:val="00FC5C66"/>
    <w:rsid w:val="00FC68B4"/>
    <w:rsid w:val="00FC6BE9"/>
    <w:rsid w:val="00FC7337"/>
    <w:rsid w:val="00FD071D"/>
    <w:rsid w:val="00FD1CFE"/>
    <w:rsid w:val="00FD3F1B"/>
    <w:rsid w:val="00FD50D7"/>
    <w:rsid w:val="00FD691F"/>
    <w:rsid w:val="00FD723E"/>
    <w:rsid w:val="00FE10B5"/>
    <w:rsid w:val="00FE14DE"/>
    <w:rsid w:val="00FE3BB0"/>
    <w:rsid w:val="00FE6F98"/>
    <w:rsid w:val="00FE771A"/>
    <w:rsid w:val="00FF16BA"/>
    <w:rsid w:val="00FF18A6"/>
    <w:rsid w:val="00FF21BE"/>
    <w:rsid w:val="00FF524E"/>
    <w:rsid w:val="00FF5319"/>
    <w:rsid w:val="00FF59CC"/>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61"/>
    <o:shapelayout v:ext="edit">
      <o:idmap v:ext="edit" data="1"/>
    </o:shapelayout>
  </w:shapeDefaults>
  <w:decimalSymbol w:val="."/>
  <w:listSeparator w:val=","/>
  <w15:docId w15:val="{5C64E412-5B1E-490B-9D81-2B2A8036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uiPriority w:val="99"/>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t Cha"/>
    <w:basedOn w:val="Normal"/>
    <w:link w:val="FootnoteTextChar"/>
    <w:uiPriority w:val="99"/>
    <w:qFormat/>
    <w:rsid w:val="00974A04"/>
    <w:rPr>
      <w:sz w:val="20"/>
      <w:szCs w:val="20"/>
    </w:rPr>
  </w:style>
  <w:style w:type="character" w:styleId="FootnoteReference">
    <w:name w:val="footnote reference"/>
    <w:aliases w:val="Style 24,o,fr,Style 17,Style 11,Style 28,Style 8,Style 13,Style 12,Style 15,Style 9,o1,fr1,o2,fr2,o3,fr3,Style 18,(NECG) Footnote Reference,Style 20,Style 7,Style 19,Style 16,Style 30,Style 3,Styl,Style 39,Appel note de bas de p,FR"/>
    <w:basedOn w:val="DefaultParagraphFont"/>
    <w:uiPriority w:val="99"/>
    <w:qFormat/>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 w:type="paragraph" w:styleId="NormalWeb">
    <w:name w:val="Normal (Web)"/>
    <w:basedOn w:val="Normal"/>
    <w:uiPriority w:val="99"/>
    <w:unhideWhenUsed/>
    <w:rsid w:val="00147E11"/>
    <w:pPr>
      <w:autoSpaceDE/>
      <w:autoSpaceDN/>
    </w:pPr>
    <w:rPr>
      <w:rFonts w:eastAsiaTheme="minorHAnsi"/>
    </w:rPr>
  </w:style>
  <w:style w:type="character" w:styleId="Hyperlink">
    <w:name w:val="Hyperlink"/>
    <w:basedOn w:val="DefaultParagraphFont"/>
    <w:uiPriority w:val="99"/>
    <w:rsid w:val="008067CC"/>
    <w:rPr>
      <w:color w:val="0000FF" w:themeColor="hyperlink"/>
      <w:u w:val="single"/>
    </w:rPr>
  </w:style>
  <w:style w:type="character" w:customStyle="1" w:styleId="CommentTextChar">
    <w:name w:val="Comment Text Char"/>
    <w:basedOn w:val="DefaultParagraphFont"/>
    <w:link w:val="CommentText"/>
    <w:rsid w:val="009B2804"/>
  </w:style>
  <w:style w:type="paragraph" w:customStyle="1" w:styleId="WARateCase">
    <w:name w:val="WA Rate Case"/>
    <w:basedOn w:val="Normal"/>
    <w:link w:val="WARateCaseChar"/>
    <w:qFormat/>
    <w:rsid w:val="003C0999"/>
    <w:pPr>
      <w:autoSpaceDE/>
      <w:autoSpaceDN/>
      <w:spacing w:line="480" w:lineRule="auto"/>
    </w:pPr>
    <w:rPr>
      <w:rFonts w:ascii="Calibri" w:eastAsia="Calibri" w:hAnsi="Calibri"/>
      <w:b/>
      <w:sz w:val="22"/>
      <w:szCs w:val="22"/>
    </w:rPr>
  </w:style>
  <w:style w:type="character" w:customStyle="1" w:styleId="WARateCaseChar">
    <w:name w:val="WA Rate Case Char"/>
    <w:basedOn w:val="DefaultParagraphFont"/>
    <w:link w:val="WARateCase"/>
    <w:rsid w:val="003C0999"/>
    <w:rPr>
      <w:rFonts w:ascii="Calibri" w:eastAsia="Calibri" w:hAnsi="Calibri"/>
      <w:b/>
      <w:sz w:val="22"/>
      <w:szCs w:val="22"/>
    </w:rPr>
  </w:style>
  <w:style w:type="paragraph" w:styleId="BodyText3">
    <w:name w:val="Body Text 3"/>
    <w:basedOn w:val="Normal"/>
    <w:link w:val="BodyText3Char"/>
    <w:unhideWhenUsed/>
    <w:rsid w:val="005D3968"/>
    <w:pPr>
      <w:spacing w:before="120" w:after="120"/>
      <w:ind w:left="720" w:right="720"/>
      <w:jc w:val="both"/>
    </w:pPr>
    <w:rPr>
      <w:sz w:val="16"/>
      <w:szCs w:val="16"/>
    </w:rPr>
  </w:style>
  <w:style w:type="character" w:customStyle="1" w:styleId="BodyText3Char">
    <w:name w:val="Body Text 3 Char"/>
    <w:basedOn w:val="DefaultParagraphFont"/>
    <w:link w:val="BodyText3"/>
    <w:rsid w:val="005D3968"/>
    <w:rPr>
      <w:sz w:val="16"/>
      <w:szCs w:val="16"/>
    </w:rPr>
  </w:style>
  <w:style w:type="paragraph" w:styleId="TOCHeading">
    <w:name w:val="TOC Heading"/>
    <w:basedOn w:val="Heading1"/>
    <w:next w:val="Normal"/>
    <w:uiPriority w:val="39"/>
    <w:unhideWhenUsed/>
    <w:qFormat/>
    <w:rsid w:val="00793953"/>
    <w:pPr>
      <w:keepLines/>
      <w:tabs>
        <w:tab w:val="clear" w:pos="720"/>
        <w:tab w:val="clear" w:pos="5040"/>
        <w:tab w:val="clear" w:pos="6480"/>
        <w:tab w:val="clear" w:pos="7920"/>
      </w:tab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93953"/>
    <w:pPr>
      <w:spacing w:after="100"/>
    </w:pPr>
  </w:style>
  <w:style w:type="paragraph" w:styleId="TOC3">
    <w:name w:val="toc 3"/>
    <w:basedOn w:val="Normal"/>
    <w:next w:val="Normal"/>
    <w:autoRedefine/>
    <w:uiPriority w:val="39"/>
    <w:unhideWhenUsed/>
    <w:rsid w:val="00194221"/>
    <w:pPr>
      <w:tabs>
        <w:tab w:val="right" w:leader="dot" w:pos="7470"/>
      </w:tabs>
      <w:spacing w:after="100" w:line="360" w:lineRule="auto"/>
      <w:ind w:left="475" w:right="1454" w:firstLine="2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831">
      <w:bodyDiv w:val="1"/>
      <w:marLeft w:val="0"/>
      <w:marRight w:val="0"/>
      <w:marTop w:val="0"/>
      <w:marBottom w:val="0"/>
      <w:divBdr>
        <w:top w:val="none" w:sz="0" w:space="0" w:color="auto"/>
        <w:left w:val="none" w:sz="0" w:space="0" w:color="auto"/>
        <w:bottom w:val="none" w:sz="0" w:space="0" w:color="auto"/>
        <w:right w:val="none" w:sz="0" w:space="0" w:color="auto"/>
      </w:divBdr>
    </w:div>
    <w:div w:id="106387684">
      <w:bodyDiv w:val="1"/>
      <w:marLeft w:val="0"/>
      <w:marRight w:val="0"/>
      <w:marTop w:val="0"/>
      <w:marBottom w:val="0"/>
      <w:divBdr>
        <w:top w:val="none" w:sz="0" w:space="0" w:color="auto"/>
        <w:left w:val="none" w:sz="0" w:space="0" w:color="auto"/>
        <w:bottom w:val="none" w:sz="0" w:space="0" w:color="auto"/>
        <w:right w:val="none" w:sz="0" w:space="0" w:color="auto"/>
      </w:divBdr>
    </w:div>
    <w:div w:id="119617846">
      <w:bodyDiv w:val="1"/>
      <w:marLeft w:val="0"/>
      <w:marRight w:val="0"/>
      <w:marTop w:val="0"/>
      <w:marBottom w:val="0"/>
      <w:divBdr>
        <w:top w:val="none" w:sz="0" w:space="0" w:color="auto"/>
        <w:left w:val="none" w:sz="0" w:space="0" w:color="auto"/>
        <w:bottom w:val="none" w:sz="0" w:space="0" w:color="auto"/>
        <w:right w:val="none" w:sz="0" w:space="0" w:color="auto"/>
      </w:divBdr>
    </w:div>
    <w:div w:id="134301230">
      <w:bodyDiv w:val="1"/>
      <w:marLeft w:val="0"/>
      <w:marRight w:val="0"/>
      <w:marTop w:val="0"/>
      <w:marBottom w:val="0"/>
      <w:divBdr>
        <w:top w:val="none" w:sz="0" w:space="0" w:color="auto"/>
        <w:left w:val="none" w:sz="0" w:space="0" w:color="auto"/>
        <w:bottom w:val="none" w:sz="0" w:space="0" w:color="auto"/>
        <w:right w:val="none" w:sz="0" w:space="0" w:color="auto"/>
      </w:divBdr>
    </w:div>
    <w:div w:id="152260917">
      <w:bodyDiv w:val="1"/>
      <w:marLeft w:val="0"/>
      <w:marRight w:val="0"/>
      <w:marTop w:val="0"/>
      <w:marBottom w:val="0"/>
      <w:divBdr>
        <w:top w:val="none" w:sz="0" w:space="0" w:color="auto"/>
        <w:left w:val="none" w:sz="0" w:space="0" w:color="auto"/>
        <w:bottom w:val="none" w:sz="0" w:space="0" w:color="auto"/>
        <w:right w:val="none" w:sz="0" w:space="0" w:color="auto"/>
      </w:divBdr>
    </w:div>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316031963">
      <w:bodyDiv w:val="1"/>
      <w:marLeft w:val="0"/>
      <w:marRight w:val="0"/>
      <w:marTop w:val="0"/>
      <w:marBottom w:val="0"/>
      <w:divBdr>
        <w:top w:val="none" w:sz="0" w:space="0" w:color="auto"/>
        <w:left w:val="none" w:sz="0" w:space="0" w:color="auto"/>
        <w:bottom w:val="none" w:sz="0" w:space="0" w:color="auto"/>
        <w:right w:val="none" w:sz="0" w:space="0" w:color="auto"/>
      </w:divBdr>
    </w:div>
    <w:div w:id="336735635">
      <w:bodyDiv w:val="1"/>
      <w:marLeft w:val="0"/>
      <w:marRight w:val="0"/>
      <w:marTop w:val="0"/>
      <w:marBottom w:val="0"/>
      <w:divBdr>
        <w:top w:val="none" w:sz="0" w:space="0" w:color="auto"/>
        <w:left w:val="none" w:sz="0" w:space="0" w:color="auto"/>
        <w:bottom w:val="none" w:sz="0" w:space="0" w:color="auto"/>
        <w:right w:val="none" w:sz="0" w:space="0" w:color="auto"/>
      </w:divBdr>
    </w:div>
    <w:div w:id="350104451">
      <w:bodyDiv w:val="1"/>
      <w:marLeft w:val="0"/>
      <w:marRight w:val="0"/>
      <w:marTop w:val="0"/>
      <w:marBottom w:val="0"/>
      <w:divBdr>
        <w:top w:val="none" w:sz="0" w:space="0" w:color="auto"/>
        <w:left w:val="none" w:sz="0" w:space="0" w:color="auto"/>
        <w:bottom w:val="none" w:sz="0" w:space="0" w:color="auto"/>
        <w:right w:val="none" w:sz="0" w:space="0" w:color="auto"/>
      </w:divBdr>
    </w:div>
    <w:div w:id="420419774">
      <w:bodyDiv w:val="1"/>
      <w:marLeft w:val="0"/>
      <w:marRight w:val="0"/>
      <w:marTop w:val="0"/>
      <w:marBottom w:val="0"/>
      <w:divBdr>
        <w:top w:val="none" w:sz="0" w:space="0" w:color="auto"/>
        <w:left w:val="none" w:sz="0" w:space="0" w:color="auto"/>
        <w:bottom w:val="none" w:sz="0" w:space="0" w:color="auto"/>
        <w:right w:val="none" w:sz="0" w:space="0" w:color="auto"/>
      </w:divBdr>
    </w:div>
    <w:div w:id="491408840">
      <w:bodyDiv w:val="1"/>
      <w:marLeft w:val="0"/>
      <w:marRight w:val="0"/>
      <w:marTop w:val="0"/>
      <w:marBottom w:val="0"/>
      <w:divBdr>
        <w:top w:val="none" w:sz="0" w:space="0" w:color="auto"/>
        <w:left w:val="none" w:sz="0" w:space="0" w:color="auto"/>
        <w:bottom w:val="none" w:sz="0" w:space="0" w:color="auto"/>
        <w:right w:val="none" w:sz="0" w:space="0" w:color="auto"/>
      </w:divBdr>
    </w:div>
    <w:div w:id="496073659">
      <w:bodyDiv w:val="1"/>
      <w:marLeft w:val="0"/>
      <w:marRight w:val="0"/>
      <w:marTop w:val="0"/>
      <w:marBottom w:val="0"/>
      <w:divBdr>
        <w:top w:val="none" w:sz="0" w:space="0" w:color="auto"/>
        <w:left w:val="none" w:sz="0" w:space="0" w:color="auto"/>
        <w:bottom w:val="none" w:sz="0" w:space="0" w:color="auto"/>
        <w:right w:val="none" w:sz="0" w:space="0" w:color="auto"/>
      </w:divBdr>
    </w:div>
    <w:div w:id="496530559">
      <w:bodyDiv w:val="1"/>
      <w:marLeft w:val="0"/>
      <w:marRight w:val="0"/>
      <w:marTop w:val="0"/>
      <w:marBottom w:val="0"/>
      <w:divBdr>
        <w:top w:val="none" w:sz="0" w:space="0" w:color="auto"/>
        <w:left w:val="none" w:sz="0" w:space="0" w:color="auto"/>
        <w:bottom w:val="none" w:sz="0" w:space="0" w:color="auto"/>
        <w:right w:val="none" w:sz="0" w:space="0" w:color="auto"/>
      </w:divBdr>
    </w:div>
    <w:div w:id="546262582">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917136992">
      <w:bodyDiv w:val="1"/>
      <w:marLeft w:val="0"/>
      <w:marRight w:val="0"/>
      <w:marTop w:val="0"/>
      <w:marBottom w:val="0"/>
      <w:divBdr>
        <w:top w:val="none" w:sz="0" w:space="0" w:color="auto"/>
        <w:left w:val="none" w:sz="0" w:space="0" w:color="auto"/>
        <w:bottom w:val="none" w:sz="0" w:space="0" w:color="auto"/>
        <w:right w:val="none" w:sz="0" w:space="0" w:color="auto"/>
      </w:divBdr>
    </w:div>
    <w:div w:id="954406127">
      <w:bodyDiv w:val="1"/>
      <w:marLeft w:val="0"/>
      <w:marRight w:val="0"/>
      <w:marTop w:val="0"/>
      <w:marBottom w:val="0"/>
      <w:divBdr>
        <w:top w:val="none" w:sz="0" w:space="0" w:color="auto"/>
        <w:left w:val="none" w:sz="0" w:space="0" w:color="auto"/>
        <w:bottom w:val="none" w:sz="0" w:space="0" w:color="auto"/>
        <w:right w:val="none" w:sz="0" w:space="0" w:color="auto"/>
      </w:divBdr>
    </w:div>
    <w:div w:id="1039352366">
      <w:bodyDiv w:val="1"/>
      <w:marLeft w:val="0"/>
      <w:marRight w:val="0"/>
      <w:marTop w:val="0"/>
      <w:marBottom w:val="0"/>
      <w:divBdr>
        <w:top w:val="none" w:sz="0" w:space="0" w:color="auto"/>
        <w:left w:val="none" w:sz="0" w:space="0" w:color="auto"/>
        <w:bottom w:val="none" w:sz="0" w:space="0" w:color="auto"/>
        <w:right w:val="none" w:sz="0" w:space="0" w:color="auto"/>
      </w:divBdr>
    </w:div>
    <w:div w:id="1041249730">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 w:id="1076632210">
      <w:bodyDiv w:val="1"/>
      <w:marLeft w:val="0"/>
      <w:marRight w:val="0"/>
      <w:marTop w:val="0"/>
      <w:marBottom w:val="0"/>
      <w:divBdr>
        <w:top w:val="none" w:sz="0" w:space="0" w:color="auto"/>
        <w:left w:val="none" w:sz="0" w:space="0" w:color="auto"/>
        <w:bottom w:val="none" w:sz="0" w:space="0" w:color="auto"/>
        <w:right w:val="none" w:sz="0" w:space="0" w:color="auto"/>
      </w:divBdr>
    </w:div>
    <w:div w:id="1116170217">
      <w:bodyDiv w:val="1"/>
      <w:marLeft w:val="0"/>
      <w:marRight w:val="0"/>
      <w:marTop w:val="0"/>
      <w:marBottom w:val="0"/>
      <w:divBdr>
        <w:top w:val="none" w:sz="0" w:space="0" w:color="auto"/>
        <w:left w:val="none" w:sz="0" w:space="0" w:color="auto"/>
        <w:bottom w:val="none" w:sz="0" w:space="0" w:color="auto"/>
        <w:right w:val="none" w:sz="0" w:space="0" w:color="auto"/>
      </w:divBdr>
    </w:div>
    <w:div w:id="1226451396">
      <w:bodyDiv w:val="1"/>
      <w:marLeft w:val="0"/>
      <w:marRight w:val="0"/>
      <w:marTop w:val="0"/>
      <w:marBottom w:val="0"/>
      <w:divBdr>
        <w:top w:val="none" w:sz="0" w:space="0" w:color="auto"/>
        <w:left w:val="none" w:sz="0" w:space="0" w:color="auto"/>
        <w:bottom w:val="none" w:sz="0" w:space="0" w:color="auto"/>
        <w:right w:val="none" w:sz="0" w:space="0" w:color="auto"/>
      </w:divBdr>
    </w:div>
    <w:div w:id="1293681043">
      <w:bodyDiv w:val="1"/>
      <w:marLeft w:val="0"/>
      <w:marRight w:val="0"/>
      <w:marTop w:val="0"/>
      <w:marBottom w:val="0"/>
      <w:divBdr>
        <w:top w:val="none" w:sz="0" w:space="0" w:color="auto"/>
        <w:left w:val="none" w:sz="0" w:space="0" w:color="auto"/>
        <w:bottom w:val="none" w:sz="0" w:space="0" w:color="auto"/>
        <w:right w:val="none" w:sz="0" w:space="0" w:color="auto"/>
      </w:divBdr>
    </w:div>
    <w:div w:id="1391415221">
      <w:bodyDiv w:val="1"/>
      <w:marLeft w:val="0"/>
      <w:marRight w:val="0"/>
      <w:marTop w:val="0"/>
      <w:marBottom w:val="0"/>
      <w:divBdr>
        <w:top w:val="none" w:sz="0" w:space="0" w:color="auto"/>
        <w:left w:val="none" w:sz="0" w:space="0" w:color="auto"/>
        <w:bottom w:val="none" w:sz="0" w:space="0" w:color="auto"/>
        <w:right w:val="none" w:sz="0" w:space="0" w:color="auto"/>
      </w:divBdr>
    </w:div>
    <w:div w:id="1579511129">
      <w:bodyDiv w:val="1"/>
      <w:marLeft w:val="0"/>
      <w:marRight w:val="0"/>
      <w:marTop w:val="0"/>
      <w:marBottom w:val="0"/>
      <w:divBdr>
        <w:top w:val="none" w:sz="0" w:space="0" w:color="auto"/>
        <w:left w:val="none" w:sz="0" w:space="0" w:color="auto"/>
        <w:bottom w:val="none" w:sz="0" w:space="0" w:color="auto"/>
        <w:right w:val="none" w:sz="0" w:space="0" w:color="auto"/>
      </w:divBdr>
    </w:div>
    <w:div w:id="1659263022">
      <w:bodyDiv w:val="1"/>
      <w:marLeft w:val="0"/>
      <w:marRight w:val="0"/>
      <w:marTop w:val="0"/>
      <w:marBottom w:val="0"/>
      <w:divBdr>
        <w:top w:val="none" w:sz="0" w:space="0" w:color="auto"/>
        <w:left w:val="none" w:sz="0" w:space="0" w:color="auto"/>
        <w:bottom w:val="none" w:sz="0" w:space="0" w:color="auto"/>
        <w:right w:val="none" w:sz="0" w:space="0" w:color="auto"/>
      </w:divBdr>
    </w:div>
    <w:div w:id="1694958972">
      <w:bodyDiv w:val="1"/>
      <w:marLeft w:val="0"/>
      <w:marRight w:val="0"/>
      <w:marTop w:val="0"/>
      <w:marBottom w:val="0"/>
      <w:divBdr>
        <w:top w:val="none" w:sz="0" w:space="0" w:color="auto"/>
        <w:left w:val="none" w:sz="0" w:space="0" w:color="auto"/>
        <w:bottom w:val="none" w:sz="0" w:space="0" w:color="auto"/>
        <w:right w:val="none" w:sz="0" w:space="0" w:color="auto"/>
      </w:divBdr>
    </w:div>
    <w:div w:id="1745686601">
      <w:bodyDiv w:val="1"/>
      <w:marLeft w:val="0"/>
      <w:marRight w:val="0"/>
      <w:marTop w:val="0"/>
      <w:marBottom w:val="0"/>
      <w:divBdr>
        <w:top w:val="none" w:sz="0" w:space="0" w:color="auto"/>
        <w:left w:val="none" w:sz="0" w:space="0" w:color="auto"/>
        <w:bottom w:val="none" w:sz="0" w:space="0" w:color="auto"/>
        <w:right w:val="none" w:sz="0" w:space="0" w:color="auto"/>
      </w:divBdr>
    </w:div>
    <w:div w:id="1799688461">
      <w:bodyDiv w:val="1"/>
      <w:marLeft w:val="0"/>
      <w:marRight w:val="0"/>
      <w:marTop w:val="0"/>
      <w:marBottom w:val="0"/>
      <w:divBdr>
        <w:top w:val="none" w:sz="0" w:space="0" w:color="auto"/>
        <w:left w:val="none" w:sz="0" w:space="0" w:color="auto"/>
        <w:bottom w:val="none" w:sz="0" w:space="0" w:color="auto"/>
        <w:right w:val="none" w:sz="0" w:space="0" w:color="auto"/>
      </w:divBdr>
    </w:div>
    <w:div w:id="1922595599">
      <w:bodyDiv w:val="1"/>
      <w:marLeft w:val="0"/>
      <w:marRight w:val="0"/>
      <w:marTop w:val="0"/>
      <w:marBottom w:val="0"/>
      <w:divBdr>
        <w:top w:val="none" w:sz="0" w:space="0" w:color="auto"/>
        <w:left w:val="none" w:sz="0" w:space="0" w:color="auto"/>
        <w:bottom w:val="none" w:sz="0" w:space="0" w:color="auto"/>
        <w:right w:val="none" w:sz="0" w:space="0" w:color="auto"/>
      </w:divBdr>
    </w:div>
    <w:div w:id="1946502049">
      <w:bodyDiv w:val="1"/>
      <w:marLeft w:val="0"/>
      <w:marRight w:val="0"/>
      <w:marTop w:val="0"/>
      <w:marBottom w:val="0"/>
      <w:divBdr>
        <w:top w:val="none" w:sz="0" w:space="0" w:color="auto"/>
        <w:left w:val="none" w:sz="0" w:space="0" w:color="auto"/>
        <w:bottom w:val="none" w:sz="0" w:space="0" w:color="auto"/>
        <w:right w:val="none" w:sz="0" w:space="0" w:color="auto"/>
      </w:divBdr>
    </w:div>
    <w:div w:id="1970013318">
      <w:bodyDiv w:val="1"/>
      <w:marLeft w:val="0"/>
      <w:marRight w:val="0"/>
      <w:marTop w:val="0"/>
      <w:marBottom w:val="0"/>
      <w:divBdr>
        <w:top w:val="none" w:sz="0" w:space="0" w:color="auto"/>
        <w:left w:val="none" w:sz="0" w:space="0" w:color="auto"/>
        <w:bottom w:val="none" w:sz="0" w:space="0" w:color="auto"/>
        <w:right w:val="none" w:sz="0" w:space="0" w:color="auto"/>
      </w:divBdr>
    </w:div>
    <w:div w:id="21213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C8DE339-EC65-42CA-B679-EF4076EBF341}">
  <ds:schemaRefs>
    <ds:schemaRef ds:uri="http://schemas.openxmlformats.org/officeDocument/2006/bibliography"/>
  </ds:schemaRefs>
</ds:datastoreItem>
</file>

<file path=customXml/itemProps2.xml><?xml version="1.0" encoding="utf-8"?>
<ds:datastoreItem xmlns:ds="http://schemas.openxmlformats.org/officeDocument/2006/customXml" ds:itemID="{B661BE24-0AB7-4EAC-B5A9-E6A2F57C2113}"/>
</file>

<file path=customXml/itemProps3.xml><?xml version="1.0" encoding="utf-8"?>
<ds:datastoreItem xmlns:ds="http://schemas.openxmlformats.org/officeDocument/2006/customXml" ds:itemID="{BF2BA14F-BA73-4E1D-A5A6-FA26246A448C}"/>
</file>

<file path=customXml/itemProps4.xml><?xml version="1.0" encoding="utf-8"?>
<ds:datastoreItem xmlns:ds="http://schemas.openxmlformats.org/officeDocument/2006/customXml" ds:itemID="{9C0F4E2E-CB26-44EC-AA71-E97A75739632}"/>
</file>

<file path=customXml/itemProps5.xml><?xml version="1.0" encoding="utf-8"?>
<ds:datastoreItem xmlns:ds="http://schemas.openxmlformats.org/officeDocument/2006/customXml" ds:itemID="{1853537A-FBF3-4547-A965-EC12220F6141}"/>
</file>

<file path=docProps/app.xml><?xml version="1.0" encoding="utf-8"?>
<Properties xmlns="http://schemas.openxmlformats.org/officeDocument/2006/extended-properties" xmlns:vt="http://schemas.openxmlformats.org/officeDocument/2006/docPropsVTypes">
  <Template>Normal.dotm</Template>
  <TotalTime>317</TotalTime>
  <Pages>22</Pages>
  <Words>3266</Words>
  <Characters>17897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27</cp:revision>
  <cp:lastPrinted>2017-05-22T17:09:00Z</cp:lastPrinted>
  <dcterms:created xsi:type="dcterms:W3CDTF">2017-05-17T23:43:00Z</dcterms:created>
  <dcterms:modified xsi:type="dcterms:W3CDTF">2017-05-22T17:09:00Z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0x0101006E56B4D1795A2E4DB2F0B01679ED314A004293D7BF2DB2434CBA4573E3DBB11230</vt:lpwstr>
  </property>
  <property fmtid="{D5CDD505-2E9C-101B-9397-08002B2CF9AE}" pid="4" name="_docset_NoMedatataSyncRequired">
    <vt:lpwstr>False</vt:lpwstr>
  </property>
  <property fmtid="{D5CDD505-2E9C-101B-9397-08002B2CF9AE}" pid="5" name="IsEFSEC">
    <vt:bool>false</vt:bool>
  </property>
</Properties>
</file>