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74705" w14:textId="77777777" w:rsidR="00752C15" w:rsidRPr="00482AE0" w:rsidRDefault="00752C15" w:rsidP="00752C15">
      <w:pPr>
        <w:rPr>
          <w:b/>
          <w:bCs/>
          <w:sz w:val="24"/>
        </w:rPr>
      </w:pPr>
      <w:r w:rsidRPr="00482AE0">
        <w:rPr>
          <w:b/>
          <w:bCs/>
          <w:sz w:val="24"/>
        </w:rPr>
        <w:t xml:space="preserve">BENCH REQUEST NO. 4:  </w:t>
      </w:r>
    </w:p>
    <w:p w14:paraId="37FC68DA" w14:textId="77777777" w:rsidR="00752C15" w:rsidRPr="00482AE0" w:rsidRDefault="00752C15" w:rsidP="00752C15">
      <w:pPr>
        <w:rPr>
          <w:b/>
          <w:bCs/>
          <w:sz w:val="24"/>
        </w:rPr>
      </w:pPr>
    </w:p>
    <w:p w14:paraId="694F4B75" w14:textId="77777777" w:rsidR="00752C15" w:rsidRPr="00482AE0" w:rsidRDefault="00752C15" w:rsidP="00752C15">
      <w:pPr>
        <w:rPr>
          <w:bCs/>
          <w:sz w:val="24"/>
        </w:rPr>
      </w:pPr>
      <w:r w:rsidRPr="00482AE0">
        <w:rPr>
          <w:bCs/>
          <w:sz w:val="24"/>
        </w:rPr>
        <w:t xml:space="preserve">At the Commission’s evidentiary hearing on December 1, 2015, ALJ Rayne Pearson asked Commission Staff, “Has the Commission ever challenged a SEPA Determination of </w:t>
      </w:r>
      <w:proofErr w:type="spellStart"/>
      <w:r w:rsidRPr="00482AE0">
        <w:rPr>
          <w:bCs/>
          <w:sz w:val="24"/>
        </w:rPr>
        <w:t>Nonsignificance</w:t>
      </w:r>
      <w:proofErr w:type="spellEnd"/>
      <w:r w:rsidRPr="00482AE0">
        <w:rPr>
          <w:bCs/>
          <w:sz w:val="24"/>
        </w:rPr>
        <w:t>?”</w:t>
      </w:r>
    </w:p>
    <w:p w14:paraId="220EC6A9" w14:textId="77777777" w:rsidR="00752C15" w:rsidRPr="00482AE0" w:rsidRDefault="00752C15" w:rsidP="00752C15">
      <w:pPr>
        <w:rPr>
          <w:b/>
          <w:bCs/>
          <w:sz w:val="24"/>
        </w:rPr>
      </w:pPr>
    </w:p>
    <w:p w14:paraId="2BE7FE3D" w14:textId="77777777" w:rsidR="00752C15" w:rsidRPr="00482AE0" w:rsidRDefault="00752C15" w:rsidP="00752C15">
      <w:pPr>
        <w:rPr>
          <w:b/>
          <w:bCs/>
          <w:sz w:val="24"/>
        </w:rPr>
      </w:pPr>
      <w:r w:rsidRPr="00482AE0">
        <w:rPr>
          <w:b/>
          <w:bCs/>
          <w:sz w:val="24"/>
        </w:rPr>
        <w:t xml:space="preserve">RESPONSE:  </w:t>
      </w:r>
    </w:p>
    <w:p w14:paraId="7E113084" w14:textId="77777777" w:rsidR="00752C15" w:rsidRPr="00482AE0" w:rsidRDefault="00752C15" w:rsidP="00752C15">
      <w:pPr>
        <w:rPr>
          <w:b/>
          <w:bCs/>
          <w:sz w:val="24"/>
        </w:rPr>
      </w:pPr>
    </w:p>
    <w:p w14:paraId="747F274B" w14:textId="77777777" w:rsidR="00752C15" w:rsidRPr="00482AE0" w:rsidRDefault="00752C15" w:rsidP="00752C15">
      <w:pPr>
        <w:rPr>
          <w:bCs/>
          <w:sz w:val="24"/>
        </w:rPr>
      </w:pPr>
      <w:r w:rsidRPr="00482AE0">
        <w:rPr>
          <w:bCs/>
          <w:sz w:val="24"/>
        </w:rPr>
        <w:t>Staff is unaware of any docket in which the Commission, or any ALJ employed by the Commission, while presiding over an adjudicative procee</w:t>
      </w:r>
      <w:r>
        <w:rPr>
          <w:bCs/>
          <w:sz w:val="24"/>
        </w:rPr>
        <w:t>din</w:t>
      </w:r>
      <w:bookmarkStart w:id="0" w:name="_GoBack"/>
      <w:bookmarkEnd w:id="0"/>
      <w:r>
        <w:rPr>
          <w:bCs/>
          <w:sz w:val="24"/>
        </w:rPr>
        <w:t>g, has formally challenged a</w:t>
      </w:r>
      <w:r w:rsidRPr="00482AE0">
        <w:rPr>
          <w:bCs/>
          <w:sz w:val="24"/>
        </w:rPr>
        <w:t xml:space="preserve"> SEPA Determination of </w:t>
      </w:r>
      <w:proofErr w:type="spellStart"/>
      <w:r w:rsidRPr="00482AE0">
        <w:rPr>
          <w:bCs/>
          <w:sz w:val="24"/>
        </w:rPr>
        <w:t>Nonsignificance</w:t>
      </w:r>
      <w:proofErr w:type="spellEnd"/>
      <w:r>
        <w:rPr>
          <w:bCs/>
          <w:sz w:val="24"/>
        </w:rPr>
        <w:t xml:space="preserve"> (DNS) issued by another agency.</w:t>
      </w:r>
    </w:p>
    <w:p w14:paraId="4D136573" w14:textId="77777777" w:rsidR="00752C15" w:rsidRPr="00482AE0" w:rsidRDefault="00752C15" w:rsidP="00752C15">
      <w:pPr>
        <w:rPr>
          <w:bCs/>
          <w:sz w:val="24"/>
        </w:rPr>
      </w:pPr>
    </w:p>
    <w:p w14:paraId="7C27DAB2" w14:textId="77777777" w:rsidR="00752C15" w:rsidRPr="00482AE0" w:rsidRDefault="00752C15" w:rsidP="00752C15">
      <w:pPr>
        <w:rPr>
          <w:bCs/>
          <w:sz w:val="24"/>
        </w:rPr>
      </w:pPr>
      <w:r w:rsidRPr="00482AE0">
        <w:rPr>
          <w:bCs/>
          <w:sz w:val="24"/>
        </w:rPr>
        <w:t>In the relatively recent Hickox Road</w:t>
      </w:r>
      <w:r>
        <w:rPr>
          <w:bCs/>
          <w:sz w:val="24"/>
        </w:rPr>
        <w:t xml:space="preserve"> crossing</w:t>
      </w:r>
      <w:r w:rsidRPr="00482AE0">
        <w:rPr>
          <w:bCs/>
          <w:sz w:val="24"/>
        </w:rPr>
        <w:t xml:space="preserve"> closure docket, one of the parties asked the Commission to “seek supplemental review [of a SEPA DNS issued by WSDOT] in order to make a new threshold determination so that adequate review of the potential environmental impacts to Petitioners’ proposal occurs.” </w:t>
      </w:r>
      <w:r w:rsidRPr="00010141">
        <w:rPr>
          <w:bCs/>
          <w:i/>
          <w:sz w:val="24"/>
        </w:rPr>
        <w:t>BNSF Railway Company v. City of Mount Vernon</w:t>
      </w:r>
      <w:r w:rsidRPr="00482AE0">
        <w:rPr>
          <w:bCs/>
          <w:sz w:val="24"/>
        </w:rPr>
        <w:t xml:space="preserve">, Docket TR-070696, Mount Vernon’s Pre-hearing Motion in </w:t>
      </w:r>
      <w:proofErr w:type="spellStart"/>
      <w:r w:rsidRPr="00482AE0">
        <w:rPr>
          <w:bCs/>
          <w:sz w:val="24"/>
        </w:rPr>
        <w:t>Limine</w:t>
      </w:r>
      <w:proofErr w:type="spellEnd"/>
      <w:r w:rsidRPr="00482AE0">
        <w:rPr>
          <w:bCs/>
          <w:sz w:val="24"/>
        </w:rPr>
        <w:t xml:space="preserve"> and Motion for Summary Judgment Requiring New SEPA Determination by the WUTC at 13 (Aug. 28, 2007). The Commission denied the request as moot (WSDOT had agreed in the interim to issue a new determination) but also noted the absence of any proffered authority permitting </w:t>
      </w:r>
      <w:proofErr w:type="gramStart"/>
      <w:r w:rsidRPr="00482AE0">
        <w:rPr>
          <w:bCs/>
          <w:sz w:val="24"/>
        </w:rPr>
        <w:t>a</w:t>
      </w:r>
      <w:proofErr w:type="gramEnd"/>
      <w:r w:rsidRPr="00482AE0">
        <w:rPr>
          <w:bCs/>
          <w:sz w:val="24"/>
        </w:rPr>
        <w:t xml:space="preserve"> presiding officer in an adjudicative proceeding to review another agency’s SEPA determination:</w:t>
      </w:r>
    </w:p>
    <w:p w14:paraId="1FFDCA6A" w14:textId="77777777" w:rsidR="00752C15" w:rsidRPr="00482AE0" w:rsidRDefault="00752C15" w:rsidP="00752C15">
      <w:pPr>
        <w:rPr>
          <w:bCs/>
          <w:sz w:val="24"/>
        </w:rPr>
      </w:pPr>
    </w:p>
    <w:p w14:paraId="664AFFC6" w14:textId="77777777" w:rsidR="00752C15" w:rsidRPr="00482AE0" w:rsidRDefault="00752C15" w:rsidP="00752C15">
      <w:pPr>
        <w:ind w:left="720"/>
        <w:rPr>
          <w:bCs/>
          <w:sz w:val="24"/>
        </w:rPr>
      </w:pPr>
      <w:r w:rsidRPr="00482AE0">
        <w:rPr>
          <w:bCs/>
          <w:sz w:val="24"/>
        </w:rPr>
        <w:t>Even if WSDOT had not agreed to issue a new SEPA determination, the City’s Motion for Summary Judgment failed to articulate any jurisdictional basis for the presiding officer or for the Commissioners themselves to act in an appellate authority of another agency’s SEPA determinations. Therefore, even if not made moot by WSDOT’s subsequent actions, the City’s Motion for Summary Judgment and the relief sought could not have been granted.</w:t>
      </w:r>
    </w:p>
    <w:p w14:paraId="664342C4" w14:textId="77777777" w:rsidR="00752C15" w:rsidRPr="00482AE0" w:rsidRDefault="00752C15" w:rsidP="00752C15">
      <w:pPr>
        <w:rPr>
          <w:bCs/>
          <w:sz w:val="24"/>
        </w:rPr>
      </w:pPr>
    </w:p>
    <w:p w14:paraId="3D65525D" w14:textId="77777777" w:rsidR="00752C15" w:rsidRPr="00482AE0" w:rsidRDefault="00752C15" w:rsidP="00752C15">
      <w:pPr>
        <w:rPr>
          <w:bCs/>
          <w:sz w:val="24"/>
        </w:rPr>
      </w:pPr>
      <w:r w:rsidRPr="00010141">
        <w:rPr>
          <w:bCs/>
          <w:i/>
          <w:sz w:val="24"/>
        </w:rPr>
        <w:t>Id.</w:t>
      </w:r>
      <w:r w:rsidRPr="00482AE0">
        <w:rPr>
          <w:bCs/>
          <w:sz w:val="24"/>
        </w:rPr>
        <w:t xml:space="preserve">, Order 03 Denying BNSF Motion to Limit Issues and Denying City of Mount Vernon Motions for Summary Judgment and In </w:t>
      </w:r>
      <w:proofErr w:type="spellStart"/>
      <w:r w:rsidRPr="00482AE0">
        <w:rPr>
          <w:bCs/>
          <w:sz w:val="24"/>
        </w:rPr>
        <w:t>Limine</w:t>
      </w:r>
      <w:proofErr w:type="spellEnd"/>
      <w:r w:rsidRPr="00482AE0">
        <w:rPr>
          <w:bCs/>
          <w:sz w:val="24"/>
        </w:rPr>
        <w:t xml:space="preserve"> ¶ 19 (Oct. 2, 2007).</w:t>
      </w:r>
    </w:p>
    <w:p w14:paraId="7315889B" w14:textId="77777777" w:rsidR="00752C15" w:rsidRPr="00482AE0" w:rsidRDefault="00752C15" w:rsidP="00752C15">
      <w:pPr>
        <w:rPr>
          <w:bCs/>
          <w:sz w:val="24"/>
        </w:rPr>
      </w:pPr>
    </w:p>
    <w:p w14:paraId="1C26A5CF" w14:textId="77777777" w:rsidR="00752C15" w:rsidRPr="00482AE0" w:rsidRDefault="00752C15" w:rsidP="00752C15">
      <w:pPr>
        <w:rPr>
          <w:bCs/>
          <w:sz w:val="24"/>
        </w:rPr>
      </w:pPr>
      <w:r w:rsidRPr="00482AE0">
        <w:rPr>
          <w:bCs/>
          <w:sz w:val="24"/>
        </w:rPr>
        <w:t xml:space="preserve">Staff </w:t>
      </w:r>
      <w:r>
        <w:rPr>
          <w:bCs/>
          <w:sz w:val="24"/>
        </w:rPr>
        <w:t xml:space="preserve">counsel </w:t>
      </w:r>
      <w:r w:rsidRPr="00482AE0">
        <w:rPr>
          <w:bCs/>
          <w:sz w:val="24"/>
        </w:rPr>
        <w:t xml:space="preserve">is unaware of any legal authority that would allow Judge Pearson to issue a new or modified SEPA determination </w:t>
      </w:r>
      <w:r>
        <w:rPr>
          <w:bCs/>
          <w:sz w:val="24"/>
        </w:rPr>
        <w:t xml:space="preserve">within the confines of the </w:t>
      </w:r>
      <w:r w:rsidRPr="00482AE0">
        <w:rPr>
          <w:bCs/>
          <w:sz w:val="24"/>
        </w:rPr>
        <w:t>present adjudication. As a general rule, an agency acting on a proposal covered by an existing DNS must use that document “unchanged.” WAC 197-11-600(3).</w:t>
      </w:r>
    </w:p>
    <w:p w14:paraId="11B3C7A6" w14:textId="77777777" w:rsidR="00752C15" w:rsidRPr="00482AE0" w:rsidRDefault="00752C15" w:rsidP="00752C15">
      <w:pPr>
        <w:rPr>
          <w:bCs/>
          <w:sz w:val="24"/>
        </w:rPr>
      </w:pPr>
    </w:p>
    <w:p w14:paraId="748F2D89" w14:textId="2741F2F9" w:rsidR="00BE1605" w:rsidRPr="00752C15" w:rsidRDefault="00752C15" w:rsidP="00752C15">
      <w:r w:rsidRPr="00482AE0">
        <w:rPr>
          <w:bCs/>
          <w:sz w:val="24"/>
        </w:rPr>
        <w:t>Should the Commission require additional briefing, please contact Staff counsel.</w:t>
      </w:r>
    </w:p>
    <w:sectPr w:rsidR="00BE1605" w:rsidRPr="00752C15" w:rsidSect="006948EB">
      <w:headerReference w:type="default" r:id="rId10"/>
      <w:endnotePr>
        <w:numFmt w:val="decimal"/>
      </w:endnotePr>
      <w:pgSz w:w="12240" w:h="15840"/>
      <w:pgMar w:top="1440" w:right="1440" w:bottom="1440" w:left="1872"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3D21" w14:textId="77777777" w:rsidR="0091458E" w:rsidRDefault="0091458E">
      <w:r>
        <w:separator/>
      </w:r>
    </w:p>
  </w:endnote>
  <w:endnote w:type="continuationSeparator" w:id="0">
    <w:p w14:paraId="61C6D2F5" w14:textId="77777777" w:rsidR="0091458E" w:rsidRDefault="0091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1C8D" w14:textId="77777777" w:rsidR="0091458E" w:rsidRDefault="0091458E">
      <w:r>
        <w:separator/>
      </w:r>
    </w:p>
  </w:footnote>
  <w:footnote w:type="continuationSeparator" w:id="0">
    <w:p w14:paraId="240617A1" w14:textId="77777777" w:rsidR="0091458E" w:rsidRDefault="0091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EEE5" w14:textId="77777777" w:rsidR="00253D8E" w:rsidRDefault="00253D8E" w:rsidP="00801FFD">
    <w:pPr>
      <w:tabs>
        <w:tab w:val="center" w:pos="4680"/>
      </w:tabs>
      <w:jc w:val="center"/>
      <w:rPr>
        <w:sz w:val="24"/>
      </w:rPr>
    </w:pPr>
    <w:smartTag w:uri="urn:schemas-microsoft-com:office:smarttags" w:element="State">
      <w:smartTag w:uri="urn:schemas-microsoft-com:office:smarttags" w:element="place">
        <w:r>
          <w:rPr>
            <w:sz w:val="24"/>
          </w:rPr>
          <w:t>WASHINGTON</w:t>
        </w:r>
      </w:smartTag>
    </w:smartTag>
    <w:r>
      <w:rPr>
        <w:sz w:val="24"/>
      </w:rPr>
      <w:t xml:space="preserve"> UTILITIES AND TRANSPORTATION COMMISSION STAFF</w:t>
    </w:r>
  </w:p>
  <w:p w14:paraId="3EAF86A8" w14:textId="31F53BB0" w:rsidR="00253D8E" w:rsidRDefault="00253D8E" w:rsidP="00801FFD">
    <w:pPr>
      <w:tabs>
        <w:tab w:val="center" w:pos="4680"/>
      </w:tabs>
      <w:jc w:val="center"/>
      <w:rPr>
        <w:sz w:val="24"/>
      </w:rPr>
    </w:pPr>
    <w:r>
      <w:rPr>
        <w:sz w:val="24"/>
      </w:rPr>
      <w:t xml:space="preserve">RESPONSE TO </w:t>
    </w:r>
    <w:r w:rsidR="00325EF3">
      <w:rPr>
        <w:sz w:val="24"/>
      </w:rPr>
      <w:t>BENCH</w:t>
    </w:r>
    <w:r>
      <w:rPr>
        <w:sz w:val="24"/>
      </w:rPr>
      <w:t xml:space="preserve"> REQUEST</w:t>
    </w:r>
  </w:p>
  <w:p w14:paraId="6ECDAF19" w14:textId="77777777" w:rsidR="00253D8E" w:rsidRDefault="00253D8E">
    <w:pP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253D8E" w14:paraId="2D0547A1" w14:textId="77777777">
      <w:tc>
        <w:tcPr>
          <w:tcW w:w="4320" w:type="dxa"/>
          <w:tcBorders>
            <w:top w:val="nil"/>
            <w:left w:val="nil"/>
            <w:bottom w:val="nil"/>
            <w:right w:val="nil"/>
          </w:tcBorders>
        </w:tcPr>
        <w:p w14:paraId="63C34AA4" w14:textId="1F35EB1F" w:rsidR="00253D8E" w:rsidRDefault="00253D8E">
          <w:pPr>
            <w:tabs>
              <w:tab w:val="left" w:pos="-1440"/>
            </w:tabs>
            <w:ind w:left="2160" w:hanging="2160"/>
            <w:rPr>
              <w:sz w:val="24"/>
            </w:rPr>
          </w:pPr>
          <w:r>
            <w:rPr>
              <w:sz w:val="24"/>
            </w:rPr>
            <w:t>DATE PREPARED:</w:t>
          </w:r>
          <w:r>
            <w:rPr>
              <w:sz w:val="24"/>
            </w:rPr>
            <w:tab/>
          </w:r>
          <w:r w:rsidR="0091458E">
            <w:rPr>
              <w:sz w:val="24"/>
            </w:rPr>
            <w:t xml:space="preserve">December </w:t>
          </w:r>
          <w:r w:rsidR="008F7EDF">
            <w:rPr>
              <w:sz w:val="24"/>
            </w:rPr>
            <w:t>4</w:t>
          </w:r>
          <w:r w:rsidR="0091458E">
            <w:rPr>
              <w:sz w:val="24"/>
            </w:rPr>
            <w:t>, 2015</w:t>
          </w:r>
        </w:p>
        <w:p w14:paraId="56135975" w14:textId="77777777" w:rsidR="00253D8E" w:rsidRDefault="00B3744B">
          <w:pPr>
            <w:tabs>
              <w:tab w:val="left" w:pos="-1440"/>
            </w:tabs>
            <w:ind w:left="1440" w:hanging="1440"/>
            <w:rPr>
              <w:sz w:val="24"/>
            </w:rPr>
          </w:pPr>
          <w:r>
            <w:rPr>
              <w:sz w:val="24"/>
            </w:rPr>
            <w:t>DOCKET</w:t>
          </w:r>
          <w:r w:rsidR="00253D8E">
            <w:rPr>
              <w:sz w:val="24"/>
            </w:rPr>
            <w:t>:</w:t>
          </w:r>
          <w:r w:rsidR="00253D8E">
            <w:rPr>
              <w:sz w:val="24"/>
            </w:rPr>
            <w:tab/>
          </w:r>
          <w:r w:rsidR="00801FFD">
            <w:rPr>
              <w:sz w:val="24"/>
            </w:rPr>
            <w:tab/>
          </w:r>
          <w:r w:rsidR="0091458E">
            <w:rPr>
              <w:sz w:val="24"/>
            </w:rPr>
            <w:t>TR-150189</w:t>
          </w:r>
        </w:p>
        <w:p w14:paraId="3F5BBC37" w14:textId="77777777" w:rsidR="00253D8E" w:rsidRDefault="00253D8E">
          <w:pPr>
            <w:rPr>
              <w:sz w:val="24"/>
            </w:rPr>
          </w:pPr>
          <w:r>
            <w:rPr>
              <w:sz w:val="24"/>
            </w:rPr>
            <w:t>REQUESTER:</w:t>
          </w:r>
          <w:r w:rsidR="00801FFD">
            <w:rPr>
              <w:sz w:val="24"/>
            </w:rPr>
            <w:tab/>
          </w:r>
          <w:r w:rsidR="0091458E">
            <w:rPr>
              <w:sz w:val="24"/>
            </w:rPr>
            <w:t>Bench</w:t>
          </w:r>
        </w:p>
        <w:p w14:paraId="3D50543C" w14:textId="77777777" w:rsidR="00253D8E" w:rsidRDefault="00253D8E">
          <w:pPr>
            <w:rPr>
              <w:sz w:val="24"/>
            </w:rPr>
          </w:pPr>
        </w:p>
      </w:tc>
      <w:tc>
        <w:tcPr>
          <w:tcW w:w="720" w:type="dxa"/>
          <w:tcBorders>
            <w:top w:val="nil"/>
            <w:left w:val="nil"/>
            <w:bottom w:val="nil"/>
            <w:right w:val="nil"/>
          </w:tcBorders>
        </w:tcPr>
        <w:p w14:paraId="4DBC5BDC" w14:textId="77777777" w:rsidR="00253D8E" w:rsidRDefault="00253D8E">
          <w:pPr>
            <w:rPr>
              <w:sz w:val="24"/>
            </w:rPr>
          </w:pPr>
        </w:p>
      </w:tc>
      <w:tc>
        <w:tcPr>
          <w:tcW w:w="4320" w:type="dxa"/>
          <w:tcBorders>
            <w:top w:val="nil"/>
            <w:left w:val="nil"/>
            <w:bottom w:val="nil"/>
            <w:right w:val="nil"/>
          </w:tcBorders>
        </w:tcPr>
        <w:p w14:paraId="4E1CED80" w14:textId="3B9BDAFF" w:rsidR="00253D8E" w:rsidRDefault="00253D8E" w:rsidP="00325EF3">
          <w:pPr>
            <w:tabs>
              <w:tab w:val="left" w:pos="-1440"/>
              <w:tab w:val="left" w:pos="1620"/>
            </w:tabs>
            <w:ind w:left="1710" w:hanging="1710"/>
            <w:rPr>
              <w:sz w:val="24"/>
            </w:rPr>
          </w:pPr>
          <w:r>
            <w:rPr>
              <w:sz w:val="24"/>
            </w:rPr>
            <w:t>WITNESS:</w:t>
          </w:r>
          <w:r w:rsidR="00325EF3">
            <w:rPr>
              <w:sz w:val="24"/>
            </w:rPr>
            <w:tab/>
            <w:t>Julian Beattie, AAG</w:t>
          </w:r>
          <w:r>
            <w:rPr>
              <w:sz w:val="24"/>
            </w:rPr>
            <w:tab/>
          </w:r>
          <w:r w:rsidR="0091458E">
            <w:rPr>
              <w:sz w:val="24"/>
            </w:rPr>
            <w:tab/>
          </w:r>
        </w:p>
        <w:p w14:paraId="46D01487" w14:textId="02AC6DB0" w:rsidR="00253D8E" w:rsidRDefault="00325EF3" w:rsidP="00325EF3">
          <w:pPr>
            <w:tabs>
              <w:tab w:val="left" w:pos="-1440"/>
              <w:tab w:val="left" w:pos="1620"/>
            </w:tabs>
            <w:ind w:left="1710" w:hanging="1710"/>
            <w:rPr>
              <w:sz w:val="24"/>
            </w:rPr>
          </w:pPr>
          <w:r>
            <w:rPr>
              <w:sz w:val="24"/>
            </w:rPr>
            <w:t>RESPONDER:</w:t>
          </w:r>
          <w:r>
            <w:rPr>
              <w:sz w:val="24"/>
            </w:rPr>
            <w:tab/>
            <w:t>Julian Beattie, AAG</w:t>
          </w:r>
        </w:p>
        <w:p w14:paraId="37B04E65" w14:textId="7AFA44E7" w:rsidR="00253D8E" w:rsidRDefault="00325EF3" w:rsidP="0091458E">
          <w:pPr>
            <w:tabs>
              <w:tab w:val="left" w:pos="1620"/>
            </w:tabs>
            <w:ind w:left="1710" w:hanging="1710"/>
            <w:rPr>
              <w:sz w:val="24"/>
            </w:rPr>
          </w:pPr>
          <w:r>
            <w:rPr>
              <w:sz w:val="24"/>
            </w:rPr>
            <w:t>TELEPHONE:</w:t>
          </w:r>
          <w:r>
            <w:rPr>
              <w:sz w:val="24"/>
            </w:rPr>
            <w:tab/>
            <w:t>360-664-1225</w:t>
          </w:r>
        </w:p>
        <w:p w14:paraId="01BC39E2" w14:textId="77777777" w:rsidR="00253D8E" w:rsidRDefault="00253D8E">
          <w:pPr>
            <w:rPr>
              <w:sz w:val="24"/>
            </w:rPr>
          </w:pPr>
        </w:p>
      </w:tc>
    </w:tr>
  </w:tbl>
  <w:p w14:paraId="3E99ABA1" w14:textId="77777777" w:rsidR="00253D8E" w:rsidRDefault="00253D8E">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5"/>
    <w:rsid w:val="00101B52"/>
    <w:rsid w:val="00253D8E"/>
    <w:rsid w:val="002D63C2"/>
    <w:rsid w:val="00325EF3"/>
    <w:rsid w:val="00332A6F"/>
    <w:rsid w:val="00334CC2"/>
    <w:rsid w:val="00482AE0"/>
    <w:rsid w:val="004D7FD5"/>
    <w:rsid w:val="00511C2C"/>
    <w:rsid w:val="00554165"/>
    <w:rsid w:val="006948EB"/>
    <w:rsid w:val="00752C15"/>
    <w:rsid w:val="00752E52"/>
    <w:rsid w:val="00774AE4"/>
    <w:rsid w:val="00801FFD"/>
    <w:rsid w:val="008F7EDF"/>
    <w:rsid w:val="0091458E"/>
    <w:rsid w:val="009717A4"/>
    <w:rsid w:val="009D29B0"/>
    <w:rsid w:val="00AF184E"/>
    <w:rsid w:val="00B13129"/>
    <w:rsid w:val="00B3744B"/>
    <w:rsid w:val="00BE1605"/>
    <w:rsid w:val="00C626A0"/>
    <w:rsid w:val="00D10ED7"/>
    <w:rsid w:val="00E46831"/>
    <w:rsid w:val="00E9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00914F0D"/>
  <w15:chartTrackingRefBased/>
  <w15:docId w15:val="{C8673993-6FB7-4C6B-8CA2-7420E6FC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2015-12-04T08:00:00+00:00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4668FA0-38CF-48CF-A967-A9B646EC53EE}"/>
</file>

<file path=customXml/itemProps2.xml><?xml version="1.0" encoding="utf-8"?>
<ds:datastoreItem xmlns:ds="http://schemas.openxmlformats.org/officeDocument/2006/customXml" ds:itemID="{91B66765-4F8A-4948-91FA-FD803AFCD61E}"/>
</file>

<file path=customXml/itemProps3.xml><?xml version="1.0" encoding="utf-8"?>
<ds:datastoreItem xmlns:ds="http://schemas.openxmlformats.org/officeDocument/2006/customXml" ds:itemID="{C84339C3-1803-4403-950C-584F2D848F68}"/>
</file>

<file path=customXml/itemProps4.xml><?xml version="1.0" encoding="utf-8"?>
<ds:datastoreItem xmlns:ds="http://schemas.openxmlformats.org/officeDocument/2006/customXml" ds:itemID="{B5E7C843-CA51-4C6C-8442-7782295EC1FB}"/>
</file>

<file path=customXml/itemProps5.xml><?xml version="1.0" encoding="utf-8"?>
<ds:datastoreItem xmlns:ds="http://schemas.openxmlformats.org/officeDocument/2006/customXml" ds:itemID="{A10988B2-097F-4864-937C-160D1B99BBF3}"/>
</file>

<file path=docProps/app.xml><?xml version="1.0" encoding="utf-8"?>
<Properties xmlns="http://schemas.openxmlformats.org/officeDocument/2006/extended-properties" xmlns:vt="http://schemas.openxmlformats.org/officeDocument/2006/docPropsVTypes">
  <Template>Normal</Template>
  <TotalTime>120</TotalTime>
  <Pages>1</Pages>
  <Words>344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150189 Staff Resp BR 4</vt:lpstr>
    </vt:vector>
  </TitlesOfParts>
  <Company>WUTC</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150189 Staff Resp BR 4</dc:title>
  <dc:subject/>
  <dc:creator>Information Services</dc:creator>
  <cp:keywords/>
  <dc:description/>
  <cp:lastModifiedBy>Beattie, Julian (UTC)</cp:lastModifiedBy>
  <cp:revision>7</cp:revision>
  <cp:lastPrinted>2015-12-02T22:39:00Z</cp:lastPrinted>
  <dcterms:created xsi:type="dcterms:W3CDTF">2015-12-02T22:37:00Z</dcterms:created>
  <dcterms:modified xsi:type="dcterms:W3CDTF">2015-12-04T00:22:00Z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0x0101006E56B4D1795A2E4DB2F0B01679ED314A00C5A69A9C88A5164599E3DF642284313C</vt:lpwstr>
  </property>
  <property fmtid="{D5CDD505-2E9C-101B-9397-08002B2CF9AE}" pid="5" name="Modified Date">
    <vt:lpwstr/>
  </property>
  <property fmtid="{D5CDD505-2E9C-101B-9397-08002B2CF9AE}" pid="6" name="Status">
    <vt:lpwstr/>
  </property>
  <property fmtid="{D5CDD505-2E9C-101B-9397-08002B2CF9AE}" pid="7" name="Document Date">
    <vt:lpwstr/>
  </property>
  <property fmtid="{D5CDD505-2E9C-101B-9397-08002B2CF9AE}" pid="8" name="DR Nos.">
    <vt:lpwstr/>
  </property>
  <property fmtid="{D5CDD505-2E9C-101B-9397-08002B2CF9AE}" pid="9" name="Requesting Party">
    <vt:lpwstr/>
  </property>
  <property fmtid="{D5CDD505-2E9C-101B-9397-08002B2CF9AE}" pid="10" name="Document Type">
    <vt:lpwstr>Request</vt:lpwstr>
  </property>
  <property fmtid="{D5CDD505-2E9C-101B-9397-08002B2CF9AE}" pid="11" name="DR Sort">
    <vt:lpwstr/>
  </property>
  <property fmtid="{D5CDD505-2E9C-101B-9397-08002B2CF9AE}" pid="12" name="Document Name">
    <vt:lpwstr/>
  </property>
  <property fmtid="{D5CDD505-2E9C-101B-9397-08002B2CF9AE}" pid="13" name="Responding Party">
    <vt:lpwstr/>
  </property>
  <property fmtid="{D5CDD505-2E9C-101B-9397-08002B2CF9AE}" pid="14" name="_docset_NoMedatataSyncRequired">
    <vt:lpwstr>False</vt:lpwstr>
  </property>
</Properties>
</file>