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39A" w:rsidRPr="00152F5C" w:rsidRDefault="00F3297B" w:rsidP="00895DF8">
      <w:pPr>
        <w:spacing w:line="264" w:lineRule="auto"/>
        <w:jc w:val="center"/>
        <w:rPr>
          <w:rFonts w:ascii="Times New Roman" w:hAnsi="Times New Roman" w:cs="Times New Roman"/>
          <w:b/>
          <w:sz w:val="25"/>
          <w:szCs w:val="25"/>
        </w:rPr>
      </w:pPr>
      <w:r w:rsidRPr="00152F5C">
        <w:rPr>
          <w:rFonts w:ascii="Times New Roman" w:hAnsi="Times New Roman" w:cs="Times New Roman"/>
          <w:b/>
          <w:sz w:val="25"/>
          <w:szCs w:val="25"/>
        </w:rPr>
        <w:t>Attachment</w:t>
      </w:r>
    </w:p>
    <w:p w:rsidR="00F3297B" w:rsidRPr="00152F5C" w:rsidRDefault="00F3297B" w:rsidP="00895DF8">
      <w:pPr>
        <w:spacing w:line="264" w:lineRule="auto"/>
        <w:jc w:val="center"/>
        <w:rPr>
          <w:rFonts w:ascii="Times New Roman" w:hAnsi="Times New Roman" w:cs="Times New Roman"/>
          <w:b/>
          <w:sz w:val="25"/>
          <w:szCs w:val="25"/>
        </w:rPr>
      </w:pPr>
      <w:r w:rsidRPr="00152F5C">
        <w:rPr>
          <w:rFonts w:ascii="Times New Roman" w:hAnsi="Times New Roman" w:cs="Times New Roman"/>
          <w:b/>
          <w:sz w:val="25"/>
          <w:szCs w:val="25"/>
        </w:rPr>
        <w:t>Utilities and Transpo</w:t>
      </w:r>
      <w:r w:rsidR="00173E8B" w:rsidRPr="00152F5C">
        <w:rPr>
          <w:rFonts w:ascii="Times New Roman" w:hAnsi="Times New Roman" w:cs="Times New Roman"/>
          <w:b/>
          <w:sz w:val="25"/>
          <w:szCs w:val="25"/>
        </w:rPr>
        <w:t xml:space="preserve">rtation Commission Comments on </w:t>
      </w:r>
    </w:p>
    <w:p w:rsidR="00F3297B" w:rsidRPr="00152F5C" w:rsidRDefault="00F3297B" w:rsidP="00895DF8">
      <w:pPr>
        <w:spacing w:line="264" w:lineRule="auto"/>
        <w:jc w:val="center"/>
        <w:rPr>
          <w:rFonts w:ascii="Times New Roman" w:hAnsi="Times New Roman" w:cs="Times New Roman"/>
          <w:b/>
          <w:sz w:val="25"/>
          <w:szCs w:val="25"/>
        </w:rPr>
      </w:pPr>
      <w:r w:rsidRPr="00152F5C">
        <w:rPr>
          <w:rFonts w:ascii="Times New Roman" w:hAnsi="Times New Roman" w:cs="Times New Roman"/>
          <w:b/>
          <w:sz w:val="25"/>
          <w:szCs w:val="25"/>
        </w:rPr>
        <w:t>Puget Sound Energy’</w:t>
      </w:r>
      <w:r w:rsidR="00173E8B" w:rsidRPr="00152F5C">
        <w:rPr>
          <w:rFonts w:ascii="Times New Roman" w:hAnsi="Times New Roman" w:cs="Times New Roman"/>
          <w:b/>
          <w:sz w:val="25"/>
          <w:szCs w:val="25"/>
        </w:rPr>
        <w:t>s 201</w:t>
      </w:r>
      <w:r w:rsidR="00D104A7">
        <w:rPr>
          <w:rFonts w:ascii="Times New Roman" w:hAnsi="Times New Roman" w:cs="Times New Roman"/>
          <w:b/>
          <w:sz w:val="25"/>
          <w:szCs w:val="25"/>
        </w:rPr>
        <w:t>5</w:t>
      </w:r>
      <w:r w:rsidR="00173E8B" w:rsidRPr="00152F5C">
        <w:rPr>
          <w:rFonts w:ascii="Times New Roman" w:hAnsi="Times New Roman" w:cs="Times New Roman"/>
          <w:b/>
          <w:sz w:val="25"/>
          <w:szCs w:val="25"/>
        </w:rPr>
        <w:t xml:space="preserve"> Integrated Resource Plan</w:t>
      </w:r>
    </w:p>
    <w:p w:rsidR="00F3297B" w:rsidRPr="00152F5C" w:rsidRDefault="00F3297B" w:rsidP="00895DF8">
      <w:pPr>
        <w:spacing w:line="264" w:lineRule="auto"/>
        <w:jc w:val="center"/>
        <w:rPr>
          <w:rFonts w:ascii="Times New Roman" w:hAnsi="Times New Roman" w:cs="Times New Roman"/>
          <w:b/>
          <w:sz w:val="25"/>
          <w:szCs w:val="25"/>
        </w:rPr>
      </w:pPr>
      <w:r w:rsidRPr="00152F5C">
        <w:rPr>
          <w:rFonts w:ascii="Times New Roman" w:hAnsi="Times New Roman" w:cs="Times New Roman"/>
          <w:b/>
          <w:sz w:val="25"/>
          <w:szCs w:val="25"/>
        </w:rPr>
        <w:t xml:space="preserve">Dockets </w:t>
      </w:r>
      <w:r w:rsidR="00D104A7" w:rsidRPr="00D104A7">
        <w:rPr>
          <w:rFonts w:ascii="Times New Roman" w:hAnsi="Times New Roman" w:cs="Times New Roman"/>
          <w:b/>
          <w:sz w:val="25"/>
          <w:szCs w:val="25"/>
        </w:rPr>
        <w:t>UG-141169 and UE-141170</w:t>
      </w:r>
    </w:p>
    <w:p w:rsidR="00F3297B" w:rsidRPr="00152F5C" w:rsidRDefault="00F3297B" w:rsidP="00895DF8">
      <w:pPr>
        <w:spacing w:line="264" w:lineRule="auto"/>
        <w:jc w:val="center"/>
        <w:rPr>
          <w:rFonts w:ascii="Times New Roman" w:hAnsi="Times New Roman" w:cs="Times New Roman"/>
          <w:b/>
          <w:sz w:val="25"/>
          <w:szCs w:val="25"/>
        </w:rPr>
      </w:pPr>
    </w:p>
    <w:p w:rsidR="007C43A5" w:rsidRPr="00152F5C" w:rsidRDefault="00F10EEB" w:rsidP="00895DF8">
      <w:pPr>
        <w:pStyle w:val="ListParagraph"/>
        <w:numPr>
          <w:ilvl w:val="0"/>
          <w:numId w:val="13"/>
        </w:numPr>
        <w:spacing w:line="264" w:lineRule="auto"/>
        <w:ind w:left="1080"/>
        <w:rPr>
          <w:rFonts w:ascii="Times New Roman" w:hAnsi="Times New Roman" w:cs="Times New Roman"/>
          <w:b/>
          <w:sz w:val="25"/>
          <w:szCs w:val="25"/>
          <w:u w:val="single"/>
        </w:rPr>
      </w:pPr>
      <w:r w:rsidRPr="00152F5C">
        <w:rPr>
          <w:rFonts w:ascii="Times New Roman" w:hAnsi="Times New Roman" w:cs="Times New Roman"/>
          <w:b/>
          <w:sz w:val="25"/>
          <w:szCs w:val="25"/>
          <w:u w:val="single"/>
        </w:rPr>
        <w:t>Introduction</w:t>
      </w:r>
    </w:p>
    <w:p w:rsidR="00F10EEB" w:rsidRPr="00152F5C" w:rsidRDefault="00F10EEB" w:rsidP="00895DF8">
      <w:pPr>
        <w:spacing w:line="264" w:lineRule="auto"/>
        <w:jc w:val="center"/>
        <w:rPr>
          <w:rFonts w:ascii="Times New Roman" w:hAnsi="Times New Roman" w:cs="Times New Roman"/>
          <w:b/>
          <w:sz w:val="25"/>
          <w:szCs w:val="25"/>
        </w:rPr>
      </w:pPr>
    </w:p>
    <w:p w:rsidR="00F3297B" w:rsidRPr="00152F5C" w:rsidRDefault="007C43A5"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As an electric and natural gas utility operating in Washington, Puget Sound Energy (PSE or Company) has a fundamental responsibility to manage the risks and opportunities associated with acquiring and delivering electricity and natural gas on behalf of its customers</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Technological advances have lowered the cost and increased the availability of natural gas supplies, renewable resourc</w:t>
      </w:r>
      <w:r w:rsidR="00085DF0" w:rsidRPr="00152F5C">
        <w:rPr>
          <w:rFonts w:ascii="Times New Roman" w:hAnsi="Times New Roman" w:cs="Times New Roman"/>
          <w:sz w:val="25"/>
          <w:szCs w:val="25"/>
        </w:rPr>
        <w:t xml:space="preserve">es, and distributed resources. </w:t>
      </w:r>
      <w:r w:rsidRPr="00152F5C">
        <w:rPr>
          <w:rFonts w:ascii="Times New Roman" w:hAnsi="Times New Roman" w:cs="Times New Roman"/>
          <w:sz w:val="25"/>
          <w:szCs w:val="25"/>
        </w:rPr>
        <w:t xml:space="preserve">At the same time, </w:t>
      </w:r>
      <w:r w:rsidR="00085DF0" w:rsidRPr="00152F5C">
        <w:rPr>
          <w:rFonts w:ascii="Times New Roman" w:hAnsi="Times New Roman" w:cs="Times New Roman"/>
          <w:sz w:val="25"/>
          <w:szCs w:val="25"/>
        </w:rPr>
        <w:t>the environmental impacts of energy production are receiving greater state and federal attention</w:t>
      </w:r>
      <w:r w:rsidR="003F20B4" w:rsidRPr="00152F5C">
        <w:rPr>
          <w:rFonts w:ascii="Times New Roman" w:hAnsi="Times New Roman" w:cs="Times New Roman"/>
          <w:sz w:val="25"/>
          <w:szCs w:val="25"/>
        </w:rPr>
        <w:t xml:space="preserve">. </w:t>
      </w:r>
      <w:r w:rsidR="00085DF0" w:rsidRPr="00152F5C">
        <w:rPr>
          <w:rFonts w:ascii="Times New Roman" w:hAnsi="Times New Roman" w:cs="Times New Roman"/>
          <w:sz w:val="25"/>
          <w:szCs w:val="25"/>
        </w:rPr>
        <w:t xml:space="preserve">The planning requirements in WAC 480-100-238 and WAC 480-90-238 are intended to </w:t>
      </w:r>
      <w:r w:rsidR="008B72AF" w:rsidRPr="008B72AF">
        <w:rPr>
          <w:rFonts w:ascii="Times New Roman" w:hAnsi="Times New Roman" w:cs="Times New Roman"/>
          <w:sz w:val="25"/>
          <w:szCs w:val="25"/>
        </w:rPr>
        <w:t xml:space="preserve">ensure </w:t>
      </w:r>
      <w:r w:rsidR="00085DF0" w:rsidRPr="00152F5C">
        <w:rPr>
          <w:rFonts w:ascii="Times New Roman" w:hAnsi="Times New Roman" w:cs="Times New Roman"/>
          <w:sz w:val="25"/>
          <w:szCs w:val="25"/>
        </w:rPr>
        <w:t>each utility develop</w:t>
      </w:r>
      <w:r w:rsidR="008B72AF">
        <w:rPr>
          <w:rFonts w:ascii="Times New Roman" w:hAnsi="Times New Roman" w:cs="Times New Roman"/>
          <w:sz w:val="25"/>
          <w:szCs w:val="25"/>
        </w:rPr>
        <w:t>s</w:t>
      </w:r>
      <w:r w:rsidR="00085DF0" w:rsidRPr="00152F5C">
        <w:rPr>
          <w:rFonts w:ascii="Times New Roman" w:hAnsi="Times New Roman" w:cs="Times New Roman"/>
          <w:sz w:val="25"/>
          <w:szCs w:val="25"/>
        </w:rPr>
        <w:t xml:space="preserve"> a strategic approach to meet future resource needs against this backdrop of shifting regulatory, technological and market conditions</w:t>
      </w:r>
      <w:r w:rsidR="003F20B4" w:rsidRPr="00152F5C">
        <w:rPr>
          <w:rFonts w:ascii="Times New Roman" w:hAnsi="Times New Roman" w:cs="Times New Roman"/>
          <w:sz w:val="25"/>
          <w:szCs w:val="25"/>
        </w:rPr>
        <w:t xml:space="preserve">. </w:t>
      </w:r>
      <w:r w:rsidR="00085DF0" w:rsidRPr="00152F5C">
        <w:rPr>
          <w:rFonts w:ascii="Times New Roman" w:hAnsi="Times New Roman" w:cs="Times New Roman"/>
          <w:sz w:val="25"/>
          <w:szCs w:val="25"/>
        </w:rPr>
        <w:t>PSE’s 201</w:t>
      </w:r>
      <w:r w:rsidR="00D97C43">
        <w:rPr>
          <w:rFonts w:ascii="Times New Roman" w:hAnsi="Times New Roman" w:cs="Times New Roman"/>
          <w:sz w:val="25"/>
          <w:szCs w:val="25"/>
        </w:rPr>
        <w:t>5</w:t>
      </w:r>
      <w:r w:rsidR="00085DF0" w:rsidRPr="00152F5C">
        <w:rPr>
          <w:rFonts w:ascii="Times New Roman" w:hAnsi="Times New Roman" w:cs="Times New Roman"/>
          <w:sz w:val="25"/>
          <w:szCs w:val="25"/>
        </w:rPr>
        <w:t xml:space="preserve"> Integrated Resource Plan (IRP or Plan) represents such a strategic approach, and complies with the rules set forth by the Washington Utilities and Transportation Commission (Commission)</w:t>
      </w:r>
      <w:r w:rsidR="003F20B4" w:rsidRPr="00152F5C">
        <w:rPr>
          <w:rFonts w:ascii="Times New Roman" w:hAnsi="Times New Roman" w:cs="Times New Roman"/>
          <w:sz w:val="25"/>
          <w:szCs w:val="25"/>
        </w:rPr>
        <w:t xml:space="preserve">. </w:t>
      </w:r>
      <w:r w:rsidR="002851E9" w:rsidRPr="00152F5C">
        <w:rPr>
          <w:rFonts w:ascii="Times New Roman" w:hAnsi="Times New Roman" w:cs="Times New Roman"/>
          <w:sz w:val="25"/>
          <w:szCs w:val="25"/>
        </w:rPr>
        <w:t>However</w:t>
      </w:r>
      <w:r w:rsidR="00015BC4" w:rsidRPr="00152F5C">
        <w:rPr>
          <w:rFonts w:ascii="Times New Roman" w:hAnsi="Times New Roman" w:cs="Times New Roman"/>
          <w:sz w:val="25"/>
          <w:szCs w:val="25"/>
        </w:rPr>
        <w:t>, in certain areas</w:t>
      </w:r>
      <w:r w:rsidR="002851E9" w:rsidRPr="00152F5C">
        <w:rPr>
          <w:rFonts w:ascii="Times New Roman" w:hAnsi="Times New Roman" w:cs="Times New Roman"/>
          <w:sz w:val="25"/>
          <w:szCs w:val="25"/>
        </w:rPr>
        <w:t xml:space="preserve"> PSE’s IRP fails to meet the Commission’s expectations of clarity, transparency and thoroughness. </w:t>
      </w:r>
      <w:r w:rsidR="00085DF0" w:rsidRPr="00152F5C">
        <w:rPr>
          <w:rFonts w:ascii="Times New Roman" w:hAnsi="Times New Roman" w:cs="Times New Roman"/>
          <w:sz w:val="25"/>
          <w:szCs w:val="25"/>
        </w:rPr>
        <w:t xml:space="preserve">The Commission recognizes the </w:t>
      </w:r>
      <w:r w:rsidR="00AE76C4" w:rsidRPr="00152F5C">
        <w:rPr>
          <w:rFonts w:ascii="Times New Roman" w:hAnsi="Times New Roman" w:cs="Times New Roman"/>
          <w:sz w:val="25"/>
          <w:szCs w:val="25"/>
        </w:rPr>
        <w:t xml:space="preserve">significant </w:t>
      </w:r>
      <w:r w:rsidR="00085DF0" w:rsidRPr="00152F5C">
        <w:rPr>
          <w:rFonts w:ascii="Times New Roman" w:hAnsi="Times New Roman" w:cs="Times New Roman"/>
          <w:sz w:val="25"/>
          <w:szCs w:val="25"/>
        </w:rPr>
        <w:t>effort</w:t>
      </w:r>
      <w:r w:rsidR="00AE76C4" w:rsidRPr="00152F5C">
        <w:rPr>
          <w:rFonts w:ascii="Times New Roman" w:hAnsi="Times New Roman" w:cs="Times New Roman"/>
          <w:sz w:val="25"/>
          <w:szCs w:val="25"/>
        </w:rPr>
        <w:t>s</w:t>
      </w:r>
      <w:r w:rsidR="00085DF0" w:rsidRPr="00152F5C">
        <w:rPr>
          <w:rFonts w:ascii="Times New Roman" w:hAnsi="Times New Roman" w:cs="Times New Roman"/>
          <w:sz w:val="25"/>
          <w:szCs w:val="25"/>
        </w:rPr>
        <w:t xml:space="preserve"> that PSE</w:t>
      </w:r>
      <w:r w:rsidR="00556845" w:rsidRPr="00152F5C">
        <w:rPr>
          <w:rFonts w:ascii="Times New Roman" w:hAnsi="Times New Roman" w:cs="Times New Roman"/>
          <w:sz w:val="25"/>
          <w:szCs w:val="25"/>
        </w:rPr>
        <w:t xml:space="preserve"> </w:t>
      </w:r>
      <w:r w:rsidR="00AE76C4" w:rsidRPr="00152F5C">
        <w:rPr>
          <w:rFonts w:ascii="Times New Roman" w:hAnsi="Times New Roman" w:cs="Times New Roman"/>
          <w:sz w:val="25"/>
          <w:szCs w:val="25"/>
        </w:rPr>
        <w:t xml:space="preserve">performed in the modeling and analyses in </w:t>
      </w:r>
      <w:r w:rsidR="00304AC3">
        <w:rPr>
          <w:rFonts w:ascii="Times New Roman" w:hAnsi="Times New Roman" w:cs="Times New Roman"/>
          <w:sz w:val="25"/>
          <w:szCs w:val="25"/>
        </w:rPr>
        <w:t>the 2015 IRP</w:t>
      </w:r>
      <w:r w:rsidR="00AE76C4" w:rsidRPr="00152F5C">
        <w:rPr>
          <w:rFonts w:ascii="Times New Roman" w:hAnsi="Times New Roman" w:cs="Times New Roman"/>
          <w:sz w:val="25"/>
          <w:szCs w:val="25"/>
        </w:rPr>
        <w:t>, as well as engaging with Staff and other stakeholders.</w:t>
      </w:r>
      <w:r w:rsidR="00556845" w:rsidRPr="00152F5C">
        <w:rPr>
          <w:rFonts w:ascii="Times New Roman" w:hAnsi="Times New Roman" w:cs="Times New Roman"/>
          <w:sz w:val="25"/>
          <w:szCs w:val="25"/>
        </w:rPr>
        <w:t xml:space="preserve"> </w:t>
      </w:r>
      <w:r w:rsidR="00AE76C4" w:rsidRPr="00152F5C">
        <w:rPr>
          <w:rFonts w:ascii="Times New Roman" w:hAnsi="Times New Roman" w:cs="Times New Roman"/>
          <w:sz w:val="25"/>
          <w:szCs w:val="25"/>
        </w:rPr>
        <w:t>In the following</w:t>
      </w:r>
      <w:r w:rsidR="009A1661">
        <w:rPr>
          <w:rFonts w:ascii="Times New Roman" w:hAnsi="Times New Roman" w:cs="Times New Roman"/>
          <w:sz w:val="25"/>
          <w:szCs w:val="25"/>
        </w:rPr>
        <w:t xml:space="preserve"> sections</w:t>
      </w:r>
      <w:r w:rsidR="00AE76C4" w:rsidRPr="00152F5C">
        <w:rPr>
          <w:rFonts w:ascii="Times New Roman" w:hAnsi="Times New Roman" w:cs="Times New Roman"/>
          <w:sz w:val="25"/>
          <w:szCs w:val="25"/>
        </w:rPr>
        <w:t>, we provide specific</w:t>
      </w:r>
      <w:r w:rsidR="00085DF0" w:rsidRPr="00152F5C">
        <w:rPr>
          <w:rFonts w:ascii="Times New Roman" w:hAnsi="Times New Roman" w:cs="Times New Roman"/>
          <w:sz w:val="25"/>
          <w:szCs w:val="25"/>
        </w:rPr>
        <w:t xml:space="preserve"> comments and requests for </w:t>
      </w:r>
      <w:r w:rsidR="00892441">
        <w:rPr>
          <w:rFonts w:ascii="Times New Roman" w:hAnsi="Times New Roman" w:cs="Times New Roman"/>
          <w:sz w:val="25"/>
          <w:szCs w:val="25"/>
        </w:rPr>
        <w:t xml:space="preserve">improvement in </w:t>
      </w:r>
      <w:r w:rsidR="005376DF">
        <w:rPr>
          <w:rFonts w:ascii="Times New Roman" w:hAnsi="Times New Roman" w:cs="Times New Roman"/>
          <w:sz w:val="25"/>
          <w:szCs w:val="25"/>
        </w:rPr>
        <w:t xml:space="preserve">certain areas </w:t>
      </w:r>
      <w:r w:rsidR="00AE76C4" w:rsidRPr="00152F5C">
        <w:rPr>
          <w:rFonts w:ascii="Times New Roman" w:hAnsi="Times New Roman" w:cs="Times New Roman"/>
          <w:sz w:val="25"/>
          <w:szCs w:val="25"/>
        </w:rPr>
        <w:t xml:space="preserve">in the next </w:t>
      </w:r>
      <w:r w:rsidR="00085DF0" w:rsidRPr="00152F5C">
        <w:rPr>
          <w:rFonts w:ascii="Times New Roman" w:hAnsi="Times New Roman" w:cs="Times New Roman"/>
          <w:sz w:val="25"/>
          <w:szCs w:val="25"/>
        </w:rPr>
        <w:t>IRP.</w:t>
      </w:r>
    </w:p>
    <w:p w:rsidR="007C43A5" w:rsidRPr="00152F5C" w:rsidRDefault="007C43A5" w:rsidP="00895DF8">
      <w:pPr>
        <w:spacing w:line="264" w:lineRule="auto"/>
        <w:rPr>
          <w:rFonts w:ascii="Times New Roman" w:hAnsi="Times New Roman" w:cs="Times New Roman"/>
          <w:sz w:val="25"/>
          <w:szCs w:val="25"/>
        </w:rPr>
      </w:pPr>
    </w:p>
    <w:p w:rsidR="00F3297B" w:rsidRPr="00152F5C" w:rsidRDefault="00F3297B" w:rsidP="00895DF8">
      <w:pPr>
        <w:pStyle w:val="ListParagraph"/>
        <w:numPr>
          <w:ilvl w:val="0"/>
          <w:numId w:val="13"/>
        </w:numPr>
        <w:spacing w:line="264" w:lineRule="auto"/>
        <w:ind w:left="1080"/>
        <w:rPr>
          <w:rFonts w:ascii="Times New Roman" w:hAnsi="Times New Roman" w:cs="Times New Roman"/>
          <w:b/>
          <w:sz w:val="25"/>
          <w:szCs w:val="25"/>
          <w:u w:val="single"/>
        </w:rPr>
      </w:pPr>
      <w:r w:rsidRPr="00152F5C">
        <w:rPr>
          <w:rFonts w:ascii="Times New Roman" w:hAnsi="Times New Roman" w:cs="Times New Roman"/>
          <w:b/>
          <w:sz w:val="25"/>
          <w:szCs w:val="25"/>
          <w:u w:val="single"/>
        </w:rPr>
        <w:t>General Comments</w:t>
      </w:r>
    </w:p>
    <w:p w:rsidR="00F3297B" w:rsidRPr="00152F5C" w:rsidRDefault="00F3297B" w:rsidP="00895DF8">
      <w:pPr>
        <w:spacing w:line="264" w:lineRule="auto"/>
        <w:rPr>
          <w:rFonts w:ascii="Times New Roman" w:hAnsi="Times New Roman" w:cs="Times New Roman"/>
          <w:sz w:val="25"/>
          <w:szCs w:val="25"/>
        </w:rPr>
      </w:pPr>
    </w:p>
    <w:p w:rsidR="0042491B" w:rsidRPr="0042491B" w:rsidRDefault="0042491B" w:rsidP="0042491B">
      <w:pPr>
        <w:spacing w:line="264" w:lineRule="auto"/>
        <w:rPr>
          <w:rFonts w:ascii="Times New Roman" w:hAnsi="Times New Roman" w:cs="Times New Roman"/>
          <w:sz w:val="25"/>
          <w:szCs w:val="25"/>
        </w:rPr>
      </w:pPr>
      <w:r w:rsidRPr="0042491B">
        <w:rPr>
          <w:rFonts w:ascii="Times New Roman" w:hAnsi="Times New Roman" w:cs="Times New Roman"/>
          <w:sz w:val="25"/>
          <w:szCs w:val="25"/>
        </w:rPr>
        <w:t xml:space="preserve">PSE was granted two extensions to file its 2015 IRP while the </w:t>
      </w:r>
      <w:r w:rsidR="00552ACB">
        <w:rPr>
          <w:rFonts w:ascii="Times New Roman" w:hAnsi="Times New Roman" w:cs="Times New Roman"/>
          <w:sz w:val="25"/>
          <w:szCs w:val="25"/>
        </w:rPr>
        <w:t>C</w:t>
      </w:r>
      <w:r w:rsidRPr="0042491B">
        <w:rPr>
          <w:rFonts w:ascii="Times New Roman" w:hAnsi="Times New Roman" w:cs="Times New Roman"/>
          <w:sz w:val="25"/>
          <w:szCs w:val="25"/>
        </w:rPr>
        <w:t xml:space="preserve">ompany incorporated foundational changes to its planning process, including a new load forecasting model and the development of a new planning standard. This new standard would incorporate a value of reliability, a market risk assessment, and a new means of determining the capacity value of resources. </w:t>
      </w:r>
      <w:r w:rsidR="00621276">
        <w:rPr>
          <w:rFonts w:ascii="Times New Roman" w:hAnsi="Times New Roman" w:cs="Times New Roman"/>
          <w:sz w:val="25"/>
          <w:szCs w:val="25"/>
        </w:rPr>
        <w:t>Using this new approach</w:t>
      </w:r>
      <w:r w:rsidR="00D12A18">
        <w:rPr>
          <w:rFonts w:ascii="Times New Roman" w:hAnsi="Times New Roman" w:cs="Times New Roman"/>
          <w:sz w:val="25"/>
          <w:szCs w:val="25"/>
        </w:rPr>
        <w:t>,</w:t>
      </w:r>
      <w:r w:rsidR="00621276">
        <w:rPr>
          <w:rFonts w:ascii="Times New Roman" w:hAnsi="Times New Roman" w:cs="Times New Roman"/>
          <w:sz w:val="25"/>
          <w:szCs w:val="25"/>
        </w:rPr>
        <w:t xml:space="preserve"> PSE concludes that the cost of an additional power plant is justified to </w:t>
      </w:r>
      <w:r w:rsidRPr="0042491B">
        <w:rPr>
          <w:rFonts w:ascii="Times New Roman" w:hAnsi="Times New Roman" w:cs="Times New Roman"/>
          <w:sz w:val="25"/>
          <w:szCs w:val="25"/>
        </w:rPr>
        <w:t xml:space="preserve">reduce both the probability and magnitude of </w:t>
      </w:r>
      <w:r w:rsidR="004D4D61">
        <w:rPr>
          <w:rFonts w:ascii="Times New Roman" w:hAnsi="Times New Roman" w:cs="Times New Roman"/>
          <w:sz w:val="25"/>
          <w:szCs w:val="25"/>
        </w:rPr>
        <w:t xml:space="preserve">potential </w:t>
      </w:r>
      <w:r w:rsidRPr="0042491B">
        <w:rPr>
          <w:rFonts w:ascii="Times New Roman" w:hAnsi="Times New Roman" w:cs="Times New Roman"/>
          <w:sz w:val="25"/>
          <w:szCs w:val="25"/>
        </w:rPr>
        <w:t>curtailment events</w:t>
      </w:r>
      <w:r w:rsidR="00621276">
        <w:rPr>
          <w:rFonts w:ascii="Times New Roman" w:hAnsi="Times New Roman" w:cs="Times New Roman"/>
          <w:sz w:val="25"/>
          <w:szCs w:val="25"/>
        </w:rPr>
        <w:t>.</w:t>
      </w:r>
      <w:r w:rsidRPr="0042491B">
        <w:rPr>
          <w:rFonts w:ascii="Times New Roman" w:hAnsi="Times New Roman" w:cs="Times New Roman"/>
          <w:sz w:val="25"/>
          <w:szCs w:val="25"/>
        </w:rPr>
        <w:t xml:space="preserve"> </w:t>
      </w:r>
    </w:p>
    <w:p w:rsidR="0042491B" w:rsidRPr="0042491B" w:rsidRDefault="0042491B" w:rsidP="0042491B">
      <w:pPr>
        <w:spacing w:line="264" w:lineRule="auto"/>
        <w:rPr>
          <w:rFonts w:ascii="Times New Roman" w:hAnsi="Times New Roman" w:cs="Times New Roman"/>
          <w:sz w:val="25"/>
          <w:szCs w:val="25"/>
        </w:rPr>
      </w:pPr>
    </w:p>
    <w:p w:rsidR="0042491B" w:rsidRPr="0042491B" w:rsidRDefault="00C5672B" w:rsidP="0042491B">
      <w:pPr>
        <w:spacing w:line="264" w:lineRule="auto"/>
        <w:rPr>
          <w:rFonts w:ascii="Times New Roman" w:hAnsi="Times New Roman" w:cs="Times New Roman"/>
          <w:sz w:val="25"/>
          <w:szCs w:val="25"/>
        </w:rPr>
      </w:pPr>
      <w:r>
        <w:rPr>
          <w:rFonts w:ascii="Times New Roman" w:hAnsi="Times New Roman" w:cs="Times New Roman"/>
          <w:sz w:val="25"/>
          <w:szCs w:val="25"/>
        </w:rPr>
        <w:t>Part III of this attachment</w:t>
      </w:r>
      <w:r w:rsidR="0042491B" w:rsidRPr="0042491B">
        <w:rPr>
          <w:rFonts w:ascii="Times New Roman" w:hAnsi="Times New Roman" w:cs="Times New Roman"/>
          <w:sz w:val="25"/>
          <w:szCs w:val="25"/>
        </w:rPr>
        <w:t xml:space="preserve"> </w:t>
      </w:r>
      <w:r w:rsidR="0042491B">
        <w:rPr>
          <w:rFonts w:ascii="Times New Roman" w:hAnsi="Times New Roman" w:cs="Times New Roman"/>
          <w:sz w:val="25"/>
          <w:szCs w:val="25"/>
        </w:rPr>
        <w:t xml:space="preserve">discusses </w:t>
      </w:r>
      <w:r w:rsidR="0042491B" w:rsidRPr="0042491B">
        <w:rPr>
          <w:rFonts w:ascii="Times New Roman" w:hAnsi="Times New Roman" w:cs="Times New Roman"/>
          <w:sz w:val="25"/>
          <w:szCs w:val="25"/>
        </w:rPr>
        <w:t xml:space="preserve">the IRP’s overall conclusions regarding the timing and specific type of future </w:t>
      </w:r>
      <w:r w:rsidR="009A1661">
        <w:rPr>
          <w:rFonts w:ascii="Times New Roman" w:hAnsi="Times New Roman" w:cs="Times New Roman"/>
          <w:sz w:val="25"/>
          <w:szCs w:val="25"/>
        </w:rPr>
        <w:t xml:space="preserve">electric </w:t>
      </w:r>
      <w:r w:rsidR="0042491B" w:rsidRPr="0042491B">
        <w:rPr>
          <w:rFonts w:ascii="Times New Roman" w:hAnsi="Times New Roman" w:cs="Times New Roman"/>
          <w:sz w:val="25"/>
          <w:szCs w:val="25"/>
        </w:rPr>
        <w:t>resource additions, then focus</w:t>
      </w:r>
      <w:r w:rsidR="0042491B">
        <w:rPr>
          <w:rFonts w:ascii="Times New Roman" w:hAnsi="Times New Roman" w:cs="Times New Roman"/>
          <w:sz w:val="25"/>
          <w:szCs w:val="25"/>
        </w:rPr>
        <w:t>es</w:t>
      </w:r>
      <w:r w:rsidR="0042491B" w:rsidRPr="0042491B">
        <w:rPr>
          <w:rFonts w:ascii="Times New Roman" w:hAnsi="Times New Roman" w:cs="Times New Roman"/>
          <w:sz w:val="25"/>
          <w:szCs w:val="25"/>
        </w:rPr>
        <w:t xml:space="preserve"> on the proposed new planning standard. </w:t>
      </w:r>
      <w:r>
        <w:rPr>
          <w:rFonts w:ascii="Times New Roman" w:hAnsi="Times New Roman" w:cs="Times New Roman"/>
          <w:sz w:val="25"/>
          <w:szCs w:val="25"/>
        </w:rPr>
        <w:t xml:space="preserve">Part III continues with a discussion of assumptions regarding demand-side resources, supply-side resources, and reserve requirements. Part IV discusses modeling improvements requested by the Commission, and part V addresses procedural issues. </w:t>
      </w:r>
      <w:r w:rsidR="001D7A18">
        <w:rPr>
          <w:rFonts w:ascii="Times New Roman" w:hAnsi="Times New Roman" w:cs="Times New Roman"/>
          <w:sz w:val="25"/>
          <w:szCs w:val="25"/>
        </w:rPr>
        <w:t>Finally,</w:t>
      </w:r>
      <w:r>
        <w:rPr>
          <w:rFonts w:ascii="Times New Roman" w:hAnsi="Times New Roman" w:cs="Times New Roman"/>
          <w:sz w:val="25"/>
          <w:szCs w:val="25"/>
        </w:rPr>
        <w:t xml:space="preserve"> part VI </w:t>
      </w:r>
      <w:r w:rsidR="001D7A18">
        <w:rPr>
          <w:rFonts w:ascii="Times New Roman" w:hAnsi="Times New Roman" w:cs="Times New Roman"/>
          <w:sz w:val="25"/>
          <w:szCs w:val="25"/>
        </w:rPr>
        <w:t>examines</w:t>
      </w:r>
      <w:r>
        <w:rPr>
          <w:rFonts w:ascii="Times New Roman" w:hAnsi="Times New Roman" w:cs="Times New Roman"/>
          <w:sz w:val="25"/>
          <w:szCs w:val="25"/>
        </w:rPr>
        <w:t xml:space="preserve"> the natural gas plan.</w:t>
      </w:r>
    </w:p>
    <w:p w:rsidR="00F3297B" w:rsidRPr="00152F5C" w:rsidRDefault="00F3297B" w:rsidP="00895DF8">
      <w:pPr>
        <w:spacing w:line="264" w:lineRule="auto"/>
        <w:rPr>
          <w:rFonts w:ascii="Times New Roman" w:hAnsi="Times New Roman" w:cs="Times New Roman"/>
          <w:sz w:val="25"/>
          <w:szCs w:val="25"/>
        </w:rPr>
      </w:pPr>
    </w:p>
    <w:p w:rsidR="00F3297B" w:rsidRDefault="00F3297B" w:rsidP="00895DF8">
      <w:pPr>
        <w:pStyle w:val="ListParagraph"/>
        <w:numPr>
          <w:ilvl w:val="0"/>
          <w:numId w:val="13"/>
        </w:numPr>
        <w:spacing w:line="264" w:lineRule="auto"/>
        <w:ind w:left="1080"/>
        <w:rPr>
          <w:rFonts w:ascii="Times New Roman" w:hAnsi="Times New Roman" w:cs="Times New Roman"/>
          <w:b/>
          <w:sz w:val="25"/>
          <w:szCs w:val="25"/>
          <w:u w:val="single"/>
        </w:rPr>
      </w:pPr>
      <w:r w:rsidRPr="00152F5C">
        <w:rPr>
          <w:rFonts w:ascii="Times New Roman" w:hAnsi="Times New Roman" w:cs="Times New Roman"/>
          <w:b/>
          <w:sz w:val="25"/>
          <w:szCs w:val="25"/>
          <w:u w:val="single"/>
        </w:rPr>
        <w:t>Electric Resources</w:t>
      </w:r>
    </w:p>
    <w:p w:rsidR="00BC5DE2" w:rsidRPr="00BC5DE2" w:rsidRDefault="00BC5DE2" w:rsidP="00BC5DE2">
      <w:pPr>
        <w:spacing w:line="264" w:lineRule="auto"/>
        <w:rPr>
          <w:rFonts w:ascii="Times New Roman" w:hAnsi="Times New Roman" w:cs="Times New Roman"/>
          <w:b/>
          <w:sz w:val="25"/>
          <w:szCs w:val="25"/>
          <w:u w:val="single"/>
        </w:rPr>
      </w:pPr>
    </w:p>
    <w:p w:rsidR="001C28B9" w:rsidRPr="00152F5C" w:rsidRDefault="001C28B9" w:rsidP="00895DF8">
      <w:pPr>
        <w:spacing w:line="264" w:lineRule="auto"/>
        <w:rPr>
          <w:rFonts w:ascii="Times New Roman" w:hAnsi="Times New Roman" w:cs="Times New Roman"/>
          <w:b/>
          <w:sz w:val="25"/>
          <w:szCs w:val="25"/>
        </w:rPr>
      </w:pPr>
      <w:r w:rsidRPr="00152F5C">
        <w:rPr>
          <w:rFonts w:ascii="Times New Roman" w:hAnsi="Times New Roman" w:cs="Times New Roman"/>
          <w:b/>
          <w:sz w:val="25"/>
          <w:szCs w:val="25"/>
        </w:rPr>
        <w:t>Load Forecasts</w:t>
      </w:r>
    </w:p>
    <w:p w:rsidR="001C28B9" w:rsidRPr="00152F5C" w:rsidRDefault="001C28B9" w:rsidP="00895DF8">
      <w:pPr>
        <w:spacing w:line="264" w:lineRule="auto"/>
        <w:rPr>
          <w:rFonts w:ascii="Times New Roman" w:hAnsi="Times New Roman" w:cs="Times New Roman"/>
          <w:sz w:val="25"/>
          <w:szCs w:val="25"/>
        </w:rPr>
      </w:pPr>
    </w:p>
    <w:p w:rsidR="00683356" w:rsidRPr="00683356" w:rsidRDefault="00683356" w:rsidP="00683356">
      <w:pPr>
        <w:spacing w:line="264" w:lineRule="auto"/>
        <w:rPr>
          <w:rFonts w:ascii="Times New Roman" w:hAnsi="Times New Roman" w:cs="Times New Roman"/>
          <w:sz w:val="25"/>
          <w:szCs w:val="25"/>
        </w:rPr>
      </w:pPr>
      <w:r w:rsidRPr="00683356">
        <w:rPr>
          <w:rFonts w:ascii="Times New Roman" w:hAnsi="Times New Roman" w:cs="Times New Roman"/>
          <w:sz w:val="25"/>
          <w:szCs w:val="25"/>
        </w:rPr>
        <w:t xml:space="preserve">PSE projects that annual electric system demand will increase from 2,629 average megawatts (aMW) in 2016 to 3,598 aMW by 2035, an </w:t>
      </w:r>
      <w:r w:rsidR="004D4D61">
        <w:rPr>
          <w:rFonts w:ascii="Times New Roman" w:hAnsi="Times New Roman" w:cs="Times New Roman"/>
          <w:sz w:val="25"/>
          <w:szCs w:val="25"/>
        </w:rPr>
        <w:t xml:space="preserve">average </w:t>
      </w:r>
      <w:r w:rsidRPr="00683356">
        <w:rPr>
          <w:rFonts w:ascii="Times New Roman" w:hAnsi="Times New Roman" w:cs="Times New Roman"/>
          <w:sz w:val="25"/>
          <w:szCs w:val="25"/>
        </w:rPr>
        <w:t>annual growth rate of 1.7 percent</w:t>
      </w:r>
      <w:r w:rsidR="004D4D61">
        <w:rPr>
          <w:rFonts w:ascii="Times New Roman" w:hAnsi="Times New Roman" w:cs="Times New Roman"/>
          <w:sz w:val="25"/>
          <w:szCs w:val="25"/>
        </w:rPr>
        <w:t xml:space="preserve"> over the 20-year planning period</w:t>
      </w:r>
      <w:r w:rsidRPr="00683356">
        <w:rPr>
          <w:rFonts w:ascii="Times New Roman" w:hAnsi="Times New Roman" w:cs="Times New Roman"/>
          <w:sz w:val="25"/>
          <w:szCs w:val="25"/>
        </w:rPr>
        <w:t>. Peak demand is projected to grow at a rate of 1.6 percent per year over the same period, from 4,929 MW in 2016 to 6,649 MW in 2035.</w:t>
      </w:r>
    </w:p>
    <w:p w:rsidR="00683356" w:rsidRPr="00683356" w:rsidRDefault="00683356" w:rsidP="00683356">
      <w:pPr>
        <w:spacing w:line="264" w:lineRule="auto"/>
        <w:rPr>
          <w:rFonts w:ascii="Times New Roman" w:hAnsi="Times New Roman" w:cs="Times New Roman"/>
          <w:sz w:val="25"/>
          <w:szCs w:val="25"/>
        </w:rPr>
      </w:pPr>
    </w:p>
    <w:p w:rsidR="00683356" w:rsidRPr="00683356" w:rsidRDefault="00683356" w:rsidP="00683356">
      <w:pPr>
        <w:spacing w:line="264" w:lineRule="auto"/>
        <w:rPr>
          <w:rFonts w:ascii="Times New Roman" w:hAnsi="Times New Roman" w:cs="Times New Roman"/>
          <w:sz w:val="25"/>
          <w:szCs w:val="25"/>
        </w:rPr>
      </w:pPr>
      <w:r w:rsidRPr="00683356">
        <w:rPr>
          <w:rFonts w:ascii="Times New Roman" w:hAnsi="Times New Roman" w:cs="Times New Roman"/>
          <w:sz w:val="25"/>
          <w:szCs w:val="25"/>
        </w:rPr>
        <w:t xml:space="preserve">While the growth rates have been revised downward from the 2013 IRP, PSE emphasizes that growth is uneven in its service territory. </w:t>
      </w:r>
      <w:r w:rsidR="00892441">
        <w:rPr>
          <w:rFonts w:ascii="Times New Roman" w:hAnsi="Times New Roman" w:cs="Times New Roman"/>
          <w:sz w:val="25"/>
          <w:szCs w:val="25"/>
        </w:rPr>
        <w:t>A</w:t>
      </w:r>
      <w:r w:rsidRPr="00683356">
        <w:rPr>
          <w:rFonts w:ascii="Times New Roman" w:hAnsi="Times New Roman" w:cs="Times New Roman"/>
          <w:sz w:val="25"/>
          <w:szCs w:val="25"/>
        </w:rPr>
        <w:t xml:space="preserve"> significant </w:t>
      </w:r>
      <w:r w:rsidR="00892441">
        <w:rPr>
          <w:rFonts w:ascii="Times New Roman" w:hAnsi="Times New Roman" w:cs="Times New Roman"/>
          <w:sz w:val="25"/>
          <w:szCs w:val="25"/>
        </w:rPr>
        <w:t>portion</w:t>
      </w:r>
      <w:r w:rsidRPr="00683356">
        <w:rPr>
          <w:rFonts w:ascii="Times New Roman" w:hAnsi="Times New Roman" w:cs="Times New Roman"/>
          <w:sz w:val="25"/>
          <w:szCs w:val="25"/>
        </w:rPr>
        <w:t xml:space="preserve"> of </w:t>
      </w:r>
      <w:r w:rsidR="00892441">
        <w:rPr>
          <w:rFonts w:ascii="Times New Roman" w:hAnsi="Times New Roman" w:cs="Times New Roman"/>
          <w:sz w:val="25"/>
          <w:szCs w:val="25"/>
        </w:rPr>
        <w:t>the IRP is devoted to</w:t>
      </w:r>
      <w:r w:rsidRPr="00683356">
        <w:rPr>
          <w:rFonts w:ascii="Times New Roman" w:hAnsi="Times New Roman" w:cs="Times New Roman"/>
          <w:sz w:val="25"/>
          <w:szCs w:val="25"/>
        </w:rPr>
        <w:t xml:space="preserve"> documenting the rapid growth in its King County service territory. </w:t>
      </w:r>
    </w:p>
    <w:p w:rsidR="00683356" w:rsidRDefault="00683356" w:rsidP="00895DF8">
      <w:pPr>
        <w:spacing w:line="264" w:lineRule="auto"/>
        <w:rPr>
          <w:rFonts w:ascii="Times New Roman" w:hAnsi="Times New Roman" w:cs="Times New Roman"/>
          <w:sz w:val="25"/>
          <w:szCs w:val="25"/>
        </w:rPr>
      </w:pPr>
    </w:p>
    <w:p w:rsidR="00AC3B9F" w:rsidRPr="00AC3B9F" w:rsidRDefault="00AC3B9F" w:rsidP="00AC3B9F">
      <w:pPr>
        <w:spacing w:line="264" w:lineRule="auto"/>
        <w:rPr>
          <w:rFonts w:ascii="Times New Roman" w:hAnsi="Times New Roman" w:cs="Times New Roman"/>
          <w:sz w:val="25"/>
          <w:szCs w:val="25"/>
        </w:rPr>
      </w:pPr>
      <w:r>
        <w:rPr>
          <w:rFonts w:ascii="Times New Roman" w:hAnsi="Times New Roman" w:cs="Times New Roman"/>
          <w:sz w:val="25"/>
          <w:szCs w:val="25"/>
        </w:rPr>
        <w:t xml:space="preserve">In </w:t>
      </w:r>
      <w:r w:rsidR="00304AC3">
        <w:rPr>
          <w:rFonts w:ascii="Times New Roman" w:hAnsi="Times New Roman" w:cs="Times New Roman"/>
          <w:sz w:val="25"/>
          <w:szCs w:val="25"/>
        </w:rPr>
        <w:t>the 2015 IRP</w:t>
      </w:r>
      <w:r>
        <w:rPr>
          <w:rFonts w:ascii="Times New Roman" w:hAnsi="Times New Roman" w:cs="Times New Roman"/>
          <w:sz w:val="25"/>
          <w:szCs w:val="25"/>
        </w:rPr>
        <w:t>,</w:t>
      </w:r>
      <w:r w:rsidRPr="00AC3B9F">
        <w:rPr>
          <w:rFonts w:ascii="Times New Roman" w:hAnsi="Times New Roman" w:cs="Times New Roman"/>
          <w:sz w:val="25"/>
          <w:szCs w:val="25"/>
        </w:rPr>
        <w:t xml:space="preserve"> </w:t>
      </w:r>
      <w:r>
        <w:rPr>
          <w:rFonts w:ascii="Times New Roman" w:hAnsi="Times New Roman" w:cs="Times New Roman"/>
          <w:sz w:val="25"/>
          <w:szCs w:val="25"/>
        </w:rPr>
        <w:t>the Company use</w:t>
      </w:r>
      <w:r w:rsidR="00584E63">
        <w:rPr>
          <w:rFonts w:ascii="Times New Roman" w:hAnsi="Times New Roman" w:cs="Times New Roman"/>
          <w:sz w:val="25"/>
          <w:szCs w:val="25"/>
        </w:rPr>
        <w:t>s</w:t>
      </w:r>
      <w:r>
        <w:rPr>
          <w:rFonts w:ascii="Times New Roman" w:hAnsi="Times New Roman" w:cs="Times New Roman"/>
          <w:sz w:val="25"/>
          <w:szCs w:val="25"/>
        </w:rPr>
        <w:t xml:space="preserve"> </w:t>
      </w:r>
      <w:r w:rsidRPr="00AC3B9F">
        <w:rPr>
          <w:rFonts w:ascii="Times New Roman" w:hAnsi="Times New Roman" w:cs="Times New Roman"/>
          <w:sz w:val="25"/>
          <w:szCs w:val="25"/>
        </w:rPr>
        <w:t>a new, econometric load forecasting model.</w:t>
      </w:r>
      <w:r w:rsidRPr="00AC3B9F">
        <w:rPr>
          <w:rFonts w:ascii="Times New Roman" w:hAnsi="Times New Roman" w:cs="Times New Roman"/>
          <w:sz w:val="25"/>
          <w:szCs w:val="25"/>
          <w:vertAlign w:val="superscript"/>
        </w:rPr>
        <w:footnoteReference w:id="1"/>
      </w:r>
      <w:r w:rsidRPr="00AC3B9F">
        <w:rPr>
          <w:rFonts w:ascii="Times New Roman" w:hAnsi="Times New Roman" w:cs="Times New Roman"/>
          <w:sz w:val="25"/>
          <w:szCs w:val="25"/>
        </w:rPr>
        <w:t xml:space="preserve"> In previous IRPs, PSE used a simplified </w:t>
      </w:r>
      <w:r w:rsidR="004D4D61">
        <w:rPr>
          <w:rFonts w:ascii="Times New Roman" w:hAnsi="Times New Roman" w:cs="Times New Roman"/>
          <w:sz w:val="25"/>
          <w:szCs w:val="25"/>
        </w:rPr>
        <w:t>u</w:t>
      </w:r>
      <w:r w:rsidRPr="00AC3B9F">
        <w:rPr>
          <w:rFonts w:ascii="Times New Roman" w:hAnsi="Times New Roman" w:cs="Times New Roman"/>
          <w:sz w:val="25"/>
          <w:szCs w:val="25"/>
        </w:rPr>
        <w:t xml:space="preserve">se </w:t>
      </w:r>
      <w:r w:rsidR="004D4D61">
        <w:rPr>
          <w:rFonts w:ascii="Times New Roman" w:hAnsi="Times New Roman" w:cs="Times New Roman"/>
          <w:sz w:val="25"/>
          <w:szCs w:val="25"/>
        </w:rPr>
        <w:t>p</w:t>
      </w:r>
      <w:r w:rsidRPr="00AC3B9F">
        <w:rPr>
          <w:rFonts w:ascii="Times New Roman" w:hAnsi="Times New Roman" w:cs="Times New Roman"/>
          <w:sz w:val="25"/>
          <w:szCs w:val="25"/>
        </w:rPr>
        <w:t xml:space="preserve">er </w:t>
      </w:r>
      <w:r w:rsidR="004D4D61">
        <w:rPr>
          <w:rFonts w:ascii="Times New Roman" w:hAnsi="Times New Roman" w:cs="Times New Roman"/>
          <w:sz w:val="25"/>
          <w:szCs w:val="25"/>
        </w:rPr>
        <w:t>c</w:t>
      </w:r>
      <w:r w:rsidRPr="00AC3B9F">
        <w:rPr>
          <w:rFonts w:ascii="Times New Roman" w:hAnsi="Times New Roman" w:cs="Times New Roman"/>
          <w:sz w:val="25"/>
          <w:szCs w:val="25"/>
        </w:rPr>
        <w:t xml:space="preserve">ustomer model, in which the </w:t>
      </w:r>
      <w:r w:rsidR="00552ACB">
        <w:rPr>
          <w:rFonts w:ascii="Times New Roman" w:hAnsi="Times New Roman" w:cs="Times New Roman"/>
          <w:sz w:val="25"/>
          <w:szCs w:val="25"/>
        </w:rPr>
        <w:t>C</w:t>
      </w:r>
      <w:r w:rsidRPr="00AC3B9F">
        <w:rPr>
          <w:rFonts w:ascii="Times New Roman" w:hAnsi="Times New Roman" w:cs="Times New Roman"/>
          <w:sz w:val="25"/>
          <w:szCs w:val="25"/>
        </w:rPr>
        <w:t xml:space="preserve">ompany estimated how much gas or electricity the average customer used and multiplied that number by the expected number of customers each year. </w:t>
      </w:r>
      <w:r w:rsidR="00892441">
        <w:rPr>
          <w:rFonts w:ascii="Times New Roman" w:hAnsi="Times New Roman" w:cs="Times New Roman"/>
          <w:sz w:val="25"/>
          <w:szCs w:val="25"/>
        </w:rPr>
        <w:t>T</w:t>
      </w:r>
      <w:r w:rsidR="00584E63">
        <w:rPr>
          <w:rFonts w:ascii="Times New Roman" w:hAnsi="Times New Roman" w:cs="Times New Roman"/>
          <w:sz w:val="25"/>
          <w:szCs w:val="25"/>
        </w:rPr>
        <w:t>he Commission is</w:t>
      </w:r>
      <w:r w:rsidRPr="00AC3B9F">
        <w:rPr>
          <w:rFonts w:ascii="Times New Roman" w:hAnsi="Times New Roman" w:cs="Times New Roman"/>
          <w:sz w:val="25"/>
          <w:szCs w:val="25"/>
        </w:rPr>
        <w:t xml:space="preserve"> more comfortable with the ability of an econometric model to respond to the increasingly granular nature of load drivers. </w:t>
      </w:r>
      <w:r w:rsidR="00892441">
        <w:rPr>
          <w:rFonts w:ascii="Times New Roman" w:hAnsi="Times New Roman" w:cs="Times New Roman"/>
          <w:sz w:val="25"/>
          <w:szCs w:val="25"/>
        </w:rPr>
        <w:t xml:space="preserve">As </w:t>
      </w:r>
      <w:r w:rsidR="00892441" w:rsidRPr="00AC3B9F">
        <w:rPr>
          <w:rFonts w:ascii="Times New Roman" w:hAnsi="Times New Roman" w:cs="Times New Roman"/>
          <w:sz w:val="25"/>
          <w:szCs w:val="25"/>
        </w:rPr>
        <w:t>the results of the new model do not widely differ from the load forecast in the 2013 IRP</w:t>
      </w:r>
      <w:r w:rsidR="00892441">
        <w:rPr>
          <w:rFonts w:ascii="Times New Roman" w:hAnsi="Times New Roman" w:cs="Times New Roman"/>
          <w:sz w:val="25"/>
          <w:szCs w:val="25"/>
        </w:rPr>
        <w:t xml:space="preserve"> derived from the simplified model</w:t>
      </w:r>
      <w:r w:rsidR="00892441" w:rsidRPr="00AC3B9F">
        <w:rPr>
          <w:rFonts w:ascii="Times New Roman" w:hAnsi="Times New Roman" w:cs="Times New Roman"/>
          <w:sz w:val="25"/>
          <w:szCs w:val="25"/>
        </w:rPr>
        <w:t>,</w:t>
      </w:r>
      <w:r w:rsidR="00892441">
        <w:rPr>
          <w:rFonts w:ascii="Times New Roman" w:hAnsi="Times New Roman" w:cs="Times New Roman"/>
          <w:sz w:val="25"/>
          <w:szCs w:val="25"/>
        </w:rPr>
        <w:t xml:space="preserve"> going forward</w:t>
      </w:r>
      <w:r w:rsidR="00552ACB">
        <w:rPr>
          <w:rFonts w:ascii="Times New Roman" w:hAnsi="Times New Roman" w:cs="Times New Roman"/>
          <w:sz w:val="25"/>
          <w:szCs w:val="25"/>
        </w:rPr>
        <w:t xml:space="preserve"> </w:t>
      </w:r>
      <w:r>
        <w:rPr>
          <w:rFonts w:ascii="Times New Roman" w:hAnsi="Times New Roman" w:cs="Times New Roman"/>
          <w:sz w:val="25"/>
          <w:szCs w:val="25"/>
        </w:rPr>
        <w:t>PSE should continue to use an</w:t>
      </w:r>
      <w:r w:rsidRPr="00AC3B9F">
        <w:rPr>
          <w:rFonts w:ascii="Times New Roman" w:hAnsi="Times New Roman" w:cs="Times New Roman"/>
          <w:sz w:val="25"/>
          <w:szCs w:val="25"/>
        </w:rPr>
        <w:t xml:space="preserve"> econometric approach to demand forecasting. </w:t>
      </w:r>
    </w:p>
    <w:p w:rsidR="009405B3" w:rsidRDefault="009405B3" w:rsidP="00895DF8">
      <w:pPr>
        <w:spacing w:line="264" w:lineRule="auto"/>
        <w:rPr>
          <w:rFonts w:ascii="Times New Roman" w:hAnsi="Times New Roman" w:cs="Times New Roman"/>
          <w:sz w:val="25"/>
          <w:szCs w:val="25"/>
        </w:rPr>
      </w:pPr>
    </w:p>
    <w:p w:rsidR="00F3297B" w:rsidRPr="00152F5C" w:rsidRDefault="00683356" w:rsidP="00895DF8">
      <w:pPr>
        <w:spacing w:line="264" w:lineRule="auto"/>
        <w:rPr>
          <w:rFonts w:ascii="Times New Roman" w:hAnsi="Times New Roman" w:cs="Times New Roman"/>
          <w:b/>
          <w:sz w:val="25"/>
          <w:szCs w:val="25"/>
        </w:rPr>
      </w:pPr>
      <w:r>
        <w:rPr>
          <w:rFonts w:ascii="Times New Roman" w:hAnsi="Times New Roman" w:cs="Times New Roman"/>
          <w:b/>
          <w:sz w:val="25"/>
          <w:szCs w:val="25"/>
        </w:rPr>
        <w:t>Resource Plan</w:t>
      </w:r>
    </w:p>
    <w:p w:rsidR="00C42719" w:rsidRPr="00152F5C" w:rsidRDefault="00C42719" w:rsidP="00895DF8">
      <w:pPr>
        <w:spacing w:line="264" w:lineRule="auto"/>
        <w:rPr>
          <w:rFonts w:ascii="Times New Roman" w:hAnsi="Times New Roman" w:cs="Times New Roman"/>
          <w:sz w:val="25"/>
          <w:szCs w:val="25"/>
        </w:rPr>
      </w:pPr>
    </w:p>
    <w:p w:rsidR="00C42719" w:rsidRPr="0095304F" w:rsidRDefault="00C42719" w:rsidP="00C42719">
      <w:pPr>
        <w:spacing w:line="264" w:lineRule="auto"/>
        <w:rPr>
          <w:rFonts w:ascii="Times New Roman" w:hAnsi="Times New Roman" w:cs="Times New Roman"/>
          <w:sz w:val="25"/>
          <w:szCs w:val="25"/>
        </w:rPr>
      </w:pPr>
      <w:r w:rsidRPr="0095304F">
        <w:rPr>
          <w:rFonts w:ascii="Times New Roman" w:hAnsi="Times New Roman" w:cs="Times New Roman"/>
          <w:sz w:val="25"/>
          <w:szCs w:val="25"/>
        </w:rPr>
        <w:t xml:space="preserve">PSE’s resource plan </w:t>
      </w:r>
      <w:r w:rsidR="00552ACB">
        <w:rPr>
          <w:rFonts w:ascii="Times New Roman" w:hAnsi="Times New Roman" w:cs="Times New Roman"/>
          <w:sz w:val="25"/>
          <w:szCs w:val="25"/>
        </w:rPr>
        <w:t>describes</w:t>
      </w:r>
      <w:r w:rsidRPr="0095304F">
        <w:rPr>
          <w:rFonts w:ascii="Times New Roman" w:hAnsi="Times New Roman" w:cs="Times New Roman"/>
          <w:sz w:val="25"/>
          <w:szCs w:val="25"/>
        </w:rPr>
        <w:t xml:space="preserve"> the portfolio it sees as most likely to meet future needs at this point in time</w:t>
      </w:r>
      <w:r w:rsidR="00552ACB">
        <w:rPr>
          <w:rFonts w:ascii="Times New Roman" w:hAnsi="Times New Roman" w:cs="Times New Roman"/>
          <w:sz w:val="25"/>
          <w:szCs w:val="25"/>
        </w:rPr>
        <w:t>.</w:t>
      </w:r>
      <w:r w:rsidRPr="0095304F">
        <w:rPr>
          <w:rFonts w:ascii="Times New Roman" w:hAnsi="Times New Roman" w:cs="Times New Roman"/>
          <w:sz w:val="25"/>
          <w:szCs w:val="25"/>
        </w:rPr>
        <w:t xml:space="preserve"> </w:t>
      </w:r>
      <w:r w:rsidR="00552ACB">
        <w:rPr>
          <w:rFonts w:ascii="Times New Roman" w:hAnsi="Times New Roman" w:cs="Times New Roman"/>
          <w:sz w:val="25"/>
          <w:szCs w:val="25"/>
        </w:rPr>
        <w:t>It</w:t>
      </w:r>
      <w:r w:rsidRPr="0095304F">
        <w:rPr>
          <w:rFonts w:ascii="Times New Roman" w:hAnsi="Times New Roman" w:cs="Times New Roman"/>
          <w:sz w:val="25"/>
          <w:szCs w:val="25"/>
        </w:rPr>
        <w:t xml:space="preserve"> continues to rely heavily on energy efficiency and market purchases throughout the planning period. The </w:t>
      </w:r>
      <w:r w:rsidR="00552ACB">
        <w:rPr>
          <w:rFonts w:ascii="Times New Roman" w:hAnsi="Times New Roman" w:cs="Times New Roman"/>
          <w:sz w:val="25"/>
          <w:szCs w:val="25"/>
        </w:rPr>
        <w:t>C</w:t>
      </w:r>
      <w:r w:rsidRPr="0095304F">
        <w:rPr>
          <w:rFonts w:ascii="Times New Roman" w:hAnsi="Times New Roman" w:cs="Times New Roman"/>
          <w:sz w:val="25"/>
          <w:szCs w:val="25"/>
        </w:rPr>
        <w:t>ompany plans to continue to rely on its 1,666 MW of available transmission to the Mid-Columbia market hub to make market purchases</w:t>
      </w:r>
      <w:r w:rsidR="000B7E81">
        <w:rPr>
          <w:rFonts w:ascii="Times New Roman" w:hAnsi="Times New Roman" w:cs="Times New Roman"/>
          <w:sz w:val="25"/>
          <w:szCs w:val="25"/>
        </w:rPr>
        <w:t xml:space="preserve"> for energy and capacity</w:t>
      </w:r>
      <w:r w:rsidRPr="0095304F">
        <w:rPr>
          <w:rFonts w:ascii="Times New Roman" w:hAnsi="Times New Roman" w:cs="Times New Roman"/>
          <w:sz w:val="25"/>
          <w:szCs w:val="25"/>
        </w:rPr>
        <w:t xml:space="preserve">, while </w:t>
      </w:r>
      <w:r w:rsidR="00552ACB">
        <w:rPr>
          <w:rFonts w:ascii="Times New Roman" w:hAnsi="Times New Roman" w:cs="Times New Roman"/>
          <w:sz w:val="25"/>
          <w:szCs w:val="25"/>
        </w:rPr>
        <w:t xml:space="preserve">its </w:t>
      </w:r>
      <w:r w:rsidRPr="0095304F">
        <w:rPr>
          <w:rFonts w:ascii="Times New Roman" w:hAnsi="Times New Roman" w:cs="Times New Roman"/>
          <w:sz w:val="25"/>
          <w:szCs w:val="25"/>
        </w:rPr>
        <w:t xml:space="preserve">energy efficiency acquisitions for the 20-year planning period total 906 MW. </w:t>
      </w:r>
    </w:p>
    <w:p w:rsidR="00CA3B68" w:rsidRPr="00152F5C" w:rsidRDefault="00CA3B68" w:rsidP="00895DF8">
      <w:pPr>
        <w:spacing w:line="264" w:lineRule="auto"/>
        <w:rPr>
          <w:rFonts w:ascii="Times New Roman" w:hAnsi="Times New Roman" w:cs="Times New Roman"/>
          <w:sz w:val="25"/>
          <w:szCs w:val="25"/>
        </w:rPr>
      </w:pPr>
    </w:p>
    <w:p w:rsidR="00CA3B68" w:rsidRPr="00152F5C" w:rsidRDefault="00CA3B68"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After modeling a wide variety of economic scenarios, PSE selected the following resources for its </w:t>
      </w:r>
      <w:r w:rsidR="004A61C8" w:rsidRPr="00152F5C">
        <w:rPr>
          <w:rFonts w:ascii="Times New Roman" w:hAnsi="Times New Roman" w:cs="Times New Roman"/>
          <w:sz w:val="25"/>
          <w:szCs w:val="25"/>
        </w:rPr>
        <w:t>resource plan</w:t>
      </w:r>
      <w:r w:rsidRPr="00152F5C">
        <w:rPr>
          <w:rFonts w:ascii="Times New Roman" w:hAnsi="Times New Roman" w:cs="Times New Roman"/>
          <w:sz w:val="25"/>
          <w:szCs w:val="25"/>
        </w:rPr>
        <w:t>:</w:t>
      </w:r>
    </w:p>
    <w:p w:rsidR="00CF068B" w:rsidRDefault="00CF068B">
      <w:pPr>
        <w:rPr>
          <w:rFonts w:ascii="Times New Roman" w:hAnsi="Times New Roman" w:cs="Times New Roman"/>
          <w:b/>
          <w:sz w:val="25"/>
          <w:szCs w:val="25"/>
        </w:rPr>
      </w:pPr>
      <w:r>
        <w:rPr>
          <w:rFonts w:ascii="Times New Roman" w:hAnsi="Times New Roman" w:cs="Times New Roman"/>
          <w:b/>
          <w:sz w:val="25"/>
          <w:szCs w:val="25"/>
        </w:rPr>
        <w:br w:type="page"/>
      </w:r>
    </w:p>
    <w:p w:rsidR="00811C17" w:rsidRPr="00152F5C" w:rsidRDefault="00811C17" w:rsidP="00895DF8">
      <w:pPr>
        <w:spacing w:line="264" w:lineRule="auto"/>
        <w:jc w:val="center"/>
        <w:rPr>
          <w:rFonts w:ascii="Times New Roman" w:hAnsi="Times New Roman" w:cs="Times New Roman"/>
          <w:b/>
          <w:sz w:val="25"/>
          <w:szCs w:val="25"/>
        </w:rPr>
      </w:pPr>
    </w:p>
    <w:p w:rsidR="00152F5C" w:rsidRDefault="009A1661" w:rsidP="00895DF8">
      <w:pPr>
        <w:spacing w:line="264" w:lineRule="auto"/>
        <w:jc w:val="center"/>
        <w:rPr>
          <w:rFonts w:ascii="Times New Roman" w:hAnsi="Times New Roman" w:cs="Times New Roman"/>
          <w:b/>
          <w:sz w:val="25"/>
          <w:szCs w:val="25"/>
        </w:rPr>
      </w:pPr>
      <w:r>
        <w:rPr>
          <w:rFonts w:ascii="Times New Roman" w:hAnsi="Times New Roman" w:cs="Times New Roman"/>
          <w:b/>
          <w:sz w:val="25"/>
          <w:szCs w:val="25"/>
        </w:rPr>
        <w:t>Table 1</w:t>
      </w:r>
    </w:p>
    <w:p w:rsidR="00CA3B68" w:rsidRDefault="00CA3B68" w:rsidP="00895DF8">
      <w:pPr>
        <w:spacing w:line="264" w:lineRule="auto"/>
        <w:jc w:val="center"/>
        <w:rPr>
          <w:rFonts w:ascii="Times New Roman" w:hAnsi="Times New Roman" w:cs="Times New Roman"/>
          <w:b/>
          <w:sz w:val="25"/>
          <w:szCs w:val="25"/>
        </w:rPr>
      </w:pPr>
      <w:r w:rsidRPr="00152F5C">
        <w:rPr>
          <w:rFonts w:ascii="Times New Roman" w:hAnsi="Times New Roman" w:cs="Times New Roman"/>
          <w:b/>
          <w:sz w:val="25"/>
          <w:szCs w:val="25"/>
        </w:rPr>
        <w:t xml:space="preserve"> Electric Resource Plan, Cumulative Nameplate Capacity of Resource Additions</w:t>
      </w:r>
      <w:r w:rsidRPr="00152F5C">
        <w:rPr>
          <w:rStyle w:val="FootnoteReference"/>
          <w:rFonts w:ascii="Times New Roman" w:hAnsi="Times New Roman" w:cs="Times New Roman"/>
          <w:b/>
          <w:sz w:val="25"/>
          <w:szCs w:val="25"/>
        </w:rPr>
        <w:footnoteReference w:id="2"/>
      </w:r>
    </w:p>
    <w:p w:rsidR="00152F5C" w:rsidRPr="00152F5C" w:rsidRDefault="00152F5C" w:rsidP="00895DF8">
      <w:pPr>
        <w:spacing w:line="264" w:lineRule="auto"/>
        <w:jc w:val="center"/>
        <w:rPr>
          <w:rFonts w:ascii="Times New Roman" w:hAnsi="Times New Roman" w:cs="Times New Roman"/>
          <w:b/>
          <w:sz w:val="25"/>
          <w:szCs w:val="25"/>
        </w:rPr>
      </w:pPr>
    </w:p>
    <w:tbl>
      <w:tblPr>
        <w:tblStyle w:val="TableGrid"/>
        <w:tblW w:w="0" w:type="auto"/>
        <w:tblLook w:val="04A0" w:firstRow="1" w:lastRow="0" w:firstColumn="1" w:lastColumn="0" w:noHBand="0" w:noVBand="1"/>
      </w:tblPr>
      <w:tblGrid>
        <w:gridCol w:w="3227"/>
        <w:gridCol w:w="1441"/>
        <w:gridCol w:w="1441"/>
        <w:gridCol w:w="1440"/>
        <w:gridCol w:w="1441"/>
      </w:tblGrid>
      <w:tr w:rsidR="00CA3B68" w:rsidRPr="00152F5C" w:rsidTr="00683356">
        <w:tc>
          <w:tcPr>
            <w:tcW w:w="3227" w:type="dxa"/>
          </w:tcPr>
          <w:p w:rsidR="00CA3B68" w:rsidRPr="00152F5C" w:rsidRDefault="00CA3B68" w:rsidP="002C6FD0">
            <w:pPr>
              <w:rPr>
                <w:rFonts w:ascii="Times New Roman" w:hAnsi="Times New Roman" w:cs="Times New Roman"/>
                <w:b/>
                <w:sz w:val="25"/>
                <w:szCs w:val="25"/>
              </w:rPr>
            </w:pPr>
          </w:p>
        </w:tc>
        <w:tc>
          <w:tcPr>
            <w:tcW w:w="1441" w:type="dxa"/>
          </w:tcPr>
          <w:p w:rsidR="00CA3B68" w:rsidRPr="00152F5C" w:rsidRDefault="00683356" w:rsidP="002C6FD0">
            <w:pPr>
              <w:jc w:val="center"/>
              <w:rPr>
                <w:rFonts w:ascii="Times New Roman" w:hAnsi="Times New Roman" w:cs="Times New Roman"/>
                <w:b/>
                <w:sz w:val="25"/>
                <w:szCs w:val="25"/>
              </w:rPr>
            </w:pPr>
            <w:r>
              <w:rPr>
                <w:rFonts w:ascii="Times New Roman" w:hAnsi="Times New Roman" w:cs="Times New Roman"/>
                <w:b/>
                <w:sz w:val="25"/>
                <w:szCs w:val="25"/>
              </w:rPr>
              <w:t>2021</w:t>
            </w:r>
          </w:p>
        </w:tc>
        <w:tc>
          <w:tcPr>
            <w:tcW w:w="1441" w:type="dxa"/>
          </w:tcPr>
          <w:p w:rsidR="00CA3B68" w:rsidRPr="00152F5C" w:rsidRDefault="00CA3B68" w:rsidP="002C6FD0">
            <w:pPr>
              <w:jc w:val="center"/>
              <w:rPr>
                <w:rFonts w:ascii="Times New Roman" w:hAnsi="Times New Roman" w:cs="Times New Roman"/>
                <w:b/>
                <w:sz w:val="25"/>
                <w:szCs w:val="25"/>
              </w:rPr>
            </w:pPr>
            <w:r w:rsidRPr="00152F5C">
              <w:rPr>
                <w:rFonts w:ascii="Times New Roman" w:hAnsi="Times New Roman" w:cs="Times New Roman"/>
                <w:b/>
                <w:sz w:val="25"/>
                <w:szCs w:val="25"/>
              </w:rPr>
              <w:t>2023</w:t>
            </w:r>
          </w:p>
        </w:tc>
        <w:tc>
          <w:tcPr>
            <w:tcW w:w="1440" w:type="dxa"/>
          </w:tcPr>
          <w:p w:rsidR="00CA3B68" w:rsidRPr="00152F5C" w:rsidRDefault="00CA3B68" w:rsidP="002C6FD0">
            <w:pPr>
              <w:jc w:val="center"/>
              <w:rPr>
                <w:rFonts w:ascii="Times New Roman" w:hAnsi="Times New Roman" w:cs="Times New Roman"/>
                <w:b/>
                <w:sz w:val="25"/>
                <w:szCs w:val="25"/>
              </w:rPr>
            </w:pPr>
            <w:r w:rsidRPr="00152F5C">
              <w:rPr>
                <w:rFonts w:ascii="Times New Roman" w:hAnsi="Times New Roman" w:cs="Times New Roman"/>
                <w:b/>
                <w:sz w:val="25"/>
                <w:szCs w:val="25"/>
              </w:rPr>
              <w:t>2027</w:t>
            </w:r>
          </w:p>
        </w:tc>
        <w:tc>
          <w:tcPr>
            <w:tcW w:w="1441" w:type="dxa"/>
          </w:tcPr>
          <w:p w:rsidR="00CA3B68" w:rsidRPr="00152F5C" w:rsidRDefault="00CA3B68" w:rsidP="002C6FD0">
            <w:pPr>
              <w:jc w:val="center"/>
              <w:rPr>
                <w:rFonts w:ascii="Times New Roman" w:hAnsi="Times New Roman" w:cs="Times New Roman"/>
                <w:b/>
                <w:sz w:val="25"/>
                <w:szCs w:val="25"/>
              </w:rPr>
            </w:pPr>
            <w:r w:rsidRPr="00152F5C">
              <w:rPr>
                <w:rFonts w:ascii="Times New Roman" w:hAnsi="Times New Roman" w:cs="Times New Roman"/>
                <w:b/>
                <w:sz w:val="25"/>
                <w:szCs w:val="25"/>
              </w:rPr>
              <w:t>2033</w:t>
            </w:r>
          </w:p>
        </w:tc>
      </w:tr>
      <w:tr w:rsidR="00CA3B68" w:rsidRPr="00152F5C" w:rsidTr="00683356">
        <w:tc>
          <w:tcPr>
            <w:tcW w:w="3227" w:type="dxa"/>
          </w:tcPr>
          <w:p w:rsidR="00CA3B68" w:rsidRPr="00152F5C" w:rsidRDefault="00683356" w:rsidP="002C6FD0">
            <w:pPr>
              <w:rPr>
                <w:rFonts w:ascii="Times New Roman" w:hAnsi="Times New Roman" w:cs="Times New Roman"/>
                <w:b/>
                <w:sz w:val="25"/>
                <w:szCs w:val="25"/>
              </w:rPr>
            </w:pPr>
            <w:r>
              <w:rPr>
                <w:rFonts w:ascii="Times New Roman" w:hAnsi="Times New Roman" w:cs="Times New Roman"/>
                <w:b/>
                <w:sz w:val="25"/>
                <w:szCs w:val="25"/>
              </w:rPr>
              <w:t>Conservation</w:t>
            </w:r>
            <w:r w:rsidR="00CA3B68" w:rsidRPr="00152F5C">
              <w:rPr>
                <w:rFonts w:ascii="Times New Roman" w:hAnsi="Times New Roman" w:cs="Times New Roman"/>
                <w:b/>
                <w:sz w:val="25"/>
                <w:szCs w:val="25"/>
              </w:rPr>
              <w:t xml:space="preserve"> (MW)</w:t>
            </w:r>
          </w:p>
        </w:tc>
        <w:tc>
          <w:tcPr>
            <w:tcW w:w="1441" w:type="dxa"/>
          </w:tcPr>
          <w:p w:rsidR="00CA3B68" w:rsidRPr="00152F5C" w:rsidRDefault="00683356" w:rsidP="002C6FD0">
            <w:pPr>
              <w:jc w:val="center"/>
              <w:rPr>
                <w:rFonts w:ascii="Times New Roman" w:hAnsi="Times New Roman" w:cs="Times New Roman"/>
                <w:sz w:val="25"/>
                <w:szCs w:val="25"/>
              </w:rPr>
            </w:pPr>
            <w:r>
              <w:rPr>
                <w:rFonts w:ascii="Times New Roman" w:hAnsi="Times New Roman" w:cs="Times New Roman"/>
                <w:sz w:val="25"/>
                <w:szCs w:val="25"/>
              </w:rPr>
              <w:t>411</w:t>
            </w:r>
          </w:p>
        </w:tc>
        <w:tc>
          <w:tcPr>
            <w:tcW w:w="1441" w:type="dxa"/>
          </w:tcPr>
          <w:p w:rsidR="00CA3B68" w:rsidRPr="00152F5C" w:rsidRDefault="00683356" w:rsidP="002C6FD0">
            <w:pPr>
              <w:jc w:val="center"/>
              <w:rPr>
                <w:rFonts w:ascii="Times New Roman" w:hAnsi="Times New Roman" w:cs="Times New Roman"/>
                <w:sz w:val="25"/>
                <w:szCs w:val="25"/>
              </w:rPr>
            </w:pPr>
            <w:r>
              <w:rPr>
                <w:rFonts w:ascii="Times New Roman" w:hAnsi="Times New Roman" w:cs="Times New Roman"/>
                <w:sz w:val="25"/>
                <w:szCs w:val="25"/>
              </w:rPr>
              <w:t>669</w:t>
            </w:r>
          </w:p>
        </w:tc>
        <w:tc>
          <w:tcPr>
            <w:tcW w:w="1440" w:type="dxa"/>
          </w:tcPr>
          <w:p w:rsidR="00CA3B68" w:rsidRPr="00152F5C" w:rsidRDefault="00683356" w:rsidP="002C6FD0">
            <w:pPr>
              <w:jc w:val="center"/>
              <w:rPr>
                <w:rFonts w:ascii="Times New Roman" w:hAnsi="Times New Roman" w:cs="Times New Roman"/>
                <w:sz w:val="25"/>
                <w:szCs w:val="25"/>
              </w:rPr>
            </w:pPr>
            <w:r>
              <w:rPr>
                <w:rFonts w:ascii="Times New Roman" w:hAnsi="Times New Roman" w:cs="Times New Roman"/>
                <w:sz w:val="25"/>
                <w:szCs w:val="25"/>
              </w:rPr>
              <w:t>770</w:t>
            </w:r>
          </w:p>
        </w:tc>
        <w:tc>
          <w:tcPr>
            <w:tcW w:w="1441" w:type="dxa"/>
          </w:tcPr>
          <w:p w:rsidR="00CA3B68" w:rsidRPr="00152F5C" w:rsidRDefault="00683356" w:rsidP="002C6FD0">
            <w:pPr>
              <w:jc w:val="center"/>
              <w:rPr>
                <w:rFonts w:ascii="Times New Roman" w:hAnsi="Times New Roman" w:cs="Times New Roman"/>
                <w:sz w:val="25"/>
                <w:szCs w:val="25"/>
              </w:rPr>
            </w:pPr>
            <w:r>
              <w:rPr>
                <w:rFonts w:ascii="Times New Roman" w:hAnsi="Times New Roman" w:cs="Times New Roman"/>
                <w:sz w:val="25"/>
                <w:szCs w:val="25"/>
              </w:rPr>
              <w:t>906</w:t>
            </w:r>
          </w:p>
        </w:tc>
      </w:tr>
      <w:tr w:rsidR="00683356" w:rsidRPr="00152F5C" w:rsidTr="00683356">
        <w:tc>
          <w:tcPr>
            <w:tcW w:w="3227" w:type="dxa"/>
          </w:tcPr>
          <w:p w:rsidR="00683356" w:rsidRPr="00152F5C" w:rsidRDefault="00683356" w:rsidP="002C6FD0">
            <w:pPr>
              <w:rPr>
                <w:rFonts w:ascii="Times New Roman" w:hAnsi="Times New Roman" w:cs="Times New Roman"/>
                <w:b/>
                <w:sz w:val="25"/>
                <w:szCs w:val="25"/>
              </w:rPr>
            </w:pPr>
            <w:r>
              <w:rPr>
                <w:rFonts w:ascii="Times New Roman" w:hAnsi="Times New Roman" w:cs="Times New Roman"/>
                <w:b/>
                <w:sz w:val="25"/>
                <w:szCs w:val="25"/>
              </w:rPr>
              <w:t>Demand Response (MW)</w:t>
            </w:r>
          </w:p>
        </w:tc>
        <w:tc>
          <w:tcPr>
            <w:tcW w:w="1441" w:type="dxa"/>
          </w:tcPr>
          <w:p w:rsidR="00683356" w:rsidRPr="00152F5C" w:rsidRDefault="00683356" w:rsidP="002C6FD0">
            <w:pPr>
              <w:jc w:val="center"/>
              <w:rPr>
                <w:rFonts w:ascii="Times New Roman" w:hAnsi="Times New Roman" w:cs="Times New Roman"/>
                <w:sz w:val="25"/>
                <w:szCs w:val="25"/>
              </w:rPr>
            </w:pPr>
            <w:r>
              <w:rPr>
                <w:rFonts w:ascii="Times New Roman" w:hAnsi="Times New Roman" w:cs="Times New Roman"/>
                <w:sz w:val="25"/>
                <w:szCs w:val="25"/>
              </w:rPr>
              <w:t>121</w:t>
            </w:r>
          </w:p>
        </w:tc>
        <w:tc>
          <w:tcPr>
            <w:tcW w:w="1441" w:type="dxa"/>
          </w:tcPr>
          <w:p w:rsidR="00683356" w:rsidRPr="00152F5C" w:rsidRDefault="00683356" w:rsidP="002C6FD0">
            <w:pPr>
              <w:jc w:val="center"/>
              <w:rPr>
                <w:rFonts w:ascii="Times New Roman" w:hAnsi="Times New Roman" w:cs="Times New Roman"/>
                <w:sz w:val="25"/>
                <w:szCs w:val="25"/>
              </w:rPr>
            </w:pPr>
            <w:r>
              <w:rPr>
                <w:rFonts w:ascii="Times New Roman" w:hAnsi="Times New Roman" w:cs="Times New Roman"/>
                <w:sz w:val="25"/>
                <w:szCs w:val="25"/>
              </w:rPr>
              <w:t>130</w:t>
            </w:r>
          </w:p>
        </w:tc>
        <w:tc>
          <w:tcPr>
            <w:tcW w:w="1440" w:type="dxa"/>
          </w:tcPr>
          <w:p w:rsidR="00683356" w:rsidRPr="00152F5C" w:rsidRDefault="00683356" w:rsidP="002C6FD0">
            <w:pPr>
              <w:jc w:val="center"/>
              <w:rPr>
                <w:rFonts w:ascii="Times New Roman" w:hAnsi="Times New Roman" w:cs="Times New Roman"/>
                <w:sz w:val="25"/>
                <w:szCs w:val="25"/>
              </w:rPr>
            </w:pPr>
            <w:r>
              <w:rPr>
                <w:rFonts w:ascii="Times New Roman" w:hAnsi="Times New Roman" w:cs="Times New Roman"/>
                <w:sz w:val="25"/>
                <w:szCs w:val="25"/>
              </w:rPr>
              <w:t>138</w:t>
            </w:r>
          </w:p>
        </w:tc>
        <w:tc>
          <w:tcPr>
            <w:tcW w:w="1441" w:type="dxa"/>
          </w:tcPr>
          <w:p w:rsidR="00683356" w:rsidRPr="00152F5C" w:rsidRDefault="00683356" w:rsidP="002C6FD0">
            <w:pPr>
              <w:jc w:val="center"/>
              <w:rPr>
                <w:rFonts w:ascii="Times New Roman" w:hAnsi="Times New Roman" w:cs="Times New Roman"/>
                <w:sz w:val="25"/>
                <w:szCs w:val="25"/>
              </w:rPr>
            </w:pPr>
            <w:r>
              <w:rPr>
                <w:rFonts w:ascii="Times New Roman" w:hAnsi="Times New Roman" w:cs="Times New Roman"/>
                <w:sz w:val="25"/>
                <w:szCs w:val="25"/>
              </w:rPr>
              <w:t>148</w:t>
            </w:r>
          </w:p>
        </w:tc>
      </w:tr>
      <w:tr w:rsidR="00CA3B68" w:rsidRPr="00152F5C" w:rsidTr="00683356">
        <w:tc>
          <w:tcPr>
            <w:tcW w:w="3227" w:type="dxa"/>
          </w:tcPr>
          <w:p w:rsidR="00CA3B68" w:rsidRPr="00152F5C" w:rsidRDefault="00CA3B68" w:rsidP="002C6FD0">
            <w:pPr>
              <w:rPr>
                <w:rFonts w:ascii="Times New Roman" w:hAnsi="Times New Roman" w:cs="Times New Roman"/>
                <w:b/>
                <w:sz w:val="25"/>
                <w:szCs w:val="25"/>
              </w:rPr>
            </w:pPr>
            <w:r w:rsidRPr="00152F5C">
              <w:rPr>
                <w:rFonts w:ascii="Times New Roman" w:hAnsi="Times New Roman" w:cs="Times New Roman"/>
                <w:b/>
                <w:sz w:val="25"/>
                <w:szCs w:val="25"/>
              </w:rPr>
              <w:t>Wind (MW)</w:t>
            </w:r>
          </w:p>
        </w:tc>
        <w:tc>
          <w:tcPr>
            <w:tcW w:w="1441" w:type="dxa"/>
          </w:tcPr>
          <w:p w:rsidR="00CA3B68" w:rsidRPr="00152F5C" w:rsidRDefault="00683356" w:rsidP="002C6FD0">
            <w:pPr>
              <w:jc w:val="center"/>
              <w:rPr>
                <w:rFonts w:ascii="Times New Roman" w:hAnsi="Times New Roman" w:cs="Times New Roman"/>
                <w:sz w:val="25"/>
                <w:szCs w:val="25"/>
              </w:rPr>
            </w:pPr>
            <w:r>
              <w:rPr>
                <w:rFonts w:ascii="Times New Roman" w:hAnsi="Times New Roman" w:cs="Times New Roman"/>
                <w:sz w:val="25"/>
                <w:szCs w:val="25"/>
              </w:rPr>
              <w:t>-</w:t>
            </w:r>
          </w:p>
        </w:tc>
        <w:tc>
          <w:tcPr>
            <w:tcW w:w="1441" w:type="dxa"/>
          </w:tcPr>
          <w:p w:rsidR="00CA3B68" w:rsidRPr="00152F5C" w:rsidRDefault="00683356" w:rsidP="002C6FD0">
            <w:pPr>
              <w:jc w:val="center"/>
              <w:rPr>
                <w:rFonts w:ascii="Times New Roman" w:hAnsi="Times New Roman" w:cs="Times New Roman"/>
                <w:sz w:val="25"/>
                <w:szCs w:val="25"/>
              </w:rPr>
            </w:pPr>
            <w:r>
              <w:rPr>
                <w:rFonts w:ascii="Times New Roman" w:hAnsi="Times New Roman" w:cs="Times New Roman"/>
                <w:sz w:val="25"/>
                <w:szCs w:val="25"/>
              </w:rPr>
              <w:t>206</w:t>
            </w:r>
          </w:p>
        </w:tc>
        <w:tc>
          <w:tcPr>
            <w:tcW w:w="1440" w:type="dxa"/>
          </w:tcPr>
          <w:p w:rsidR="00CA3B68" w:rsidRPr="00152F5C" w:rsidRDefault="00683356" w:rsidP="002C6FD0">
            <w:pPr>
              <w:jc w:val="center"/>
              <w:rPr>
                <w:rFonts w:ascii="Times New Roman" w:hAnsi="Times New Roman" w:cs="Times New Roman"/>
                <w:sz w:val="25"/>
                <w:szCs w:val="25"/>
              </w:rPr>
            </w:pPr>
            <w:r>
              <w:rPr>
                <w:rFonts w:ascii="Times New Roman" w:hAnsi="Times New Roman" w:cs="Times New Roman"/>
                <w:sz w:val="25"/>
                <w:szCs w:val="25"/>
              </w:rPr>
              <w:t>337</w:t>
            </w:r>
          </w:p>
        </w:tc>
        <w:tc>
          <w:tcPr>
            <w:tcW w:w="1441" w:type="dxa"/>
          </w:tcPr>
          <w:p w:rsidR="00CA3B68" w:rsidRPr="00152F5C" w:rsidRDefault="00683356" w:rsidP="002C6FD0">
            <w:pPr>
              <w:jc w:val="center"/>
              <w:rPr>
                <w:rFonts w:ascii="Times New Roman" w:hAnsi="Times New Roman" w:cs="Times New Roman"/>
                <w:sz w:val="25"/>
                <w:szCs w:val="25"/>
              </w:rPr>
            </w:pPr>
            <w:r>
              <w:rPr>
                <w:rFonts w:ascii="Times New Roman" w:hAnsi="Times New Roman" w:cs="Times New Roman"/>
                <w:sz w:val="25"/>
                <w:szCs w:val="25"/>
              </w:rPr>
              <w:t>337</w:t>
            </w:r>
          </w:p>
        </w:tc>
      </w:tr>
      <w:tr w:rsidR="00CA3B68" w:rsidRPr="00152F5C" w:rsidTr="00683356">
        <w:tc>
          <w:tcPr>
            <w:tcW w:w="3227" w:type="dxa"/>
          </w:tcPr>
          <w:p w:rsidR="00CA3B68" w:rsidRPr="00152F5C" w:rsidRDefault="00CA3B68" w:rsidP="00D43777">
            <w:pPr>
              <w:rPr>
                <w:rFonts w:ascii="Times New Roman" w:hAnsi="Times New Roman" w:cs="Times New Roman"/>
                <w:b/>
                <w:sz w:val="25"/>
                <w:szCs w:val="25"/>
              </w:rPr>
            </w:pPr>
            <w:r w:rsidRPr="00152F5C">
              <w:rPr>
                <w:rFonts w:ascii="Times New Roman" w:hAnsi="Times New Roman" w:cs="Times New Roman"/>
                <w:b/>
                <w:sz w:val="25"/>
                <w:szCs w:val="25"/>
              </w:rPr>
              <w:t>Peak</w:t>
            </w:r>
            <w:r w:rsidR="00D43777">
              <w:rPr>
                <w:rFonts w:ascii="Times New Roman" w:hAnsi="Times New Roman" w:cs="Times New Roman"/>
                <w:b/>
                <w:sz w:val="25"/>
                <w:szCs w:val="25"/>
              </w:rPr>
              <w:t>ers</w:t>
            </w:r>
            <w:r w:rsidRPr="00152F5C">
              <w:rPr>
                <w:rFonts w:ascii="Times New Roman" w:hAnsi="Times New Roman" w:cs="Times New Roman"/>
                <w:b/>
                <w:sz w:val="25"/>
                <w:szCs w:val="25"/>
              </w:rPr>
              <w:t xml:space="preserve"> (CT in MW)</w:t>
            </w:r>
          </w:p>
        </w:tc>
        <w:tc>
          <w:tcPr>
            <w:tcW w:w="1441" w:type="dxa"/>
          </w:tcPr>
          <w:p w:rsidR="00CA3B68" w:rsidRPr="00152F5C" w:rsidRDefault="00683356" w:rsidP="002C6FD0">
            <w:pPr>
              <w:jc w:val="center"/>
              <w:rPr>
                <w:rFonts w:ascii="Times New Roman" w:hAnsi="Times New Roman" w:cs="Times New Roman"/>
                <w:sz w:val="25"/>
                <w:szCs w:val="25"/>
              </w:rPr>
            </w:pPr>
            <w:r>
              <w:rPr>
                <w:rFonts w:ascii="Times New Roman" w:hAnsi="Times New Roman" w:cs="Times New Roman"/>
                <w:sz w:val="25"/>
                <w:szCs w:val="25"/>
              </w:rPr>
              <w:t>277</w:t>
            </w:r>
          </w:p>
        </w:tc>
        <w:tc>
          <w:tcPr>
            <w:tcW w:w="1441" w:type="dxa"/>
          </w:tcPr>
          <w:p w:rsidR="00CA3B68" w:rsidRPr="00152F5C" w:rsidRDefault="00683356" w:rsidP="002C6FD0">
            <w:pPr>
              <w:jc w:val="center"/>
              <w:rPr>
                <w:rFonts w:ascii="Times New Roman" w:hAnsi="Times New Roman" w:cs="Times New Roman"/>
                <w:sz w:val="25"/>
                <w:szCs w:val="25"/>
              </w:rPr>
            </w:pPr>
            <w:r>
              <w:rPr>
                <w:rFonts w:ascii="Times New Roman" w:hAnsi="Times New Roman" w:cs="Times New Roman"/>
                <w:sz w:val="25"/>
                <w:szCs w:val="25"/>
              </w:rPr>
              <w:t>403</w:t>
            </w:r>
          </w:p>
        </w:tc>
        <w:tc>
          <w:tcPr>
            <w:tcW w:w="1440" w:type="dxa"/>
          </w:tcPr>
          <w:p w:rsidR="00CA3B68" w:rsidRPr="00152F5C" w:rsidRDefault="00683356" w:rsidP="002C6FD0">
            <w:pPr>
              <w:jc w:val="center"/>
              <w:rPr>
                <w:rFonts w:ascii="Times New Roman" w:hAnsi="Times New Roman" w:cs="Times New Roman"/>
                <w:sz w:val="25"/>
                <w:szCs w:val="25"/>
              </w:rPr>
            </w:pPr>
            <w:r>
              <w:rPr>
                <w:rFonts w:ascii="Times New Roman" w:hAnsi="Times New Roman" w:cs="Times New Roman"/>
                <w:sz w:val="25"/>
                <w:szCs w:val="25"/>
              </w:rPr>
              <w:t>609</w:t>
            </w:r>
          </w:p>
        </w:tc>
        <w:tc>
          <w:tcPr>
            <w:tcW w:w="1441" w:type="dxa"/>
          </w:tcPr>
          <w:p w:rsidR="00CA3B68" w:rsidRPr="00152F5C" w:rsidRDefault="00683356" w:rsidP="002C6FD0">
            <w:pPr>
              <w:jc w:val="center"/>
              <w:rPr>
                <w:rFonts w:ascii="Times New Roman" w:hAnsi="Times New Roman" w:cs="Times New Roman"/>
                <w:sz w:val="25"/>
                <w:szCs w:val="25"/>
              </w:rPr>
            </w:pPr>
            <w:r>
              <w:rPr>
                <w:rFonts w:ascii="Times New Roman" w:hAnsi="Times New Roman" w:cs="Times New Roman"/>
                <w:sz w:val="25"/>
                <w:szCs w:val="25"/>
              </w:rPr>
              <w:t>609</w:t>
            </w:r>
          </w:p>
        </w:tc>
      </w:tr>
      <w:tr w:rsidR="00683356" w:rsidRPr="00152F5C" w:rsidTr="00683356">
        <w:tc>
          <w:tcPr>
            <w:tcW w:w="3227" w:type="dxa"/>
          </w:tcPr>
          <w:p w:rsidR="00683356" w:rsidRPr="00152F5C" w:rsidRDefault="00683356" w:rsidP="002C6FD0">
            <w:pPr>
              <w:rPr>
                <w:rFonts w:ascii="Times New Roman" w:hAnsi="Times New Roman" w:cs="Times New Roman"/>
                <w:b/>
                <w:sz w:val="25"/>
                <w:szCs w:val="25"/>
              </w:rPr>
            </w:pPr>
            <w:r>
              <w:rPr>
                <w:rFonts w:ascii="Times New Roman" w:hAnsi="Times New Roman" w:cs="Times New Roman"/>
                <w:b/>
                <w:sz w:val="25"/>
                <w:szCs w:val="25"/>
              </w:rPr>
              <w:t>Combined Cycle Gas (MW)</w:t>
            </w:r>
          </w:p>
        </w:tc>
        <w:tc>
          <w:tcPr>
            <w:tcW w:w="1441" w:type="dxa"/>
          </w:tcPr>
          <w:p w:rsidR="00683356" w:rsidRDefault="00683356" w:rsidP="002C6FD0">
            <w:pPr>
              <w:jc w:val="center"/>
              <w:rPr>
                <w:rFonts w:ascii="Times New Roman" w:hAnsi="Times New Roman" w:cs="Times New Roman"/>
                <w:sz w:val="25"/>
                <w:szCs w:val="25"/>
              </w:rPr>
            </w:pPr>
            <w:r>
              <w:rPr>
                <w:rFonts w:ascii="Times New Roman" w:hAnsi="Times New Roman" w:cs="Times New Roman"/>
                <w:sz w:val="25"/>
                <w:szCs w:val="25"/>
              </w:rPr>
              <w:t>-</w:t>
            </w:r>
          </w:p>
        </w:tc>
        <w:tc>
          <w:tcPr>
            <w:tcW w:w="1441" w:type="dxa"/>
          </w:tcPr>
          <w:p w:rsidR="00683356" w:rsidRDefault="00683356" w:rsidP="002C6FD0">
            <w:pPr>
              <w:jc w:val="center"/>
              <w:rPr>
                <w:rFonts w:ascii="Times New Roman" w:hAnsi="Times New Roman" w:cs="Times New Roman"/>
                <w:sz w:val="25"/>
                <w:szCs w:val="25"/>
              </w:rPr>
            </w:pPr>
            <w:r>
              <w:rPr>
                <w:rFonts w:ascii="Times New Roman" w:hAnsi="Times New Roman" w:cs="Times New Roman"/>
                <w:sz w:val="25"/>
                <w:szCs w:val="25"/>
              </w:rPr>
              <w:t>577</w:t>
            </w:r>
          </w:p>
        </w:tc>
        <w:tc>
          <w:tcPr>
            <w:tcW w:w="1440" w:type="dxa"/>
          </w:tcPr>
          <w:p w:rsidR="00683356" w:rsidRDefault="00683356" w:rsidP="002C6FD0">
            <w:pPr>
              <w:jc w:val="center"/>
              <w:rPr>
                <w:rFonts w:ascii="Times New Roman" w:hAnsi="Times New Roman" w:cs="Times New Roman"/>
                <w:sz w:val="25"/>
                <w:szCs w:val="25"/>
              </w:rPr>
            </w:pPr>
            <w:r>
              <w:rPr>
                <w:rFonts w:ascii="Times New Roman" w:hAnsi="Times New Roman" w:cs="Times New Roman"/>
                <w:sz w:val="25"/>
                <w:szCs w:val="25"/>
              </w:rPr>
              <w:t>577</w:t>
            </w:r>
          </w:p>
        </w:tc>
        <w:tc>
          <w:tcPr>
            <w:tcW w:w="1441" w:type="dxa"/>
          </w:tcPr>
          <w:p w:rsidR="00683356" w:rsidRDefault="00683356" w:rsidP="002C6FD0">
            <w:pPr>
              <w:jc w:val="center"/>
              <w:rPr>
                <w:rFonts w:ascii="Times New Roman" w:hAnsi="Times New Roman" w:cs="Times New Roman"/>
                <w:sz w:val="25"/>
                <w:szCs w:val="25"/>
              </w:rPr>
            </w:pPr>
            <w:r>
              <w:rPr>
                <w:rFonts w:ascii="Times New Roman" w:hAnsi="Times New Roman" w:cs="Times New Roman"/>
                <w:sz w:val="25"/>
                <w:szCs w:val="25"/>
              </w:rPr>
              <w:t>805</w:t>
            </w:r>
          </w:p>
        </w:tc>
      </w:tr>
    </w:tbl>
    <w:p w:rsidR="0095304F" w:rsidRDefault="0095304F" w:rsidP="00895DF8">
      <w:pPr>
        <w:spacing w:line="264" w:lineRule="auto"/>
        <w:rPr>
          <w:rFonts w:ascii="Times New Roman" w:hAnsi="Times New Roman" w:cs="Times New Roman"/>
          <w:sz w:val="25"/>
          <w:szCs w:val="25"/>
        </w:rPr>
      </w:pPr>
    </w:p>
    <w:p w:rsidR="000B7E81" w:rsidRDefault="000B7E81" w:rsidP="00895DF8">
      <w:pPr>
        <w:spacing w:line="264" w:lineRule="auto"/>
        <w:rPr>
          <w:rFonts w:ascii="Times New Roman" w:hAnsi="Times New Roman" w:cs="Times New Roman"/>
          <w:sz w:val="25"/>
          <w:szCs w:val="25"/>
        </w:rPr>
      </w:pPr>
    </w:p>
    <w:p w:rsidR="002907A1" w:rsidRPr="00CA7666" w:rsidRDefault="002907A1" w:rsidP="002907A1">
      <w:pPr>
        <w:spacing w:line="264" w:lineRule="auto"/>
        <w:rPr>
          <w:rFonts w:ascii="Times New Roman" w:hAnsi="Times New Roman" w:cs="Times New Roman"/>
          <w:b/>
          <w:sz w:val="25"/>
          <w:szCs w:val="25"/>
        </w:rPr>
      </w:pPr>
      <w:r w:rsidRPr="00CA7666">
        <w:rPr>
          <w:rFonts w:ascii="Times New Roman" w:hAnsi="Times New Roman" w:cs="Times New Roman"/>
          <w:b/>
          <w:sz w:val="25"/>
          <w:szCs w:val="25"/>
        </w:rPr>
        <w:t>PSE’s Proposed New Planning Standard</w:t>
      </w:r>
    </w:p>
    <w:p w:rsidR="002907A1" w:rsidRPr="002907A1" w:rsidRDefault="002907A1" w:rsidP="002907A1">
      <w:pPr>
        <w:spacing w:line="264" w:lineRule="auto"/>
        <w:rPr>
          <w:rFonts w:ascii="Times New Roman" w:hAnsi="Times New Roman" w:cs="Times New Roman"/>
          <w:i/>
          <w:sz w:val="25"/>
          <w:szCs w:val="25"/>
        </w:rPr>
      </w:pPr>
    </w:p>
    <w:p w:rsidR="002907A1" w:rsidRPr="002907A1" w:rsidRDefault="002907A1" w:rsidP="002907A1">
      <w:pPr>
        <w:spacing w:line="264" w:lineRule="auto"/>
        <w:rPr>
          <w:rFonts w:ascii="Times New Roman" w:hAnsi="Times New Roman" w:cs="Times New Roman"/>
          <w:sz w:val="25"/>
          <w:szCs w:val="25"/>
        </w:rPr>
      </w:pPr>
      <w:r w:rsidRPr="002907A1">
        <w:rPr>
          <w:rFonts w:ascii="Times New Roman" w:hAnsi="Times New Roman" w:cs="Times New Roman"/>
          <w:sz w:val="25"/>
          <w:szCs w:val="25"/>
        </w:rPr>
        <w:t xml:space="preserve">In previous </w:t>
      </w:r>
      <w:r w:rsidR="00584E63">
        <w:rPr>
          <w:rFonts w:ascii="Times New Roman" w:hAnsi="Times New Roman" w:cs="Times New Roman"/>
          <w:sz w:val="25"/>
          <w:szCs w:val="25"/>
        </w:rPr>
        <w:t>IRPs</w:t>
      </w:r>
      <w:r w:rsidRPr="002907A1">
        <w:rPr>
          <w:rFonts w:ascii="Times New Roman" w:hAnsi="Times New Roman" w:cs="Times New Roman"/>
          <w:sz w:val="25"/>
          <w:szCs w:val="25"/>
        </w:rPr>
        <w:t xml:space="preserve">, PSE has planned its system to meet a 5 percent loss-of-load probability </w:t>
      </w:r>
      <w:r w:rsidR="00C46A13">
        <w:rPr>
          <w:rFonts w:ascii="Times New Roman" w:hAnsi="Times New Roman" w:cs="Times New Roman"/>
          <w:sz w:val="25"/>
          <w:szCs w:val="25"/>
        </w:rPr>
        <w:t xml:space="preserve">(LOLP) </w:t>
      </w:r>
      <w:r w:rsidRPr="002907A1">
        <w:rPr>
          <w:rFonts w:ascii="Times New Roman" w:hAnsi="Times New Roman" w:cs="Times New Roman"/>
          <w:sz w:val="25"/>
          <w:szCs w:val="25"/>
        </w:rPr>
        <w:t>metric.</w:t>
      </w:r>
      <w:r w:rsidRPr="002907A1">
        <w:rPr>
          <w:rFonts w:ascii="Times New Roman" w:hAnsi="Times New Roman" w:cs="Times New Roman"/>
          <w:sz w:val="25"/>
          <w:szCs w:val="25"/>
          <w:vertAlign w:val="superscript"/>
        </w:rPr>
        <w:footnoteReference w:id="3"/>
      </w:r>
      <w:r w:rsidRPr="002907A1">
        <w:rPr>
          <w:rFonts w:ascii="Times New Roman" w:hAnsi="Times New Roman" w:cs="Times New Roman"/>
          <w:sz w:val="25"/>
          <w:szCs w:val="25"/>
        </w:rPr>
        <w:t xml:space="preserve"> This means that the </w:t>
      </w:r>
      <w:r w:rsidR="00552ACB">
        <w:rPr>
          <w:rFonts w:ascii="Times New Roman" w:hAnsi="Times New Roman" w:cs="Times New Roman"/>
          <w:sz w:val="25"/>
          <w:szCs w:val="25"/>
        </w:rPr>
        <w:t>C</w:t>
      </w:r>
      <w:r w:rsidRPr="002907A1">
        <w:rPr>
          <w:rFonts w:ascii="Times New Roman" w:hAnsi="Times New Roman" w:cs="Times New Roman"/>
          <w:sz w:val="25"/>
          <w:szCs w:val="25"/>
        </w:rPr>
        <w:t xml:space="preserve">ompany plans its system to have sufficient resources to ensure that across the broad range </w:t>
      </w:r>
      <w:r w:rsidR="00584E63">
        <w:rPr>
          <w:rFonts w:ascii="Times New Roman" w:hAnsi="Times New Roman" w:cs="Times New Roman"/>
          <w:sz w:val="25"/>
          <w:szCs w:val="25"/>
        </w:rPr>
        <w:t>(</w:t>
      </w:r>
      <w:r w:rsidRPr="002907A1">
        <w:rPr>
          <w:rFonts w:ascii="Times New Roman" w:hAnsi="Times New Roman" w:cs="Times New Roman"/>
          <w:sz w:val="25"/>
          <w:szCs w:val="25"/>
        </w:rPr>
        <w:t>hundreds</w:t>
      </w:r>
      <w:r w:rsidR="00584E63">
        <w:rPr>
          <w:rFonts w:ascii="Times New Roman" w:hAnsi="Times New Roman" w:cs="Times New Roman"/>
          <w:sz w:val="25"/>
          <w:szCs w:val="25"/>
        </w:rPr>
        <w:t>)</w:t>
      </w:r>
      <w:r w:rsidRPr="002907A1">
        <w:rPr>
          <w:rFonts w:ascii="Times New Roman" w:hAnsi="Times New Roman" w:cs="Times New Roman"/>
          <w:sz w:val="25"/>
          <w:szCs w:val="25"/>
        </w:rPr>
        <w:t xml:space="preserve"> of </w:t>
      </w:r>
      <w:r w:rsidR="005C2EE5">
        <w:rPr>
          <w:rFonts w:ascii="Times New Roman" w:hAnsi="Times New Roman" w:cs="Times New Roman"/>
          <w:sz w:val="25"/>
          <w:szCs w:val="25"/>
        </w:rPr>
        <w:t>system conditions</w:t>
      </w:r>
      <w:r w:rsidRPr="002907A1">
        <w:rPr>
          <w:rFonts w:ascii="Times New Roman" w:hAnsi="Times New Roman" w:cs="Times New Roman"/>
          <w:sz w:val="25"/>
          <w:szCs w:val="25"/>
        </w:rPr>
        <w:t xml:space="preserve"> under which the </w:t>
      </w:r>
      <w:r w:rsidR="00552ACB">
        <w:rPr>
          <w:rFonts w:ascii="Times New Roman" w:hAnsi="Times New Roman" w:cs="Times New Roman"/>
          <w:sz w:val="25"/>
          <w:szCs w:val="25"/>
        </w:rPr>
        <w:t>C</w:t>
      </w:r>
      <w:r w:rsidRPr="002907A1">
        <w:rPr>
          <w:rFonts w:ascii="Times New Roman" w:hAnsi="Times New Roman" w:cs="Times New Roman"/>
          <w:sz w:val="25"/>
          <w:szCs w:val="25"/>
        </w:rPr>
        <w:t xml:space="preserve">ompany models, only 5 percent of those </w:t>
      </w:r>
      <w:r w:rsidR="00552ACB">
        <w:rPr>
          <w:rFonts w:ascii="Times New Roman" w:hAnsi="Times New Roman" w:cs="Times New Roman"/>
          <w:sz w:val="25"/>
          <w:szCs w:val="25"/>
        </w:rPr>
        <w:t xml:space="preserve">would </w:t>
      </w:r>
      <w:r w:rsidRPr="002907A1">
        <w:rPr>
          <w:rFonts w:ascii="Times New Roman" w:hAnsi="Times New Roman" w:cs="Times New Roman"/>
          <w:sz w:val="25"/>
          <w:szCs w:val="25"/>
        </w:rPr>
        <w:t>result in an outage caused by insufficient supply.</w:t>
      </w:r>
    </w:p>
    <w:p w:rsidR="002907A1" w:rsidRPr="002907A1" w:rsidRDefault="002907A1" w:rsidP="002907A1">
      <w:pPr>
        <w:spacing w:line="264" w:lineRule="auto"/>
        <w:rPr>
          <w:rFonts w:ascii="Times New Roman" w:hAnsi="Times New Roman" w:cs="Times New Roman"/>
          <w:sz w:val="25"/>
          <w:szCs w:val="25"/>
        </w:rPr>
      </w:pPr>
    </w:p>
    <w:p w:rsidR="001849D0" w:rsidRDefault="002907A1" w:rsidP="002907A1">
      <w:pPr>
        <w:spacing w:line="264" w:lineRule="auto"/>
        <w:rPr>
          <w:rFonts w:ascii="Times New Roman" w:hAnsi="Times New Roman" w:cs="Times New Roman"/>
          <w:sz w:val="25"/>
          <w:szCs w:val="25"/>
        </w:rPr>
      </w:pPr>
      <w:r w:rsidRPr="002907A1">
        <w:rPr>
          <w:rFonts w:ascii="Times New Roman" w:hAnsi="Times New Roman" w:cs="Times New Roman"/>
          <w:sz w:val="25"/>
          <w:szCs w:val="25"/>
        </w:rPr>
        <w:t xml:space="preserve">In the 2015 IRP, PSE proposes to use a new planning standard that consists of three components: </w:t>
      </w:r>
    </w:p>
    <w:p w:rsidR="001849D0" w:rsidRDefault="002907A1" w:rsidP="001849D0">
      <w:pPr>
        <w:pStyle w:val="ListParagraph"/>
        <w:numPr>
          <w:ilvl w:val="0"/>
          <w:numId w:val="22"/>
        </w:numPr>
        <w:spacing w:line="264" w:lineRule="auto"/>
        <w:rPr>
          <w:rFonts w:ascii="Times New Roman" w:hAnsi="Times New Roman" w:cs="Times New Roman"/>
          <w:sz w:val="25"/>
          <w:szCs w:val="25"/>
        </w:rPr>
      </w:pPr>
      <w:r w:rsidRPr="001849D0">
        <w:rPr>
          <w:rFonts w:ascii="Times New Roman" w:hAnsi="Times New Roman" w:cs="Times New Roman"/>
          <w:sz w:val="25"/>
          <w:szCs w:val="25"/>
        </w:rPr>
        <w:t xml:space="preserve">a cost-benefit approach to establishing the planning margin that would set it at the point where the cost of additional resources matches the benefit of the increased reliability that they provide, </w:t>
      </w:r>
    </w:p>
    <w:p w:rsidR="001849D0" w:rsidRDefault="002907A1" w:rsidP="001849D0">
      <w:pPr>
        <w:pStyle w:val="ListParagraph"/>
        <w:numPr>
          <w:ilvl w:val="0"/>
          <w:numId w:val="22"/>
        </w:numPr>
        <w:spacing w:line="264" w:lineRule="auto"/>
        <w:rPr>
          <w:rFonts w:ascii="Times New Roman" w:hAnsi="Times New Roman" w:cs="Times New Roman"/>
          <w:sz w:val="25"/>
          <w:szCs w:val="25"/>
        </w:rPr>
      </w:pPr>
      <w:r w:rsidRPr="001849D0">
        <w:rPr>
          <w:rFonts w:ascii="Times New Roman" w:hAnsi="Times New Roman" w:cs="Times New Roman"/>
          <w:sz w:val="25"/>
          <w:szCs w:val="25"/>
        </w:rPr>
        <w:t xml:space="preserve">a new method of determining the capacity value of existing and prospective resource alternatives, and </w:t>
      </w:r>
    </w:p>
    <w:p w:rsidR="002907A1" w:rsidRPr="001849D0" w:rsidRDefault="002907A1" w:rsidP="001849D0">
      <w:pPr>
        <w:pStyle w:val="ListParagraph"/>
        <w:numPr>
          <w:ilvl w:val="0"/>
          <w:numId w:val="22"/>
        </w:numPr>
        <w:spacing w:line="264" w:lineRule="auto"/>
        <w:rPr>
          <w:rFonts w:ascii="Times New Roman" w:hAnsi="Times New Roman" w:cs="Times New Roman"/>
          <w:sz w:val="25"/>
          <w:szCs w:val="25"/>
        </w:rPr>
      </w:pPr>
      <w:r w:rsidRPr="001849D0">
        <w:rPr>
          <w:rFonts w:ascii="Times New Roman" w:hAnsi="Times New Roman" w:cs="Times New Roman"/>
          <w:sz w:val="25"/>
          <w:szCs w:val="25"/>
        </w:rPr>
        <w:t xml:space="preserve">a risk metric for market purchases. </w:t>
      </w:r>
    </w:p>
    <w:p w:rsidR="002907A1" w:rsidRPr="002907A1" w:rsidRDefault="002907A1" w:rsidP="002907A1">
      <w:pPr>
        <w:spacing w:line="264" w:lineRule="auto"/>
        <w:rPr>
          <w:rFonts w:ascii="Times New Roman" w:hAnsi="Times New Roman" w:cs="Times New Roman"/>
          <w:sz w:val="25"/>
          <w:szCs w:val="25"/>
        </w:rPr>
      </w:pPr>
    </w:p>
    <w:p w:rsidR="002907A1" w:rsidRPr="002907A1" w:rsidRDefault="00584E63" w:rsidP="002907A1">
      <w:pPr>
        <w:spacing w:line="264" w:lineRule="auto"/>
        <w:rPr>
          <w:rFonts w:ascii="Times New Roman" w:hAnsi="Times New Roman" w:cs="Times New Roman"/>
          <w:sz w:val="25"/>
          <w:szCs w:val="25"/>
        </w:rPr>
      </w:pPr>
      <w:r>
        <w:rPr>
          <w:rFonts w:ascii="Times New Roman" w:hAnsi="Times New Roman" w:cs="Times New Roman"/>
          <w:sz w:val="25"/>
          <w:szCs w:val="25"/>
        </w:rPr>
        <w:t>Together</w:t>
      </w:r>
      <w:r w:rsidR="002907A1" w:rsidRPr="002907A1">
        <w:rPr>
          <w:rFonts w:ascii="Times New Roman" w:hAnsi="Times New Roman" w:cs="Times New Roman"/>
          <w:sz w:val="25"/>
          <w:szCs w:val="25"/>
        </w:rPr>
        <w:t xml:space="preserve">, these three changes swing the </w:t>
      </w:r>
      <w:r w:rsidR="00552ACB">
        <w:rPr>
          <w:rFonts w:ascii="Times New Roman" w:hAnsi="Times New Roman" w:cs="Times New Roman"/>
          <w:sz w:val="25"/>
          <w:szCs w:val="25"/>
        </w:rPr>
        <w:t>C</w:t>
      </w:r>
      <w:r w:rsidR="002907A1" w:rsidRPr="002907A1">
        <w:rPr>
          <w:rFonts w:ascii="Times New Roman" w:hAnsi="Times New Roman" w:cs="Times New Roman"/>
          <w:sz w:val="25"/>
          <w:szCs w:val="25"/>
        </w:rPr>
        <w:t>ompany’s capacity position in 2021 from a projected surplus of 150 MW to a projected deficit of 234 MW, thereby creating the projected need for a gas plant in 2021.</w:t>
      </w:r>
      <w:r w:rsidR="002907A1" w:rsidRPr="002907A1">
        <w:rPr>
          <w:rFonts w:ascii="Times New Roman" w:hAnsi="Times New Roman" w:cs="Times New Roman"/>
          <w:sz w:val="25"/>
          <w:szCs w:val="25"/>
          <w:vertAlign w:val="superscript"/>
        </w:rPr>
        <w:footnoteReference w:id="4"/>
      </w:r>
      <w:r w:rsidR="002907A1" w:rsidRPr="002907A1">
        <w:rPr>
          <w:rFonts w:ascii="Times New Roman" w:hAnsi="Times New Roman" w:cs="Times New Roman"/>
          <w:sz w:val="25"/>
          <w:szCs w:val="25"/>
        </w:rPr>
        <w:t xml:space="preserve"> It is important to note that this projected resource need is </w:t>
      </w:r>
      <w:r w:rsidR="002907A1" w:rsidRPr="002907A1">
        <w:rPr>
          <w:rFonts w:ascii="Times New Roman" w:hAnsi="Times New Roman" w:cs="Times New Roman"/>
          <w:i/>
          <w:sz w:val="25"/>
          <w:szCs w:val="25"/>
        </w:rPr>
        <w:t>solely</w:t>
      </w:r>
      <w:r w:rsidR="002907A1" w:rsidRPr="002907A1">
        <w:rPr>
          <w:rFonts w:ascii="Times New Roman" w:hAnsi="Times New Roman" w:cs="Times New Roman"/>
          <w:sz w:val="25"/>
          <w:szCs w:val="25"/>
        </w:rPr>
        <w:t xml:space="preserve"> the result of the changes to the </w:t>
      </w:r>
      <w:r w:rsidR="00552ACB">
        <w:rPr>
          <w:rFonts w:ascii="Times New Roman" w:hAnsi="Times New Roman" w:cs="Times New Roman"/>
          <w:sz w:val="25"/>
          <w:szCs w:val="25"/>
        </w:rPr>
        <w:t>C</w:t>
      </w:r>
      <w:r w:rsidR="002907A1" w:rsidRPr="002907A1">
        <w:rPr>
          <w:rFonts w:ascii="Times New Roman" w:hAnsi="Times New Roman" w:cs="Times New Roman"/>
          <w:sz w:val="25"/>
          <w:szCs w:val="25"/>
        </w:rPr>
        <w:t xml:space="preserve">ompany’s planning standard – it is not driven by </w:t>
      </w:r>
      <w:r w:rsidR="003352A6">
        <w:rPr>
          <w:rFonts w:ascii="Times New Roman" w:hAnsi="Times New Roman" w:cs="Times New Roman"/>
          <w:sz w:val="25"/>
          <w:szCs w:val="25"/>
        </w:rPr>
        <w:t xml:space="preserve">higher </w:t>
      </w:r>
      <w:r w:rsidR="002907A1" w:rsidRPr="002907A1">
        <w:rPr>
          <w:rFonts w:ascii="Times New Roman" w:hAnsi="Times New Roman" w:cs="Times New Roman"/>
          <w:sz w:val="25"/>
          <w:szCs w:val="25"/>
        </w:rPr>
        <w:t xml:space="preserve">load forecasts, </w:t>
      </w:r>
      <w:r w:rsidR="003352A6">
        <w:rPr>
          <w:rFonts w:ascii="Times New Roman" w:hAnsi="Times New Roman" w:cs="Times New Roman"/>
          <w:sz w:val="25"/>
          <w:szCs w:val="25"/>
        </w:rPr>
        <w:t xml:space="preserve">accelerated </w:t>
      </w:r>
      <w:r w:rsidR="002907A1" w:rsidRPr="002907A1">
        <w:rPr>
          <w:rFonts w:ascii="Times New Roman" w:hAnsi="Times New Roman" w:cs="Times New Roman"/>
          <w:sz w:val="25"/>
          <w:szCs w:val="25"/>
        </w:rPr>
        <w:t xml:space="preserve">resource retirements, or any other factor. PSE </w:t>
      </w:r>
      <w:r w:rsidR="003352A6">
        <w:rPr>
          <w:rFonts w:ascii="Times New Roman" w:hAnsi="Times New Roman" w:cs="Times New Roman"/>
          <w:sz w:val="25"/>
          <w:szCs w:val="25"/>
        </w:rPr>
        <w:lastRenderedPageBreak/>
        <w:t xml:space="preserve">states </w:t>
      </w:r>
      <w:r w:rsidR="00CA7666">
        <w:rPr>
          <w:rFonts w:ascii="Times New Roman" w:hAnsi="Times New Roman" w:cs="Times New Roman"/>
          <w:sz w:val="25"/>
          <w:szCs w:val="25"/>
        </w:rPr>
        <w:t xml:space="preserve">it is looking for feedback from </w:t>
      </w:r>
      <w:r w:rsidR="002907A1" w:rsidRPr="002907A1">
        <w:rPr>
          <w:rFonts w:ascii="Times New Roman" w:hAnsi="Times New Roman" w:cs="Times New Roman"/>
          <w:sz w:val="25"/>
          <w:szCs w:val="25"/>
        </w:rPr>
        <w:t>the Commission</w:t>
      </w:r>
      <w:r w:rsidR="00CA7666">
        <w:rPr>
          <w:rFonts w:ascii="Times New Roman" w:hAnsi="Times New Roman" w:cs="Times New Roman"/>
          <w:sz w:val="25"/>
          <w:szCs w:val="25"/>
        </w:rPr>
        <w:t xml:space="preserve"> regarding this </w:t>
      </w:r>
      <w:r w:rsidR="002907A1" w:rsidRPr="002907A1">
        <w:rPr>
          <w:rFonts w:ascii="Times New Roman" w:hAnsi="Times New Roman" w:cs="Times New Roman"/>
          <w:sz w:val="25"/>
          <w:szCs w:val="25"/>
        </w:rPr>
        <w:t xml:space="preserve">new planning standard, </w:t>
      </w:r>
      <w:r w:rsidR="00CA7666">
        <w:rPr>
          <w:rFonts w:ascii="Times New Roman" w:hAnsi="Times New Roman" w:cs="Times New Roman"/>
          <w:sz w:val="25"/>
          <w:szCs w:val="25"/>
        </w:rPr>
        <w:t xml:space="preserve">as it dramatically impacts the Company’s near term </w:t>
      </w:r>
      <w:r w:rsidR="002907A1" w:rsidRPr="002907A1">
        <w:rPr>
          <w:rFonts w:ascii="Times New Roman" w:hAnsi="Times New Roman" w:cs="Times New Roman"/>
          <w:sz w:val="25"/>
          <w:szCs w:val="25"/>
        </w:rPr>
        <w:t xml:space="preserve">capacity </w:t>
      </w:r>
      <w:r w:rsidR="00CA7666">
        <w:rPr>
          <w:rFonts w:ascii="Times New Roman" w:hAnsi="Times New Roman" w:cs="Times New Roman"/>
          <w:sz w:val="25"/>
          <w:szCs w:val="25"/>
        </w:rPr>
        <w:t>need</w:t>
      </w:r>
      <w:r w:rsidR="002907A1" w:rsidRPr="002907A1">
        <w:rPr>
          <w:rFonts w:ascii="Times New Roman" w:hAnsi="Times New Roman" w:cs="Times New Roman"/>
          <w:sz w:val="25"/>
          <w:szCs w:val="25"/>
        </w:rPr>
        <w:t>.</w:t>
      </w:r>
      <w:r w:rsidR="00552ACB" w:rsidRPr="00552ACB">
        <w:rPr>
          <w:rStyle w:val="FootnoteReference"/>
          <w:rFonts w:ascii="Times New Roman" w:hAnsi="Times New Roman" w:cs="Times New Roman"/>
          <w:sz w:val="25"/>
          <w:szCs w:val="25"/>
        </w:rPr>
        <w:t xml:space="preserve"> </w:t>
      </w:r>
      <w:r w:rsidR="00552ACB">
        <w:rPr>
          <w:rStyle w:val="FootnoteReference"/>
          <w:rFonts w:ascii="Times New Roman" w:hAnsi="Times New Roman" w:cs="Times New Roman"/>
          <w:sz w:val="25"/>
          <w:szCs w:val="25"/>
        </w:rPr>
        <w:footnoteReference w:id="5"/>
      </w:r>
    </w:p>
    <w:p w:rsidR="002907A1" w:rsidRPr="002907A1" w:rsidRDefault="002907A1" w:rsidP="002907A1">
      <w:pPr>
        <w:spacing w:line="264" w:lineRule="auto"/>
        <w:rPr>
          <w:rFonts w:ascii="Times New Roman" w:hAnsi="Times New Roman" w:cs="Times New Roman"/>
          <w:sz w:val="25"/>
          <w:szCs w:val="25"/>
        </w:rPr>
      </w:pPr>
    </w:p>
    <w:p w:rsidR="002907A1" w:rsidRPr="002907A1" w:rsidRDefault="002907A1" w:rsidP="002907A1">
      <w:pPr>
        <w:spacing w:line="264" w:lineRule="auto"/>
        <w:rPr>
          <w:rFonts w:ascii="Times New Roman" w:hAnsi="Times New Roman" w:cs="Times New Roman"/>
          <w:sz w:val="25"/>
          <w:szCs w:val="25"/>
        </w:rPr>
      </w:pPr>
      <w:r w:rsidRPr="002907A1">
        <w:rPr>
          <w:rFonts w:ascii="Times New Roman" w:hAnsi="Times New Roman" w:cs="Times New Roman"/>
          <w:sz w:val="25"/>
          <w:szCs w:val="25"/>
        </w:rPr>
        <w:t>Th</w:t>
      </w:r>
      <w:r w:rsidR="00584E63">
        <w:rPr>
          <w:rFonts w:ascii="Times New Roman" w:hAnsi="Times New Roman" w:cs="Times New Roman"/>
          <w:sz w:val="25"/>
          <w:szCs w:val="25"/>
        </w:rPr>
        <w:t>e</w:t>
      </w:r>
      <w:r w:rsidRPr="002907A1">
        <w:rPr>
          <w:rFonts w:ascii="Times New Roman" w:hAnsi="Times New Roman" w:cs="Times New Roman"/>
          <w:sz w:val="25"/>
          <w:szCs w:val="25"/>
        </w:rPr>
        <w:t xml:space="preserve"> section </w:t>
      </w:r>
      <w:r w:rsidR="00584E63">
        <w:rPr>
          <w:rFonts w:ascii="Times New Roman" w:hAnsi="Times New Roman" w:cs="Times New Roman"/>
          <w:sz w:val="25"/>
          <w:szCs w:val="25"/>
        </w:rPr>
        <w:t xml:space="preserve">below </w:t>
      </w:r>
      <w:r w:rsidRPr="002907A1">
        <w:rPr>
          <w:rFonts w:ascii="Times New Roman" w:hAnsi="Times New Roman" w:cs="Times New Roman"/>
          <w:sz w:val="25"/>
          <w:szCs w:val="25"/>
        </w:rPr>
        <w:t>provide</w:t>
      </w:r>
      <w:r w:rsidR="00584E63">
        <w:rPr>
          <w:rFonts w:ascii="Times New Roman" w:hAnsi="Times New Roman" w:cs="Times New Roman"/>
          <w:sz w:val="25"/>
          <w:szCs w:val="25"/>
        </w:rPr>
        <w:t>s</w:t>
      </w:r>
      <w:r w:rsidRPr="002907A1">
        <w:rPr>
          <w:rFonts w:ascii="Times New Roman" w:hAnsi="Times New Roman" w:cs="Times New Roman"/>
          <w:sz w:val="25"/>
          <w:szCs w:val="25"/>
        </w:rPr>
        <w:t xml:space="preserve"> </w:t>
      </w:r>
      <w:r w:rsidR="00CA7666">
        <w:rPr>
          <w:rFonts w:ascii="Times New Roman" w:hAnsi="Times New Roman" w:cs="Times New Roman"/>
          <w:sz w:val="25"/>
          <w:szCs w:val="25"/>
        </w:rPr>
        <w:t>the Commission’s</w:t>
      </w:r>
      <w:r w:rsidRPr="002907A1">
        <w:rPr>
          <w:rFonts w:ascii="Times New Roman" w:hAnsi="Times New Roman" w:cs="Times New Roman"/>
          <w:sz w:val="25"/>
          <w:szCs w:val="25"/>
        </w:rPr>
        <w:t xml:space="preserve"> analysis of the </w:t>
      </w:r>
      <w:r w:rsidR="001849D0" w:rsidRPr="002907A1">
        <w:rPr>
          <w:rFonts w:ascii="Times New Roman" w:hAnsi="Times New Roman" w:cs="Times New Roman"/>
          <w:sz w:val="25"/>
          <w:szCs w:val="25"/>
        </w:rPr>
        <w:t xml:space="preserve">three components </w:t>
      </w:r>
      <w:r w:rsidR="001849D0">
        <w:rPr>
          <w:rFonts w:ascii="Times New Roman" w:hAnsi="Times New Roman" w:cs="Times New Roman"/>
          <w:sz w:val="25"/>
          <w:szCs w:val="25"/>
        </w:rPr>
        <w:t>of PSE’s proposed planning standard</w:t>
      </w:r>
      <w:r w:rsidRPr="002907A1">
        <w:rPr>
          <w:rFonts w:ascii="Times New Roman" w:hAnsi="Times New Roman" w:cs="Times New Roman"/>
          <w:sz w:val="25"/>
          <w:szCs w:val="25"/>
        </w:rPr>
        <w:t>.</w:t>
      </w:r>
    </w:p>
    <w:p w:rsidR="002907A1" w:rsidRPr="002907A1" w:rsidRDefault="002907A1" w:rsidP="002907A1">
      <w:pPr>
        <w:spacing w:line="264" w:lineRule="auto"/>
        <w:rPr>
          <w:rFonts w:ascii="Times New Roman" w:hAnsi="Times New Roman" w:cs="Times New Roman"/>
          <w:sz w:val="25"/>
          <w:szCs w:val="25"/>
        </w:rPr>
      </w:pPr>
    </w:p>
    <w:p w:rsidR="002907A1" w:rsidRPr="002907A1" w:rsidRDefault="002907A1" w:rsidP="00A86E5A">
      <w:pPr>
        <w:spacing w:line="264" w:lineRule="auto"/>
        <w:ind w:left="720"/>
        <w:rPr>
          <w:rFonts w:ascii="Times New Roman" w:hAnsi="Times New Roman" w:cs="Times New Roman"/>
          <w:i/>
          <w:sz w:val="25"/>
          <w:szCs w:val="25"/>
        </w:rPr>
      </w:pPr>
      <w:r w:rsidRPr="002907A1">
        <w:rPr>
          <w:rFonts w:ascii="Times New Roman" w:hAnsi="Times New Roman" w:cs="Times New Roman"/>
          <w:i/>
          <w:sz w:val="25"/>
          <w:szCs w:val="25"/>
        </w:rPr>
        <w:t>Cost-Benefit Approach to Reliability</w:t>
      </w:r>
    </w:p>
    <w:p w:rsidR="002907A1" w:rsidRPr="002907A1" w:rsidRDefault="002907A1" w:rsidP="002907A1">
      <w:pPr>
        <w:spacing w:line="264" w:lineRule="auto"/>
        <w:rPr>
          <w:rFonts w:ascii="Times New Roman" w:hAnsi="Times New Roman" w:cs="Times New Roman"/>
          <w:i/>
          <w:sz w:val="25"/>
          <w:szCs w:val="25"/>
        </w:rPr>
      </w:pPr>
    </w:p>
    <w:p w:rsidR="002907A1" w:rsidRPr="002907A1" w:rsidRDefault="002907A1" w:rsidP="002907A1">
      <w:pPr>
        <w:spacing w:line="264" w:lineRule="auto"/>
        <w:rPr>
          <w:rFonts w:ascii="Times New Roman" w:hAnsi="Times New Roman" w:cs="Times New Roman"/>
          <w:sz w:val="25"/>
          <w:szCs w:val="25"/>
        </w:rPr>
      </w:pPr>
      <w:r w:rsidRPr="002907A1">
        <w:rPr>
          <w:rFonts w:ascii="Times New Roman" w:hAnsi="Times New Roman" w:cs="Times New Roman"/>
          <w:sz w:val="25"/>
          <w:szCs w:val="25"/>
        </w:rPr>
        <w:t xml:space="preserve">The central piece of PSE’s proposed new planning standard is a cost-benefit approach to establishing reserve margins, which proposes to add generation to improve reliability until the marginal cost of the new resources equals the marginal benefit of the additional reliability they provide. </w:t>
      </w:r>
    </w:p>
    <w:p w:rsidR="002907A1" w:rsidRPr="002907A1" w:rsidRDefault="002907A1" w:rsidP="002907A1">
      <w:pPr>
        <w:spacing w:line="264" w:lineRule="auto"/>
        <w:rPr>
          <w:rFonts w:ascii="Times New Roman" w:hAnsi="Times New Roman" w:cs="Times New Roman"/>
          <w:sz w:val="25"/>
          <w:szCs w:val="25"/>
        </w:rPr>
      </w:pPr>
    </w:p>
    <w:p w:rsidR="002907A1" w:rsidRPr="002907A1" w:rsidRDefault="002907A1" w:rsidP="002907A1">
      <w:pPr>
        <w:spacing w:line="264" w:lineRule="auto"/>
        <w:rPr>
          <w:rFonts w:ascii="Times New Roman" w:hAnsi="Times New Roman" w:cs="Times New Roman"/>
          <w:sz w:val="25"/>
          <w:szCs w:val="25"/>
        </w:rPr>
      </w:pPr>
      <w:r w:rsidRPr="002907A1">
        <w:rPr>
          <w:rFonts w:ascii="Times New Roman" w:hAnsi="Times New Roman" w:cs="Times New Roman"/>
          <w:sz w:val="25"/>
          <w:szCs w:val="25"/>
        </w:rPr>
        <w:t xml:space="preserve">While this analysis is interesting from </w:t>
      </w:r>
      <w:r w:rsidR="0069214A">
        <w:rPr>
          <w:rFonts w:ascii="Times New Roman" w:hAnsi="Times New Roman" w:cs="Times New Roman"/>
          <w:sz w:val="25"/>
          <w:szCs w:val="25"/>
        </w:rPr>
        <w:t xml:space="preserve">the perspective of </w:t>
      </w:r>
      <w:r w:rsidRPr="002907A1">
        <w:rPr>
          <w:rFonts w:ascii="Times New Roman" w:hAnsi="Times New Roman" w:cs="Times New Roman"/>
          <w:sz w:val="25"/>
          <w:szCs w:val="25"/>
        </w:rPr>
        <w:t xml:space="preserve">economic theory, it </w:t>
      </w:r>
      <w:r w:rsidR="00A61D97">
        <w:rPr>
          <w:rFonts w:ascii="Times New Roman" w:hAnsi="Times New Roman" w:cs="Times New Roman"/>
          <w:sz w:val="25"/>
          <w:szCs w:val="25"/>
        </w:rPr>
        <w:t xml:space="preserve">appears to be </w:t>
      </w:r>
      <w:r w:rsidRPr="002907A1">
        <w:rPr>
          <w:rFonts w:ascii="Times New Roman" w:hAnsi="Times New Roman" w:cs="Times New Roman"/>
          <w:sz w:val="25"/>
          <w:szCs w:val="25"/>
        </w:rPr>
        <w:t xml:space="preserve">a solution in search of a problem. The </w:t>
      </w:r>
      <w:r w:rsidR="00552ACB">
        <w:rPr>
          <w:rFonts w:ascii="Times New Roman" w:hAnsi="Times New Roman" w:cs="Times New Roman"/>
          <w:sz w:val="25"/>
          <w:szCs w:val="25"/>
        </w:rPr>
        <w:t>C</w:t>
      </w:r>
      <w:r w:rsidRPr="002907A1">
        <w:rPr>
          <w:rFonts w:ascii="Times New Roman" w:hAnsi="Times New Roman" w:cs="Times New Roman"/>
          <w:sz w:val="25"/>
          <w:szCs w:val="25"/>
        </w:rPr>
        <w:t>ompany d</w:t>
      </w:r>
      <w:r w:rsidR="00584E63">
        <w:rPr>
          <w:rFonts w:ascii="Times New Roman" w:hAnsi="Times New Roman" w:cs="Times New Roman"/>
          <w:sz w:val="25"/>
          <w:szCs w:val="25"/>
        </w:rPr>
        <w:t>oes</w:t>
      </w:r>
      <w:r w:rsidRPr="002907A1">
        <w:rPr>
          <w:rFonts w:ascii="Times New Roman" w:hAnsi="Times New Roman" w:cs="Times New Roman"/>
          <w:sz w:val="25"/>
          <w:szCs w:val="25"/>
        </w:rPr>
        <w:t xml:space="preserve"> not identify any deficiencies in the current 5 percent LOLP standard</w:t>
      </w:r>
      <w:r w:rsidR="00584E63">
        <w:rPr>
          <w:rFonts w:ascii="Times New Roman" w:hAnsi="Times New Roman" w:cs="Times New Roman"/>
          <w:sz w:val="25"/>
          <w:szCs w:val="25"/>
        </w:rPr>
        <w:t xml:space="preserve"> or</w:t>
      </w:r>
      <w:r w:rsidRPr="002907A1">
        <w:rPr>
          <w:rFonts w:ascii="Times New Roman" w:hAnsi="Times New Roman" w:cs="Times New Roman"/>
          <w:sz w:val="25"/>
          <w:szCs w:val="25"/>
        </w:rPr>
        <w:t xml:space="preserve"> identify the last curtailment event driven by insufficient generation on PSE’s system, stating </w:t>
      </w:r>
      <w:r w:rsidR="00B025F6">
        <w:rPr>
          <w:rFonts w:ascii="Times New Roman" w:hAnsi="Times New Roman" w:cs="Times New Roman"/>
          <w:sz w:val="25"/>
          <w:szCs w:val="25"/>
        </w:rPr>
        <w:t xml:space="preserve">only that </w:t>
      </w:r>
      <w:r w:rsidRPr="002907A1">
        <w:rPr>
          <w:rFonts w:ascii="Times New Roman" w:hAnsi="Times New Roman" w:cs="Times New Roman"/>
          <w:sz w:val="25"/>
          <w:szCs w:val="25"/>
        </w:rPr>
        <w:t>it was more than 20 years ago.</w:t>
      </w:r>
      <w:r w:rsidR="00B936ED">
        <w:rPr>
          <w:rStyle w:val="FootnoteReference"/>
          <w:rFonts w:ascii="Times New Roman" w:hAnsi="Times New Roman" w:cs="Times New Roman"/>
          <w:sz w:val="25"/>
          <w:szCs w:val="25"/>
        </w:rPr>
        <w:footnoteReference w:id="6"/>
      </w:r>
      <w:r w:rsidRPr="002907A1">
        <w:rPr>
          <w:rFonts w:ascii="Times New Roman" w:hAnsi="Times New Roman" w:cs="Times New Roman"/>
          <w:sz w:val="25"/>
          <w:szCs w:val="25"/>
        </w:rPr>
        <w:t xml:space="preserve"> PSE criticize</w:t>
      </w:r>
      <w:r w:rsidR="00584E63">
        <w:rPr>
          <w:rFonts w:ascii="Times New Roman" w:hAnsi="Times New Roman" w:cs="Times New Roman"/>
          <w:sz w:val="25"/>
          <w:szCs w:val="25"/>
        </w:rPr>
        <w:t>s</w:t>
      </w:r>
      <w:r w:rsidRPr="002907A1">
        <w:rPr>
          <w:rFonts w:ascii="Times New Roman" w:hAnsi="Times New Roman" w:cs="Times New Roman"/>
          <w:sz w:val="25"/>
          <w:szCs w:val="25"/>
        </w:rPr>
        <w:t xml:space="preserve"> the 5 percent LOLP standard for being arbitrary, and while that may be true, it has nevertheless yielded reliable service for PSE’s customers.</w:t>
      </w:r>
      <w:r w:rsidR="00BF4CC2">
        <w:rPr>
          <w:rFonts w:ascii="Times New Roman" w:hAnsi="Times New Roman" w:cs="Times New Roman"/>
          <w:sz w:val="25"/>
          <w:szCs w:val="25"/>
        </w:rPr>
        <w:t xml:space="preserve">  Moreover</w:t>
      </w:r>
      <w:r w:rsidR="003352A6">
        <w:rPr>
          <w:rFonts w:ascii="Times New Roman" w:hAnsi="Times New Roman" w:cs="Times New Roman"/>
          <w:sz w:val="25"/>
          <w:szCs w:val="25"/>
        </w:rPr>
        <w:t xml:space="preserve">, the LOLP approach is </w:t>
      </w:r>
      <w:r w:rsidR="00BF4CC2">
        <w:rPr>
          <w:rFonts w:ascii="Times New Roman" w:hAnsi="Times New Roman" w:cs="Times New Roman"/>
          <w:sz w:val="25"/>
          <w:szCs w:val="25"/>
        </w:rPr>
        <w:t xml:space="preserve">reasonable, </w:t>
      </w:r>
      <w:r w:rsidR="003352A6">
        <w:rPr>
          <w:rFonts w:ascii="Times New Roman" w:hAnsi="Times New Roman" w:cs="Times New Roman"/>
          <w:sz w:val="25"/>
          <w:szCs w:val="25"/>
        </w:rPr>
        <w:t>has become a standard in the electric power industry, and has been used for many years by the Northwest Power and Conservation Council (NPCC).</w:t>
      </w:r>
    </w:p>
    <w:p w:rsidR="002907A1" w:rsidRPr="002907A1" w:rsidRDefault="002907A1" w:rsidP="002907A1">
      <w:pPr>
        <w:spacing w:line="264" w:lineRule="auto"/>
        <w:rPr>
          <w:rFonts w:ascii="Times New Roman" w:hAnsi="Times New Roman" w:cs="Times New Roman"/>
          <w:sz w:val="25"/>
          <w:szCs w:val="25"/>
        </w:rPr>
      </w:pPr>
    </w:p>
    <w:p w:rsidR="002907A1" w:rsidRPr="002907A1" w:rsidRDefault="002907A1" w:rsidP="002907A1">
      <w:pPr>
        <w:spacing w:line="264" w:lineRule="auto"/>
        <w:rPr>
          <w:rFonts w:ascii="Times New Roman" w:hAnsi="Times New Roman" w:cs="Times New Roman"/>
          <w:sz w:val="25"/>
          <w:szCs w:val="25"/>
        </w:rPr>
      </w:pPr>
      <w:r w:rsidRPr="002907A1">
        <w:rPr>
          <w:rFonts w:ascii="Times New Roman" w:hAnsi="Times New Roman" w:cs="Times New Roman"/>
          <w:sz w:val="25"/>
          <w:szCs w:val="25"/>
        </w:rPr>
        <w:t xml:space="preserve">The impact of the cost-benefit approach to reliability is immediate and substantial – 277 MW of additional generation by 2021, at a cost of hundreds of millions of dollars. The </w:t>
      </w:r>
      <w:r w:rsidR="00552ACB">
        <w:rPr>
          <w:rFonts w:ascii="Times New Roman" w:hAnsi="Times New Roman" w:cs="Times New Roman"/>
          <w:sz w:val="25"/>
          <w:szCs w:val="25"/>
        </w:rPr>
        <w:t>C</w:t>
      </w:r>
      <w:r w:rsidRPr="002907A1">
        <w:rPr>
          <w:rFonts w:ascii="Times New Roman" w:hAnsi="Times New Roman" w:cs="Times New Roman"/>
          <w:sz w:val="25"/>
          <w:szCs w:val="25"/>
        </w:rPr>
        <w:t xml:space="preserve">ompany carries a </w:t>
      </w:r>
      <w:r w:rsidR="003352A6">
        <w:rPr>
          <w:rFonts w:ascii="Times New Roman" w:hAnsi="Times New Roman" w:cs="Times New Roman"/>
          <w:sz w:val="25"/>
          <w:szCs w:val="25"/>
        </w:rPr>
        <w:t xml:space="preserve">substantial burden to justify a change in the historical planning standard, especially when </w:t>
      </w:r>
      <w:r w:rsidR="001E2C38">
        <w:rPr>
          <w:rFonts w:ascii="Times New Roman" w:hAnsi="Times New Roman" w:cs="Times New Roman"/>
          <w:sz w:val="25"/>
          <w:szCs w:val="25"/>
        </w:rPr>
        <w:t>the</w:t>
      </w:r>
      <w:r w:rsidR="003352A6">
        <w:rPr>
          <w:rFonts w:ascii="Times New Roman" w:hAnsi="Times New Roman" w:cs="Times New Roman"/>
          <w:sz w:val="25"/>
          <w:szCs w:val="25"/>
        </w:rPr>
        <w:t xml:space="preserve"> change </w:t>
      </w:r>
      <w:r w:rsidR="001E2C38">
        <w:rPr>
          <w:rFonts w:ascii="Times New Roman" w:hAnsi="Times New Roman" w:cs="Times New Roman"/>
          <w:sz w:val="25"/>
          <w:szCs w:val="25"/>
        </w:rPr>
        <w:t xml:space="preserve">results </w:t>
      </w:r>
      <w:r w:rsidR="003352A6">
        <w:rPr>
          <w:rFonts w:ascii="Times New Roman" w:hAnsi="Times New Roman" w:cs="Times New Roman"/>
          <w:sz w:val="25"/>
          <w:szCs w:val="25"/>
        </w:rPr>
        <w:t xml:space="preserve">in significant ratepayer impacts. </w:t>
      </w:r>
      <w:r w:rsidR="00B025F6">
        <w:rPr>
          <w:rFonts w:ascii="Times New Roman" w:hAnsi="Times New Roman" w:cs="Times New Roman"/>
          <w:sz w:val="25"/>
          <w:szCs w:val="25"/>
        </w:rPr>
        <w:t>As t</w:t>
      </w:r>
      <w:r w:rsidR="00B81325">
        <w:rPr>
          <w:rFonts w:ascii="Times New Roman" w:hAnsi="Times New Roman" w:cs="Times New Roman"/>
          <w:sz w:val="25"/>
          <w:szCs w:val="25"/>
        </w:rPr>
        <w:t>he</w:t>
      </w:r>
      <w:r w:rsidR="003352A6">
        <w:rPr>
          <w:rFonts w:ascii="Times New Roman" w:hAnsi="Times New Roman" w:cs="Times New Roman"/>
          <w:sz w:val="25"/>
          <w:szCs w:val="25"/>
        </w:rPr>
        <w:t xml:space="preserve"> Company has not met this burden, </w:t>
      </w:r>
      <w:r w:rsidR="00B025F6">
        <w:rPr>
          <w:rFonts w:ascii="Times New Roman" w:hAnsi="Times New Roman" w:cs="Times New Roman"/>
          <w:sz w:val="25"/>
          <w:szCs w:val="25"/>
        </w:rPr>
        <w:t>we</w:t>
      </w:r>
      <w:r w:rsidR="003352A6">
        <w:rPr>
          <w:rFonts w:ascii="Times New Roman" w:hAnsi="Times New Roman" w:cs="Times New Roman"/>
          <w:sz w:val="25"/>
          <w:szCs w:val="25"/>
        </w:rPr>
        <w:t xml:space="preserve"> reject the planning standard proposed by PSE.</w:t>
      </w:r>
    </w:p>
    <w:p w:rsidR="002907A1" w:rsidRPr="002907A1" w:rsidRDefault="002907A1" w:rsidP="002907A1">
      <w:pPr>
        <w:spacing w:line="264" w:lineRule="auto"/>
        <w:rPr>
          <w:rFonts w:ascii="Times New Roman" w:hAnsi="Times New Roman" w:cs="Times New Roman"/>
          <w:sz w:val="25"/>
          <w:szCs w:val="25"/>
        </w:rPr>
      </w:pPr>
    </w:p>
    <w:p w:rsidR="002907A1" w:rsidRPr="002907A1" w:rsidRDefault="002104AA" w:rsidP="002907A1">
      <w:pPr>
        <w:spacing w:line="264" w:lineRule="auto"/>
        <w:rPr>
          <w:rFonts w:ascii="Times New Roman" w:hAnsi="Times New Roman" w:cs="Times New Roman"/>
          <w:sz w:val="25"/>
          <w:szCs w:val="25"/>
        </w:rPr>
      </w:pPr>
      <w:r>
        <w:rPr>
          <w:rFonts w:ascii="Times New Roman" w:hAnsi="Times New Roman" w:cs="Times New Roman"/>
          <w:sz w:val="25"/>
          <w:szCs w:val="25"/>
        </w:rPr>
        <w:t>The Commission</w:t>
      </w:r>
      <w:r w:rsidR="002907A1" w:rsidRPr="002907A1">
        <w:rPr>
          <w:rFonts w:ascii="Times New Roman" w:hAnsi="Times New Roman" w:cs="Times New Roman"/>
          <w:sz w:val="25"/>
          <w:szCs w:val="25"/>
        </w:rPr>
        <w:t xml:space="preserve"> also has significant </w:t>
      </w:r>
      <w:r w:rsidR="00B025F6">
        <w:rPr>
          <w:rFonts w:ascii="Times New Roman" w:hAnsi="Times New Roman" w:cs="Times New Roman"/>
          <w:sz w:val="25"/>
          <w:szCs w:val="25"/>
        </w:rPr>
        <w:t>concerns</w:t>
      </w:r>
      <w:r w:rsidR="002907A1" w:rsidRPr="002907A1">
        <w:rPr>
          <w:rFonts w:ascii="Times New Roman" w:hAnsi="Times New Roman" w:cs="Times New Roman"/>
          <w:sz w:val="25"/>
          <w:szCs w:val="25"/>
        </w:rPr>
        <w:t xml:space="preserve"> regarding the means by which PSE calculated the value of reliability to its customers. P</w:t>
      </w:r>
      <w:r w:rsidR="00B025F6">
        <w:rPr>
          <w:rFonts w:ascii="Times New Roman" w:hAnsi="Times New Roman" w:cs="Times New Roman"/>
          <w:sz w:val="25"/>
          <w:szCs w:val="25"/>
        </w:rPr>
        <w:t>lacing</w:t>
      </w:r>
      <w:r w:rsidR="002907A1" w:rsidRPr="002907A1">
        <w:rPr>
          <w:rFonts w:ascii="Times New Roman" w:hAnsi="Times New Roman" w:cs="Times New Roman"/>
          <w:sz w:val="25"/>
          <w:szCs w:val="25"/>
        </w:rPr>
        <w:t xml:space="preserve"> a value on reliability is a highly subjective exercise, and PSE’s choice of data for this exercise further exacerbated the challenge. PSE calculated its values using a tool provided by the U.S. Department of Energy, but the underlying values in that tool are based on data from 2007 that was compiled nationally and then averaged by state. A statewide average would hardly be representative of PSE’s service territory, </w:t>
      </w:r>
      <w:r w:rsidR="00552ACB">
        <w:rPr>
          <w:rFonts w:ascii="Times New Roman" w:hAnsi="Times New Roman" w:cs="Times New Roman"/>
          <w:sz w:val="25"/>
          <w:szCs w:val="25"/>
        </w:rPr>
        <w:t xml:space="preserve">even if the </w:t>
      </w:r>
      <w:r>
        <w:rPr>
          <w:rFonts w:ascii="Times New Roman" w:hAnsi="Times New Roman" w:cs="Times New Roman"/>
          <w:sz w:val="25"/>
          <w:szCs w:val="25"/>
        </w:rPr>
        <w:t xml:space="preserve">averaged data </w:t>
      </w:r>
      <w:r w:rsidR="00552ACB">
        <w:rPr>
          <w:rFonts w:ascii="Times New Roman" w:hAnsi="Times New Roman" w:cs="Times New Roman"/>
          <w:sz w:val="25"/>
          <w:szCs w:val="25"/>
        </w:rPr>
        <w:t xml:space="preserve">used was not </w:t>
      </w:r>
      <w:r w:rsidR="002907A1" w:rsidRPr="002907A1">
        <w:rPr>
          <w:rFonts w:ascii="Times New Roman" w:hAnsi="Times New Roman" w:cs="Times New Roman"/>
          <w:sz w:val="25"/>
          <w:szCs w:val="25"/>
        </w:rPr>
        <w:t xml:space="preserve">nearly a decade old. </w:t>
      </w:r>
    </w:p>
    <w:p w:rsidR="002907A1" w:rsidRPr="002907A1" w:rsidRDefault="002907A1" w:rsidP="002907A1">
      <w:pPr>
        <w:spacing w:line="264" w:lineRule="auto"/>
        <w:rPr>
          <w:rFonts w:ascii="Times New Roman" w:hAnsi="Times New Roman" w:cs="Times New Roman"/>
          <w:sz w:val="25"/>
          <w:szCs w:val="25"/>
        </w:rPr>
      </w:pPr>
    </w:p>
    <w:p w:rsidR="002907A1" w:rsidRPr="002104AA" w:rsidRDefault="002104AA" w:rsidP="002104AA">
      <w:pPr>
        <w:pStyle w:val="ListParagraph"/>
        <w:numPr>
          <w:ilvl w:val="0"/>
          <w:numId w:val="10"/>
        </w:numPr>
        <w:spacing w:line="264" w:lineRule="auto"/>
        <w:rPr>
          <w:rFonts w:ascii="Times New Roman" w:hAnsi="Times New Roman" w:cs="Times New Roman"/>
          <w:sz w:val="25"/>
          <w:szCs w:val="25"/>
        </w:rPr>
      </w:pPr>
      <w:r>
        <w:rPr>
          <w:rFonts w:ascii="Times New Roman" w:hAnsi="Times New Roman" w:cs="Times New Roman"/>
          <w:sz w:val="25"/>
          <w:szCs w:val="25"/>
        </w:rPr>
        <w:lastRenderedPageBreak/>
        <w:t xml:space="preserve">The Commission </w:t>
      </w:r>
      <w:r w:rsidRPr="002104AA">
        <w:rPr>
          <w:rFonts w:ascii="Times New Roman" w:hAnsi="Times New Roman" w:cs="Times New Roman"/>
          <w:sz w:val="25"/>
          <w:szCs w:val="25"/>
        </w:rPr>
        <w:t>reject</w:t>
      </w:r>
      <w:r>
        <w:rPr>
          <w:rFonts w:ascii="Times New Roman" w:hAnsi="Times New Roman" w:cs="Times New Roman"/>
          <w:sz w:val="25"/>
          <w:szCs w:val="25"/>
        </w:rPr>
        <w:t>s</w:t>
      </w:r>
      <w:r w:rsidRPr="002104AA">
        <w:rPr>
          <w:rFonts w:ascii="Times New Roman" w:hAnsi="Times New Roman" w:cs="Times New Roman"/>
          <w:sz w:val="25"/>
          <w:szCs w:val="25"/>
        </w:rPr>
        <w:t xml:space="preserve"> </w:t>
      </w:r>
      <w:r>
        <w:rPr>
          <w:rFonts w:ascii="Times New Roman" w:hAnsi="Times New Roman" w:cs="Times New Roman"/>
          <w:sz w:val="25"/>
          <w:szCs w:val="25"/>
        </w:rPr>
        <w:t>PSE’s</w:t>
      </w:r>
      <w:r w:rsidRPr="002104AA">
        <w:rPr>
          <w:rFonts w:ascii="Times New Roman" w:hAnsi="Times New Roman" w:cs="Times New Roman"/>
          <w:sz w:val="25"/>
          <w:szCs w:val="25"/>
        </w:rPr>
        <w:t xml:space="preserve"> cost-benefit of reliability analysis</w:t>
      </w:r>
      <w:r>
        <w:rPr>
          <w:rFonts w:ascii="Times New Roman" w:hAnsi="Times New Roman" w:cs="Times New Roman"/>
          <w:sz w:val="25"/>
          <w:szCs w:val="25"/>
        </w:rPr>
        <w:t xml:space="preserve">, primarily because PSE did not </w:t>
      </w:r>
      <w:r w:rsidR="002907A1" w:rsidRPr="002104AA">
        <w:rPr>
          <w:rFonts w:ascii="Times New Roman" w:hAnsi="Times New Roman" w:cs="Times New Roman"/>
          <w:sz w:val="25"/>
          <w:szCs w:val="25"/>
        </w:rPr>
        <w:t>identify a deficiency in its current planning standard</w:t>
      </w:r>
      <w:r w:rsidR="00BC1D6F">
        <w:rPr>
          <w:rFonts w:ascii="Times New Roman" w:hAnsi="Times New Roman" w:cs="Times New Roman"/>
          <w:sz w:val="25"/>
          <w:szCs w:val="25"/>
        </w:rPr>
        <w:t>.</w:t>
      </w:r>
    </w:p>
    <w:p w:rsidR="002907A1" w:rsidRPr="002907A1" w:rsidRDefault="002907A1" w:rsidP="002907A1">
      <w:pPr>
        <w:spacing w:line="264" w:lineRule="auto"/>
        <w:rPr>
          <w:rFonts w:ascii="Times New Roman" w:hAnsi="Times New Roman" w:cs="Times New Roman"/>
          <w:i/>
          <w:sz w:val="25"/>
          <w:szCs w:val="25"/>
        </w:rPr>
      </w:pPr>
    </w:p>
    <w:p w:rsidR="002907A1" w:rsidRPr="002907A1" w:rsidRDefault="002907A1" w:rsidP="00A86E5A">
      <w:pPr>
        <w:spacing w:line="264" w:lineRule="auto"/>
        <w:ind w:left="720"/>
        <w:rPr>
          <w:rFonts w:ascii="Times New Roman" w:hAnsi="Times New Roman" w:cs="Times New Roman"/>
          <w:i/>
          <w:sz w:val="25"/>
          <w:szCs w:val="25"/>
        </w:rPr>
      </w:pPr>
      <w:r w:rsidRPr="002907A1">
        <w:rPr>
          <w:rFonts w:ascii="Times New Roman" w:hAnsi="Times New Roman" w:cs="Times New Roman"/>
          <w:i/>
          <w:sz w:val="25"/>
          <w:szCs w:val="25"/>
        </w:rPr>
        <w:t>Resource capacity values</w:t>
      </w:r>
    </w:p>
    <w:p w:rsidR="002907A1" w:rsidRPr="002907A1" w:rsidRDefault="002907A1" w:rsidP="002907A1">
      <w:pPr>
        <w:spacing w:line="264" w:lineRule="auto"/>
        <w:rPr>
          <w:rFonts w:ascii="Times New Roman" w:hAnsi="Times New Roman" w:cs="Times New Roman"/>
          <w:i/>
          <w:sz w:val="25"/>
          <w:szCs w:val="25"/>
        </w:rPr>
      </w:pPr>
    </w:p>
    <w:p w:rsidR="002907A1" w:rsidRPr="002907A1" w:rsidRDefault="002907A1" w:rsidP="002907A1">
      <w:pPr>
        <w:spacing w:line="264" w:lineRule="auto"/>
        <w:rPr>
          <w:rFonts w:ascii="Times New Roman" w:hAnsi="Times New Roman" w:cs="Times New Roman"/>
          <w:sz w:val="25"/>
          <w:szCs w:val="25"/>
        </w:rPr>
      </w:pPr>
      <w:r w:rsidRPr="002907A1">
        <w:rPr>
          <w:rFonts w:ascii="Times New Roman" w:hAnsi="Times New Roman" w:cs="Times New Roman"/>
          <w:sz w:val="25"/>
          <w:szCs w:val="25"/>
        </w:rPr>
        <w:t>PSE has adopted a new means of determining, for planning purposes, the capacity value of existing and prospective resources. This new method, called the Incremental Capacity Equi</w:t>
      </w:r>
      <w:r w:rsidR="00BC1D6F">
        <w:rPr>
          <w:rFonts w:ascii="Times New Roman" w:hAnsi="Times New Roman" w:cs="Times New Roman"/>
          <w:sz w:val="25"/>
          <w:szCs w:val="25"/>
        </w:rPr>
        <w:t>valent (ICE), rates</w:t>
      </w:r>
      <w:r w:rsidRPr="002907A1">
        <w:rPr>
          <w:rFonts w:ascii="Times New Roman" w:hAnsi="Times New Roman" w:cs="Times New Roman"/>
          <w:sz w:val="25"/>
          <w:szCs w:val="25"/>
        </w:rPr>
        <w:t xml:space="preserve"> </w:t>
      </w:r>
      <w:r w:rsidR="0039177E">
        <w:rPr>
          <w:rFonts w:ascii="Times New Roman" w:hAnsi="Times New Roman" w:cs="Times New Roman"/>
          <w:sz w:val="25"/>
          <w:szCs w:val="25"/>
        </w:rPr>
        <w:t xml:space="preserve">a </w:t>
      </w:r>
      <w:r w:rsidRPr="002907A1">
        <w:rPr>
          <w:rFonts w:ascii="Times New Roman" w:hAnsi="Times New Roman" w:cs="Times New Roman"/>
          <w:sz w:val="25"/>
          <w:szCs w:val="25"/>
        </w:rPr>
        <w:t xml:space="preserve">resource </w:t>
      </w:r>
      <w:r w:rsidR="00BC1D6F">
        <w:rPr>
          <w:rFonts w:ascii="Times New Roman" w:hAnsi="Times New Roman" w:cs="Times New Roman"/>
          <w:sz w:val="25"/>
          <w:szCs w:val="25"/>
        </w:rPr>
        <w:t xml:space="preserve">by </w:t>
      </w:r>
      <w:r w:rsidRPr="002907A1">
        <w:rPr>
          <w:rFonts w:ascii="Times New Roman" w:hAnsi="Times New Roman" w:cs="Times New Roman"/>
          <w:sz w:val="25"/>
          <w:szCs w:val="25"/>
        </w:rPr>
        <w:t>the equivalent nameplate capacity of a natural-gas fired peak</w:t>
      </w:r>
      <w:r w:rsidR="00D43777">
        <w:rPr>
          <w:rFonts w:ascii="Times New Roman" w:hAnsi="Times New Roman" w:cs="Times New Roman"/>
          <w:sz w:val="25"/>
          <w:szCs w:val="25"/>
        </w:rPr>
        <w:t>ing plant</w:t>
      </w:r>
      <w:r w:rsidRPr="002907A1">
        <w:rPr>
          <w:rFonts w:ascii="Times New Roman" w:hAnsi="Times New Roman" w:cs="Times New Roman"/>
          <w:sz w:val="25"/>
          <w:szCs w:val="25"/>
        </w:rPr>
        <w:t xml:space="preserve"> that the system would need to add to achieve the same value for expected unserved energy (EUE).</w:t>
      </w:r>
      <w:r w:rsidRPr="002907A1">
        <w:rPr>
          <w:rFonts w:ascii="Times New Roman" w:hAnsi="Times New Roman" w:cs="Times New Roman"/>
          <w:sz w:val="25"/>
          <w:szCs w:val="25"/>
          <w:vertAlign w:val="superscript"/>
        </w:rPr>
        <w:footnoteReference w:id="7"/>
      </w:r>
    </w:p>
    <w:p w:rsidR="002907A1" w:rsidRPr="002907A1" w:rsidRDefault="002907A1" w:rsidP="002907A1">
      <w:pPr>
        <w:spacing w:line="264" w:lineRule="auto"/>
        <w:rPr>
          <w:rFonts w:ascii="Times New Roman" w:hAnsi="Times New Roman" w:cs="Times New Roman"/>
          <w:sz w:val="25"/>
          <w:szCs w:val="25"/>
        </w:rPr>
      </w:pPr>
    </w:p>
    <w:p w:rsidR="002907A1" w:rsidRPr="002907A1" w:rsidRDefault="002907A1" w:rsidP="002907A1">
      <w:pPr>
        <w:spacing w:line="264" w:lineRule="auto"/>
        <w:rPr>
          <w:rFonts w:ascii="Times New Roman" w:hAnsi="Times New Roman" w:cs="Times New Roman"/>
          <w:sz w:val="25"/>
          <w:szCs w:val="25"/>
        </w:rPr>
      </w:pPr>
      <w:r w:rsidRPr="002907A1">
        <w:rPr>
          <w:rFonts w:ascii="Times New Roman" w:hAnsi="Times New Roman" w:cs="Times New Roman"/>
          <w:sz w:val="25"/>
          <w:szCs w:val="25"/>
        </w:rPr>
        <w:t xml:space="preserve">For example, future Washington wind resources received an ICE value of 8 percent, meaning that it would take </w:t>
      </w:r>
      <w:r w:rsidR="0039177E">
        <w:rPr>
          <w:rFonts w:ascii="Times New Roman" w:hAnsi="Times New Roman" w:cs="Times New Roman"/>
          <w:sz w:val="25"/>
          <w:szCs w:val="25"/>
        </w:rPr>
        <w:t xml:space="preserve">approximately </w:t>
      </w:r>
      <w:r w:rsidRPr="002907A1">
        <w:rPr>
          <w:rFonts w:ascii="Times New Roman" w:hAnsi="Times New Roman" w:cs="Times New Roman"/>
          <w:sz w:val="25"/>
          <w:szCs w:val="25"/>
        </w:rPr>
        <w:t xml:space="preserve">12.5 MW of new wind to provide the same amount of capacity as 1 MW of natural gas peaking capacity. </w:t>
      </w:r>
    </w:p>
    <w:p w:rsidR="002907A1" w:rsidRPr="002907A1" w:rsidRDefault="002907A1" w:rsidP="002907A1">
      <w:pPr>
        <w:spacing w:line="264" w:lineRule="auto"/>
        <w:rPr>
          <w:rFonts w:ascii="Times New Roman" w:hAnsi="Times New Roman" w:cs="Times New Roman"/>
          <w:sz w:val="25"/>
          <w:szCs w:val="25"/>
        </w:rPr>
      </w:pPr>
    </w:p>
    <w:p w:rsidR="002907A1" w:rsidRPr="002907A1" w:rsidRDefault="002907A1" w:rsidP="002907A1">
      <w:pPr>
        <w:spacing w:line="264" w:lineRule="auto"/>
        <w:rPr>
          <w:rFonts w:ascii="Times New Roman" w:hAnsi="Times New Roman" w:cs="Times New Roman"/>
          <w:sz w:val="25"/>
          <w:szCs w:val="25"/>
        </w:rPr>
      </w:pPr>
      <w:r w:rsidRPr="002907A1">
        <w:rPr>
          <w:rFonts w:ascii="Times New Roman" w:hAnsi="Times New Roman" w:cs="Times New Roman"/>
          <w:sz w:val="25"/>
          <w:szCs w:val="25"/>
        </w:rPr>
        <w:t xml:space="preserve">PSE states that the ICE method is similar to the Effective Load Carrying Capability (ELCC) that has been used or adapted by other utilities in recent years, including Pacific Power. However, </w:t>
      </w:r>
      <w:r w:rsidR="00F26E00">
        <w:rPr>
          <w:rFonts w:ascii="Times New Roman" w:hAnsi="Times New Roman" w:cs="Times New Roman"/>
          <w:sz w:val="25"/>
          <w:szCs w:val="25"/>
        </w:rPr>
        <w:t>it</w:t>
      </w:r>
      <w:r w:rsidRPr="002907A1">
        <w:rPr>
          <w:rFonts w:ascii="Times New Roman" w:hAnsi="Times New Roman" w:cs="Times New Roman"/>
          <w:sz w:val="25"/>
          <w:szCs w:val="25"/>
        </w:rPr>
        <w:t xml:space="preserve"> is unclear </w:t>
      </w:r>
      <w:r w:rsidR="00F26E00">
        <w:rPr>
          <w:rFonts w:ascii="Times New Roman" w:hAnsi="Times New Roman" w:cs="Times New Roman"/>
          <w:sz w:val="25"/>
          <w:szCs w:val="25"/>
        </w:rPr>
        <w:t xml:space="preserve">to the Commission </w:t>
      </w:r>
      <w:r w:rsidRPr="002907A1">
        <w:rPr>
          <w:rFonts w:ascii="Times New Roman" w:hAnsi="Times New Roman" w:cs="Times New Roman"/>
          <w:sz w:val="25"/>
          <w:szCs w:val="25"/>
        </w:rPr>
        <w:t xml:space="preserve">how the ICE method approximates the ELCC, as PSE’s results with ICE are directionally different from those obtained by Pacific Power’s adaptation of the ELCC. Pacific Power’s approximation of the ELCC significantly increased the capacity value of variable renewable resources and reduced the </w:t>
      </w:r>
      <w:r w:rsidR="00552ACB">
        <w:rPr>
          <w:rFonts w:ascii="Times New Roman" w:hAnsi="Times New Roman" w:cs="Times New Roman"/>
          <w:sz w:val="25"/>
          <w:szCs w:val="25"/>
        </w:rPr>
        <w:t>C</w:t>
      </w:r>
      <w:r w:rsidRPr="002907A1">
        <w:rPr>
          <w:rFonts w:ascii="Times New Roman" w:hAnsi="Times New Roman" w:cs="Times New Roman"/>
          <w:sz w:val="25"/>
          <w:szCs w:val="25"/>
        </w:rPr>
        <w:t>ompany’s overall capacity need</w:t>
      </w:r>
      <w:r w:rsidR="00552ACB">
        <w:rPr>
          <w:rFonts w:ascii="Times New Roman" w:hAnsi="Times New Roman" w:cs="Times New Roman"/>
          <w:sz w:val="25"/>
          <w:szCs w:val="25"/>
        </w:rPr>
        <w:t>.</w:t>
      </w:r>
      <w:r w:rsidRPr="002907A1">
        <w:rPr>
          <w:rFonts w:ascii="Times New Roman" w:hAnsi="Times New Roman" w:cs="Times New Roman"/>
          <w:sz w:val="25"/>
          <w:szCs w:val="25"/>
        </w:rPr>
        <w:t xml:space="preserve"> PSE’s use of ICE left the capacity value of new wind resources unchanged, but reduced the capacity value of existing wind resources by about 25 percent,</w:t>
      </w:r>
      <w:r w:rsidRPr="002907A1">
        <w:rPr>
          <w:rFonts w:ascii="Times New Roman" w:hAnsi="Times New Roman" w:cs="Times New Roman"/>
          <w:sz w:val="25"/>
          <w:szCs w:val="25"/>
          <w:vertAlign w:val="superscript"/>
        </w:rPr>
        <w:footnoteReference w:id="8"/>
      </w:r>
      <w:r w:rsidRPr="002907A1">
        <w:rPr>
          <w:rFonts w:ascii="Times New Roman" w:hAnsi="Times New Roman" w:cs="Times New Roman"/>
          <w:sz w:val="25"/>
          <w:szCs w:val="25"/>
        </w:rPr>
        <w:t xml:space="preserve"> </w:t>
      </w:r>
      <w:r w:rsidR="007648C8">
        <w:rPr>
          <w:rFonts w:ascii="Times New Roman" w:hAnsi="Times New Roman" w:cs="Times New Roman"/>
          <w:sz w:val="25"/>
          <w:szCs w:val="25"/>
        </w:rPr>
        <w:t>and increased</w:t>
      </w:r>
      <w:r w:rsidRPr="002907A1">
        <w:rPr>
          <w:rFonts w:ascii="Times New Roman" w:hAnsi="Times New Roman" w:cs="Times New Roman"/>
          <w:sz w:val="25"/>
          <w:szCs w:val="25"/>
        </w:rPr>
        <w:t xml:space="preserve"> the </w:t>
      </w:r>
      <w:r w:rsidR="00552ACB">
        <w:rPr>
          <w:rFonts w:ascii="Times New Roman" w:hAnsi="Times New Roman" w:cs="Times New Roman"/>
          <w:sz w:val="25"/>
          <w:szCs w:val="25"/>
        </w:rPr>
        <w:t>C</w:t>
      </w:r>
      <w:r w:rsidRPr="002907A1">
        <w:rPr>
          <w:rFonts w:ascii="Times New Roman" w:hAnsi="Times New Roman" w:cs="Times New Roman"/>
          <w:sz w:val="25"/>
          <w:szCs w:val="25"/>
        </w:rPr>
        <w:t>ompany’s overall capacity need.</w:t>
      </w:r>
      <w:r w:rsidR="007648C8">
        <w:rPr>
          <w:rFonts w:ascii="Times New Roman" w:hAnsi="Times New Roman" w:cs="Times New Roman"/>
          <w:sz w:val="25"/>
          <w:szCs w:val="25"/>
        </w:rPr>
        <w:t xml:space="preserve"> While </w:t>
      </w:r>
      <w:r w:rsidR="00F26E00">
        <w:rPr>
          <w:rFonts w:ascii="Times New Roman" w:hAnsi="Times New Roman" w:cs="Times New Roman"/>
          <w:sz w:val="25"/>
          <w:szCs w:val="25"/>
        </w:rPr>
        <w:t>the Commission</w:t>
      </w:r>
      <w:r w:rsidR="007648C8">
        <w:rPr>
          <w:rFonts w:ascii="Times New Roman" w:hAnsi="Times New Roman" w:cs="Times New Roman"/>
          <w:sz w:val="25"/>
          <w:szCs w:val="25"/>
        </w:rPr>
        <w:t xml:space="preserve"> support</w:t>
      </w:r>
      <w:r w:rsidR="00F26E00">
        <w:rPr>
          <w:rFonts w:ascii="Times New Roman" w:hAnsi="Times New Roman" w:cs="Times New Roman"/>
          <w:sz w:val="25"/>
          <w:szCs w:val="25"/>
        </w:rPr>
        <w:t>s</w:t>
      </w:r>
      <w:r w:rsidR="007648C8">
        <w:rPr>
          <w:rFonts w:ascii="Times New Roman" w:hAnsi="Times New Roman" w:cs="Times New Roman"/>
          <w:sz w:val="25"/>
          <w:szCs w:val="25"/>
        </w:rPr>
        <w:t xml:space="preserve"> the use of an approximation of the ELCC as a way to set a capacity value for renewable resources, </w:t>
      </w:r>
      <w:r w:rsidR="00F26E00">
        <w:rPr>
          <w:rFonts w:ascii="Times New Roman" w:hAnsi="Times New Roman" w:cs="Times New Roman"/>
          <w:sz w:val="25"/>
          <w:szCs w:val="25"/>
        </w:rPr>
        <w:t>PSE’s</w:t>
      </w:r>
      <w:r w:rsidR="007648C8">
        <w:rPr>
          <w:rFonts w:ascii="Times New Roman" w:hAnsi="Times New Roman" w:cs="Times New Roman"/>
          <w:sz w:val="25"/>
          <w:szCs w:val="25"/>
        </w:rPr>
        <w:t xml:space="preserve"> IRP d</w:t>
      </w:r>
      <w:r w:rsidR="00F26E00">
        <w:rPr>
          <w:rFonts w:ascii="Times New Roman" w:hAnsi="Times New Roman" w:cs="Times New Roman"/>
          <w:sz w:val="25"/>
          <w:szCs w:val="25"/>
        </w:rPr>
        <w:t>oes</w:t>
      </w:r>
      <w:r w:rsidR="007648C8">
        <w:rPr>
          <w:rFonts w:ascii="Times New Roman" w:hAnsi="Times New Roman" w:cs="Times New Roman"/>
          <w:sz w:val="25"/>
          <w:szCs w:val="25"/>
        </w:rPr>
        <w:t xml:space="preserve"> not </w:t>
      </w:r>
      <w:r w:rsidR="00BB34D4">
        <w:rPr>
          <w:rFonts w:ascii="Times New Roman" w:hAnsi="Times New Roman" w:cs="Times New Roman"/>
          <w:sz w:val="25"/>
          <w:szCs w:val="25"/>
        </w:rPr>
        <w:t>justify</w:t>
      </w:r>
      <w:r w:rsidR="00552ACB" w:rsidRPr="00552ACB">
        <w:rPr>
          <w:rFonts w:ascii="Times New Roman" w:hAnsi="Times New Roman" w:cs="Times New Roman"/>
          <w:sz w:val="25"/>
          <w:szCs w:val="25"/>
        </w:rPr>
        <w:t xml:space="preserve"> </w:t>
      </w:r>
      <w:r w:rsidR="00552ACB">
        <w:rPr>
          <w:rFonts w:ascii="Times New Roman" w:hAnsi="Times New Roman" w:cs="Times New Roman"/>
          <w:sz w:val="25"/>
          <w:szCs w:val="25"/>
        </w:rPr>
        <w:t>adequately</w:t>
      </w:r>
      <w:r w:rsidR="007648C8">
        <w:rPr>
          <w:rFonts w:ascii="Times New Roman" w:hAnsi="Times New Roman" w:cs="Times New Roman"/>
          <w:sz w:val="25"/>
          <w:szCs w:val="25"/>
        </w:rPr>
        <w:t xml:space="preserve"> the use of the ICE method</w:t>
      </w:r>
      <w:r w:rsidR="00BB34D4">
        <w:rPr>
          <w:rFonts w:ascii="Times New Roman" w:hAnsi="Times New Roman" w:cs="Times New Roman"/>
          <w:sz w:val="25"/>
          <w:szCs w:val="25"/>
        </w:rPr>
        <w:t>.</w:t>
      </w:r>
    </w:p>
    <w:p w:rsidR="002907A1" w:rsidRPr="002907A1" w:rsidRDefault="002907A1" w:rsidP="002907A1">
      <w:pPr>
        <w:spacing w:line="264" w:lineRule="auto"/>
        <w:rPr>
          <w:rFonts w:ascii="Times New Roman" w:hAnsi="Times New Roman" w:cs="Times New Roman"/>
          <w:sz w:val="25"/>
          <w:szCs w:val="25"/>
        </w:rPr>
      </w:pPr>
    </w:p>
    <w:p w:rsidR="002907A1" w:rsidRPr="007648C8" w:rsidRDefault="0019729C" w:rsidP="007648C8">
      <w:pPr>
        <w:pStyle w:val="ListParagraph"/>
        <w:numPr>
          <w:ilvl w:val="0"/>
          <w:numId w:val="10"/>
        </w:numPr>
        <w:spacing w:line="264" w:lineRule="auto"/>
        <w:rPr>
          <w:rFonts w:ascii="Times New Roman" w:hAnsi="Times New Roman" w:cs="Times New Roman"/>
          <w:sz w:val="25"/>
          <w:szCs w:val="25"/>
        </w:rPr>
      </w:pPr>
      <w:r>
        <w:rPr>
          <w:rFonts w:ascii="Times New Roman" w:hAnsi="Times New Roman" w:cs="Times New Roman"/>
          <w:sz w:val="25"/>
          <w:szCs w:val="25"/>
        </w:rPr>
        <w:t>I</w:t>
      </w:r>
      <w:r w:rsidR="00BB34D4">
        <w:rPr>
          <w:rFonts w:ascii="Times New Roman" w:hAnsi="Times New Roman" w:cs="Times New Roman"/>
          <w:sz w:val="25"/>
          <w:szCs w:val="25"/>
        </w:rPr>
        <w:t xml:space="preserve">n the next IRP cycle, </w:t>
      </w:r>
      <w:r w:rsidR="002907A1" w:rsidRPr="007648C8">
        <w:rPr>
          <w:rFonts w:ascii="Times New Roman" w:hAnsi="Times New Roman" w:cs="Times New Roman"/>
          <w:sz w:val="25"/>
          <w:szCs w:val="25"/>
        </w:rPr>
        <w:t xml:space="preserve">PSE </w:t>
      </w:r>
      <w:r w:rsidR="007648C8">
        <w:rPr>
          <w:rFonts w:ascii="Times New Roman" w:hAnsi="Times New Roman" w:cs="Times New Roman"/>
          <w:sz w:val="25"/>
          <w:szCs w:val="25"/>
        </w:rPr>
        <w:t xml:space="preserve">should </w:t>
      </w:r>
      <w:r w:rsidR="002907A1" w:rsidRPr="007648C8">
        <w:rPr>
          <w:rFonts w:ascii="Times New Roman" w:hAnsi="Times New Roman" w:cs="Times New Roman"/>
          <w:sz w:val="25"/>
          <w:szCs w:val="25"/>
        </w:rPr>
        <w:t xml:space="preserve">consider other </w:t>
      </w:r>
      <w:r w:rsidR="00D546F2">
        <w:rPr>
          <w:rFonts w:ascii="Times New Roman" w:hAnsi="Times New Roman" w:cs="Times New Roman"/>
          <w:sz w:val="25"/>
          <w:szCs w:val="25"/>
        </w:rPr>
        <w:t>methods</w:t>
      </w:r>
      <w:r w:rsidR="002907A1" w:rsidRPr="007648C8">
        <w:rPr>
          <w:rFonts w:ascii="Times New Roman" w:hAnsi="Times New Roman" w:cs="Times New Roman"/>
          <w:sz w:val="25"/>
          <w:szCs w:val="25"/>
        </w:rPr>
        <w:t xml:space="preserve"> of approximating ELCC, </w:t>
      </w:r>
      <w:r w:rsidR="00D546F2">
        <w:rPr>
          <w:rFonts w:ascii="Times New Roman" w:hAnsi="Times New Roman" w:cs="Times New Roman"/>
          <w:sz w:val="25"/>
          <w:szCs w:val="25"/>
        </w:rPr>
        <w:t xml:space="preserve">including methods used </w:t>
      </w:r>
      <w:r>
        <w:rPr>
          <w:rFonts w:ascii="Times New Roman" w:hAnsi="Times New Roman" w:cs="Times New Roman"/>
          <w:sz w:val="25"/>
          <w:szCs w:val="25"/>
        </w:rPr>
        <w:t xml:space="preserve">by other planners in the </w:t>
      </w:r>
      <w:r w:rsidR="00D546F2">
        <w:rPr>
          <w:rFonts w:ascii="Times New Roman" w:hAnsi="Times New Roman" w:cs="Times New Roman"/>
          <w:sz w:val="25"/>
          <w:szCs w:val="25"/>
        </w:rPr>
        <w:t xml:space="preserve">region, </w:t>
      </w:r>
      <w:r w:rsidR="00BB34D4">
        <w:rPr>
          <w:rFonts w:ascii="Times New Roman" w:hAnsi="Times New Roman" w:cs="Times New Roman"/>
          <w:sz w:val="25"/>
          <w:szCs w:val="25"/>
        </w:rPr>
        <w:t xml:space="preserve">and discuss this topic with </w:t>
      </w:r>
      <w:r w:rsidR="009F73DB">
        <w:rPr>
          <w:rFonts w:ascii="Times New Roman" w:hAnsi="Times New Roman" w:cs="Times New Roman"/>
          <w:sz w:val="25"/>
          <w:szCs w:val="25"/>
        </w:rPr>
        <w:t>the</w:t>
      </w:r>
      <w:r w:rsidR="00BB34D4">
        <w:rPr>
          <w:rFonts w:ascii="Times New Roman" w:hAnsi="Times New Roman" w:cs="Times New Roman"/>
          <w:sz w:val="25"/>
          <w:szCs w:val="25"/>
        </w:rPr>
        <w:t xml:space="preserve"> advisory group</w:t>
      </w:r>
      <w:r w:rsidR="002907A1" w:rsidRPr="007648C8">
        <w:rPr>
          <w:rFonts w:ascii="Times New Roman" w:hAnsi="Times New Roman" w:cs="Times New Roman"/>
          <w:sz w:val="25"/>
          <w:szCs w:val="25"/>
        </w:rPr>
        <w:t>.</w:t>
      </w:r>
      <w:r w:rsidR="00060654">
        <w:rPr>
          <w:rStyle w:val="FootnoteReference"/>
          <w:rFonts w:ascii="Times New Roman" w:hAnsi="Times New Roman" w:cs="Times New Roman"/>
          <w:sz w:val="25"/>
          <w:szCs w:val="25"/>
        </w:rPr>
        <w:footnoteReference w:id="9"/>
      </w:r>
    </w:p>
    <w:p w:rsidR="00CF068B" w:rsidRDefault="00CF068B">
      <w:pPr>
        <w:rPr>
          <w:rFonts w:ascii="Times New Roman" w:hAnsi="Times New Roman" w:cs="Times New Roman"/>
          <w:i/>
          <w:sz w:val="25"/>
          <w:szCs w:val="25"/>
        </w:rPr>
      </w:pPr>
      <w:r>
        <w:rPr>
          <w:rFonts w:ascii="Times New Roman" w:hAnsi="Times New Roman" w:cs="Times New Roman"/>
          <w:i/>
          <w:sz w:val="25"/>
          <w:szCs w:val="25"/>
        </w:rPr>
        <w:br w:type="page"/>
      </w:r>
    </w:p>
    <w:p w:rsidR="002907A1" w:rsidRPr="002907A1" w:rsidRDefault="002907A1" w:rsidP="002907A1">
      <w:pPr>
        <w:spacing w:line="264" w:lineRule="auto"/>
        <w:rPr>
          <w:rFonts w:ascii="Times New Roman" w:hAnsi="Times New Roman" w:cs="Times New Roman"/>
          <w:i/>
          <w:sz w:val="25"/>
          <w:szCs w:val="25"/>
        </w:rPr>
      </w:pPr>
    </w:p>
    <w:p w:rsidR="002907A1" w:rsidRPr="002907A1" w:rsidRDefault="002907A1" w:rsidP="00A86E5A">
      <w:pPr>
        <w:spacing w:line="264" w:lineRule="auto"/>
        <w:ind w:left="720"/>
        <w:rPr>
          <w:rFonts w:ascii="Times New Roman" w:hAnsi="Times New Roman" w:cs="Times New Roman"/>
          <w:i/>
          <w:sz w:val="25"/>
          <w:szCs w:val="25"/>
        </w:rPr>
      </w:pPr>
      <w:r w:rsidRPr="002907A1">
        <w:rPr>
          <w:rFonts w:ascii="Times New Roman" w:hAnsi="Times New Roman" w:cs="Times New Roman"/>
          <w:i/>
          <w:sz w:val="25"/>
          <w:szCs w:val="25"/>
        </w:rPr>
        <w:t>Market risk</w:t>
      </w:r>
    </w:p>
    <w:p w:rsidR="002907A1" w:rsidRPr="002907A1" w:rsidRDefault="002907A1" w:rsidP="002907A1">
      <w:pPr>
        <w:spacing w:line="264" w:lineRule="auto"/>
        <w:rPr>
          <w:rFonts w:ascii="Times New Roman" w:hAnsi="Times New Roman" w:cs="Times New Roman"/>
          <w:sz w:val="25"/>
          <w:szCs w:val="25"/>
        </w:rPr>
      </w:pPr>
    </w:p>
    <w:p w:rsidR="002907A1" w:rsidRDefault="002907A1" w:rsidP="002907A1">
      <w:pPr>
        <w:spacing w:line="264" w:lineRule="auto"/>
        <w:rPr>
          <w:rFonts w:ascii="Times New Roman" w:hAnsi="Times New Roman" w:cs="Times New Roman"/>
          <w:sz w:val="25"/>
          <w:szCs w:val="25"/>
        </w:rPr>
      </w:pPr>
      <w:r w:rsidRPr="002907A1">
        <w:rPr>
          <w:rFonts w:ascii="Times New Roman" w:hAnsi="Times New Roman" w:cs="Times New Roman"/>
          <w:sz w:val="25"/>
          <w:szCs w:val="25"/>
        </w:rPr>
        <w:t xml:space="preserve">In the market risk assessment, PSE endeavored to determine how potential regional capacity shortfalls could affect the </w:t>
      </w:r>
      <w:r w:rsidR="00552ACB">
        <w:rPr>
          <w:rFonts w:ascii="Times New Roman" w:hAnsi="Times New Roman" w:cs="Times New Roman"/>
          <w:sz w:val="25"/>
          <w:szCs w:val="25"/>
        </w:rPr>
        <w:t>C</w:t>
      </w:r>
      <w:r w:rsidRPr="002907A1">
        <w:rPr>
          <w:rFonts w:ascii="Times New Roman" w:hAnsi="Times New Roman" w:cs="Times New Roman"/>
          <w:sz w:val="25"/>
          <w:szCs w:val="25"/>
        </w:rPr>
        <w:t>ompany. The process generally followed these steps:</w:t>
      </w:r>
    </w:p>
    <w:p w:rsidR="00BC1D6F" w:rsidRPr="002907A1" w:rsidRDefault="00BC1D6F" w:rsidP="002907A1">
      <w:pPr>
        <w:spacing w:line="264" w:lineRule="auto"/>
        <w:rPr>
          <w:rFonts w:ascii="Times New Roman" w:hAnsi="Times New Roman" w:cs="Times New Roman"/>
          <w:sz w:val="25"/>
          <w:szCs w:val="25"/>
        </w:rPr>
      </w:pPr>
    </w:p>
    <w:p w:rsidR="002907A1" w:rsidRPr="002907A1" w:rsidRDefault="002907A1" w:rsidP="00095905">
      <w:pPr>
        <w:numPr>
          <w:ilvl w:val="0"/>
          <w:numId w:val="27"/>
        </w:numPr>
        <w:spacing w:line="264" w:lineRule="auto"/>
        <w:rPr>
          <w:rFonts w:ascii="Times New Roman" w:hAnsi="Times New Roman" w:cs="Times New Roman"/>
          <w:sz w:val="25"/>
          <w:szCs w:val="25"/>
        </w:rPr>
      </w:pPr>
      <w:r w:rsidRPr="002907A1">
        <w:rPr>
          <w:rFonts w:ascii="Times New Roman" w:hAnsi="Times New Roman" w:cs="Times New Roman"/>
          <w:sz w:val="25"/>
          <w:szCs w:val="25"/>
        </w:rPr>
        <w:t xml:space="preserve">Identify the amount of </w:t>
      </w:r>
      <w:r w:rsidR="00663C17">
        <w:rPr>
          <w:rFonts w:ascii="Times New Roman" w:hAnsi="Times New Roman" w:cs="Times New Roman"/>
          <w:sz w:val="25"/>
          <w:szCs w:val="25"/>
        </w:rPr>
        <w:t xml:space="preserve">regional </w:t>
      </w:r>
      <w:r w:rsidR="007037DB">
        <w:rPr>
          <w:rFonts w:ascii="Times New Roman" w:hAnsi="Times New Roman" w:cs="Times New Roman"/>
          <w:sz w:val="25"/>
          <w:szCs w:val="25"/>
        </w:rPr>
        <w:t>capacity</w:t>
      </w:r>
      <w:r w:rsidRPr="002907A1">
        <w:rPr>
          <w:rFonts w:ascii="Times New Roman" w:hAnsi="Times New Roman" w:cs="Times New Roman"/>
          <w:sz w:val="25"/>
          <w:szCs w:val="25"/>
        </w:rPr>
        <w:t xml:space="preserve"> shortfall during the region’s winter peak in a particular scenario of the regional resource adequacy model;</w:t>
      </w:r>
    </w:p>
    <w:p w:rsidR="002907A1" w:rsidRPr="002907A1" w:rsidRDefault="002907A1" w:rsidP="00095905">
      <w:pPr>
        <w:numPr>
          <w:ilvl w:val="0"/>
          <w:numId w:val="27"/>
        </w:numPr>
        <w:spacing w:line="264" w:lineRule="auto"/>
        <w:rPr>
          <w:rFonts w:ascii="Times New Roman" w:hAnsi="Times New Roman" w:cs="Times New Roman"/>
          <w:sz w:val="25"/>
          <w:szCs w:val="25"/>
        </w:rPr>
      </w:pPr>
      <w:r w:rsidRPr="002907A1">
        <w:rPr>
          <w:rFonts w:ascii="Times New Roman" w:hAnsi="Times New Roman" w:cs="Times New Roman"/>
          <w:sz w:val="25"/>
          <w:szCs w:val="25"/>
        </w:rPr>
        <w:t xml:space="preserve">Identify how much capacity regional utilities are relying on the market to provide in their individual IRPs; </w:t>
      </w:r>
    </w:p>
    <w:p w:rsidR="002907A1" w:rsidRPr="002907A1" w:rsidRDefault="002907A1" w:rsidP="00095905">
      <w:pPr>
        <w:numPr>
          <w:ilvl w:val="0"/>
          <w:numId w:val="27"/>
        </w:numPr>
        <w:spacing w:line="264" w:lineRule="auto"/>
        <w:rPr>
          <w:rFonts w:ascii="Times New Roman" w:hAnsi="Times New Roman" w:cs="Times New Roman"/>
          <w:sz w:val="25"/>
          <w:szCs w:val="25"/>
        </w:rPr>
      </w:pPr>
      <w:r w:rsidRPr="002907A1">
        <w:rPr>
          <w:rFonts w:ascii="Times New Roman" w:hAnsi="Times New Roman" w:cs="Times New Roman"/>
          <w:sz w:val="25"/>
          <w:szCs w:val="25"/>
        </w:rPr>
        <w:t>Allocate the energy shortfall among the utilities that would be purchasing winter peak capacity.</w:t>
      </w:r>
    </w:p>
    <w:p w:rsidR="002907A1" w:rsidRPr="002907A1" w:rsidRDefault="002907A1" w:rsidP="002907A1">
      <w:pPr>
        <w:spacing w:line="264" w:lineRule="auto"/>
        <w:rPr>
          <w:rFonts w:ascii="Times New Roman" w:hAnsi="Times New Roman" w:cs="Times New Roman"/>
          <w:sz w:val="25"/>
          <w:szCs w:val="25"/>
        </w:rPr>
      </w:pPr>
    </w:p>
    <w:p w:rsidR="00EF772B" w:rsidRPr="00EF772B" w:rsidRDefault="00F26E00" w:rsidP="00EF772B">
      <w:pPr>
        <w:spacing w:line="264" w:lineRule="auto"/>
        <w:rPr>
          <w:rFonts w:ascii="Times New Roman" w:hAnsi="Times New Roman" w:cs="Times New Roman"/>
          <w:sz w:val="25"/>
          <w:szCs w:val="25"/>
        </w:rPr>
      </w:pPr>
      <w:r>
        <w:rPr>
          <w:rFonts w:ascii="Times New Roman" w:hAnsi="Times New Roman" w:cs="Times New Roman"/>
          <w:sz w:val="25"/>
          <w:szCs w:val="25"/>
        </w:rPr>
        <w:t xml:space="preserve">This is </w:t>
      </w:r>
      <w:r w:rsidR="008560D7">
        <w:rPr>
          <w:rFonts w:ascii="Times New Roman" w:hAnsi="Times New Roman" w:cs="Times New Roman"/>
          <w:sz w:val="25"/>
          <w:szCs w:val="25"/>
        </w:rPr>
        <w:t>the first time in recent memory</w:t>
      </w:r>
      <w:r>
        <w:rPr>
          <w:rFonts w:ascii="Times New Roman" w:hAnsi="Times New Roman" w:cs="Times New Roman"/>
          <w:sz w:val="25"/>
          <w:szCs w:val="25"/>
        </w:rPr>
        <w:t xml:space="preserve"> </w:t>
      </w:r>
      <w:r w:rsidR="00A05B3B">
        <w:rPr>
          <w:rFonts w:ascii="Times New Roman" w:hAnsi="Times New Roman" w:cs="Times New Roman"/>
          <w:sz w:val="25"/>
          <w:szCs w:val="25"/>
        </w:rPr>
        <w:t>that</w:t>
      </w:r>
      <w:r w:rsidR="00CA556F">
        <w:rPr>
          <w:rFonts w:ascii="Times New Roman" w:hAnsi="Times New Roman" w:cs="Times New Roman"/>
          <w:sz w:val="25"/>
          <w:szCs w:val="25"/>
        </w:rPr>
        <w:t xml:space="preserve"> </w:t>
      </w:r>
      <w:r w:rsidR="008560D7">
        <w:rPr>
          <w:rFonts w:ascii="Times New Roman" w:hAnsi="Times New Roman" w:cs="Times New Roman"/>
          <w:sz w:val="25"/>
          <w:szCs w:val="25"/>
        </w:rPr>
        <w:t xml:space="preserve">a utility presents </w:t>
      </w:r>
      <w:r w:rsidR="004541D1">
        <w:rPr>
          <w:rFonts w:ascii="Times New Roman" w:hAnsi="Times New Roman" w:cs="Times New Roman"/>
          <w:sz w:val="25"/>
          <w:szCs w:val="25"/>
        </w:rPr>
        <w:t xml:space="preserve">the Commission </w:t>
      </w:r>
      <w:r w:rsidR="007A1065">
        <w:rPr>
          <w:rFonts w:ascii="Times New Roman" w:hAnsi="Times New Roman" w:cs="Times New Roman"/>
          <w:sz w:val="25"/>
          <w:szCs w:val="25"/>
        </w:rPr>
        <w:t xml:space="preserve">with a </w:t>
      </w:r>
      <w:r w:rsidR="004541D1">
        <w:rPr>
          <w:rFonts w:ascii="Times New Roman" w:hAnsi="Times New Roman" w:cs="Times New Roman"/>
          <w:sz w:val="25"/>
          <w:szCs w:val="25"/>
        </w:rPr>
        <w:t>quantification</w:t>
      </w:r>
      <w:r w:rsidR="008560D7">
        <w:rPr>
          <w:rFonts w:ascii="Times New Roman" w:hAnsi="Times New Roman" w:cs="Times New Roman"/>
          <w:sz w:val="25"/>
          <w:szCs w:val="25"/>
        </w:rPr>
        <w:t xml:space="preserve"> </w:t>
      </w:r>
      <w:r>
        <w:rPr>
          <w:rFonts w:ascii="Times New Roman" w:hAnsi="Times New Roman" w:cs="Times New Roman"/>
          <w:sz w:val="25"/>
          <w:szCs w:val="25"/>
        </w:rPr>
        <w:t xml:space="preserve">of </w:t>
      </w:r>
      <w:r w:rsidR="008560D7">
        <w:rPr>
          <w:rFonts w:ascii="Times New Roman" w:hAnsi="Times New Roman" w:cs="Times New Roman"/>
          <w:sz w:val="25"/>
          <w:szCs w:val="25"/>
        </w:rPr>
        <w:t xml:space="preserve">the </w:t>
      </w:r>
      <w:r w:rsidR="004541D1">
        <w:rPr>
          <w:rFonts w:ascii="Times New Roman" w:hAnsi="Times New Roman" w:cs="Times New Roman"/>
          <w:sz w:val="25"/>
          <w:szCs w:val="25"/>
        </w:rPr>
        <w:t xml:space="preserve">risk of </w:t>
      </w:r>
      <w:r w:rsidR="00663C17">
        <w:rPr>
          <w:rFonts w:ascii="Times New Roman" w:hAnsi="Times New Roman" w:cs="Times New Roman"/>
          <w:sz w:val="25"/>
          <w:szCs w:val="25"/>
        </w:rPr>
        <w:t xml:space="preserve">relying on </w:t>
      </w:r>
      <w:r w:rsidR="004541D1">
        <w:rPr>
          <w:rFonts w:ascii="Times New Roman" w:hAnsi="Times New Roman" w:cs="Times New Roman"/>
          <w:sz w:val="25"/>
          <w:szCs w:val="25"/>
        </w:rPr>
        <w:t xml:space="preserve">the </w:t>
      </w:r>
      <w:r w:rsidR="008560D7">
        <w:rPr>
          <w:rFonts w:ascii="Times New Roman" w:hAnsi="Times New Roman" w:cs="Times New Roman"/>
          <w:sz w:val="25"/>
          <w:szCs w:val="25"/>
        </w:rPr>
        <w:t xml:space="preserve">market </w:t>
      </w:r>
      <w:r w:rsidR="00663C17">
        <w:rPr>
          <w:rFonts w:ascii="Times New Roman" w:hAnsi="Times New Roman" w:cs="Times New Roman"/>
          <w:sz w:val="25"/>
          <w:szCs w:val="25"/>
        </w:rPr>
        <w:t xml:space="preserve">for a portion of its </w:t>
      </w:r>
      <w:r w:rsidR="004541D1">
        <w:rPr>
          <w:rFonts w:ascii="Times New Roman" w:hAnsi="Times New Roman" w:cs="Times New Roman"/>
          <w:sz w:val="25"/>
          <w:szCs w:val="25"/>
        </w:rPr>
        <w:t>capacity</w:t>
      </w:r>
      <w:r w:rsidR="008560D7">
        <w:rPr>
          <w:rFonts w:ascii="Times New Roman" w:hAnsi="Times New Roman" w:cs="Times New Roman"/>
          <w:sz w:val="25"/>
          <w:szCs w:val="25"/>
        </w:rPr>
        <w:t xml:space="preserve"> </w:t>
      </w:r>
      <w:r w:rsidR="00663C17">
        <w:rPr>
          <w:rFonts w:ascii="Times New Roman" w:hAnsi="Times New Roman" w:cs="Times New Roman"/>
          <w:sz w:val="25"/>
          <w:szCs w:val="25"/>
        </w:rPr>
        <w:t>need</w:t>
      </w:r>
      <w:r w:rsidR="004541D1">
        <w:rPr>
          <w:rFonts w:ascii="Times New Roman" w:hAnsi="Times New Roman" w:cs="Times New Roman"/>
          <w:sz w:val="25"/>
          <w:szCs w:val="25"/>
        </w:rPr>
        <w:t xml:space="preserve">. </w:t>
      </w:r>
      <w:r>
        <w:rPr>
          <w:rFonts w:ascii="Times New Roman" w:hAnsi="Times New Roman" w:cs="Times New Roman"/>
          <w:sz w:val="25"/>
          <w:szCs w:val="25"/>
        </w:rPr>
        <w:t xml:space="preserve">It is clear that </w:t>
      </w:r>
      <w:r w:rsidR="008560D7">
        <w:rPr>
          <w:rFonts w:ascii="Times New Roman" w:hAnsi="Times New Roman" w:cs="Times New Roman"/>
          <w:sz w:val="25"/>
          <w:szCs w:val="25"/>
        </w:rPr>
        <w:t>PSE devoted substantial resources t</w:t>
      </w:r>
      <w:r w:rsidR="007037DB">
        <w:rPr>
          <w:rFonts w:ascii="Times New Roman" w:hAnsi="Times New Roman" w:cs="Times New Roman"/>
          <w:sz w:val="25"/>
          <w:szCs w:val="25"/>
        </w:rPr>
        <w:t>o develop</w:t>
      </w:r>
      <w:r w:rsidR="008560D7">
        <w:rPr>
          <w:rFonts w:ascii="Times New Roman" w:hAnsi="Times New Roman" w:cs="Times New Roman"/>
          <w:sz w:val="25"/>
          <w:szCs w:val="25"/>
        </w:rPr>
        <w:t xml:space="preserve"> this </w:t>
      </w:r>
      <w:r w:rsidR="004541D1">
        <w:rPr>
          <w:rFonts w:ascii="Times New Roman" w:hAnsi="Times New Roman" w:cs="Times New Roman"/>
          <w:sz w:val="25"/>
          <w:szCs w:val="25"/>
        </w:rPr>
        <w:t xml:space="preserve">analysis and </w:t>
      </w:r>
      <w:r>
        <w:rPr>
          <w:rFonts w:ascii="Times New Roman" w:hAnsi="Times New Roman" w:cs="Times New Roman"/>
          <w:sz w:val="25"/>
          <w:szCs w:val="25"/>
        </w:rPr>
        <w:t xml:space="preserve">the Commission </w:t>
      </w:r>
      <w:r w:rsidR="00A05B3B">
        <w:rPr>
          <w:rFonts w:ascii="Times New Roman" w:hAnsi="Times New Roman" w:cs="Times New Roman"/>
          <w:sz w:val="25"/>
          <w:szCs w:val="25"/>
        </w:rPr>
        <w:t xml:space="preserve">commends </w:t>
      </w:r>
      <w:r>
        <w:rPr>
          <w:rFonts w:ascii="Times New Roman" w:hAnsi="Times New Roman" w:cs="Times New Roman"/>
          <w:sz w:val="25"/>
          <w:szCs w:val="25"/>
        </w:rPr>
        <w:t>the Company for</w:t>
      </w:r>
      <w:r w:rsidR="004541D1">
        <w:rPr>
          <w:rFonts w:ascii="Times New Roman" w:hAnsi="Times New Roman" w:cs="Times New Roman"/>
          <w:sz w:val="25"/>
          <w:szCs w:val="25"/>
        </w:rPr>
        <w:t xml:space="preserve"> this effort</w:t>
      </w:r>
      <w:r w:rsidR="008560D7">
        <w:rPr>
          <w:rFonts w:ascii="Times New Roman" w:hAnsi="Times New Roman" w:cs="Times New Roman"/>
          <w:sz w:val="25"/>
          <w:szCs w:val="25"/>
        </w:rPr>
        <w:t xml:space="preserve">. </w:t>
      </w:r>
      <w:r w:rsidR="00420A62">
        <w:rPr>
          <w:rFonts w:ascii="Times New Roman" w:hAnsi="Times New Roman" w:cs="Times New Roman"/>
          <w:sz w:val="25"/>
          <w:szCs w:val="25"/>
        </w:rPr>
        <w:t xml:space="preserve">This </w:t>
      </w:r>
      <w:r w:rsidR="00420A62" w:rsidRPr="002907A1">
        <w:rPr>
          <w:rFonts w:ascii="Times New Roman" w:hAnsi="Times New Roman" w:cs="Times New Roman"/>
          <w:sz w:val="25"/>
          <w:szCs w:val="25"/>
        </w:rPr>
        <w:t xml:space="preserve">market risk model </w:t>
      </w:r>
      <w:r w:rsidR="00420A62">
        <w:rPr>
          <w:rFonts w:ascii="Times New Roman" w:hAnsi="Times New Roman" w:cs="Times New Roman"/>
          <w:sz w:val="25"/>
          <w:szCs w:val="25"/>
        </w:rPr>
        <w:t xml:space="preserve">appears </w:t>
      </w:r>
      <w:r w:rsidR="00420A62" w:rsidRPr="002907A1">
        <w:rPr>
          <w:rFonts w:ascii="Times New Roman" w:hAnsi="Times New Roman" w:cs="Times New Roman"/>
          <w:sz w:val="25"/>
          <w:szCs w:val="25"/>
        </w:rPr>
        <w:t>fundamentally sound and represents a reasonable means of modeling a difficult</w:t>
      </w:r>
      <w:r w:rsidR="007A1065">
        <w:rPr>
          <w:rFonts w:ascii="Times New Roman" w:hAnsi="Times New Roman" w:cs="Times New Roman"/>
          <w:sz w:val="25"/>
          <w:szCs w:val="25"/>
        </w:rPr>
        <w:t xml:space="preserve"> </w:t>
      </w:r>
      <w:r w:rsidR="007548D2">
        <w:rPr>
          <w:rFonts w:ascii="Times New Roman" w:hAnsi="Times New Roman" w:cs="Times New Roman"/>
          <w:sz w:val="25"/>
          <w:szCs w:val="25"/>
        </w:rPr>
        <w:t>challenge</w:t>
      </w:r>
      <w:r w:rsidR="00420A62" w:rsidRPr="002907A1">
        <w:rPr>
          <w:rFonts w:ascii="Times New Roman" w:hAnsi="Times New Roman" w:cs="Times New Roman"/>
          <w:sz w:val="25"/>
          <w:szCs w:val="25"/>
        </w:rPr>
        <w:t>.</w:t>
      </w:r>
      <w:r w:rsidR="00EF772B">
        <w:rPr>
          <w:rFonts w:ascii="Times New Roman" w:hAnsi="Times New Roman" w:cs="Times New Roman"/>
          <w:sz w:val="25"/>
          <w:szCs w:val="25"/>
        </w:rPr>
        <w:t xml:space="preserve"> </w:t>
      </w:r>
      <w:r>
        <w:rPr>
          <w:rFonts w:ascii="Times New Roman" w:hAnsi="Times New Roman" w:cs="Times New Roman"/>
          <w:sz w:val="25"/>
          <w:szCs w:val="25"/>
        </w:rPr>
        <w:t xml:space="preserve">The Commission </w:t>
      </w:r>
      <w:r w:rsidR="00EF772B" w:rsidRPr="00EF772B">
        <w:rPr>
          <w:rFonts w:ascii="Times New Roman" w:hAnsi="Times New Roman" w:cs="Times New Roman"/>
          <w:sz w:val="25"/>
          <w:szCs w:val="25"/>
        </w:rPr>
        <w:t>encourage</w:t>
      </w:r>
      <w:r>
        <w:rPr>
          <w:rFonts w:ascii="Times New Roman" w:hAnsi="Times New Roman" w:cs="Times New Roman"/>
          <w:sz w:val="25"/>
          <w:szCs w:val="25"/>
        </w:rPr>
        <w:t>s</w:t>
      </w:r>
      <w:r w:rsidR="00EF772B" w:rsidRPr="00EF772B">
        <w:rPr>
          <w:rFonts w:ascii="Times New Roman" w:hAnsi="Times New Roman" w:cs="Times New Roman"/>
          <w:sz w:val="25"/>
          <w:szCs w:val="25"/>
        </w:rPr>
        <w:t xml:space="preserve"> the </w:t>
      </w:r>
      <w:r w:rsidR="00EF772B">
        <w:rPr>
          <w:rFonts w:ascii="Times New Roman" w:hAnsi="Times New Roman" w:cs="Times New Roman"/>
          <w:sz w:val="25"/>
          <w:szCs w:val="25"/>
        </w:rPr>
        <w:t>C</w:t>
      </w:r>
      <w:r w:rsidR="00EF772B" w:rsidRPr="00EF772B">
        <w:rPr>
          <w:rFonts w:ascii="Times New Roman" w:hAnsi="Times New Roman" w:cs="Times New Roman"/>
          <w:sz w:val="25"/>
          <w:szCs w:val="25"/>
        </w:rPr>
        <w:t xml:space="preserve">ompany to continue </w:t>
      </w:r>
      <w:r w:rsidR="00EF772B">
        <w:rPr>
          <w:rFonts w:ascii="Times New Roman" w:hAnsi="Times New Roman" w:cs="Times New Roman"/>
          <w:sz w:val="25"/>
          <w:szCs w:val="25"/>
        </w:rPr>
        <w:t>to model market risk in future IRPs</w:t>
      </w:r>
      <w:r w:rsidR="00EF772B" w:rsidRPr="00EF772B">
        <w:rPr>
          <w:rFonts w:ascii="Times New Roman" w:hAnsi="Times New Roman" w:cs="Times New Roman"/>
          <w:sz w:val="25"/>
          <w:szCs w:val="25"/>
        </w:rPr>
        <w:t>.</w:t>
      </w:r>
    </w:p>
    <w:p w:rsidR="00FB0DAC" w:rsidRDefault="00FB0DAC" w:rsidP="002907A1">
      <w:pPr>
        <w:spacing w:line="264" w:lineRule="auto"/>
        <w:rPr>
          <w:rFonts w:ascii="Times New Roman" w:hAnsi="Times New Roman" w:cs="Times New Roman"/>
          <w:sz w:val="25"/>
          <w:szCs w:val="25"/>
        </w:rPr>
      </w:pPr>
    </w:p>
    <w:p w:rsidR="00FB0DAC" w:rsidRPr="00F94391" w:rsidRDefault="00EF772B" w:rsidP="00CB76F3">
      <w:pPr>
        <w:pStyle w:val="ListParagraph"/>
        <w:numPr>
          <w:ilvl w:val="0"/>
          <w:numId w:val="10"/>
        </w:numPr>
        <w:spacing w:line="264" w:lineRule="auto"/>
        <w:rPr>
          <w:rFonts w:ascii="Times New Roman" w:hAnsi="Times New Roman" w:cs="Times New Roman"/>
          <w:sz w:val="25"/>
          <w:szCs w:val="25"/>
        </w:rPr>
      </w:pPr>
      <w:r w:rsidRPr="00F94391">
        <w:rPr>
          <w:rFonts w:ascii="Times New Roman" w:hAnsi="Times New Roman" w:cs="Times New Roman"/>
          <w:sz w:val="25"/>
          <w:szCs w:val="25"/>
        </w:rPr>
        <w:t xml:space="preserve">As this is a relatively novel effort, </w:t>
      </w:r>
      <w:r w:rsidR="008560D7" w:rsidRPr="00F94391">
        <w:rPr>
          <w:rFonts w:ascii="Times New Roman" w:hAnsi="Times New Roman" w:cs="Times New Roman"/>
          <w:sz w:val="25"/>
          <w:szCs w:val="25"/>
        </w:rPr>
        <w:t xml:space="preserve">PSE should </w:t>
      </w:r>
      <w:r w:rsidR="00F94391" w:rsidRPr="00F94391">
        <w:rPr>
          <w:rFonts w:ascii="Times New Roman" w:hAnsi="Times New Roman" w:cs="Times New Roman"/>
          <w:sz w:val="25"/>
          <w:szCs w:val="25"/>
        </w:rPr>
        <w:t xml:space="preserve">discuss with </w:t>
      </w:r>
      <w:r w:rsidR="009F73DB">
        <w:rPr>
          <w:rFonts w:ascii="Times New Roman" w:hAnsi="Times New Roman" w:cs="Times New Roman"/>
          <w:sz w:val="25"/>
          <w:szCs w:val="25"/>
        </w:rPr>
        <w:t>the</w:t>
      </w:r>
      <w:r w:rsidR="00F94391" w:rsidRPr="00F94391">
        <w:rPr>
          <w:rFonts w:ascii="Times New Roman" w:hAnsi="Times New Roman" w:cs="Times New Roman"/>
          <w:sz w:val="25"/>
          <w:szCs w:val="25"/>
        </w:rPr>
        <w:t xml:space="preserve"> advisory group </w:t>
      </w:r>
      <w:r w:rsidR="007A1065">
        <w:rPr>
          <w:rFonts w:ascii="Times New Roman" w:hAnsi="Times New Roman" w:cs="Times New Roman"/>
          <w:sz w:val="25"/>
          <w:szCs w:val="25"/>
        </w:rPr>
        <w:t>whether</w:t>
      </w:r>
      <w:r>
        <w:rPr>
          <w:rFonts w:ascii="Times New Roman" w:hAnsi="Times New Roman" w:cs="Times New Roman"/>
          <w:sz w:val="25"/>
          <w:szCs w:val="25"/>
        </w:rPr>
        <w:t xml:space="preserve"> </w:t>
      </w:r>
      <w:r w:rsidR="00FB0DAC" w:rsidRPr="00F94391">
        <w:rPr>
          <w:rFonts w:ascii="Times New Roman" w:hAnsi="Times New Roman" w:cs="Times New Roman"/>
          <w:sz w:val="25"/>
          <w:szCs w:val="25"/>
        </w:rPr>
        <w:t>other market risk models</w:t>
      </w:r>
      <w:r>
        <w:rPr>
          <w:rFonts w:ascii="Times New Roman" w:hAnsi="Times New Roman" w:cs="Times New Roman"/>
          <w:sz w:val="25"/>
          <w:szCs w:val="25"/>
        </w:rPr>
        <w:t xml:space="preserve"> are available</w:t>
      </w:r>
      <w:r w:rsidR="00BC1D6F">
        <w:rPr>
          <w:rFonts w:ascii="Times New Roman" w:hAnsi="Times New Roman" w:cs="Times New Roman"/>
          <w:sz w:val="25"/>
          <w:szCs w:val="25"/>
        </w:rPr>
        <w:t xml:space="preserve"> for use in the 2017 IRP</w:t>
      </w:r>
      <w:r w:rsidR="00FB0DAC" w:rsidRPr="00F94391">
        <w:rPr>
          <w:rFonts w:ascii="Times New Roman" w:hAnsi="Times New Roman" w:cs="Times New Roman"/>
          <w:sz w:val="25"/>
          <w:szCs w:val="25"/>
        </w:rPr>
        <w:t>.</w:t>
      </w:r>
    </w:p>
    <w:p w:rsidR="008560D7" w:rsidRPr="00EF772B" w:rsidRDefault="00EF772B" w:rsidP="00BC1D6F">
      <w:pPr>
        <w:pStyle w:val="ListParagraph"/>
        <w:numPr>
          <w:ilvl w:val="0"/>
          <w:numId w:val="10"/>
        </w:numPr>
        <w:spacing w:line="264" w:lineRule="auto"/>
        <w:rPr>
          <w:rFonts w:ascii="Times New Roman" w:hAnsi="Times New Roman" w:cs="Times New Roman"/>
          <w:sz w:val="25"/>
          <w:szCs w:val="25"/>
        </w:rPr>
      </w:pPr>
      <w:r>
        <w:rPr>
          <w:rFonts w:ascii="Times New Roman" w:hAnsi="Times New Roman" w:cs="Times New Roman"/>
          <w:sz w:val="25"/>
          <w:szCs w:val="25"/>
        </w:rPr>
        <w:t xml:space="preserve">If PSE continues to use the model it developed in the 2015 IRP, it should continue to refine the model. </w:t>
      </w:r>
      <w:r w:rsidRPr="00EF772B">
        <w:rPr>
          <w:rFonts w:ascii="Times New Roman" w:hAnsi="Times New Roman" w:cs="Times New Roman"/>
          <w:sz w:val="25"/>
          <w:szCs w:val="25"/>
        </w:rPr>
        <w:t xml:space="preserve">The Company should review with </w:t>
      </w:r>
      <w:r w:rsidR="009F73DB">
        <w:rPr>
          <w:rFonts w:ascii="Times New Roman" w:hAnsi="Times New Roman" w:cs="Times New Roman"/>
          <w:sz w:val="25"/>
          <w:szCs w:val="25"/>
        </w:rPr>
        <w:t>the</w:t>
      </w:r>
      <w:r w:rsidRPr="00EF772B">
        <w:rPr>
          <w:rFonts w:ascii="Times New Roman" w:hAnsi="Times New Roman" w:cs="Times New Roman"/>
          <w:sz w:val="25"/>
          <w:szCs w:val="25"/>
        </w:rPr>
        <w:t xml:space="preserve"> advisory group every modification to the assumptions used in the </w:t>
      </w:r>
      <w:r w:rsidR="00BC1D6F" w:rsidRPr="00BC1D6F">
        <w:rPr>
          <w:rFonts w:ascii="Times New Roman" w:hAnsi="Times New Roman" w:cs="Times New Roman"/>
          <w:sz w:val="25"/>
          <w:szCs w:val="25"/>
        </w:rPr>
        <w:t>Pacific Northwest Power Supply Adequacy Assessment</w:t>
      </w:r>
      <w:r w:rsidRPr="00EF772B">
        <w:rPr>
          <w:rFonts w:ascii="Times New Roman" w:hAnsi="Times New Roman" w:cs="Times New Roman"/>
          <w:sz w:val="25"/>
          <w:szCs w:val="25"/>
        </w:rPr>
        <w:t>.</w:t>
      </w:r>
      <w:r w:rsidRPr="002907A1">
        <w:rPr>
          <w:vertAlign w:val="superscript"/>
        </w:rPr>
        <w:footnoteReference w:id="10"/>
      </w:r>
    </w:p>
    <w:p w:rsidR="002907A1" w:rsidRPr="002907A1" w:rsidRDefault="002907A1" w:rsidP="002907A1">
      <w:pPr>
        <w:spacing w:line="264" w:lineRule="auto"/>
        <w:rPr>
          <w:rFonts w:ascii="Times New Roman" w:hAnsi="Times New Roman" w:cs="Times New Roman"/>
          <w:sz w:val="25"/>
          <w:szCs w:val="25"/>
        </w:rPr>
      </w:pPr>
    </w:p>
    <w:p w:rsidR="002907A1" w:rsidRPr="002907A1" w:rsidRDefault="002907A1" w:rsidP="00A86E5A">
      <w:pPr>
        <w:spacing w:line="264" w:lineRule="auto"/>
        <w:ind w:left="720"/>
        <w:rPr>
          <w:rFonts w:ascii="Times New Roman" w:hAnsi="Times New Roman" w:cs="Times New Roman"/>
          <w:i/>
          <w:sz w:val="25"/>
          <w:szCs w:val="25"/>
        </w:rPr>
      </w:pPr>
      <w:r w:rsidRPr="002907A1">
        <w:rPr>
          <w:rFonts w:ascii="Times New Roman" w:hAnsi="Times New Roman" w:cs="Times New Roman"/>
          <w:i/>
          <w:sz w:val="25"/>
          <w:szCs w:val="25"/>
        </w:rPr>
        <w:t>Summary</w:t>
      </w:r>
    </w:p>
    <w:p w:rsidR="002907A1" w:rsidRPr="002907A1" w:rsidRDefault="002907A1" w:rsidP="002907A1">
      <w:pPr>
        <w:spacing w:line="264" w:lineRule="auto"/>
        <w:rPr>
          <w:rFonts w:ascii="Times New Roman" w:hAnsi="Times New Roman" w:cs="Times New Roman"/>
          <w:sz w:val="25"/>
          <w:szCs w:val="25"/>
        </w:rPr>
      </w:pPr>
    </w:p>
    <w:p w:rsidR="00CE728B" w:rsidRDefault="007037DB" w:rsidP="002907A1">
      <w:pPr>
        <w:spacing w:line="264" w:lineRule="auto"/>
        <w:rPr>
          <w:rFonts w:ascii="Times New Roman" w:hAnsi="Times New Roman" w:cs="Times New Roman"/>
          <w:sz w:val="25"/>
          <w:szCs w:val="25"/>
        </w:rPr>
      </w:pPr>
      <w:r>
        <w:rPr>
          <w:rFonts w:ascii="Times New Roman" w:hAnsi="Times New Roman" w:cs="Times New Roman"/>
          <w:sz w:val="25"/>
          <w:szCs w:val="25"/>
        </w:rPr>
        <w:t>The</w:t>
      </w:r>
      <w:r w:rsidR="002907A1" w:rsidRPr="002907A1">
        <w:rPr>
          <w:rFonts w:ascii="Times New Roman" w:hAnsi="Times New Roman" w:cs="Times New Roman"/>
          <w:sz w:val="25"/>
          <w:szCs w:val="25"/>
        </w:rPr>
        <w:t xml:space="preserve"> proposed </w:t>
      </w:r>
      <w:r w:rsidR="00F26E00">
        <w:rPr>
          <w:rFonts w:ascii="Times New Roman" w:hAnsi="Times New Roman" w:cs="Times New Roman"/>
          <w:sz w:val="25"/>
          <w:szCs w:val="25"/>
        </w:rPr>
        <w:t xml:space="preserve">planning </w:t>
      </w:r>
      <w:r w:rsidR="002907A1" w:rsidRPr="002907A1">
        <w:rPr>
          <w:rFonts w:ascii="Times New Roman" w:hAnsi="Times New Roman" w:cs="Times New Roman"/>
          <w:sz w:val="25"/>
          <w:szCs w:val="25"/>
        </w:rPr>
        <w:t xml:space="preserve">standard </w:t>
      </w:r>
      <w:r>
        <w:rPr>
          <w:rFonts w:ascii="Times New Roman" w:hAnsi="Times New Roman" w:cs="Times New Roman"/>
          <w:sz w:val="25"/>
          <w:szCs w:val="25"/>
        </w:rPr>
        <w:t xml:space="preserve">includes multiple </w:t>
      </w:r>
      <w:r w:rsidR="007A1065">
        <w:rPr>
          <w:rFonts w:ascii="Times New Roman" w:hAnsi="Times New Roman" w:cs="Times New Roman"/>
          <w:sz w:val="25"/>
          <w:szCs w:val="25"/>
        </w:rPr>
        <w:t>elements</w:t>
      </w:r>
      <w:r>
        <w:rPr>
          <w:rFonts w:ascii="Times New Roman" w:hAnsi="Times New Roman" w:cs="Times New Roman"/>
          <w:sz w:val="25"/>
          <w:szCs w:val="25"/>
        </w:rPr>
        <w:t xml:space="preserve"> that</w:t>
      </w:r>
      <w:r w:rsidR="007548D2">
        <w:rPr>
          <w:rFonts w:ascii="Times New Roman" w:hAnsi="Times New Roman" w:cs="Times New Roman"/>
          <w:sz w:val="25"/>
          <w:szCs w:val="25"/>
        </w:rPr>
        <w:t xml:space="preserve"> have an end-result of increasing </w:t>
      </w:r>
      <w:r>
        <w:rPr>
          <w:rFonts w:ascii="Times New Roman" w:hAnsi="Times New Roman" w:cs="Times New Roman"/>
          <w:sz w:val="25"/>
          <w:szCs w:val="25"/>
        </w:rPr>
        <w:t>PSE’s resource need</w:t>
      </w:r>
      <w:r w:rsidR="007548D2">
        <w:rPr>
          <w:rFonts w:ascii="Times New Roman" w:hAnsi="Times New Roman" w:cs="Times New Roman"/>
          <w:sz w:val="25"/>
          <w:szCs w:val="25"/>
        </w:rPr>
        <w:t xml:space="preserve"> in the near term</w:t>
      </w:r>
      <w:r w:rsidR="00CE0506">
        <w:rPr>
          <w:rFonts w:ascii="Times New Roman" w:hAnsi="Times New Roman" w:cs="Times New Roman"/>
          <w:sz w:val="25"/>
          <w:szCs w:val="25"/>
        </w:rPr>
        <w:t>. T</w:t>
      </w:r>
      <w:r w:rsidR="002907A1" w:rsidRPr="002907A1">
        <w:rPr>
          <w:rFonts w:ascii="Times New Roman" w:hAnsi="Times New Roman" w:cs="Times New Roman"/>
          <w:sz w:val="25"/>
          <w:szCs w:val="25"/>
        </w:rPr>
        <w:t xml:space="preserve">he cost-benefit of </w:t>
      </w:r>
      <w:r w:rsidR="00A05B3B">
        <w:rPr>
          <w:rFonts w:ascii="Times New Roman" w:hAnsi="Times New Roman" w:cs="Times New Roman"/>
          <w:sz w:val="25"/>
          <w:szCs w:val="25"/>
        </w:rPr>
        <w:t xml:space="preserve">the </w:t>
      </w:r>
      <w:r w:rsidR="002907A1" w:rsidRPr="002907A1">
        <w:rPr>
          <w:rFonts w:ascii="Times New Roman" w:hAnsi="Times New Roman" w:cs="Times New Roman"/>
          <w:sz w:val="25"/>
          <w:szCs w:val="25"/>
        </w:rPr>
        <w:t>reliability component creates a need for additional resources, while the market risk and ICE components simultaneously discount the capacity value of many of the resources used to meet that need. This type of fundamental shift require</w:t>
      </w:r>
      <w:r w:rsidR="00CE0506">
        <w:rPr>
          <w:rFonts w:ascii="Times New Roman" w:hAnsi="Times New Roman" w:cs="Times New Roman"/>
          <w:sz w:val="25"/>
          <w:szCs w:val="25"/>
        </w:rPr>
        <w:t>s</w:t>
      </w:r>
      <w:r w:rsidR="002907A1" w:rsidRPr="002907A1">
        <w:rPr>
          <w:rFonts w:ascii="Times New Roman" w:hAnsi="Times New Roman" w:cs="Times New Roman"/>
          <w:sz w:val="25"/>
          <w:szCs w:val="25"/>
        </w:rPr>
        <w:t xml:space="preserve"> significant justification and PSE has failed to provide that justification. </w:t>
      </w:r>
    </w:p>
    <w:p w:rsidR="00CE728B" w:rsidRDefault="00CE728B" w:rsidP="002907A1">
      <w:pPr>
        <w:spacing w:line="264" w:lineRule="auto"/>
        <w:rPr>
          <w:rFonts w:ascii="Times New Roman" w:hAnsi="Times New Roman" w:cs="Times New Roman"/>
          <w:sz w:val="25"/>
          <w:szCs w:val="25"/>
        </w:rPr>
      </w:pPr>
    </w:p>
    <w:p w:rsidR="00CB4298" w:rsidRDefault="00CB4298" w:rsidP="00CB4298">
      <w:pPr>
        <w:spacing w:line="264" w:lineRule="auto"/>
        <w:rPr>
          <w:rFonts w:ascii="Times New Roman" w:hAnsi="Times New Roman" w:cs="Times New Roman"/>
          <w:sz w:val="25"/>
          <w:szCs w:val="25"/>
        </w:rPr>
      </w:pPr>
      <w:r w:rsidRPr="00CB4298">
        <w:rPr>
          <w:rFonts w:ascii="Times New Roman" w:hAnsi="Times New Roman" w:cs="Times New Roman"/>
          <w:sz w:val="25"/>
          <w:szCs w:val="25"/>
        </w:rPr>
        <w:lastRenderedPageBreak/>
        <w:t xml:space="preserve">Utilities use a wide variety of metrics </w:t>
      </w:r>
      <w:r w:rsidR="00A05B3B">
        <w:rPr>
          <w:rFonts w:ascii="Times New Roman" w:hAnsi="Times New Roman" w:cs="Times New Roman"/>
          <w:sz w:val="25"/>
          <w:szCs w:val="25"/>
        </w:rPr>
        <w:t xml:space="preserve">including </w:t>
      </w:r>
      <w:r w:rsidRPr="00CB4298">
        <w:rPr>
          <w:rFonts w:ascii="Times New Roman" w:hAnsi="Times New Roman" w:cs="Times New Roman"/>
          <w:sz w:val="25"/>
          <w:szCs w:val="25"/>
        </w:rPr>
        <w:t xml:space="preserve">LOLP, </w:t>
      </w:r>
      <w:r w:rsidR="00D46AD9">
        <w:rPr>
          <w:rFonts w:ascii="Times New Roman" w:hAnsi="Times New Roman" w:cs="Times New Roman"/>
          <w:sz w:val="25"/>
          <w:szCs w:val="25"/>
        </w:rPr>
        <w:t xml:space="preserve">EUE, </w:t>
      </w:r>
      <w:r w:rsidR="00A05B3B">
        <w:rPr>
          <w:rFonts w:ascii="Times New Roman" w:hAnsi="Times New Roman" w:cs="Times New Roman"/>
          <w:sz w:val="25"/>
          <w:szCs w:val="25"/>
        </w:rPr>
        <w:t>Loss of Load Hours</w:t>
      </w:r>
      <w:r w:rsidR="00D46AD9">
        <w:rPr>
          <w:rFonts w:ascii="Times New Roman" w:hAnsi="Times New Roman" w:cs="Times New Roman"/>
          <w:sz w:val="25"/>
          <w:szCs w:val="25"/>
        </w:rPr>
        <w:t xml:space="preserve">, </w:t>
      </w:r>
      <w:r w:rsidR="00A05B3B">
        <w:rPr>
          <w:rFonts w:ascii="Times New Roman" w:hAnsi="Times New Roman" w:cs="Times New Roman"/>
          <w:sz w:val="25"/>
          <w:szCs w:val="25"/>
        </w:rPr>
        <w:t xml:space="preserve">and </w:t>
      </w:r>
      <w:r w:rsidRPr="00CB4298">
        <w:rPr>
          <w:rFonts w:ascii="Times New Roman" w:hAnsi="Times New Roman" w:cs="Times New Roman"/>
          <w:sz w:val="25"/>
          <w:szCs w:val="25"/>
        </w:rPr>
        <w:t>planning margin</w:t>
      </w:r>
      <w:r w:rsidR="00A05B3B">
        <w:rPr>
          <w:rFonts w:ascii="Times New Roman" w:hAnsi="Times New Roman" w:cs="Times New Roman"/>
          <w:sz w:val="25"/>
          <w:szCs w:val="25"/>
        </w:rPr>
        <w:t>s</w:t>
      </w:r>
      <w:r w:rsidR="00D46AD9">
        <w:rPr>
          <w:rFonts w:ascii="Times New Roman" w:hAnsi="Times New Roman" w:cs="Times New Roman"/>
          <w:sz w:val="25"/>
          <w:szCs w:val="25"/>
        </w:rPr>
        <w:t xml:space="preserve">, </w:t>
      </w:r>
      <w:r w:rsidRPr="00CB4298">
        <w:rPr>
          <w:rFonts w:ascii="Times New Roman" w:hAnsi="Times New Roman" w:cs="Times New Roman"/>
          <w:sz w:val="25"/>
          <w:szCs w:val="25"/>
        </w:rPr>
        <w:t xml:space="preserve">to evaluate </w:t>
      </w:r>
      <w:r w:rsidR="00D56FC0">
        <w:rPr>
          <w:rFonts w:ascii="Times New Roman" w:hAnsi="Times New Roman" w:cs="Times New Roman"/>
          <w:sz w:val="25"/>
          <w:szCs w:val="25"/>
        </w:rPr>
        <w:t>resource adequacy</w:t>
      </w:r>
      <w:r w:rsidRPr="00CB4298">
        <w:rPr>
          <w:rFonts w:ascii="Times New Roman" w:hAnsi="Times New Roman" w:cs="Times New Roman"/>
          <w:sz w:val="25"/>
          <w:szCs w:val="25"/>
        </w:rPr>
        <w:t xml:space="preserve">. In the 2015 IRP, PSE inappropriately focused on a “shift” from using one metric (LOLP) to another (EUE). </w:t>
      </w:r>
      <w:r>
        <w:rPr>
          <w:rFonts w:ascii="Times New Roman" w:hAnsi="Times New Roman" w:cs="Times New Roman"/>
          <w:sz w:val="25"/>
          <w:szCs w:val="25"/>
        </w:rPr>
        <w:t xml:space="preserve">Instead of choosing one metric to focus on and devaluing the others, PSE should present multiple metrics in </w:t>
      </w:r>
      <w:r w:rsidR="000E2FB5">
        <w:rPr>
          <w:rFonts w:ascii="Times New Roman" w:hAnsi="Times New Roman" w:cs="Times New Roman"/>
          <w:sz w:val="25"/>
          <w:szCs w:val="25"/>
        </w:rPr>
        <w:t>the</w:t>
      </w:r>
      <w:r w:rsidR="008D334A">
        <w:rPr>
          <w:rFonts w:ascii="Times New Roman" w:hAnsi="Times New Roman" w:cs="Times New Roman"/>
          <w:sz w:val="25"/>
          <w:szCs w:val="25"/>
        </w:rPr>
        <w:t xml:space="preserve"> </w:t>
      </w:r>
      <w:r w:rsidR="002012C9">
        <w:rPr>
          <w:rFonts w:ascii="Times New Roman" w:hAnsi="Times New Roman" w:cs="Times New Roman"/>
          <w:sz w:val="25"/>
          <w:szCs w:val="25"/>
        </w:rPr>
        <w:t>2017</w:t>
      </w:r>
      <w:r>
        <w:rPr>
          <w:rFonts w:ascii="Times New Roman" w:hAnsi="Times New Roman" w:cs="Times New Roman"/>
          <w:sz w:val="25"/>
          <w:szCs w:val="25"/>
        </w:rPr>
        <w:t xml:space="preserve"> IRP and focus on minimizing total risk to customers by </w:t>
      </w:r>
      <w:r w:rsidR="008432D5">
        <w:rPr>
          <w:rFonts w:ascii="Times New Roman" w:hAnsi="Times New Roman" w:cs="Times New Roman"/>
          <w:sz w:val="25"/>
          <w:szCs w:val="25"/>
        </w:rPr>
        <w:t xml:space="preserve">evaluating </w:t>
      </w:r>
      <w:r>
        <w:rPr>
          <w:rFonts w:ascii="Times New Roman" w:hAnsi="Times New Roman" w:cs="Times New Roman"/>
          <w:sz w:val="25"/>
          <w:szCs w:val="25"/>
        </w:rPr>
        <w:t>all the data available</w:t>
      </w:r>
      <w:r w:rsidR="00A05B3B">
        <w:rPr>
          <w:rFonts w:ascii="Times New Roman" w:hAnsi="Times New Roman" w:cs="Times New Roman"/>
          <w:sz w:val="25"/>
          <w:szCs w:val="25"/>
        </w:rPr>
        <w:t>.</w:t>
      </w:r>
    </w:p>
    <w:p w:rsidR="00CB4298" w:rsidRPr="00CB4298" w:rsidRDefault="00CB4298" w:rsidP="00CB4298">
      <w:pPr>
        <w:spacing w:line="264" w:lineRule="auto"/>
        <w:rPr>
          <w:rFonts w:ascii="Times New Roman" w:hAnsi="Times New Roman" w:cs="Times New Roman"/>
          <w:sz w:val="25"/>
          <w:szCs w:val="25"/>
        </w:rPr>
      </w:pPr>
    </w:p>
    <w:p w:rsidR="0044737F" w:rsidRDefault="001465FD" w:rsidP="002907A1">
      <w:pPr>
        <w:spacing w:line="264" w:lineRule="auto"/>
        <w:rPr>
          <w:rFonts w:ascii="Times New Roman" w:hAnsi="Times New Roman" w:cs="Times New Roman"/>
          <w:sz w:val="25"/>
          <w:szCs w:val="25"/>
        </w:rPr>
      </w:pPr>
      <w:r>
        <w:rPr>
          <w:rFonts w:ascii="Times New Roman" w:hAnsi="Times New Roman" w:cs="Times New Roman"/>
          <w:sz w:val="25"/>
          <w:szCs w:val="25"/>
        </w:rPr>
        <w:t>Further, with the exception of the market risk assessment, PSE instituted all of these changes very late in the IRP cycle</w:t>
      </w:r>
      <w:r w:rsidR="00A8374B">
        <w:rPr>
          <w:rFonts w:ascii="Times New Roman" w:hAnsi="Times New Roman" w:cs="Times New Roman"/>
          <w:sz w:val="25"/>
          <w:szCs w:val="25"/>
        </w:rPr>
        <w:t>. Every</w:t>
      </w:r>
      <w:r w:rsidR="00A05B3B">
        <w:rPr>
          <w:rFonts w:ascii="Times New Roman" w:hAnsi="Times New Roman" w:cs="Times New Roman"/>
          <w:sz w:val="25"/>
          <w:szCs w:val="25"/>
        </w:rPr>
        <w:t xml:space="preserve"> stakeholder</w:t>
      </w:r>
      <w:r w:rsidR="00A8374B">
        <w:rPr>
          <w:rFonts w:ascii="Times New Roman" w:hAnsi="Times New Roman" w:cs="Times New Roman"/>
          <w:sz w:val="25"/>
          <w:szCs w:val="25"/>
        </w:rPr>
        <w:t xml:space="preserve"> comment </w:t>
      </w:r>
      <w:r w:rsidR="00CE0506">
        <w:rPr>
          <w:rFonts w:ascii="Times New Roman" w:hAnsi="Times New Roman" w:cs="Times New Roman"/>
          <w:sz w:val="25"/>
          <w:szCs w:val="25"/>
        </w:rPr>
        <w:t>the Commission</w:t>
      </w:r>
      <w:r w:rsidR="00A8374B">
        <w:rPr>
          <w:rFonts w:ascii="Times New Roman" w:hAnsi="Times New Roman" w:cs="Times New Roman"/>
          <w:sz w:val="25"/>
          <w:szCs w:val="25"/>
        </w:rPr>
        <w:t xml:space="preserve"> received on the new planning standard opposed the change</w:t>
      </w:r>
      <w:r>
        <w:rPr>
          <w:rFonts w:ascii="Times New Roman" w:hAnsi="Times New Roman" w:cs="Times New Roman"/>
          <w:sz w:val="25"/>
          <w:szCs w:val="25"/>
        </w:rPr>
        <w:t xml:space="preserve">. </w:t>
      </w:r>
      <w:r w:rsidR="00AB3A4B">
        <w:rPr>
          <w:rFonts w:ascii="Times New Roman" w:hAnsi="Times New Roman" w:cs="Times New Roman"/>
          <w:sz w:val="25"/>
          <w:szCs w:val="25"/>
        </w:rPr>
        <w:t xml:space="preserve">Stakeholder opposition and the </w:t>
      </w:r>
      <w:r w:rsidR="00CE728B">
        <w:rPr>
          <w:rFonts w:ascii="Times New Roman" w:hAnsi="Times New Roman" w:cs="Times New Roman"/>
          <w:sz w:val="25"/>
          <w:szCs w:val="25"/>
        </w:rPr>
        <w:t xml:space="preserve">late disclosure of this change is particularly concerning considering </w:t>
      </w:r>
      <w:r w:rsidR="00CE0506">
        <w:rPr>
          <w:rFonts w:ascii="Times New Roman" w:hAnsi="Times New Roman" w:cs="Times New Roman"/>
          <w:sz w:val="25"/>
          <w:szCs w:val="25"/>
        </w:rPr>
        <w:t>the Commission’s</w:t>
      </w:r>
      <w:r w:rsidR="00CE728B">
        <w:rPr>
          <w:rFonts w:ascii="Times New Roman" w:hAnsi="Times New Roman" w:cs="Times New Roman"/>
          <w:sz w:val="25"/>
          <w:szCs w:val="25"/>
        </w:rPr>
        <w:t xml:space="preserve"> direction two years ago that </w:t>
      </w:r>
      <w:r w:rsidR="00CE728B" w:rsidRPr="00CE728B">
        <w:rPr>
          <w:rFonts w:ascii="Times New Roman" w:hAnsi="Times New Roman" w:cs="Times New Roman"/>
          <w:sz w:val="25"/>
          <w:szCs w:val="25"/>
        </w:rPr>
        <w:t xml:space="preserve">PSE </w:t>
      </w:r>
      <w:r w:rsidR="00CE728B">
        <w:rPr>
          <w:rFonts w:ascii="Times New Roman" w:hAnsi="Times New Roman" w:cs="Times New Roman"/>
          <w:sz w:val="25"/>
          <w:szCs w:val="25"/>
        </w:rPr>
        <w:t>“</w:t>
      </w:r>
      <w:r w:rsidR="00CE728B" w:rsidRPr="00CE728B">
        <w:rPr>
          <w:rFonts w:ascii="Times New Roman" w:hAnsi="Times New Roman" w:cs="Times New Roman"/>
          <w:sz w:val="25"/>
          <w:szCs w:val="25"/>
        </w:rPr>
        <w:t>improve the transparency of its planning margin analysis</w:t>
      </w:r>
      <w:r w:rsidR="00CE728B">
        <w:rPr>
          <w:rFonts w:ascii="Times New Roman" w:hAnsi="Times New Roman" w:cs="Times New Roman"/>
          <w:sz w:val="25"/>
          <w:szCs w:val="25"/>
        </w:rPr>
        <w:t>” and</w:t>
      </w:r>
      <w:r w:rsidR="00CE728B" w:rsidRPr="00CE728B">
        <w:rPr>
          <w:rFonts w:ascii="Times New Roman" w:hAnsi="Times New Roman" w:cs="Times New Roman"/>
          <w:sz w:val="25"/>
          <w:szCs w:val="25"/>
        </w:rPr>
        <w:t xml:space="preserve"> </w:t>
      </w:r>
      <w:r w:rsidR="00CE728B">
        <w:rPr>
          <w:rFonts w:ascii="Times New Roman" w:hAnsi="Times New Roman" w:cs="Times New Roman"/>
          <w:sz w:val="25"/>
          <w:szCs w:val="25"/>
        </w:rPr>
        <w:t>“</w:t>
      </w:r>
      <w:r w:rsidR="00CE728B" w:rsidRPr="00CE728B">
        <w:rPr>
          <w:rFonts w:ascii="Times New Roman" w:hAnsi="Times New Roman" w:cs="Times New Roman"/>
          <w:sz w:val="25"/>
          <w:szCs w:val="25"/>
        </w:rPr>
        <w:t xml:space="preserve">develop a process to allow stakeholders to better understand the assumptions, the analysis, and the results of the </w:t>
      </w:r>
      <w:r w:rsidR="00552ACB">
        <w:rPr>
          <w:rFonts w:ascii="Times New Roman" w:hAnsi="Times New Roman" w:cs="Times New Roman"/>
          <w:sz w:val="25"/>
          <w:szCs w:val="25"/>
        </w:rPr>
        <w:t>C</w:t>
      </w:r>
      <w:r w:rsidR="00CE728B" w:rsidRPr="00CE728B">
        <w:rPr>
          <w:rFonts w:ascii="Times New Roman" w:hAnsi="Times New Roman" w:cs="Times New Roman"/>
          <w:sz w:val="25"/>
          <w:szCs w:val="25"/>
        </w:rPr>
        <w:t>ompany’s planning margin.</w:t>
      </w:r>
      <w:r w:rsidR="00CE728B">
        <w:rPr>
          <w:rFonts w:ascii="Times New Roman" w:hAnsi="Times New Roman" w:cs="Times New Roman"/>
          <w:sz w:val="25"/>
          <w:szCs w:val="25"/>
        </w:rPr>
        <w:t>”</w:t>
      </w:r>
      <w:r w:rsidR="00CE728B">
        <w:rPr>
          <w:rStyle w:val="FootnoteReference"/>
          <w:rFonts w:ascii="Times New Roman" w:hAnsi="Times New Roman" w:cs="Times New Roman"/>
          <w:sz w:val="25"/>
          <w:szCs w:val="25"/>
        </w:rPr>
        <w:footnoteReference w:id="11"/>
      </w:r>
    </w:p>
    <w:p w:rsidR="0044737F" w:rsidRDefault="0044737F" w:rsidP="002907A1">
      <w:pPr>
        <w:spacing w:line="264" w:lineRule="auto"/>
        <w:rPr>
          <w:rFonts w:ascii="Times New Roman" w:hAnsi="Times New Roman" w:cs="Times New Roman"/>
          <w:sz w:val="25"/>
          <w:szCs w:val="25"/>
        </w:rPr>
      </w:pPr>
    </w:p>
    <w:p w:rsidR="002907A1" w:rsidRDefault="000D6E37" w:rsidP="0044737F">
      <w:pPr>
        <w:pStyle w:val="ListParagraph"/>
        <w:numPr>
          <w:ilvl w:val="0"/>
          <w:numId w:val="18"/>
        </w:numPr>
        <w:spacing w:line="264" w:lineRule="auto"/>
        <w:rPr>
          <w:rFonts w:ascii="Times New Roman" w:hAnsi="Times New Roman" w:cs="Times New Roman"/>
          <w:sz w:val="25"/>
          <w:szCs w:val="25"/>
        </w:rPr>
      </w:pPr>
      <w:r w:rsidRPr="0044737F">
        <w:rPr>
          <w:rFonts w:ascii="Times New Roman" w:hAnsi="Times New Roman" w:cs="Times New Roman"/>
          <w:sz w:val="25"/>
          <w:szCs w:val="25"/>
        </w:rPr>
        <w:t xml:space="preserve">The 2015 IRP does not </w:t>
      </w:r>
      <w:r w:rsidR="00217B6C">
        <w:rPr>
          <w:rFonts w:ascii="Times New Roman" w:hAnsi="Times New Roman" w:cs="Times New Roman"/>
          <w:sz w:val="25"/>
          <w:szCs w:val="25"/>
        </w:rPr>
        <w:t>demonstrate</w:t>
      </w:r>
      <w:r w:rsidRPr="0044737F">
        <w:rPr>
          <w:rFonts w:ascii="Times New Roman" w:hAnsi="Times New Roman" w:cs="Times New Roman"/>
          <w:sz w:val="25"/>
          <w:szCs w:val="25"/>
        </w:rPr>
        <w:t xml:space="preserve"> that </w:t>
      </w:r>
      <w:r w:rsidR="002907A1" w:rsidRPr="0044737F">
        <w:rPr>
          <w:rFonts w:ascii="Times New Roman" w:hAnsi="Times New Roman" w:cs="Times New Roman"/>
          <w:sz w:val="25"/>
          <w:szCs w:val="25"/>
        </w:rPr>
        <w:t xml:space="preserve">the cost-benefit approach </w:t>
      </w:r>
      <w:r w:rsidRPr="0044737F">
        <w:rPr>
          <w:rFonts w:ascii="Times New Roman" w:hAnsi="Times New Roman" w:cs="Times New Roman"/>
          <w:sz w:val="25"/>
          <w:szCs w:val="25"/>
        </w:rPr>
        <w:t xml:space="preserve">or </w:t>
      </w:r>
      <w:r w:rsidR="002907A1" w:rsidRPr="0044737F">
        <w:rPr>
          <w:rFonts w:ascii="Times New Roman" w:hAnsi="Times New Roman" w:cs="Times New Roman"/>
          <w:sz w:val="25"/>
          <w:szCs w:val="25"/>
        </w:rPr>
        <w:t>the ICE method</w:t>
      </w:r>
      <w:r w:rsidRPr="0044737F">
        <w:rPr>
          <w:rFonts w:ascii="Times New Roman" w:hAnsi="Times New Roman" w:cs="Times New Roman"/>
          <w:sz w:val="25"/>
          <w:szCs w:val="25"/>
        </w:rPr>
        <w:t xml:space="preserve"> are appropriate ways to set PSE’s planning margin. PSE should not rely on these methods as justification for procuring a </w:t>
      </w:r>
      <w:r w:rsidR="002907A1" w:rsidRPr="0044737F">
        <w:rPr>
          <w:rFonts w:ascii="Times New Roman" w:hAnsi="Times New Roman" w:cs="Times New Roman"/>
          <w:sz w:val="25"/>
          <w:szCs w:val="25"/>
        </w:rPr>
        <w:t xml:space="preserve">new </w:t>
      </w:r>
      <w:r w:rsidR="00217B6C">
        <w:rPr>
          <w:rFonts w:ascii="Times New Roman" w:hAnsi="Times New Roman" w:cs="Times New Roman"/>
          <w:sz w:val="25"/>
          <w:szCs w:val="25"/>
        </w:rPr>
        <w:t>resource at this time.</w:t>
      </w:r>
    </w:p>
    <w:p w:rsidR="000F1073" w:rsidRDefault="000F1073" w:rsidP="000F1073">
      <w:pPr>
        <w:pStyle w:val="ListParagraph"/>
        <w:numPr>
          <w:ilvl w:val="0"/>
          <w:numId w:val="18"/>
        </w:numPr>
        <w:spacing w:line="264" w:lineRule="auto"/>
        <w:rPr>
          <w:rFonts w:ascii="Times New Roman" w:hAnsi="Times New Roman" w:cs="Times New Roman"/>
          <w:sz w:val="25"/>
          <w:szCs w:val="25"/>
        </w:rPr>
      </w:pPr>
      <w:r w:rsidRPr="000F1073">
        <w:rPr>
          <w:rFonts w:ascii="Times New Roman" w:hAnsi="Times New Roman" w:cs="Times New Roman"/>
          <w:sz w:val="25"/>
          <w:szCs w:val="25"/>
        </w:rPr>
        <w:t xml:space="preserve">PSE should present </w:t>
      </w:r>
      <w:r>
        <w:rPr>
          <w:rFonts w:ascii="Times New Roman" w:hAnsi="Times New Roman" w:cs="Times New Roman"/>
          <w:sz w:val="25"/>
          <w:szCs w:val="25"/>
        </w:rPr>
        <w:t>various</w:t>
      </w:r>
      <w:r w:rsidRPr="000F1073">
        <w:rPr>
          <w:rFonts w:ascii="Times New Roman" w:hAnsi="Times New Roman" w:cs="Times New Roman"/>
          <w:sz w:val="25"/>
          <w:szCs w:val="25"/>
        </w:rPr>
        <w:t xml:space="preserve"> </w:t>
      </w:r>
      <w:r>
        <w:rPr>
          <w:rFonts w:ascii="Times New Roman" w:hAnsi="Times New Roman" w:cs="Times New Roman"/>
          <w:sz w:val="25"/>
          <w:szCs w:val="25"/>
        </w:rPr>
        <w:t xml:space="preserve">resource adequacy </w:t>
      </w:r>
      <w:r w:rsidRPr="000F1073">
        <w:rPr>
          <w:rFonts w:ascii="Times New Roman" w:hAnsi="Times New Roman" w:cs="Times New Roman"/>
          <w:sz w:val="25"/>
          <w:szCs w:val="25"/>
        </w:rPr>
        <w:t xml:space="preserve">metrics in </w:t>
      </w:r>
      <w:r>
        <w:rPr>
          <w:rFonts w:ascii="Times New Roman" w:hAnsi="Times New Roman" w:cs="Times New Roman"/>
          <w:sz w:val="25"/>
          <w:szCs w:val="25"/>
        </w:rPr>
        <w:t>each</w:t>
      </w:r>
      <w:r w:rsidRPr="000F1073">
        <w:rPr>
          <w:rFonts w:ascii="Times New Roman" w:hAnsi="Times New Roman" w:cs="Times New Roman"/>
          <w:sz w:val="25"/>
          <w:szCs w:val="25"/>
        </w:rPr>
        <w:t xml:space="preserve"> IRP.</w:t>
      </w:r>
    </w:p>
    <w:p w:rsidR="002907A1" w:rsidRPr="0095304F" w:rsidRDefault="002907A1" w:rsidP="0095304F">
      <w:pPr>
        <w:spacing w:line="264" w:lineRule="auto"/>
        <w:rPr>
          <w:rFonts w:ascii="Times New Roman" w:hAnsi="Times New Roman" w:cs="Times New Roman"/>
          <w:sz w:val="25"/>
          <w:szCs w:val="25"/>
        </w:rPr>
      </w:pPr>
    </w:p>
    <w:p w:rsidR="0095304F" w:rsidRPr="0010233B" w:rsidRDefault="0010233B" w:rsidP="00895DF8">
      <w:pPr>
        <w:spacing w:line="264" w:lineRule="auto"/>
        <w:rPr>
          <w:rFonts w:ascii="Times New Roman" w:hAnsi="Times New Roman" w:cs="Times New Roman"/>
          <w:b/>
          <w:sz w:val="25"/>
          <w:szCs w:val="25"/>
        </w:rPr>
      </w:pPr>
      <w:r>
        <w:rPr>
          <w:rFonts w:ascii="Times New Roman" w:hAnsi="Times New Roman" w:cs="Times New Roman"/>
          <w:b/>
          <w:sz w:val="25"/>
          <w:szCs w:val="25"/>
        </w:rPr>
        <w:t xml:space="preserve">Demand-side </w:t>
      </w:r>
      <w:r w:rsidR="002012C9">
        <w:rPr>
          <w:rFonts w:ascii="Times New Roman" w:hAnsi="Times New Roman" w:cs="Times New Roman"/>
          <w:b/>
          <w:sz w:val="25"/>
          <w:szCs w:val="25"/>
        </w:rPr>
        <w:t>R</w:t>
      </w:r>
      <w:r>
        <w:rPr>
          <w:rFonts w:ascii="Times New Roman" w:hAnsi="Times New Roman" w:cs="Times New Roman"/>
          <w:b/>
          <w:sz w:val="25"/>
          <w:szCs w:val="25"/>
        </w:rPr>
        <w:t>esources</w:t>
      </w:r>
    </w:p>
    <w:p w:rsidR="00AD1FA4" w:rsidRDefault="00AD1FA4" w:rsidP="00895DF8">
      <w:pPr>
        <w:spacing w:line="264" w:lineRule="auto"/>
        <w:rPr>
          <w:rFonts w:ascii="Times New Roman" w:hAnsi="Times New Roman" w:cs="Times New Roman"/>
          <w:sz w:val="25"/>
          <w:szCs w:val="25"/>
        </w:rPr>
      </w:pPr>
    </w:p>
    <w:p w:rsidR="0026325E" w:rsidRPr="0010233B" w:rsidRDefault="0026325E" w:rsidP="0026325E">
      <w:pPr>
        <w:spacing w:line="264" w:lineRule="auto"/>
        <w:rPr>
          <w:rFonts w:ascii="Times New Roman" w:hAnsi="Times New Roman" w:cs="Times New Roman"/>
          <w:sz w:val="25"/>
          <w:szCs w:val="25"/>
        </w:rPr>
      </w:pPr>
      <w:r>
        <w:rPr>
          <w:rFonts w:ascii="Times New Roman" w:hAnsi="Times New Roman" w:cs="Times New Roman"/>
          <w:sz w:val="25"/>
          <w:szCs w:val="25"/>
        </w:rPr>
        <w:t>T</w:t>
      </w:r>
      <w:r w:rsidRPr="0010233B">
        <w:rPr>
          <w:rFonts w:ascii="Times New Roman" w:hAnsi="Times New Roman" w:cs="Times New Roman"/>
          <w:sz w:val="25"/>
          <w:szCs w:val="25"/>
        </w:rPr>
        <w:t xml:space="preserve">he </w:t>
      </w:r>
      <w:r w:rsidR="00CE0506">
        <w:rPr>
          <w:rFonts w:ascii="Times New Roman" w:hAnsi="Times New Roman" w:cs="Times New Roman"/>
          <w:sz w:val="25"/>
          <w:szCs w:val="25"/>
        </w:rPr>
        <w:t xml:space="preserve">2015 </w:t>
      </w:r>
      <w:r w:rsidRPr="0010233B">
        <w:rPr>
          <w:rFonts w:ascii="Times New Roman" w:hAnsi="Times New Roman" w:cs="Times New Roman"/>
          <w:sz w:val="25"/>
          <w:szCs w:val="25"/>
        </w:rPr>
        <w:t>IRP select</w:t>
      </w:r>
      <w:r w:rsidR="00CE0506">
        <w:rPr>
          <w:rFonts w:ascii="Times New Roman" w:hAnsi="Times New Roman" w:cs="Times New Roman"/>
          <w:sz w:val="25"/>
          <w:szCs w:val="25"/>
        </w:rPr>
        <w:t>s</w:t>
      </w:r>
      <w:r w:rsidRPr="0010233B">
        <w:rPr>
          <w:rFonts w:ascii="Times New Roman" w:hAnsi="Times New Roman" w:cs="Times New Roman"/>
          <w:sz w:val="25"/>
          <w:szCs w:val="25"/>
        </w:rPr>
        <w:t xml:space="preserve"> 906 MW of electric energy efficiency by 2035.</w:t>
      </w:r>
      <w:r w:rsidRPr="0010233B">
        <w:rPr>
          <w:rFonts w:ascii="Times New Roman" w:hAnsi="Times New Roman" w:cs="Times New Roman"/>
          <w:sz w:val="25"/>
          <w:szCs w:val="25"/>
          <w:vertAlign w:val="superscript"/>
        </w:rPr>
        <w:footnoteReference w:id="12"/>
      </w:r>
      <w:r w:rsidRPr="0010233B">
        <w:rPr>
          <w:rFonts w:ascii="Times New Roman" w:hAnsi="Times New Roman" w:cs="Times New Roman"/>
          <w:sz w:val="25"/>
          <w:szCs w:val="25"/>
        </w:rPr>
        <w:t xml:space="preserve"> The plan calls for the </w:t>
      </w:r>
      <w:r w:rsidR="00552ACB">
        <w:rPr>
          <w:rFonts w:ascii="Times New Roman" w:hAnsi="Times New Roman" w:cs="Times New Roman"/>
          <w:sz w:val="25"/>
          <w:szCs w:val="25"/>
        </w:rPr>
        <w:t>C</w:t>
      </w:r>
      <w:r w:rsidRPr="0010233B">
        <w:rPr>
          <w:rFonts w:ascii="Times New Roman" w:hAnsi="Times New Roman" w:cs="Times New Roman"/>
          <w:sz w:val="25"/>
          <w:szCs w:val="25"/>
        </w:rPr>
        <w:t>ompany to acquire nearly half of that, 411 MW, by 2021. The plan also select</w:t>
      </w:r>
      <w:r w:rsidR="00CE0506">
        <w:rPr>
          <w:rFonts w:ascii="Times New Roman" w:hAnsi="Times New Roman" w:cs="Times New Roman"/>
          <w:sz w:val="25"/>
          <w:szCs w:val="25"/>
        </w:rPr>
        <w:t>s</w:t>
      </w:r>
      <w:r w:rsidRPr="0010233B">
        <w:rPr>
          <w:rFonts w:ascii="Times New Roman" w:hAnsi="Times New Roman" w:cs="Times New Roman"/>
          <w:sz w:val="25"/>
          <w:szCs w:val="25"/>
        </w:rPr>
        <w:t xml:space="preserve"> 69 MDth/day in natural gas efficiency programs by 2035, including 12 MDth/day by 2018. The </w:t>
      </w:r>
      <w:r w:rsidR="00552ACB">
        <w:rPr>
          <w:rFonts w:ascii="Times New Roman" w:hAnsi="Times New Roman" w:cs="Times New Roman"/>
          <w:sz w:val="25"/>
          <w:szCs w:val="25"/>
        </w:rPr>
        <w:t>C</w:t>
      </w:r>
      <w:r w:rsidRPr="0010233B">
        <w:rPr>
          <w:rFonts w:ascii="Times New Roman" w:hAnsi="Times New Roman" w:cs="Times New Roman"/>
          <w:sz w:val="25"/>
          <w:szCs w:val="25"/>
        </w:rPr>
        <w:t>ommission has already reviewed and approved PSE’s 10-year conservation potential and biennial conservation targets for the 2016-2017 biennium in dockets UE-152058 (electric) and UE-152075 (natural gas).</w:t>
      </w:r>
    </w:p>
    <w:p w:rsidR="007C1322" w:rsidRDefault="007C1322" w:rsidP="0010233B">
      <w:pPr>
        <w:spacing w:line="264" w:lineRule="auto"/>
        <w:rPr>
          <w:rFonts w:ascii="Times New Roman" w:hAnsi="Times New Roman" w:cs="Times New Roman"/>
          <w:sz w:val="25"/>
          <w:szCs w:val="25"/>
        </w:rPr>
      </w:pPr>
    </w:p>
    <w:p w:rsidR="0010233B" w:rsidRPr="0010233B" w:rsidRDefault="0010233B" w:rsidP="0010233B">
      <w:pPr>
        <w:spacing w:line="264" w:lineRule="auto"/>
        <w:rPr>
          <w:rFonts w:ascii="Times New Roman" w:hAnsi="Times New Roman" w:cs="Times New Roman"/>
          <w:sz w:val="25"/>
          <w:szCs w:val="25"/>
        </w:rPr>
      </w:pPr>
      <w:r w:rsidRPr="0010233B">
        <w:rPr>
          <w:rFonts w:ascii="Times New Roman" w:hAnsi="Times New Roman" w:cs="Times New Roman"/>
          <w:sz w:val="25"/>
          <w:szCs w:val="25"/>
        </w:rPr>
        <w:t>Under its 2013 Planning Standard, PSE identifie</w:t>
      </w:r>
      <w:r w:rsidR="00CE0506">
        <w:rPr>
          <w:rFonts w:ascii="Times New Roman" w:hAnsi="Times New Roman" w:cs="Times New Roman"/>
          <w:sz w:val="25"/>
          <w:szCs w:val="25"/>
        </w:rPr>
        <w:t>d</w:t>
      </w:r>
      <w:r w:rsidRPr="0010233B">
        <w:rPr>
          <w:rFonts w:ascii="Times New Roman" w:hAnsi="Times New Roman" w:cs="Times New Roman"/>
          <w:sz w:val="25"/>
          <w:szCs w:val="25"/>
        </w:rPr>
        <w:t xml:space="preserve"> a need for 131 MW of </w:t>
      </w:r>
      <w:r w:rsidR="002012C9">
        <w:rPr>
          <w:rFonts w:ascii="Times New Roman" w:hAnsi="Times New Roman" w:cs="Times New Roman"/>
          <w:sz w:val="25"/>
          <w:szCs w:val="25"/>
        </w:rPr>
        <w:t>Demand Response</w:t>
      </w:r>
      <w:r w:rsidRPr="0010233B">
        <w:rPr>
          <w:rFonts w:ascii="Times New Roman" w:hAnsi="Times New Roman" w:cs="Times New Roman"/>
          <w:sz w:val="25"/>
          <w:szCs w:val="25"/>
        </w:rPr>
        <w:t xml:space="preserve"> by 2021,</w:t>
      </w:r>
      <w:r w:rsidRPr="0010233B">
        <w:rPr>
          <w:rFonts w:ascii="Times New Roman" w:hAnsi="Times New Roman" w:cs="Times New Roman"/>
          <w:sz w:val="25"/>
          <w:szCs w:val="25"/>
          <w:vertAlign w:val="superscript"/>
        </w:rPr>
        <w:footnoteReference w:id="13"/>
      </w:r>
      <w:r w:rsidRPr="0010233B">
        <w:rPr>
          <w:rFonts w:ascii="Times New Roman" w:hAnsi="Times New Roman" w:cs="Times New Roman"/>
          <w:sz w:val="25"/>
          <w:szCs w:val="25"/>
        </w:rPr>
        <w:t xml:space="preserve"> but notes that the </w:t>
      </w:r>
      <w:r w:rsidR="00552ACB">
        <w:rPr>
          <w:rFonts w:ascii="Times New Roman" w:hAnsi="Times New Roman" w:cs="Times New Roman"/>
          <w:sz w:val="25"/>
          <w:szCs w:val="25"/>
        </w:rPr>
        <w:t>C</w:t>
      </w:r>
      <w:r w:rsidRPr="0010233B">
        <w:rPr>
          <w:rFonts w:ascii="Times New Roman" w:hAnsi="Times New Roman" w:cs="Times New Roman"/>
          <w:sz w:val="25"/>
          <w:szCs w:val="25"/>
        </w:rPr>
        <w:t>ompany does not currently have programs in place to achieve that resource</w:t>
      </w:r>
      <w:r>
        <w:rPr>
          <w:rFonts w:ascii="Times New Roman" w:hAnsi="Times New Roman" w:cs="Times New Roman"/>
          <w:sz w:val="25"/>
          <w:szCs w:val="25"/>
        </w:rPr>
        <w:t>. The action plan commits PSE</w:t>
      </w:r>
      <w:r w:rsidRPr="0010233B">
        <w:rPr>
          <w:rFonts w:ascii="Times New Roman" w:hAnsi="Times New Roman" w:cs="Times New Roman"/>
          <w:sz w:val="25"/>
          <w:szCs w:val="25"/>
        </w:rPr>
        <w:t xml:space="preserve"> to issue a request for proposals (RFP) to acquire </w:t>
      </w:r>
      <w:r w:rsidR="002012C9">
        <w:rPr>
          <w:rFonts w:ascii="Times New Roman" w:hAnsi="Times New Roman" w:cs="Times New Roman"/>
          <w:sz w:val="25"/>
          <w:szCs w:val="25"/>
        </w:rPr>
        <w:t>Demand Response</w:t>
      </w:r>
      <w:r w:rsidRPr="0010233B">
        <w:rPr>
          <w:rFonts w:ascii="Times New Roman" w:hAnsi="Times New Roman" w:cs="Times New Roman"/>
          <w:sz w:val="25"/>
          <w:szCs w:val="25"/>
        </w:rPr>
        <w:t>.</w:t>
      </w:r>
      <w:r w:rsidRPr="0010233B">
        <w:rPr>
          <w:rFonts w:ascii="Times New Roman" w:hAnsi="Times New Roman" w:cs="Times New Roman"/>
          <w:sz w:val="25"/>
          <w:szCs w:val="25"/>
          <w:vertAlign w:val="superscript"/>
        </w:rPr>
        <w:footnoteReference w:id="14"/>
      </w:r>
      <w:r w:rsidRPr="0010233B">
        <w:rPr>
          <w:rFonts w:ascii="Times New Roman" w:hAnsi="Times New Roman" w:cs="Times New Roman"/>
          <w:sz w:val="25"/>
          <w:szCs w:val="25"/>
        </w:rPr>
        <w:t xml:space="preserve"> Given the IRP’s aggressive selection of D</w:t>
      </w:r>
      <w:r w:rsidR="002012C9">
        <w:rPr>
          <w:rFonts w:ascii="Times New Roman" w:hAnsi="Times New Roman" w:cs="Times New Roman"/>
          <w:sz w:val="25"/>
          <w:szCs w:val="25"/>
        </w:rPr>
        <w:t xml:space="preserve">emand </w:t>
      </w:r>
      <w:r w:rsidRPr="0010233B">
        <w:rPr>
          <w:rFonts w:ascii="Times New Roman" w:hAnsi="Times New Roman" w:cs="Times New Roman"/>
          <w:sz w:val="25"/>
          <w:szCs w:val="25"/>
        </w:rPr>
        <w:t>R</w:t>
      </w:r>
      <w:r w:rsidR="002012C9">
        <w:rPr>
          <w:rFonts w:ascii="Times New Roman" w:hAnsi="Times New Roman" w:cs="Times New Roman"/>
          <w:sz w:val="25"/>
          <w:szCs w:val="25"/>
        </w:rPr>
        <w:t>esponse</w:t>
      </w:r>
      <w:r w:rsidRPr="0010233B">
        <w:rPr>
          <w:rFonts w:ascii="Times New Roman" w:hAnsi="Times New Roman" w:cs="Times New Roman"/>
          <w:sz w:val="25"/>
          <w:szCs w:val="25"/>
        </w:rPr>
        <w:t xml:space="preserve"> resources (118 MW by 2020) and PSE’s relative inexperience in </w:t>
      </w:r>
      <w:r w:rsidR="005455E6" w:rsidRPr="005455E6">
        <w:rPr>
          <w:rFonts w:ascii="Times New Roman" w:hAnsi="Times New Roman" w:cs="Times New Roman"/>
          <w:sz w:val="25"/>
          <w:szCs w:val="25"/>
        </w:rPr>
        <w:t>acquiring D</w:t>
      </w:r>
      <w:r w:rsidR="005455E6">
        <w:rPr>
          <w:rFonts w:ascii="Times New Roman" w:hAnsi="Times New Roman" w:cs="Times New Roman"/>
          <w:sz w:val="25"/>
          <w:szCs w:val="25"/>
        </w:rPr>
        <w:t xml:space="preserve">emand </w:t>
      </w:r>
      <w:r w:rsidR="005455E6" w:rsidRPr="005455E6">
        <w:rPr>
          <w:rFonts w:ascii="Times New Roman" w:hAnsi="Times New Roman" w:cs="Times New Roman"/>
          <w:sz w:val="25"/>
          <w:szCs w:val="25"/>
        </w:rPr>
        <w:t>R</w:t>
      </w:r>
      <w:r w:rsidR="005455E6">
        <w:rPr>
          <w:rFonts w:ascii="Times New Roman" w:hAnsi="Times New Roman" w:cs="Times New Roman"/>
          <w:sz w:val="25"/>
          <w:szCs w:val="25"/>
        </w:rPr>
        <w:t>esponse resources</w:t>
      </w:r>
      <w:r w:rsidRPr="0010233B">
        <w:rPr>
          <w:rFonts w:ascii="Times New Roman" w:hAnsi="Times New Roman" w:cs="Times New Roman"/>
          <w:sz w:val="25"/>
          <w:szCs w:val="25"/>
        </w:rPr>
        <w:t xml:space="preserve">, </w:t>
      </w:r>
      <w:r w:rsidR="00CE0506">
        <w:rPr>
          <w:rFonts w:ascii="Times New Roman" w:hAnsi="Times New Roman" w:cs="Times New Roman"/>
          <w:sz w:val="25"/>
          <w:szCs w:val="25"/>
        </w:rPr>
        <w:t xml:space="preserve">the Commission </w:t>
      </w:r>
      <w:r>
        <w:rPr>
          <w:rFonts w:ascii="Times New Roman" w:hAnsi="Times New Roman" w:cs="Times New Roman"/>
          <w:sz w:val="25"/>
          <w:szCs w:val="25"/>
        </w:rPr>
        <w:t>support</w:t>
      </w:r>
      <w:r w:rsidR="00CE0506">
        <w:rPr>
          <w:rFonts w:ascii="Times New Roman" w:hAnsi="Times New Roman" w:cs="Times New Roman"/>
          <w:sz w:val="25"/>
          <w:szCs w:val="25"/>
        </w:rPr>
        <w:t>s</w:t>
      </w:r>
      <w:r>
        <w:rPr>
          <w:rFonts w:ascii="Times New Roman" w:hAnsi="Times New Roman" w:cs="Times New Roman"/>
          <w:sz w:val="25"/>
          <w:szCs w:val="25"/>
        </w:rPr>
        <w:t xml:space="preserve"> PSE’s decision to </w:t>
      </w:r>
      <w:r w:rsidRPr="0010233B">
        <w:rPr>
          <w:rFonts w:ascii="Times New Roman" w:hAnsi="Times New Roman" w:cs="Times New Roman"/>
          <w:sz w:val="25"/>
          <w:szCs w:val="25"/>
        </w:rPr>
        <w:t>move quickly</w:t>
      </w:r>
      <w:r w:rsidR="00A05B3B">
        <w:rPr>
          <w:rFonts w:ascii="Times New Roman" w:hAnsi="Times New Roman" w:cs="Times New Roman"/>
          <w:sz w:val="25"/>
          <w:szCs w:val="25"/>
        </w:rPr>
        <w:t>.</w:t>
      </w:r>
    </w:p>
    <w:p w:rsidR="0010233B" w:rsidRPr="0010233B" w:rsidRDefault="0010233B" w:rsidP="0010233B">
      <w:pPr>
        <w:spacing w:line="264" w:lineRule="auto"/>
        <w:rPr>
          <w:rFonts w:ascii="Times New Roman" w:hAnsi="Times New Roman" w:cs="Times New Roman"/>
          <w:sz w:val="25"/>
          <w:szCs w:val="25"/>
        </w:rPr>
      </w:pPr>
    </w:p>
    <w:p w:rsidR="0010233B" w:rsidRPr="00743259" w:rsidRDefault="00743259" w:rsidP="0010233B">
      <w:pPr>
        <w:pStyle w:val="ListParagraph"/>
        <w:numPr>
          <w:ilvl w:val="0"/>
          <w:numId w:val="18"/>
        </w:numPr>
        <w:spacing w:line="264" w:lineRule="auto"/>
        <w:rPr>
          <w:rFonts w:ascii="Times New Roman" w:hAnsi="Times New Roman" w:cs="Times New Roman"/>
          <w:sz w:val="25"/>
          <w:szCs w:val="25"/>
        </w:rPr>
      </w:pPr>
      <w:r>
        <w:rPr>
          <w:rFonts w:ascii="Times New Roman" w:hAnsi="Times New Roman" w:cs="Times New Roman"/>
          <w:sz w:val="25"/>
          <w:szCs w:val="25"/>
        </w:rPr>
        <w:t>PSE should continue to model</w:t>
      </w:r>
      <w:r w:rsidR="00CB76F3">
        <w:rPr>
          <w:rFonts w:ascii="Times New Roman" w:hAnsi="Times New Roman" w:cs="Times New Roman"/>
          <w:sz w:val="25"/>
          <w:szCs w:val="25"/>
        </w:rPr>
        <w:t xml:space="preserve"> demand response </w:t>
      </w:r>
      <w:r>
        <w:rPr>
          <w:rFonts w:ascii="Times New Roman" w:hAnsi="Times New Roman" w:cs="Times New Roman"/>
          <w:sz w:val="25"/>
          <w:szCs w:val="25"/>
        </w:rPr>
        <w:t xml:space="preserve">as a resource </w:t>
      </w:r>
      <w:r w:rsidR="00CB76F3">
        <w:rPr>
          <w:rFonts w:ascii="Times New Roman" w:hAnsi="Times New Roman" w:cs="Times New Roman"/>
          <w:sz w:val="25"/>
          <w:szCs w:val="25"/>
        </w:rPr>
        <w:t xml:space="preserve">separate from energy </w:t>
      </w:r>
      <w:r w:rsidRPr="00743259">
        <w:rPr>
          <w:rFonts w:ascii="Times New Roman" w:hAnsi="Times New Roman" w:cs="Times New Roman"/>
          <w:sz w:val="25"/>
          <w:szCs w:val="25"/>
        </w:rPr>
        <w:t>efficiency</w:t>
      </w:r>
      <w:r>
        <w:rPr>
          <w:rFonts w:ascii="Times New Roman" w:hAnsi="Times New Roman" w:cs="Times New Roman"/>
          <w:sz w:val="25"/>
          <w:szCs w:val="25"/>
        </w:rPr>
        <w:t xml:space="preserve"> in</w:t>
      </w:r>
      <w:r w:rsidRPr="00743259">
        <w:rPr>
          <w:sz w:val="25"/>
          <w:szCs w:val="25"/>
        </w:rPr>
        <w:t xml:space="preserve"> </w:t>
      </w:r>
      <w:r>
        <w:rPr>
          <w:rFonts w:ascii="Times New Roman" w:hAnsi="Times New Roman" w:cs="Times New Roman"/>
          <w:sz w:val="25"/>
          <w:szCs w:val="25"/>
        </w:rPr>
        <w:t>the portfolio screening model</w:t>
      </w:r>
      <w:r w:rsidR="00CB76F3">
        <w:rPr>
          <w:rFonts w:ascii="Times New Roman" w:hAnsi="Times New Roman" w:cs="Times New Roman"/>
          <w:sz w:val="25"/>
          <w:szCs w:val="25"/>
        </w:rPr>
        <w:t xml:space="preserve">. </w:t>
      </w:r>
    </w:p>
    <w:p w:rsidR="00F3297B" w:rsidRPr="00152F5C" w:rsidRDefault="00F3297B" w:rsidP="00895DF8">
      <w:pPr>
        <w:spacing w:line="264" w:lineRule="auto"/>
        <w:rPr>
          <w:rFonts w:ascii="Times New Roman" w:hAnsi="Times New Roman" w:cs="Times New Roman"/>
          <w:sz w:val="25"/>
          <w:szCs w:val="25"/>
        </w:rPr>
      </w:pPr>
    </w:p>
    <w:p w:rsidR="00B945D8" w:rsidRDefault="00506B7E" w:rsidP="00895DF8">
      <w:pPr>
        <w:spacing w:line="264" w:lineRule="auto"/>
        <w:rPr>
          <w:rFonts w:ascii="Times New Roman" w:hAnsi="Times New Roman" w:cs="Times New Roman"/>
          <w:b/>
          <w:sz w:val="25"/>
          <w:szCs w:val="25"/>
        </w:rPr>
      </w:pPr>
      <w:r>
        <w:rPr>
          <w:rFonts w:ascii="Times New Roman" w:hAnsi="Times New Roman" w:cs="Times New Roman"/>
          <w:b/>
          <w:sz w:val="25"/>
          <w:szCs w:val="25"/>
        </w:rPr>
        <w:t xml:space="preserve">Supply-side </w:t>
      </w:r>
      <w:r w:rsidR="00114B9E">
        <w:rPr>
          <w:rFonts w:ascii="Times New Roman" w:hAnsi="Times New Roman" w:cs="Times New Roman"/>
          <w:b/>
          <w:sz w:val="25"/>
          <w:szCs w:val="25"/>
        </w:rPr>
        <w:t>Resources</w:t>
      </w:r>
    </w:p>
    <w:p w:rsidR="0012318D" w:rsidRDefault="0012318D" w:rsidP="00895DF8">
      <w:pPr>
        <w:spacing w:line="264" w:lineRule="auto"/>
        <w:rPr>
          <w:rFonts w:ascii="Times New Roman" w:hAnsi="Times New Roman" w:cs="Times New Roman"/>
          <w:sz w:val="25"/>
          <w:szCs w:val="25"/>
        </w:rPr>
      </w:pPr>
    </w:p>
    <w:p w:rsidR="0012318D" w:rsidRPr="0012318D" w:rsidRDefault="0012318D" w:rsidP="0012318D">
      <w:pPr>
        <w:spacing w:line="264" w:lineRule="auto"/>
        <w:rPr>
          <w:rFonts w:ascii="Times New Roman" w:hAnsi="Times New Roman" w:cs="Times New Roman"/>
          <w:sz w:val="25"/>
          <w:szCs w:val="25"/>
        </w:rPr>
      </w:pPr>
      <w:r w:rsidRPr="0012318D">
        <w:rPr>
          <w:rFonts w:ascii="Times New Roman" w:hAnsi="Times New Roman" w:cs="Times New Roman"/>
          <w:sz w:val="25"/>
          <w:szCs w:val="25"/>
        </w:rPr>
        <w:t>PSE ma</w:t>
      </w:r>
      <w:r w:rsidR="00CE0506">
        <w:rPr>
          <w:rFonts w:ascii="Times New Roman" w:hAnsi="Times New Roman" w:cs="Times New Roman"/>
          <w:sz w:val="25"/>
          <w:szCs w:val="25"/>
        </w:rPr>
        <w:t>kes</w:t>
      </w:r>
      <w:r w:rsidRPr="0012318D">
        <w:rPr>
          <w:rFonts w:ascii="Times New Roman" w:hAnsi="Times New Roman" w:cs="Times New Roman"/>
          <w:sz w:val="25"/>
          <w:szCs w:val="25"/>
        </w:rPr>
        <w:t xml:space="preserve"> several significant changes to the way gas</w:t>
      </w:r>
      <w:r w:rsidR="00114DF4">
        <w:rPr>
          <w:rFonts w:ascii="Times New Roman" w:hAnsi="Times New Roman" w:cs="Times New Roman"/>
          <w:sz w:val="25"/>
          <w:szCs w:val="25"/>
        </w:rPr>
        <w:t>-fired</w:t>
      </w:r>
      <w:r w:rsidRPr="0012318D">
        <w:rPr>
          <w:rFonts w:ascii="Times New Roman" w:hAnsi="Times New Roman" w:cs="Times New Roman"/>
          <w:sz w:val="25"/>
          <w:szCs w:val="25"/>
        </w:rPr>
        <w:t xml:space="preserve"> </w:t>
      </w:r>
      <w:r w:rsidR="00114DF4">
        <w:rPr>
          <w:rFonts w:ascii="Times New Roman" w:hAnsi="Times New Roman" w:cs="Times New Roman"/>
          <w:sz w:val="25"/>
          <w:szCs w:val="25"/>
        </w:rPr>
        <w:t xml:space="preserve">generation </w:t>
      </w:r>
      <w:r w:rsidRPr="0012318D">
        <w:rPr>
          <w:rFonts w:ascii="Times New Roman" w:hAnsi="Times New Roman" w:cs="Times New Roman"/>
          <w:sz w:val="25"/>
          <w:szCs w:val="25"/>
        </w:rPr>
        <w:t xml:space="preserve">plants are treated in </w:t>
      </w:r>
      <w:r w:rsidR="00304AC3">
        <w:rPr>
          <w:rFonts w:ascii="Times New Roman" w:hAnsi="Times New Roman" w:cs="Times New Roman"/>
          <w:sz w:val="25"/>
          <w:szCs w:val="25"/>
        </w:rPr>
        <w:t>the 2015 IRP</w:t>
      </w:r>
      <w:r w:rsidRPr="0012318D">
        <w:rPr>
          <w:rFonts w:ascii="Times New Roman" w:hAnsi="Times New Roman" w:cs="Times New Roman"/>
          <w:sz w:val="25"/>
          <w:szCs w:val="25"/>
        </w:rPr>
        <w:t>.</w:t>
      </w:r>
    </w:p>
    <w:p w:rsidR="0012318D" w:rsidRPr="0012318D" w:rsidRDefault="0012318D" w:rsidP="0012318D">
      <w:pPr>
        <w:spacing w:line="264" w:lineRule="auto"/>
        <w:rPr>
          <w:rFonts w:ascii="Times New Roman" w:hAnsi="Times New Roman" w:cs="Times New Roman"/>
          <w:sz w:val="25"/>
          <w:szCs w:val="25"/>
        </w:rPr>
      </w:pPr>
    </w:p>
    <w:p w:rsidR="008A458B" w:rsidRDefault="0012318D" w:rsidP="0012318D">
      <w:pPr>
        <w:spacing w:line="264" w:lineRule="auto"/>
        <w:rPr>
          <w:rFonts w:ascii="Times New Roman" w:hAnsi="Times New Roman" w:cs="Times New Roman"/>
          <w:sz w:val="25"/>
          <w:szCs w:val="25"/>
        </w:rPr>
      </w:pPr>
      <w:r w:rsidRPr="0012318D">
        <w:rPr>
          <w:rFonts w:ascii="Times New Roman" w:hAnsi="Times New Roman" w:cs="Times New Roman"/>
          <w:sz w:val="25"/>
          <w:szCs w:val="25"/>
        </w:rPr>
        <w:t xml:space="preserve">In previous IRPs, a peaking plant would require either firm pipeline capacity to run on natural gas, or interruptible pipeline capacity supplemented by oil stored in tanks for use when pipeline capacity is not available. In </w:t>
      </w:r>
      <w:r w:rsidR="00304AC3">
        <w:rPr>
          <w:rFonts w:ascii="Times New Roman" w:hAnsi="Times New Roman" w:cs="Times New Roman"/>
          <w:sz w:val="25"/>
          <w:szCs w:val="25"/>
        </w:rPr>
        <w:t>the 2015 IRP</w:t>
      </w:r>
      <w:r w:rsidRPr="0012318D">
        <w:rPr>
          <w:rFonts w:ascii="Times New Roman" w:hAnsi="Times New Roman" w:cs="Times New Roman"/>
          <w:sz w:val="25"/>
          <w:szCs w:val="25"/>
        </w:rPr>
        <w:t xml:space="preserve">, peaking plants with oil tanks also require firm pipeline capacity </w:t>
      </w:r>
      <w:r w:rsidR="00A05B3B">
        <w:rPr>
          <w:rFonts w:ascii="Times New Roman" w:hAnsi="Times New Roman" w:cs="Times New Roman"/>
          <w:sz w:val="25"/>
          <w:szCs w:val="25"/>
        </w:rPr>
        <w:t xml:space="preserve">12 </w:t>
      </w:r>
      <w:r w:rsidRPr="0012318D">
        <w:rPr>
          <w:rFonts w:ascii="Times New Roman" w:hAnsi="Times New Roman" w:cs="Times New Roman"/>
          <w:sz w:val="25"/>
          <w:szCs w:val="25"/>
        </w:rPr>
        <w:t>hours a day, increasing a peaking plant’s cost relative to other resources.</w:t>
      </w:r>
      <w:r w:rsidRPr="0012318D">
        <w:rPr>
          <w:rFonts w:ascii="Times New Roman" w:hAnsi="Times New Roman" w:cs="Times New Roman"/>
          <w:sz w:val="25"/>
          <w:szCs w:val="25"/>
          <w:vertAlign w:val="superscript"/>
        </w:rPr>
        <w:footnoteReference w:id="15"/>
      </w:r>
      <w:r w:rsidRPr="0012318D">
        <w:rPr>
          <w:rFonts w:ascii="Times New Roman" w:hAnsi="Times New Roman" w:cs="Times New Roman"/>
          <w:sz w:val="25"/>
          <w:szCs w:val="25"/>
        </w:rPr>
        <w:t xml:space="preserve"> </w:t>
      </w:r>
      <w:r w:rsidR="00D43777">
        <w:rPr>
          <w:rFonts w:ascii="Times New Roman" w:hAnsi="Times New Roman" w:cs="Times New Roman"/>
          <w:sz w:val="25"/>
          <w:szCs w:val="25"/>
        </w:rPr>
        <w:t>We believe t</w:t>
      </w:r>
      <w:r w:rsidRPr="0012318D">
        <w:rPr>
          <w:rFonts w:ascii="Times New Roman" w:hAnsi="Times New Roman" w:cs="Times New Roman"/>
          <w:sz w:val="25"/>
          <w:szCs w:val="25"/>
        </w:rPr>
        <w:t xml:space="preserve">he IRP’s claims </w:t>
      </w:r>
      <w:r w:rsidR="00A05B3B">
        <w:rPr>
          <w:rFonts w:ascii="Times New Roman" w:hAnsi="Times New Roman" w:cs="Times New Roman"/>
          <w:sz w:val="25"/>
          <w:szCs w:val="25"/>
        </w:rPr>
        <w:t>need more support and analysis.</w:t>
      </w:r>
      <w:r w:rsidRPr="0012318D">
        <w:rPr>
          <w:rFonts w:ascii="Times New Roman" w:hAnsi="Times New Roman" w:cs="Times New Roman"/>
          <w:sz w:val="25"/>
          <w:szCs w:val="25"/>
        </w:rPr>
        <w:t xml:space="preserve"> </w:t>
      </w:r>
    </w:p>
    <w:p w:rsidR="008A458B" w:rsidRDefault="008A458B" w:rsidP="0012318D">
      <w:pPr>
        <w:spacing w:line="264" w:lineRule="auto"/>
        <w:rPr>
          <w:rFonts w:ascii="Times New Roman" w:hAnsi="Times New Roman" w:cs="Times New Roman"/>
          <w:sz w:val="25"/>
          <w:szCs w:val="25"/>
        </w:rPr>
      </w:pPr>
    </w:p>
    <w:p w:rsidR="00173BC7" w:rsidRDefault="0012318D" w:rsidP="0012318D">
      <w:pPr>
        <w:spacing w:line="264" w:lineRule="auto"/>
        <w:rPr>
          <w:rFonts w:ascii="Times New Roman" w:hAnsi="Times New Roman" w:cs="Times New Roman"/>
          <w:sz w:val="25"/>
          <w:szCs w:val="25"/>
        </w:rPr>
      </w:pPr>
      <w:r w:rsidRPr="0012318D">
        <w:rPr>
          <w:rFonts w:ascii="Times New Roman" w:hAnsi="Times New Roman" w:cs="Times New Roman"/>
          <w:sz w:val="25"/>
          <w:szCs w:val="25"/>
        </w:rPr>
        <w:t xml:space="preserve">First, </w:t>
      </w:r>
      <w:r>
        <w:rPr>
          <w:rFonts w:ascii="Times New Roman" w:hAnsi="Times New Roman" w:cs="Times New Roman"/>
          <w:sz w:val="25"/>
          <w:szCs w:val="25"/>
        </w:rPr>
        <w:t>the IRP</w:t>
      </w:r>
      <w:r w:rsidRPr="0012318D">
        <w:rPr>
          <w:rFonts w:ascii="Times New Roman" w:hAnsi="Times New Roman" w:cs="Times New Roman"/>
          <w:sz w:val="25"/>
          <w:szCs w:val="25"/>
        </w:rPr>
        <w:t xml:space="preserve"> </w:t>
      </w:r>
      <w:r w:rsidR="005455E6">
        <w:rPr>
          <w:rFonts w:ascii="Times New Roman" w:hAnsi="Times New Roman" w:cs="Times New Roman"/>
          <w:sz w:val="25"/>
          <w:szCs w:val="25"/>
        </w:rPr>
        <w:t>states</w:t>
      </w:r>
      <w:r w:rsidRPr="0012318D">
        <w:rPr>
          <w:rFonts w:ascii="Times New Roman" w:hAnsi="Times New Roman" w:cs="Times New Roman"/>
          <w:sz w:val="25"/>
          <w:szCs w:val="25"/>
        </w:rPr>
        <w:t xml:space="preserve"> </w:t>
      </w:r>
      <w:r>
        <w:rPr>
          <w:rFonts w:ascii="Times New Roman" w:hAnsi="Times New Roman" w:cs="Times New Roman"/>
          <w:sz w:val="25"/>
          <w:szCs w:val="25"/>
        </w:rPr>
        <w:t>PSE</w:t>
      </w:r>
      <w:r w:rsidRPr="0012318D">
        <w:rPr>
          <w:rFonts w:ascii="Times New Roman" w:hAnsi="Times New Roman" w:cs="Times New Roman"/>
          <w:sz w:val="25"/>
          <w:szCs w:val="25"/>
        </w:rPr>
        <w:t xml:space="preserve"> will face constraints on its “ability to construct a backup fuel tank and obtain adequate air permits.”</w:t>
      </w:r>
      <w:r w:rsidRPr="0012318D">
        <w:rPr>
          <w:rFonts w:ascii="Times New Roman" w:hAnsi="Times New Roman" w:cs="Times New Roman"/>
          <w:sz w:val="25"/>
          <w:szCs w:val="25"/>
          <w:vertAlign w:val="superscript"/>
        </w:rPr>
        <w:footnoteReference w:id="16"/>
      </w:r>
      <w:r w:rsidRPr="0012318D">
        <w:rPr>
          <w:rFonts w:ascii="Times New Roman" w:hAnsi="Times New Roman" w:cs="Times New Roman"/>
          <w:sz w:val="25"/>
          <w:szCs w:val="25"/>
        </w:rPr>
        <w:t xml:space="preserve"> </w:t>
      </w:r>
      <w:r>
        <w:rPr>
          <w:rFonts w:ascii="Times New Roman" w:hAnsi="Times New Roman" w:cs="Times New Roman"/>
          <w:sz w:val="25"/>
          <w:szCs w:val="25"/>
        </w:rPr>
        <w:t xml:space="preserve">Yet </w:t>
      </w:r>
      <w:r w:rsidRPr="0012318D">
        <w:rPr>
          <w:rFonts w:ascii="Times New Roman" w:hAnsi="Times New Roman" w:cs="Times New Roman"/>
          <w:sz w:val="25"/>
          <w:szCs w:val="25"/>
        </w:rPr>
        <w:t xml:space="preserve">PSE </w:t>
      </w:r>
      <w:r>
        <w:rPr>
          <w:rFonts w:ascii="Times New Roman" w:hAnsi="Times New Roman" w:cs="Times New Roman"/>
          <w:sz w:val="25"/>
          <w:szCs w:val="25"/>
        </w:rPr>
        <w:t xml:space="preserve">also </w:t>
      </w:r>
      <w:r w:rsidRPr="0012318D">
        <w:rPr>
          <w:rFonts w:ascii="Times New Roman" w:hAnsi="Times New Roman" w:cs="Times New Roman"/>
          <w:sz w:val="25"/>
          <w:szCs w:val="25"/>
        </w:rPr>
        <w:t>acknowledge</w:t>
      </w:r>
      <w:r w:rsidR="008A458B">
        <w:rPr>
          <w:rFonts w:ascii="Times New Roman" w:hAnsi="Times New Roman" w:cs="Times New Roman"/>
          <w:sz w:val="25"/>
          <w:szCs w:val="25"/>
        </w:rPr>
        <w:t>s</w:t>
      </w:r>
      <w:r>
        <w:rPr>
          <w:rFonts w:ascii="Times New Roman" w:hAnsi="Times New Roman" w:cs="Times New Roman"/>
          <w:sz w:val="25"/>
          <w:szCs w:val="25"/>
        </w:rPr>
        <w:t xml:space="preserve"> t</w:t>
      </w:r>
      <w:r w:rsidRPr="0012318D">
        <w:rPr>
          <w:rFonts w:ascii="Times New Roman" w:hAnsi="Times New Roman" w:cs="Times New Roman"/>
          <w:sz w:val="25"/>
          <w:szCs w:val="25"/>
        </w:rPr>
        <w:t xml:space="preserve">here </w:t>
      </w:r>
      <w:r>
        <w:rPr>
          <w:rFonts w:ascii="Times New Roman" w:hAnsi="Times New Roman" w:cs="Times New Roman"/>
          <w:sz w:val="25"/>
          <w:szCs w:val="25"/>
        </w:rPr>
        <w:t>“</w:t>
      </w:r>
      <w:r w:rsidRPr="0012318D">
        <w:rPr>
          <w:rFonts w:ascii="Times New Roman" w:hAnsi="Times New Roman" w:cs="Times New Roman"/>
          <w:sz w:val="25"/>
          <w:szCs w:val="25"/>
        </w:rPr>
        <w:t>are no specific rules/regulations (that PSE is aware of) prohibiting the construction of oil backup facilities.”</w:t>
      </w:r>
      <w:r w:rsidRPr="0012318D">
        <w:rPr>
          <w:rFonts w:ascii="Times New Roman" w:hAnsi="Times New Roman" w:cs="Times New Roman"/>
          <w:sz w:val="25"/>
          <w:szCs w:val="25"/>
          <w:vertAlign w:val="superscript"/>
        </w:rPr>
        <w:footnoteReference w:id="17"/>
      </w:r>
      <w:r w:rsidRPr="0012318D">
        <w:rPr>
          <w:rFonts w:ascii="Times New Roman" w:hAnsi="Times New Roman" w:cs="Times New Roman"/>
          <w:sz w:val="25"/>
          <w:szCs w:val="25"/>
        </w:rPr>
        <w:t xml:space="preserve"> Second, PSE expresses concern that emission limits may become increasingly tighter, resulting in </w:t>
      </w:r>
      <w:r w:rsidR="008A458B">
        <w:rPr>
          <w:rFonts w:ascii="Times New Roman" w:hAnsi="Times New Roman" w:cs="Times New Roman"/>
          <w:sz w:val="25"/>
          <w:szCs w:val="25"/>
        </w:rPr>
        <w:t>an</w:t>
      </w:r>
      <w:r w:rsidRPr="0012318D">
        <w:rPr>
          <w:rFonts w:ascii="Times New Roman" w:hAnsi="Times New Roman" w:cs="Times New Roman"/>
          <w:sz w:val="25"/>
          <w:szCs w:val="25"/>
        </w:rPr>
        <w:t xml:space="preserve"> inability to run peaking plants on oil for extended periods.</w:t>
      </w:r>
      <w:r w:rsidRPr="0012318D">
        <w:rPr>
          <w:rFonts w:ascii="Times New Roman" w:hAnsi="Times New Roman" w:cs="Times New Roman"/>
          <w:sz w:val="25"/>
          <w:szCs w:val="25"/>
          <w:vertAlign w:val="superscript"/>
        </w:rPr>
        <w:footnoteReference w:id="18"/>
      </w:r>
      <w:r w:rsidRPr="0012318D">
        <w:rPr>
          <w:rFonts w:ascii="Times New Roman" w:hAnsi="Times New Roman" w:cs="Times New Roman"/>
          <w:sz w:val="25"/>
          <w:szCs w:val="25"/>
        </w:rPr>
        <w:t xml:space="preserve"> </w:t>
      </w:r>
    </w:p>
    <w:p w:rsidR="00173BC7" w:rsidRDefault="00173BC7" w:rsidP="0012318D">
      <w:pPr>
        <w:spacing w:line="264" w:lineRule="auto"/>
        <w:rPr>
          <w:rFonts w:ascii="Times New Roman" w:hAnsi="Times New Roman" w:cs="Times New Roman"/>
          <w:sz w:val="25"/>
          <w:szCs w:val="25"/>
        </w:rPr>
      </w:pPr>
    </w:p>
    <w:p w:rsidR="0012318D" w:rsidRPr="00173BC7" w:rsidRDefault="0012318D" w:rsidP="00173BC7">
      <w:pPr>
        <w:pStyle w:val="ListParagraph"/>
        <w:numPr>
          <w:ilvl w:val="0"/>
          <w:numId w:val="5"/>
        </w:numPr>
        <w:spacing w:line="264" w:lineRule="auto"/>
        <w:rPr>
          <w:rFonts w:ascii="Times New Roman" w:hAnsi="Times New Roman" w:cs="Times New Roman"/>
          <w:sz w:val="25"/>
          <w:szCs w:val="25"/>
        </w:rPr>
      </w:pPr>
      <w:r w:rsidRPr="00173BC7">
        <w:rPr>
          <w:rFonts w:ascii="Times New Roman" w:hAnsi="Times New Roman" w:cs="Times New Roman"/>
          <w:sz w:val="25"/>
          <w:szCs w:val="25"/>
        </w:rPr>
        <w:t xml:space="preserve">In the 2017 IRP, </w:t>
      </w:r>
      <w:r w:rsidR="00173BC7">
        <w:rPr>
          <w:rFonts w:ascii="Times New Roman" w:hAnsi="Times New Roman" w:cs="Times New Roman"/>
          <w:sz w:val="25"/>
          <w:szCs w:val="25"/>
        </w:rPr>
        <w:t>PSE should model peak</w:t>
      </w:r>
      <w:r w:rsidR="00D43777">
        <w:rPr>
          <w:rFonts w:ascii="Times New Roman" w:hAnsi="Times New Roman" w:cs="Times New Roman"/>
          <w:sz w:val="25"/>
          <w:szCs w:val="25"/>
        </w:rPr>
        <w:t>ing plants</w:t>
      </w:r>
      <w:r w:rsidR="00173BC7">
        <w:rPr>
          <w:rFonts w:ascii="Times New Roman" w:hAnsi="Times New Roman" w:cs="Times New Roman"/>
          <w:sz w:val="25"/>
          <w:szCs w:val="25"/>
        </w:rPr>
        <w:t xml:space="preserve"> operating</w:t>
      </w:r>
      <w:r w:rsidRPr="00173BC7">
        <w:rPr>
          <w:rFonts w:ascii="Times New Roman" w:hAnsi="Times New Roman" w:cs="Times New Roman"/>
          <w:sz w:val="25"/>
          <w:szCs w:val="25"/>
        </w:rPr>
        <w:t xml:space="preserve"> on a full oil backup</w:t>
      </w:r>
      <w:r w:rsidR="00173BC7">
        <w:rPr>
          <w:rFonts w:ascii="Times New Roman" w:hAnsi="Times New Roman" w:cs="Times New Roman"/>
          <w:sz w:val="25"/>
          <w:szCs w:val="25"/>
        </w:rPr>
        <w:t>,</w:t>
      </w:r>
      <w:r w:rsidRPr="00173BC7">
        <w:rPr>
          <w:rFonts w:ascii="Times New Roman" w:hAnsi="Times New Roman" w:cs="Times New Roman"/>
          <w:sz w:val="25"/>
          <w:szCs w:val="25"/>
        </w:rPr>
        <w:t xml:space="preserve"> or provide documentation to support an assumption that environmental or permitting restrictions would prohibit such operation.</w:t>
      </w:r>
    </w:p>
    <w:p w:rsidR="0012318D" w:rsidRPr="0012318D" w:rsidRDefault="0012318D" w:rsidP="0012318D">
      <w:pPr>
        <w:spacing w:line="264" w:lineRule="auto"/>
        <w:rPr>
          <w:rFonts w:ascii="Times New Roman" w:hAnsi="Times New Roman" w:cs="Times New Roman"/>
          <w:sz w:val="25"/>
          <w:szCs w:val="25"/>
        </w:rPr>
      </w:pPr>
    </w:p>
    <w:p w:rsidR="00173BC7" w:rsidRDefault="0012318D" w:rsidP="0012318D">
      <w:pPr>
        <w:spacing w:line="264" w:lineRule="auto"/>
        <w:rPr>
          <w:rFonts w:ascii="Times New Roman" w:hAnsi="Times New Roman" w:cs="Times New Roman"/>
          <w:sz w:val="25"/>
          <w:szCs w:val="25"/>
        </w:rPr>
      </w:pPr>
      <w:r w:rsidRPr="0012318D">
        <w:rPr>
          <w:rFonts w:ascii="Times New Roman" w:hAnsi="Times New Roman" w:cs="Times New Roman"/>
          <w:sz w:val="25"/>
          <w:szCs w:val="25"/>
        </w:rPr>
        <w:t xml:space="preserve">PSE’s 2015 IRP </w:t>
      </w:r>
      <w:r w:rsidR="008A458B">
        <w:rPr>
          <w:rFonts w:ascii="Times New Roman" w:hAnsi="Times New Roman" w:cs="Times New Roman"/>
          <w:sz w:val="25"/>
          <w:szCs w:val="25"/>
        </w:rPr>
        <w:t xml:space="preserve">also </w:t>
      </w:r>
      <w:r w:rsidRPr="0012318D">
        <w:rPr>
          <w:rFonts w:ascii="Times New Roman" w:hAnsi="Times New Roman" w:cs="Times New Roman"/>
          <w:sz w:val="25"/>
          <w:szCs w:val="25"/>
        </w:rPr>
        <w:t>changes the way that major maintenance at peaking plants is modeled. In earlier IRPs, major maintenance was treated as a fixed cost, while in the 2015 IRP major maintenance is included in the plant’s variable costs.</w:t>
      </w:r>
      <w:r w:rsidRPr="0012318D">
        <w:rPr>
          <w:rFonts w:ascii="Times New Roman" w:hAnsi="Times New Roman" w:cs="Times New Roman"/>
          <w:sz w:val="25"/>
          <w:szCs w:val="25"/>
          <w:vertAlign w:val="superscript"/>
        </w:rPr>
        <w:footnoteReference w:id="19"/>
      </w:r>
      <w:r w:rsidRPr="0012318D">
        <w:rPr>
          <w:rFonts w:ascii="Times New Roman" w:hAnsi="Times New Roman" w:cs="Times New Roman"/>
          <w:sz w:val="25"/>
          <w:szCs w:val="25"/>
        </w:rPr>
        <w:t xml:space="preserve"> This change was not described in the IRP. As a result of this increase in variable costs, the 2015 IRP’s base case includes no output (zero MWh) from peaking plants over the 20</w:t>
      </w:r>
      <w:r w:rsidR="00A05B3B">
        <w:rPr>
          <w:rFonts w:ascii="Times New Roman" w:hAnsi="Times New Roman" w:cs="Times New Roman"/>
          <w:sz w:val="25"/>
          <w:szCs w:val="25"/>
        </w:rPr>
        <w:t>-</w:t>
      </w:r>
      <w:r w:rsidRPr="0012318D">
        <w:rPr>
          <w:rFonts w:ascii="Times New Roman" w:hAnsi="Times New Roman" w:cs="Times New Roman"/>
          <w:sz w:val="25"/>
          <w:szCs w:val="25"/>
        </w:rPr>
        <w:t xml:space="preserve">year planning horizon. </w:t>
      </w:r>
      <w:r w:rsidR="008A458B">
        <w:rPr>
          <w:rFonts w:ascii="Times New Roman" w:hAnsi="Times New Roman" w:cs="Times New Roman"/>
          <w:sz w:val="25"/>
          <w:szCs w:val="25"/>
        </w:rPr>
        <w:t xml:space="preserve">The Commission </w:t>
      </w:r>
      <w:r w:rsidRPr="0012318D">
        <w:rPr>
          <w:rFonts w:ascii="Times New Roman" w:hAnsi="Times New Roman" w:cs="Times New Roman"/>
          <w:sz w:val="25"/>
          <w:szCs w:val="25"/>
        </w:rPr>
        <w:t>do</w:t>
      </w:r>
      <w:r w:rsidR="008A458B">
        <w:rPr>
          <w:rFonts w:ascii="Times New Roman" w:hAnsi="Times New Roman" w:cs="Times New Roman"/>
          <w:sz w:val="25"/>
          <w:szCs w:val="25"/>
        </w:rPr>
        <w:t>es</w:t>
      </w:r>
      <w:r w:rsidRPr="0012318D">
        <w:rPr>
          <w:rFonts w:ascii="Times New Roman" w:hAnsi="Times New Roman" w:cs="Times New Roman"/>
          <w:sz w:val="25"/>
          <w:szCs w:val="25"/>
        </w:rPr>
        <w:t xml:space="preserve"> not believe this result is reasonable</w:t>
      </w:r>
      <w:r w:rsidR="00173BC7">
        <w:rPr>
          <w:rFonts w:ascii="Times New Roman" w:hAnsi="Times New Roman" w:cs="Times New Roman"/>
          <w:sz w:val="25"/>
          <w:szCs w:val="25"/>
        </w:rPr>
        <w:t>.</w:t>
      </w:r>
    </w:p>
    <w:p w:rsidR="00173BC7" w:rsidRDefault="00173BC7" w:rsidP="0012318D">
      <w:pPr>
        <w:spacing w:line="264" w:lineRule="auto"/>
        <w:rPr>
          <w:rFonts w:ascii="Times New Roman" w:hAnsi="Times New Roman" w:cs="Times New Roman"/>
          <w:sz w:val="25"/>
          <w:szCs w:val="25"/>
        </w:rPr>
      </w:pPr>
    </w:p>
    <w:p w:rsidR="0012318D" w:rsidRDefault="00173BC7" w:rsidP="00173BC7">
      <w:pPr>
        <w:pStyle w:val="ListParagraph"/>
        <w:numPr>
          <w:ilvl w:val="0"/>
          <w:numId w:val="5"/>
        </w:numPr>
        <w:spacing w:line="264" w:lineRule="auto"/>
        <w:rPr>
          <w:rFonts w:ascii="Times New Roman" w:hAnsi="Times New Roman" w:cs="Times New Roman"/>
          <w:sz w:val="25"/>
          <w:szCs w:val="25"/>
        </w:rPr>
      </w:pPr>
      <w:r>
        <w:rPr>
          <w:rFonts w:ascii="Times New Roman" w:hAnsi="Times New Roman" w:cs="Times New Roman"/>
          <w:sz w:val="25"/>
          <w:szCs w:val="25"/>
        </w:rPr>
        <w:lastRenderedPageBreak/>
        <w:t>In the next IRP cycle, PSE must</w:t>
      </w:r>
      <w:r w:rsidR="0012318D" w:rsidRPr="00173BC7">
        <w:rPr>
          <w:rFonts w:ascii="Times New Roman" w:hAnsi="Times New Roman" w:cs="Times New Roman"/>
          <w:sz w:val="25"/>
          <w:szCs w:val="25"/>
        </w:rPr>
        <w:t xml:space="preserve"> revisit this assumption with its technical advisory group</w:t>
      </w:r>
      <w:r>
        <w:rPr>
          <w:rFonts w:ascii="Times New Roman" w:hAnsi="Times New Roman" w:cs="Times New Roman"/>
          <w:sz w:val="25"/>
          <w:szCs w:val="25"/>
        </w:rPr>
        <w:t xml:space="preserve">. </w:t>
      </w:r>
      <w:r w:rsidR="00A52DED">
        <w:rPr>
          <w:rFonts w:ascii="Times New Roman" w:hAnsi="Times New Roman" w:cs="Times New Roman"/>
          <w:sz w:val="25"/>
          <w:szCs w:val="25"/>
        </w:rPr>
        <w:t xml:space="preserve">In the 2017 IRP, PSE should provide a narrative discussion of </w:t>
      </w:r>
      <w:r>
        <w:rPr>
          <w:rFonts w:ascii="Times New Roman" w:hAnsi="Times New Roman" w:cs="Times New Roman"/>
          <w:sz w:val="25"/>
          <w:szCs w:val="25"/>
        </w:rPr>
        <w:t>the treatment of major maintenance costs at thermal plants</w:t>
      </w:r>
      <w:r w:rsidR="00A52DED">
        <w:rPr>
          <w:rFonts w:ascii="Times New Roman" w:hAnsi="Times New Roman" w:cs="Times New Roman"/>
          <w:sz w:val="25"/>
          <w:szCs w:val="25"/>
        </w:rPr>
        <w:t>.</w:t>
      </w:r>
    </w:p>
    <w:p w:rsidR="00A52DED" w:rsidRPr="00173BC7" w:rsidRDefault="004427D2" w:rsidP="00173BC7">
      <w:pPr>
        <w:pStyle w:val="ListParagraph"/>
        <w:numPr>
          <w:ilvl w:val="0"/>
          <w:numId w:val="5"/>
        </w:numPr>
        <w:spacing w:line="264" w:lineRule="auto"/>
        <w:rPr>
          <w:rFonts w:ascii="Times New Roman" w:hAnsi="Times New Roman" w:cs="Times New Roman"/>
          <w:sz w:val="25"/>
          <w:szCs w:val="25"/>
        </w:rPr>
      </w:pPr>
      <w:r>
        <w:rPr>
          <w:rFonts w:ascii="Times New Roman" w:hAnsi="Times New Roman" w:cs="Times New Roman"/>
          <w:sz w:val="25"/>
          <w:szCs w:val="25"/>
        </w:rPr>
        <w:t xml:space="preserve">The </w:t>
      </w:r>
      <w:r w:rsidR="008A458B">
        <w:rPr>
          <w:rFonts w:ascii="Times New Roman" w:hAnsi="Times New Roman" w:cs="Times New Roman"/>
          <w:sz w:val="25"/>
          <w:szCs w:val="25"/>
        </w:rPr>
        <w:t xml:space="preserve">2015 </w:t>
      </w:r>
      <w:r>
        <w:rPr>
          <w:rFonts w:ascii="Times New Roman" w:hAnsi="Times New Roman" w:cs="Times New Roman"/>
          <w:sz w:val="25"/>
          <w:szCs w:val="25"/>
        </w:rPr>
        <w:t>IRP’s</w:t>
      </w:r>
      <w:r w:rsidR="00A52DED">
        <w:rPr>
          <w:rFonts w:ascii="Times New Roman" w:hAnsi="Times New Roman" w:cs="Times New Roman"/>
          <w:sz w:val="25"/>
          <w:szCs w:val="25"/>
        </w:rPr>
        <w:t xml:space="preserve"> failure to disclose a change with such a significant impact on the dispatch of its thermal fleet raises questions about the transparency and clarity of the presentation of the IRP.</w:t>
      </w:r>
      <w:r w:rsidR="00D240B4">
        <w:rPr>
          <w:rStyle w:val="FootnoteReference"/>
          <w:rFonts w:ascii="Times New Roman" w:hAnsi="Times New Roman" w:cs="Times New Roman"/>
          <w:sz w:val="25"/>
          <w:szCs w:val="25"/>
        </w:rPr>
        <w:footnoteReference w:id="20"/>
      </w:r>
      <w:r w:rsidR="00A52DED">
        <w:rPr>
          <w:rFonts w:ascii="Times New Roman" w:hAnsi="Times New Roman" w:cs="Times New Roman"/>
          <w:sz w:val="25"/>
          <w:szCs w:val="25"/>
        </w:rPr>
        <w:t xml:space="preserve"> In every IRP, PSE must provide a narrative discussion of any changes that result in a significant impact on the dispatch of its thermal fleet.</w:t>
      </w:r>
    </w:p>
    <w:p w:rsidR="0012318D" w:rsidRPr="0012318D" w:rsidRDefault="0012318D" w:rsidP="0012318D">
      <w:pPr>
        <w:spacing w:line="264" w:lineRule="auto"/>
        <w:rPr>
          <w:rFonts w:ascii="Times New Roman" w:hAnsi="Times New Roman" w:cs="Times New Roman"/>
          <w:sz w:val="25"/>
          <w:szCs w:val="25"/>
        </w:rPr>
      </w:pPr>
    </w:p>
    <w:p w:rsidR="00506B7E" w:rsidRDefault="0012318D" w:rsidP="0012318D">
      <w:pPr>
        <w:spacing w:line="264" w:lineRule="auto"/>
        <w:rPr>
          <w:rFonts w:ascii="Times New Roman" w:hAnsi="Times New Roman" w:cs="Times New Roman"/>
          <w:sz w:val="25"/>
          <w:szCs w:val="25"/>
        </w:rPr>
      </w:pPr>
      <w:r w:rsidRPr="0012318D">
        <w:rPr>
          <w:rFonts w:ascii="Times New Roman" w:hAnsi="Times New Roman" w:cs="Times New Roman"/>
          <w:sz w:val="25"/>
          <w:szCs w:val="25"/>
        </w:rPr>
        <w:t>Finally, PSE analyze</w:t>
      </w:r>
      <w:r w:rsidR="008A458B">
        <w:rPr>
          <w:rFonts w:ascii="Times New Roman" w:hAnsi="Times New Roman" w:cs="Times New Roman"/>
          <w:sz w:val="25"/>
          <w:szCs w:val="25"/>
        </w:rPr>
        <w:t>s</w:t>
      </w:r>
      <w:r w:rsidRPr="0012318D">
        <w:rPr>
          <w:rFonts w:ascii="Times New Roman" w:hAnsi="Times New Roman" w:cs="Times New Roman"/>
          <w:sz w:val="25"/>
          <w:szCs w:val="25"/>
        </w:rPr>
        <w:t xml:space="preserve"> the tradeoffs associated with placing future gas plants in its service territory or in eastern Washington. The analysis </w:t>
      </w:r>
      <w:r w:rsidR="00FF283C">
        <w:rPr>
          <w:rFonts w:ascii="Times New Roman" w:hAnsi="Times New Roman" w:cs="Times New Roman"/>
          <w:sz w:val="25"/>
          <w:szCs w:val="25"/>
        </w:rPr>
        <w:t xml:space="preserve">concludes </w:t>
      </w:r>
      <w:r w:rsidRPr="0012318D">
        <w:rPr>
          <w:rFonts w:ascii="Times New Roman" w:hAnsi="Times New Roman" w:cs="Times New Roman"/>
          <w:sz w:val="25"/>
          <w:szCs w:val="25"/>
        </w:rPr>
        <w:t xml:space="preserve">that while eastern Washington plants would give the </w:t>
      </w:r>
      <w:r w:rsidR="00552ACB">
        <w:rPr>
          <w:rFonts w:ascii="Times New Roman" w:hAnsi="Times New Roman" w:cs="Times New Roman"/>
          <w:sz w:val="25"/>
          <w:szCs w:val="25"/>
        </w:rPr>
        <w:t>C</w:t>
      </w:r>
      <w:r w:rsidRPr="0012318D">
        <w:rPr>
          <w:rFonts w:ascii="Times New Roman" w:hAnsi="Times New Roman" w:cs="Times New Roman"/>
          <w:sz w:val="25"/>
          <w:szCs w:val="25"/>
        </w:rPr>
        <w:t xml:space="preserve">ompany access to lower-cost fuel, they would also come with higher transmission costs to move the power across BPA’s </w:t>
      </w:r>
      <w:r w:rsidR="00FF283C">
        <w:rPr>
          <w:rFonts w:ascii="Times New Roman" w:hAnsi="Times New Roman" w:cs="Times New Roman"/>
          <w:sz w:val="25"/>
          <w:szCs w:val="25"/>
        </w:rPr>
        <w:t xml:space="preserve">transmission </w:t>
      </w:r>
      <w:r w:rsidRPr="0012318D">
        <w:rPr>
          <w:rFonts w:ascii="Times New Roman" w:hAnsi="Times New Roman" w:cs="Times New Roman"/>
          <w:sz w:val="25"/>
          <w:szCs w:val="25"/>
        </w:rPr>
        <w:t xml:space="preserve">system.  The </w:t>
      </w:r>
      <w:r w:rsidR="00552ACB">
        <w:rPr>
          <w:rFonts w:ascii="Times New Roman" w:hAnsi="Times New Roman" w:cs="Times New Roman"/>
          <w:sz w:val="25"/>
          <w:szCs w:val="25"/>
        </w:rPr>
        <w:t>C</w:t>
      </w:r>
      <w:r w:rsidRPr="0012318D">
        <w:rPr>
          <w:rFonts w:ascii="Times New Roman" w:hAnsi="Times New Roman" w:cs="Times New Roman"/>
          <w:sz w:val="25"/>
          <w:szCs w:val="25"/>
        </w:rPr>
        <w:t>ompany states that this tradeoff was essentially a wash, and that it decided to locate the plants in its service territory to avoid the risks of future, potentially disadvantageous changes in BPA’s transmission policy.</w:t>
      </w:r>
      <w:r w:rsidRPr="0012318D">
        <w:rPr>
          <w:rFonts w:ascii="Times New Roman" w:hAnsi="Times New Roman" w:cs="Times New Roman"/>
          <w:sz w:val="25"/>
          <w:szCs w:val="25"/>
          <w:vertAlign w:val="superscript"/>
        </w:rPr>
        <w:footnoteReference w:id="21"/>
      </w:r>
      <w:r w:rsidRPr="0012318D">
        <w:rPr>
          <w:rFonts w:ascii="Times New Roman" w:hAnsi="Times New Roman" w:cs="Times New Roman"/>
          <w:sz w:val="25"/>
          <w:szCs w:val="25"/>
        </w:rPr>
        <w:t xml:space="preserve"> </w:t>
      </w:r>
    </w:p>
    <w:p w:rsidR="00506B7E" w:rsidRDefault="00506B7E" w:rsidP="0012318D">
      <w:pPr>
        <w:spacing w:line="264" w:lineRule="auto"/>
        <w:rPr>
          <w:rFonts w:ascii="Times New Roman" w:hAnsi="Times New Roman" w:cs="Times New Roman"/>
          <w:sz w:val="25"/>
          <w:szCs w:val="25"/>
        </w:rPr>
      </w:pPr>
    </w:p>
    <w:p w:rsidR="0012318D" w:rsidRPr="0012318D" w:rsidRDefault="0012318D" w:rsidP="0012318D">
      <w:pPr>
        <w:spacing w:line="264" w:lineRule="auto"/>
        <w:rPr>
          <w:rFonts w:ascii="Times New Roman" w:hAnsi="Times New Roman" w:cs="Times New Roman"/>
          <w:sz w:val="25"/>
          <w:szCs w:val="25"/>
        </w:rPr>
      </w:pPr>
      <w:r w:rsidRPr="0012318D">
        <w:rPr>
          <w:rFonts w:ascii="Times New Roman" w:hAnsi="Times New Roman" w:cs="Times New Roman"/>
          <w:sz w:val="25"/>
          <w:szCs w:val="25"/>
        </w:rPr>
        <w:t xml:space="preserve">A generating plant may be physically located in one area, and virtually placed in another Balancing Area Authority (BAA) using transmission service referred to as </w:t>
      </w:r>
      <w:r w:rsidR="00860FDB">
        <w:rPr>
          <w:rFonts w:ascii="Times New Roman" w:hAnsi="Times New Roman" w:cs="Times New Roman"/>
          <w:sz w:val="25"/>
          <w:szCs w:val="25"/>
        </w:rPr>
        <w:t>dynamic transfer</w:t>
      </w:r>
      <w:r w:rsidRPr="0012318D">
        <w:rPr>
          <w:rFonts w:ascii="Times New Roman" w:hAnsi="Times New Roman" w:cs="Times New Roman"/>
          <w:sz w:val="25"/>
          <w:szCs w:val="25"/>
        </w:rPr>
        <w:t xml:space="preserve">. Under this arrangement, the BAA that virtually receives the generating plant’s output is responsible for responding to variations in the plant’s output. PSE has </w:t>
      </w:r>
      <w:r w:rsidR="00860FDB">
        <w:rPr>
          <w:rFonts w:ascii="Times New Roman" w:hAnsi="Times New Roman" w:cs="Times New Roman"/>
          <w:sz w:val="25"/>
          <w:szCs w:val="25"/>
        </w:rPr>
        <w:t>dynamic transfer</w:t>
      </w:r>
      <w:r w:rsidRPr="0012318D">
        <w:rPr>
          <w:rFonts w:ascii="Times New Roman" w:hAnsi="Times New Roman" w:cs="Times New Roman"/>
          <w:sz w:val="25"/>
          <w:szCs w:val="25"/>
        </w:rPr>
        <w:t xml:space="preserve"> arrangements for several of its generation plants. Unfortunately, th</w:t>
      </w:r>
      <w:r w:rsidR="008A458B">
        <w:rPr>
          <w:rFonts w:ascii="Times New Roman" w:hAnsi="Times New Roman" w:cs="Times New Roman"/>
          <w:sz w:val="25"/>
          <w:szCs w:val="25"/>
        </w:rPr>
        <w:t>e 2015</w:t>
      </w:r>
      <w:r w:rsidRPr="0012318D">
        <w:rPr>
          <w:rFonts w:ascii="Times New Roman" w:hAnsi="Times New Roman" w:cs="Times New Roman"/>
          <w:sz w:val="25"/>
          <w:szCs w:val="25"/>
        </w:rPr>
        <w:t xml:space="preserve"> IRP does not consider the use of </w:t>
      </w:r>
      <w:r w:rsidR="00860FDB">
        <w:rPr>
          <w:rFonts w:ascii="Times New Roman" w:hAnsi="Times New Roman" w:cs="Times New Roman"/>
          <w:sz w:val="25"/>
          <w:szCs w:val="25"/>
        </w:rPr>
        <w:t xml:space="preserve">dynamic transfer </w:t>
      </w:r>
      <w:r w:rsidRPr="0012318D">
        <w:rPr>
          <w:rFonts w:ascii="Times New Roman" w:hAnsi="Times New Roman" w:cs="Times New Roman"/>
          <w:sz w:val="25"/>
          <w:szCs w:val="25"/>
        </w:rPr>
        <w:t xml:space="preserve">in the placement of future gas plants, or in its consideration of </w:t>
      </w:r>
      <w:r w:rsidR="00FF283C">
        <w:rPr>
          <w:rFonts w:ascii="Times New Roman" w:hAnsi="Times New Roman" w:cs="Times New Roman"/>
          <w:sz w:val="25"/>
          <w:szCs w:val="25"/>
        </w:rPr>
        <w:t>wind resources in eastern Montana.</w:t>
      </w:r>
    </w:p>
    <w:p w:rsidR="00506B7E" w:rsidRPr="00506B7E" w:rsidRDefault="00506B7E" w:rsidP="00506B7E">
      <w:pPr>
        <w:spacing w:line="264" w:lineRule="auto"/>
        <w:rPr>
          <w:rFonts w:ascii="Times New Roman" w:hAnsi="Times New Roman" w:cs="Times New Roman"/>
          <w:sz w:val="25"/>
          <w:szCs w:val="25"/>
        </w:rPr>
      </w:pPr>
    </w:p>
    <w:p w:rsidR="00506B7E" w:rsidRPr="00506B7E" w:rsidRDefault="00506B7E" w:rsidP="00506B7E">
      <w:pPr>
        <w:pStyle w:val="ListParagraph"/>
        <w:numPr>
          <w:ilvl w:val="0"/>
          <w:numId w:val="5"/>
        </w:numPr>
        <w:spacing w:line="264" w:lineRule="auto"/>
        <w:rPr>
          <w:rFonts w:ascii="Times New Roman" w:hAnsi="Times New Roman" w:cs="Times New Roman"/>
          <w:sz w:val="25"/>
          <w:szCs w:val="25"/>
        </w:rPr>
      </w:pPr>
      <w:r>
        <w:rPr>
          <w:rFonts w:ascii="Times New Roman" w:hAnsi="Times New Roman" w:cs="Times New Roman"/>
          <w:sz w:val="25"/>
          <w:szCs w:val="25"/>
        </w:rPr>
        <w:t xml:space="preserve">In the </w:t>
      </w:r>
      <w:r w:rsidR="008A458B">
        <w:rPr>
          <w:rFonts w:ascii="Times New Roman" w:hAnsi="Times New Roman" w:cs="Times New Roman"/>
          <w:sz w:val="25"/>
          <w:szCs w:val="25"/>
        </w:rPr>
        <w:t>2017</w:t>
      </w:r>
      <w:r>
        <w:rPr>
          <w:rFonts w:ascii="Times New Roman" w:hAnsi="Times New Roman" w:cs="Times New Roman"/>
          <w:sz w:val="25"/>
          <w:szCs w:val="25"/>
        </w:rPr>
        <w:t xml:space="preserve"> IRP, </w:t>
      </w:r>
      <w:r w:rsidRPr="00506B7E">
        <w:rPr>
          <w:rFonts w:ascii="Times New Roman" w:hAnsi="Times New Roman" w:cs="Times New Roman"/>
          <w:sz w:val="25"/>
          <w:szCs w:val="25"/>
        </w:rPr>
        <w:t xml:space="preserve">PSE </w:t>
      </w:r>
      <w:r>
        <w:rPr>
          <w:rFonts w:ascii="Times New Roman" w:hAnsi="Times New Roman" w:cs="Times New Roman"/>
          <w:sz w:val="25"/>
          <w:szCs w:val="25"/>
        </w:rPr>
        <w:t xml:space="preserve">should </w:t>
      </w:r>
      <w:r w:rsidRPr="00506B7E">
        <w:rPr>
          <w:rFonts w:ascii="Times New Roman" w:hAnsi="Times New Roman" w:cs="Times New Roman"/>
          <w:sz w:val="25"/>
          <w:szCs w:val="25"/>
        </w:rPr>
        <w:t xml:space="preserve">quantify the costs and benefits of siting gas plants in eastern </w:t>
      </w:r>
      <w:r>
        <w:rPr>
          <w:rFonts w:ascii="Times New Roman" w:hAnsi="Times New Roman" w:cs="Times New Roman"/>
          <w:sz w:val="25"/>
          <w:szCs w:val="25"/>
        </w:rPr>
        <w:t xml:space="preserve">or western </w:t>
      </w:r>
      <w:r w:rsidRPr="00506B7E">
        <w:rPr>
          <w:rFonts w:ascii="Times New Roman" w:hAnsi="Times New Roman" w:cs="Times New Roman"/>
          <w:sz w:val="25"/>
          <w:szCs w:val="25"/>
        </w:rPr>
        <w:t>Washington</w:t>
      </w:r>
      <w:r>
        <w:rPr>
          <w:rFonts w:ascii="Times New Roman" w:hAnsi="Times New Roman" w:cs="Times New Roman"/>
          <w:sz w:val="25"/>
          <w:szCs w:val="25"/>
        </w:rPr>
        <w:t>. This analysis should include</w:t>
      </w:r>
      <w:r w:rsidRPr="00506B7E">
        <w:rPr>
          <w:rFonts w:ascii="Times New Roman" w:hAnsi="Times New Roman" w:cs="Times New Roman"/>
          <w:sz w:val="25"/>
          <w:szCs w:val="25"/>
        </w:rPr>
        <w:t xml:space="preserve"> </w:t>
      </w:r>
      <w:r>
        <w:rPr>
          <w:rFonts w:ascii="Times New Roman" w:hAnsi="Times New Roman" w:cs="Times New Roman"/>
          <w:sz w:val="25"/>
          <w:szCs w:val="25"/>
        </w:rPr>
        <w:t xml:space="preserve">the use of </w:t>
      </w:r>
      <w:r w:rsidR="00860FDB">
        <w:rPr>
          <w:rFonts w:ascii="Times New Roman" w:hAnsi="Times New Roman" w:cs="Times New Roman"/>
          <w:sz w:val="25"/>
          <w:szCs w:val="25"/>
        </w:rPr>
        <w:t>dynamic transfer into PSE’s BAA</w:t>
      </w:r>
      <w:r>
        <w:rPr>
          <w:rFonts w:ascii="Times New Roman" w:hAnsi="Times New Roman" w:cs="Times New Roman"/>
          <w:sz w:val="25"/>
          <w:szCs w:val="25"/>
        </w:rPr>
        <w:t xml:space="preserve">, and a </w:t>
      </w:r>
      <w:r w:rsidRPr="00506B7E">
        <w:rPr>
          <w:rFonts w:ascii="Times New Roman" w:hAnsi="Times New Roman" w:cs="Times New Roman"/>
          <w:sz w:val="25"/>
          <w:szCs w:val="25"/>
        </w:rPr>
        <w:t xml:space="preserve">discussion </w:t>
      </w:r>
      <w:r>
        <w:rPr>
          <w:rFonts w:ascii="Times New Roman" w:hAnsi="Times New Roman" w:cs="Times New Roman"/>
          <w:sz w:val="25"/>
          <w:szCs w:val="25"/>
        </w:rPr>
        <w:t xml:space="preserve">of </w:t>
      </w:r>
      <w:r w:rsidRPr="00506B7E">
        <w:rPr>
          <w:rFonts w:ascii="Times New Roman" w:hAnsi="Times New Roman" w:cs="Times New Roman"/>
          <w:sz w:val="25"/>
          <w:szCs w:val="25"/>
        </w:rPr>
        <w:t>the potential risks associated with BPA transmission policies.</w:t>
      </w:r>
    </w:p>
    <w:p w:rsidR="00313AA8" w:rsidRPr="00506B7E" w:rsidRDefault="00506B7E" w:rsidP="00CB76F3">
      <w:pPr>
        <w:pStyle w:val="ListParagraph"/>
        <w:numPr>
          <w:ilvl w:val="0"/>
          <w:numId w:val="5"/>
        </w:numPr>
        <w:spacing w:line="264" w:lineRule="auto"/>
        <w:rPr>
          <w:rFonts w:ascii="Times New Roman" w:hAnsi="Times New Roman" w:cs="Times New Roman"/>
          <w:sz w:val="25"/>
          <w:szCs w:val="25"/>
        </w:rPr>
      </w:pPr>
      <w:r w:rsidRPr="00506B7E">
        <w:rPr>
          <w:rFonts w:ascii="Times New Roman" w:hAnsi="Times New Roman" w:cs="Times New Roman"/>
          <w:sz w:val="25"/>
          <w:szCs w:val="25"/>
        </w:rPr>
        <w:t xml:space="preserve">In </w:t>
      </w:r>
      <w:r w:rsidR="006E1EC1">
        <w:rPr>
          <w:rFonts w:ascii="Times New Roman" w:hAnsi="Times New Roman" w:cs="Times New Roman"/>
          <w:sz w:val="25"/>
          <w:szCs w:val="25"/>
        </w:rPr>
        <w:t xml:space="preserve">the 2017 </w:t>
      </w:r>
      <w:r w:rsidRPr="00506B7E">
        <w:rPr>
          <w:rFonts w:ascii="Times New Roman" w:hAnsi="Times New Roman" w:cs="Times New Roman"/>
          <w:sz w:val="25"/>
          <w:szCs w:val="25"/>
        </w:rPr>
        <w:t xml:space="preserve">IRP, PSE should </w:t>
      </w:r>
      <w:r w:rsidR="00942605">
        <w:rPr>
          <w:rFonts w:ascii="Times New Roman" w:hAnsi="Times New Roman" w:cs="Times New Roman"/>
          <w:sz w:val="25"/>
          <w:szCs w:val="25"/>
        </w:rPr>
        <w:t xml:space="preserve">again revisit its assumptions regarding </w:t>
      </w:r>
      <w:r w:rsidR="00FF283C">
        <w:rPr>
          <w:rFonts w:ascii="Times New Roman" w:hAnsi="Times New Roman" w:cs="Times New Roman"/>
          <w:sz w:val="25"/>
          <w:szCs w:val="25"/>
        </w:rPr>
        <w:t xml:space="preserve">eastern </w:t>
      </w:r>
      <w:r w:rsidR="0012318D" w:rsidRPr="00506B7E">
        <w:rPr>
          <w:rFonts w:ascii="Times New Roman" w:hAnsi="Times New Roman" w:cs="Times New Roman"/>
          <w:sz w:val="25"/>
          <w:szCs w:val="25"/>
        </w:rPr>
        <w:t xml:space="preserve">Montana </w:t>
      </w:r>
      <w:r w:rsidRPr="00506B7E">
        <w:rPr>
          <w:rFonts w:ascii="Times New Roman" w:hAnsi="Times New Roman" w:cs="Times New Roman"/>
          <w:sz w:val="25"/>
          <w:szCs w:val="25"/>
        </w:rPr>
        <w:t>wind</w:t>
      </w:r>
      <w:r w:rsidR="00942605">
        <w:rPr>
          <w:rFonts w:ascii="Times New Roman" w:hAnsi="Times New Roman" w:cs="Times New Roman"/>
          <w:sz w:val="25"/>
          <w:szCs w:val="25"/>
        </w:rPr>
        <w:t xml:space="preserve"> with the advisory group. Additionally, PSE should model Montana wind’s use of</w:t>
      </w:r>
      <w:r>
        <w:rPr>
          <w:rFonts w:ascii="Times New Roman" w:hAnsi="Times New Roman" w:cs="Times New Roman"/>
          <w:sz w:val="25"/>
          <w:szCs w:val="25"/>
        </w:rPr>
        <w:t xml:space="preserve"> transmission made available by the retirement of some units at Colstrip, and </w:t>
      </w:r>
      <w:r w:rsidR="00942605">
        <w:rPr>
          <w:rFonts w:ascii="Times New Roman" w:hAnsi="Times New Roman" w:cs="Times New Roman"/>
          <w:sz w:val="25"/>
          <w:szCs w:val="25"/>
        </w:rPr>
        <w:t xml:space="preserve">consider a sensitivity where </w:t>
      </w:r>
      <w:r>
        <w:rPr>
          <w:rFonts w:ascii="Times New Roman" w:hAnsi="Times New Roman" w:cs="Times New Roman"/>
          <w:sz w:val="25"/>
          <w:szCs w:val="25"/>
        </w:rPr>
        <w:t xml:space="preserve">Montana wind </w:t>
      </w:r>
      <w:r w:rsidRPr="00506B7E">
        <w:rPr>
          <w:rFonts w:ascii="Times New Roman" w:hAnsi="Times New Roman" w:cs="Times New Roman"/>
          <w:sz w:val="25"/>
          <w:szCs w:val="25"/>
        </w:rPr>
        <w:t>qualifies for the Washington RPS</w:t>
      </w:r>
      <w:r w:rsidR="00942605">
        <w:rPr>
          <w:rFonts w:ascii="Times New Roman" w:hAnsi="Times New Roman" w:cs="Times New Roman"/>
          <w:sz w:val="25"/>
          <w:szCs w:val="25"/>
        </w:rPr>
        <w:t xml:space="preserve"> using a </w:t>
      </w:r>
      <w:r w:rsidR="00860FDB">
        <w:rPr>
          <w:rFonts w:ascii="Times New Roman" w:hAnsi="Times New Roman" w:cs="Times New Roman"/>
          <w:sz w:val="25"/>
          <w:szCs w:val="25"/>
        </w:rPr>
        <w:t>dynamic transfer</w:t>
      </w:r>
      <w:r w:rsidR="00942605">
        <w:rPr>
          <w:rFonts w:ascii="Times New Roman" w:hAnsi="Times New Roman" w:cs="Times New Roman"/>
          <w:sz w:val="25"/>
          <w:szCs w:val="25"/>
        </w:rPr>
        <w:t xml:space="preserve"> or other technology</w:t>
      </w:r>
      <w:r>
        <w:rPr>
          <w:rFonts w:ascii="Times New Roman" w:hAnsi="Times New Roman" w:cs="Times New Roman"/>
          <w:sz w:val="25"/>
          <w:szCs w:val="25"/>
        </w:rPr>
        <w:t>.</w:t>
      </w:r>
    </w:p>
    <w:p w:rsidR="00313AA8" w:rsidRDefault="00313AA8" w:rsidP="00895DF8">
      <w:pPr>
        <w:spacing w:line="264" w:lineRule="auto"/>
        <w:rPr>
          <w:rFonts w:ascii="Times New Roman" w:hAnsi="Times New Roman" w:cs="Times New Roman"/>
          <w:sz w:val="25"/>
          <w:szCs w:val="25"/>
        </w:rPr>
      </w:pPr>
    </w:p>
    <w:p w:rsidR="00C42719" w:rsidRPr="00C42719" w:rsidRDefault="00C42719" w:rsidP="00C42719">
      <w:pPr>
        <w:spacing w:line="264" w:lineRule="auto"/>
        <w:rPr>
          <w:rFonts w:ascii="Times New Roman" w:hAnsi="Times New Roman" w:cs="Times New Roman"/>
          <w:b/>
          <w:sz w:val="25"/>
          <w:szCs w:val="25"/>
        </w:rPr>
      </w:pPr>
      <w:r>
        <w:rPr>
          <w:rFonts w:ascii="Times New Roman" w:hAnsi="Times New Roman" w:cs="Times New Roman"/>
          <w:b/>
          <w:sz w:val="25"/>
          <w:szCs w:val="25"/>
        </w:rPr>
        <w:lastRenderedPageBreak/>
        <w:t xml:space="preserve">Renewable </w:t>
      </w:r>
      <w:r w:rsidR="00EB0147">
        <w:rPr>
          <w:rFonts w:ascii="Times New Roman" w:hAnsi="Times New Roman" w:cs="Times New Roman"/>
          <w:b/>
          <w:sz w:val="25"/>
          <w:szCs w:val="25"/>
        </w:rPr>
        <w:t xml:space="preserve">Resources </w:t>
      </w:r>
    </w:p>
    <w:p w:rsidR="00C42719" w:rsidRPr="00C42719" w:rsidRDefault="00C42719" w:rsidP="00C42719">
      <w:pPr>
        <w:spacing w:line="264" w:lineRule="auto"/>
        <w:rPr>
          <w:rFonts w:ascii="Times New Roman" w:hAnsi="Times New Roman" w:cs="Times New Roman"/>
          <w:i/>
          <w:sz w:val="25"/>
          <w:szCs w:val="25"/>
        </w:rPr>
      </w:pPr>
    </w:p>
    <w:p w:rsidR="00740C88" w:rsidRDefault="00C42719" w:rsidP="00C42719">
      <w:pPr>
        <w:spacing w:line="264" w:lineRule="auto"/>
        <w:rPr>
          <w:rFonts w:ascii="Times New Roman" w:hAnsi="Times New Roman" w:cs="Times New Roman"/>
          <w:sz w:val="25"/>
          <w:szCs w:val="25"/>
        </w:rPr>
      </w:pPr>
      <w:r w:rsidRPr="00C42719">
        <w:rPr>
          <w:rFonts w:ascii="Times New Roman" w:hAnsi="Times New Roman" w:cs="Times New Roman"/>
          <w:sz w:val="25"/>
          <w:szCs w:val="25"/>
        </w:rPr>
        <w:t xml:space="preserve">Though the IRP analyzes various resource options for complying with the </w:t>
      </w:r>
      <w:r w:rsidR="004427D2">
        <w:rPr>
          <w:rFonts w:ascii="Times New Roman" w:hAnsi="Times New Roman" w:cs="Times New Roman"/>
          <w:sz w:val="25"/>
          <w:szCs w:val="25"/>
        </w:rPr>
        <w:t xml:space="preserve">Renewable </w:t>
      </w:r>
      <w:r w:rsidR="00EB0147" w:rsidRPr="00EB0147">
        <w:rPr>
          <w:rFonts w:ascii="Times New Roman" w:hAnsi="Times New Roman" w:cs="Times New Roman"/>
          <w:sz w:val="25"/>
          <w:szCs w:val="25"/>
        </w:rPr>
        <w:t>Portfolio Standard (RPS)</w:t>
      </w:r>
      <w:r w:rsidRPr="00C42719">
        <w:rPr>
          <w:rFonts w:ascii="Times New Roman" w:hAnsi="Times New Roman" w:cs="Times New Roman"/>
          <w:sz w:val="25"/>
          <w:szCs w:val="25"/>
        </w:rPr>
        <w:t>, it does not analyze the potential for complying with future RPS obligations by purchasing unbundled renewable energy credits (RECs).</w:t>
      </w:r>
      <w:r w:rsidRPr="00C42719">
        <w:rPr>
          <w:rFonts w:ascii="Times New Roman" w:hAnsi="Times New Roman" w:cs="Times New Roman"/>
          <w:sz w:val="25"/>
          <w:szCs w:val="25"/>
          <w:vertAlign w:val="superscript"/>
        </w:rPr>
        <w:footnoteReference w:id="22"/>
      </w:r>
      <w:r w:rsidRPr="00C42719">
        <w:rPr>
          <w:rFonts w:ascii="Times New Roman" w:hAnsi="Times New Roman" w:cs="Times New Roman"/>
          <w:sz w:val="25"/>
          <w:szCs w:val="25"/>
        </w:rPr>
        <w:t xml:space="preserve"> Pacific Power</w:t>
      </w:r>
      <w:r w:rsidR="002F67BA">
        <w:rPr>
          <w:rFonts w:ascii="Times New Roman" w:hAnsi="Times New Roman" w:cs="Times New Roman"/>
          <w:sz w:val="25"/>
          <w:szCs w:val="25"/>
        </w:rPr>
        <w:t>, in it</w:t>
      </w:r>
      <w:r w:rsidRPr="00C42719">
        <w:rPr>
          <w:rFonts w:ascii="Times New Roman" w:hAnsi="Times New Roman" w:cs="Times New Roman"/>
          <w:sz w:val="25"/>
          <w:szCs w:val="25"/>
        </w:rPr>
        <w:t>s last two IRPs</w:t>
      </w:r>
      <w:r w:rsidR="002F67BA">
        <w:rPr>
          <w:rFonts w:ascii="Times New Roman" w:hAnsi="Times New Roman" w:cs="Times New Roman"/>
          <w:sz w:val="25"/>
          <w:szCs w:val="25"/>
        </w:rPr>
        <w:t>,</w:t>
      </w:r>
      <w:r w:rsidRPr="00C42719">
        <w:rPr>
          <w:rFonts w:ascii="Times New Roman" w:hAnsi="Times New Roman" w:cs="Times New Roman"/>
          <w:sz w:val="25"/>
          <w:szCs w:val="25"/>
        </w:rPr>
        <w:t xml:space="preserve"> </w:t>
      </w:r>
      <w:r w:rsidR="002F67BA">
        <w:rPr>
          <w:rFonts w:ascii="Times New Roman" w:hAnsi="Times New Roman" w:cs="Times New Roman"/>
          <w:sz w:val="25"/>
          <w:szCs w:val="25"/>
        </w:rPr>
        <w:t xml:space="preserve">has </w:t>
      </w:r>
      <w:r w:rsidRPr="00C42719">
        <w:rPr>
          <w:rFonts w:ascii="Times New Roman" w:hAnsi="Times New Roman" w:cs="Times New Roman"/>
          <w:sz w:val="25"/>
          <w:szCs w:val="25"/>
        </w:rPr>
        <w:t xml:space="preserve">determined that unbundled REC purchases are a lower-cost means of RPS compliance by a significant margin. </w:t>
      </w:r>
    </w:p>
    <w:p w:rsidR="00740C88" w:rsidRDefault="00740C88" w:rsidP="00C42719">
      <w:pPr>
        <w:spacing w:line="264" w:lineRule="auto"/>
        <w:rPr>
          <w:rFonts w:ascii="Times New Roman" w:hAnsi="Times New Roman" w:cs="Times New Roman"/>
          <w:sz w:val="25"/>
          <w:szCs w:val="25"/>
        </w:rPr>
      </w:pPr>
    </w:p>
    <w:p w:rsidR="00C42719" w:rsidRDefault="00740C88" w:rsidP="00740C88">
      <w:pPr>
        <w:pStyle w:val="ListParagraph"/>
        <w:numPr>
          <w:ilvl w:val="0"/>
          <w:numId w:val="19"/>
        </w:numPr>
        <w:spacing w:line="264" w:lineRule="auto"/>
        <w:rPr>
          <w:rFonts w:ascii="Times New Roman" w:hAnsi="Times New Roman" w:cs="Times New Roman"/>
          <w:sz w:val="25"/>
          <w:szCs w:val="25"/>
        </w:rPr>
      </w:pPr>
      <w:r>
        <w:rPr>
          <w:rFonts w:ascii="Times New Roman" w:hAnsi="Times New Roman" w:cs="Times New Roman"/>
          <w:sz w:val="25"/>
          <w:szCs w:val="25"/>
        </w:rPr>
        <w:t>In its next IRP, PSE should compare</w:t>
      </w:r>
      <w:r w:rsidRPr="00740C88">
        <w:rPr>
          <w:rFonts w:ascii="Times New Roman" w:hAnsi="Times New Roman" w:cs="Times New Roman"/>
          <w:sz w:val="25"/>
          <w:szCs w:val="25"/>
        </w:rPr>
        <w:t xml:space="preserve"> </w:t>
      </w:r>
      <w:r>
        <w:rPr>
          <w:rFonts w:ascii="Times New Roman" w:hAnsi="Times New Roman" w:cs="Times New Roman"/>
          <w:sz w:val="25"/>
          <w:szCs w:val="25"/>
        </w:rPr>
        <w:t xml:space="preserve">the </w:t>
      </w:r>
      <w:r w:rsidR="008F6AA4">
        <w:rPr>
          <w:rFonts w:ascii="Times New Roman" w:hAnsi="Times New Roman" w:cs="Times New Roman"/>
          <w:sz w:val="25"/>
          <w:szCs w:val="25"/>
        </w:rPr>
        <w:t xml:space="preserve">marginal </w:t>
      </w:r>
      <w:r>
        <w:rPr>
          <w:rFonts w:ascii="Times New Roman" w:hAnsi="Times New Roman" w:cs="Times New Roman"/>
          <w:sz w:val="25"/>
          <w:szCs w:val="25"/>
        </w:rPr>
        <w:t>cost</w:t>
      </w:r>
      <w:r w:rsidRPr="00740C88">
        <w:rPr>
          <w:rFonts w:ascii="Times New Roman" w:hAnsi="Times New Roman" w:cs="Times New Roman"/>
          <w:sz w:val="25"/>
          <w:szCs w:val="25"/>
        </w:rPr>
        <w:t xml:space="preserve"> </w:t>
      </w:r>
      <w:r>
        <w:rPr>
          <w:rFonts w:ascii="Times New Roman" w:hAnsi="Times New Roman" w:cs="Times New Roman"/>
          <w:sz w:val="25"/>
          <w:szCs w:val="25"/>
        </w:rPr>
        <w:t>of</w:t>
      </w:r>
      <w:r w:rsidRPr="00740C88">
        <w:rPr>
          <w:rFonts w:ascii="Times New Roman" w:hAnsi="Times New Roman" w:cs="Times New Roman"/>
          <w:sz w:val="25"/>
          <w:szCs w:val="25"/>
        </w:rPr>
        <w:t xml:space="preserve"> generating a REC from a company-built resource with the costs of purchasing an unbundled REC on the open market</w:t>
      </w:r>
      <w:r w:rsidR="00C42719" w:rsidRPr="00740C88">
        <w:rPr>
          <w:rFonts w:ascii="Times New Roman" w:hAnsi="Times New Roman" w:cs="Times New Roman"/>
          <w:sz w:val="25"/>
          <w:szCs w:val="25"/>
        </w:rPr>
        <w:t xml:space="preserve">. </w:t>
      </w:r>
    </w:p>
    <w:p w:rsidR="00EB0147" w:rsidRDefault="00EB0147" w:rsidP="00EB0147">
      <w:pPr>
        <w:spacing w:line="264" w:lineRule="auto"/>
        <w:rPr>
          <w:rFonts w:ascii="Times New Roman" w:hAnsi="Times New Roman" w:cs="Times New Roman"/>
          <w:sz w:val="25"/>
          <w:szCs w:val="25"/>
        </w:rPr>
      </w:pPr>
    </w:p>
    <w:p w:rsidR="00EB0147" w:rsidRDefault="003F3BA3" w:rsidP="00EB0147">
      <w:pPr>
        <w:spacing w:line="264" w:lineRule="auto"/>
        <w:rPr>
          <w:rFonts w:ascii="Times New Roman" w:hAnsi="Times New Roman" w:cs="Times New Roman"/>
          <w:sz w:val="25"/>
          <w:szCs w:val="25"/>
        </w:rPr>
      </w:pPr>
      <w:r>
        <w:rPr>
          <w:rFonts w:ascii="Times New Roman" w:hAnsi="Times New Roman" w:cs="Times New Roman"/>
          <w:sz w:val="25"/>
          <w:szCs w:val="25"/>
        </w:rPr>
        <w:t xml:space="preserve">In comments, Renewable </w:t>
      </w:r>
      <w:r w:rsidRPr="003F3BA3">
        <w:rPr>
          <w:rFonts w:ascii="Times New Roman" w:hAnsi="Times New Roman" w:cs="Times New Roman"/>
          <w:sz w:val="25"/>
          <w:szCs w:val="25"/>
        </w:rPr>
        <w:t>N</w:t>
      </w:r>
      <w:r>
        <w:rPr>
          <w:rFonts w:ascii="Times New Roman" w:hAnsi="Times New Roman" w:cs="Times New Roman"/>
          <w:sz w:val="25"/>
          <w:szCs w:val="25"/>
        </w:rPr>
        <w:t>orthwest</w:t>
      </w:r>
      <w:r w:rsidRPr="003F3BA3">
        <w:rPr>
          <w:rFonts w:ascii="Times New Roman" w:hAnsi="Times New Roman" w:cs="Times New Roman"/>
          <w:sz w:val="25"/>
          <w:szCs w:val="25"/>
        </w:rPr>
        <w:t xml:space="preserve"> </w:t>
      </w:r>
      <w:r>
        <w:rPr>
          <w:rFonts w:ascii="Times New Roman" w:hAnsi="Times New Roman" w:cs="Times New Roman"/>
          <w:sz w:val="25"/>
          <w:szCs w:val="25"/>
        </w:rPr>
        <w:t xml:space="preserve">(RN) </w:t>
      </w:r>
      <w:r w:rsidRPr="003F3BA3">
        <w:rPr>
          <w:rFonts w:ascii="Times New Roman" w:hAnsi="Times New Roman" w:cs="Times New Roman"/>
          <w:sz w:val="25"/>
          <w:szCs w:val="25"/>
        </w:rPr>
        <w:t>and Sierra Club emphasize the importance of ensuring that PSE keeps its renewable resource assumptions up to date because the costs of renewable technologies can fall significantly during a planning cycle. RN, N</w:t>
      </w:r>
      <w:r>
        <w:rPr>
          <w:rFonts w:ascii="Times New Roman" w:hAnsi="Times New Roman" w:cs="Times New Roman"/>
          <w:sz w:val="25"/>
          <w:szCs w:val="25"/>
        </w:rPr>
        <w:t xml:space="preserve">orthwest </w:t>
      </w:r>
      <w:r w:rsidRPr="003F3BA3">
        <w:rPr>
          <w:rFonts w:ascii="Times New Roman" w:hAnsi="Times New Roman" w:cs="Times New Roman"/>
          <w:sz w:val="25"/>
          <w:szCs w:val="25"/>
        </w:rPr>
        <w:t>E</w:t>
      </w:r>
      <w:r>
        <w:rPr>
          <w:rFonts w:ascii="Times New Roman" w:hAnsi="Times New Roman" w:cs="Times New Roman"/>
          <w:sz w:val="25"/>
          <w:szCs w:val="25"/>
        </w:rPr>
        <w:t xml:space="preserve">nergy </w:t>
      </w:r>
      <w:r w:rsidRPr="003F3BA3">
        <w:rPr>
          <w:rFonts w:ascii="Times New Roman" w:hAnsi="Times New Roman" w:cs="Times New Roman"/>
          <w:sz w:val="25"/>
          <w:szCs w:val="25"/>
        </w:rPr>
        <w:t>C</w:t>
      </w:r>
      <w:r>
        <w:rPr>
          <w:rFonts w:ascii="Times New Roman" w:hAnsi="Times New Roman" w:cs="Times New Roman"/>
          <w:sz w:val="25"/>
          <w:szCs w:val="25"/>
        </w:rPr>
        <w:t>oalition</w:t>
      </w:r>
      <w:r w:rsidRPr="003F3BA3">
        <w:rPr>
          <w:rFonts w:ascii="Times New Roman" w:hAnsi="Times New Roman" w:cs="Times New Roman"/>
          <w:sz w:val="25"/>
          <w:szCs w:val="25"/>
        </w:rPr>
        <w:t xml:space="preserve">, and Sierra Club cite </w:t>
      </w:r>
      <w:r w:rsidR="008B72AF">
        <w:rPr>
          <w:rFonts w:ascii="Times New Roman" w:hAnsi="Times New Roman" w:cs="Times New Roman"/>
          <w:sz w:val="25"/>
          <w:szCs w:val="25"/>
        </w:rPr>
        <w:t xml:space="preserve">specifically </w:t>
      </w:r>
      <w:r w:rsidRPr="003F3BA3">
        <w:rPr>
          <w:rFonts w:ascii="Times New Roman" w:hAnsi="Times New Roman" w:cs="Times New Roman"/>
          <w:sz w:val="25"/>
          <w:szCs w:val="25"/>
        </w:rPr>
        <w:t>lower prices for utility-scale wind and solar than found in the IRP.</w:t>
      </w:r>
    </w:p>
    <w:p w:rsidR="003F3BA3" w:rsidRDefault="003F3BA3" w:rsidP="00EB0147">
      <w:pPr>
        <w:spacing w:line="264" w:lineRule="auto"/>
        <w:rPr>
          <w:rFonts w:ascii="Times New Roman" w:hAnsi="Times New Roman" w:cs="Times New Roman"/>
          <w:sz w:val="25"/>
          <w:szCs w:val="25"/>
        </w:rPr>
      </w:pPr>
    </w:p>
    <w:p w:rsidR="00246626" w:rsidRDefault="00246626" w:rsidP="00246626">
      <w:pPr>
        <w:pStyle w:val="ListParagraph"/>
        <w:numPr>
          <w:ilvl w:val="0"/>
          <w:numId w:val="5"/>
        </w:numPr>
        <w:spacing w:line="264" w:lineRule="auto"/>
        <w:rPr>
          <w:rFonts w:ascii="Times New Roman" w:hAnsi="Times New Roman" w:cs="Times New Roman"/>
          <w:sz w:val="25"/>
          <w:szCs w:val="25"/>
        </w:rPr>
      </w:pPr>
      <w:r>
        <w:rPr>
          <w:rFonts w:ascii="Times New Roman" w:hAnsi="Times New Roman" w:cs="Times New Roman"/>
          <w:sz w:val="25"/>
          <w:szCs w:val="25"/>
        </w:rPr>
        <w:t xml:space="preserve">At the start of the next IRP cycle, PSE should solicit feedback from </w:t>
      </w:r>
      <w:r w:rsidR="009F73DB">
        <w:rPr>
          <w:rFonts w:ascii="Times New Roman" w:hAnsi="Times New Roman" w:cs="Times New Roman"/>
          <w:sz w:val="25"/>
          <w:szCs w:val="25"/>
        </w:rPr>
        <w:t>the</w:t>
      </w:r>
      <w:r>
        <w:rPr>
          <w:rFonts w:ascii="Times New Roman" w:hAnsi="Times New Roman" w:cs="Times New Roman"/>
          <w:sz w:val="25"/>
          <w:szCs w:val="25"/>
        </w:rPr>
        <w:t xml:space="preserve"> advisory group regarding the timing of cost and performance assumptions for renewable resources and energy storage. When presenting these cost and performance</w:t>
      </w:r>
      <w:r w:rsidR="002D53AC">
        <w:rPr>
          <w:rFonts w:ascii="Times New Roman" w:hAnsi="Times New Roman" w:cs="Times New Roman"/>
          <w:sz w:val="25"/>
          <w:szCs w:val="25"/>
        </w:rPr>
        <w:t xml:space="preserve"> assumptions</w:t>
      </w:r>
      <w:r>
        <w:rPr>
          <w:rFonts w:ascii="Times New Roman" w:hAnsi="Times New Roman" w:cs="Times New Roman"/>
          <w:sz w:val="25"/>
          <w:szCs w:val="25"/>
        </w:rPr>
        <w:t xml:space="preserve"> to the advisory group, PSE should clearly identify any </w:t>
      </w:r>
      <w:r w:rsidR="00D43777">
        <w:rPr>
          <w:rFonts w:ascii="Times New Roman" w:hAnsi="Times New Roman" w:cs="Times New Roman"/>
          <w:sz w:val="25"/>
          <w:szCs w:val="25"/>
        </w:rPr>
        <w:t xml:space="preserve">“learning curves” </w:t>
      </w:r>
      <w:r>
        <w:rPr>
          <w:rFonts w:ascii="Times New Roman" w:hAnsi="Times New Roman" w:cs="Times New Roman"/>
          <w:sz w:val="25"/>
          <w:szCs w:val="25"/>
        </w:rPr>
        <w:t xml:space="preserve">used to discount future costs or improve performance </w:t>
      </w:r>
      <w:r w:rsidR="002D53AC">
        <w:rPr>
          <w:rFonts w:ascii="Times New Roman" w:hAnsi="Times New Roman" w:cs="Times New Roman"/>
          <w:sz w:val="25"/>
          <w:szCs w:val="25"/>
        </w:rPr>
        <w:t>of</w:t>
      </w:r>
      <w:r>
        <w:rPr>
          <w:rFonts w:ascii="Times New Roman" w:hAnsi="Times New Roman" w:cs="Times New Roman"/>
          <w:sz w:val="25"/>
          <w:szCs w:val="25"/>
        </w:rPr>
        <w:t xml:space="preserve"> those technologies.</w:t>
      </w:r>
    </w:p>
    <w:p w:rsidR="006B3C0F" w:rsidRDefault="006B3C0F" w:rsidP="006B3C0F">
      <w:pPr>
        <w:spacing w:line="264" w:lineRule="auto"/>
        <w:rPr>
          <w:rFonts w:ascii="Times New Roman" w:hAnsi="Times New Roman" w:cs="Times New Roman"/>
          <w:sz w:val="25"/>
          <w:szCs w:val="25"/>
        </w:rPr>
      </w:pPr>
    </w:p>
    <w:p w:rsidR="006B3C0F" w:rsidRPr="006B3C0F" w:rsidRDefault="006B3C0F" w:rsidP="006B3C0F">
      <w:pPr>
        <w:spacing w:line="264" w:lineRule="auto"/>
        <w:rPr>
          <w:rFonts w:ascii="Times New Roman" w:hAnsi="Times New Roman" w:cs="Times New Roman"/>
          <w:sz w:val="25"/>
          <w:szCs w:val="25"/>
        </w:rPr>
      </w:pPr>
      <w:r w:rsidRPr="006B3C0F">
        <w:rPr>
          <w:rFonts w:ascii="Times New Roman" w:hAnsi="Times New Roman" w:cs="Times New Roman"/>
          <w:sz w:val="25"/>
          <w:szCs w:val="25"/>
        </w:rPr>
        <w:t xml:space="preserve">Similarly, the </w:t>
      </w:r>
      <w:r w:rsidR="008A458B">
        <w:rPr>
          <w:rFonts w:ascii="Times New Roman" w:hAnsi="Times New Roman" w:cs="Times New Roman"/>
          <w:sz w:val="25"/>
          <w:szCs w:val="25"/>
        </w:rPr>
        <w:t xml:space="preserve">2015 </w:t>
      </w:r>
      <w:r w:rsidRPr="006B3C0F">
        <w:rPr>
          <w:rFonts w:ascii="Times New Roman" w:hAnsi="Times New Roman" w:cs="Times New Roman"/>
          <w:sz w:val="25"/>
          <w:szCs w:val="25"/>
        </w:rPr>
        <w:t>IRP d</w:t>
      </w:r>
      <w:r w:rsidR="008A458B">
        <w:rPr>
          <w:rFonts w:ascii="Times New Roman" w:hAnsi="Times New Roman" w:cs="Times New Roman"/>
          <w:sz w:val="25"/>
          <w:szCs w:val="25"/>
        </w:rPr>
        <w:t>oes</w:t>
      </w:r>
      <w:r w:rsidRPr="006B3C0F">
        <w:rPr>
          <w:rFonts w:ascii="Times New Roman" w:hAnsi="Times New Roman" w:cs="Times New Roman"/>
          <w:sz w:val="25"/>
          <w:szCs w:val="25"/>
        </w:rPr>
        <w:t xml:space="preserve"> not have a sensitivity analysis to consider the impact of renewed federal production tax credits</w:t>
      </w:r>
      <w:r w:rsidR="00F86CA1">
        <w:rPr>
          <w:rFonts w:ascii="Times New Roman" w:hAnsi="Times New Roman" w:cs="Times New Roman"/>
          <w:sz w:val="25"/>
          <w:szCs w:val="25"/>
        </w:rPr>
        <w:t xml:space="preserve"> </w:t>
      </w:r>
      <w:r w:rsidR="00FF283C">
        <w:rPr>
          <w:rFonts w:ascii="Times New Roman" w:hAnsi="Times New Roman" w:cs="Times New Roman"/>
          <w:sz w:val="25"/>
          <w:szCs w:val="25"/>
        </w:rPr>
        <w:t>for wind energy</w:t>
      </w:r>
      <w:r w:rsidRPr="006B3C0F">
        <w:rPr>
          <w:rFonts w:ascii="Times New Roman" w:hAnsi="Times New Roman" w:cs="Times New Roman"/>
          <w:sz w:val="25"/>
          <w:szCs w:val="25"/>
        </w:rPr>
        <w:t xml:space="preserve">. </w:t>
      </w:r>
      <w:r w:rsidR="00A05B3B">
        <w:rPr>
          <w:rFonts w:ascii="Times New Roman" w:hAnsi="Times New Roman" w:cs="Times New Roman"/>
          <w:sz w:val="25"/>
          <w:szCs w:val="25"/>
        </w:rPr>
        <w:t xml:space="preserve">As </w:t>
      </w:r>
      <w:r w:rsidR="00FF283C">
        <w:rPr>
          <w:rFonts w:ascii="Times New Roman" w:hAnsi="Times New Roman" w:cs="Times New Roman"/>
          <w:sz w:val="25"/>
          <w:szCs w:val="25"/>
        </w:rPr>
        <w:t>Congress renewed such credits in December 2015,</w:t>
      </w:r>
      <w:r w:rsidR="006C73AD">
        <w:rPr>
          <w:rFonts w:ascii="Times New Roman" w:hAnsi="Times New Roman" w:cs="Times New Roman"/>
          <w:sz w:val="25"/>
          <w:szCs w:val="25"/>
        </w:rPr>
        <w:t xml:space="preserve"> </w:t>
      </w:r>
      <w:r w:rsidRPr="006B3C0F">
        <w:rPr>
          <w:rFonts w:ascii="Times New Roman" w:hAnsi="Times New Roman" w:cs="Times New Roman"/>
          <w:sz w:val="25"/>
          <w:szCs w:val="25"/>
        </w:rPr>
        <w:t>it may be cost effective for PSE to build the wind resource</w:t>
      </w:r>
      <w:r w:rsidR="00FF283C">
        <w:rPr>
          <w:rFonts w:ascii="Times New Roman" w:hAnsi="Times New Roman" w:cs="Times New Roman"/>
          <w:sz w:val="25"/>
          <w:szCs w:val="25"/>
        </w:rPr>
        <w:t xml:space="preserve"> scheduled for service in 2023 at an earlier date</w:t>
      </w:r>
      <w:r w:rsidRPr="006B3C0F">
        <w:rPr>
          <w:rFonts w:ascii="Times New Roman" w:hAnsi="Times New Roman" w:cs="Times New Roman"/>
          <w:sz w:val="25"/>
          <w:szCs w:val="25"/>
        </w:rPr>
        <w:t xml:space="preserve"> to take advantage of the tax credit.</w:t>
      </w:r>
    </w:p>
    <w:p w:rsidR="00910E08" w:rsidRDefault="00910E08" w:rsidP="00910E08">
      <w:pPr>
        <w:spacing w:line="264" w:lineRule="auto"/>
        <w:rPr>
          <w:rFonts w:ascii="Times New Roman" w:hAnsi="Times New Roman" w:cs="Times New Roman"/>
          <w:b/>
          <w:sz w:val="25"/>
          <w:szCs w:val="25"/>
        </w:rPr>
      </w:pPr>
    </w:p>
    <w:p w:rsidR="00910E08" w:rsidRPr="00E17647" w:rsidRDefault="00910E08" w:rsidP="00910E08">
      <w:pPr>
        <w:spacing w:line="264" w:lineRule="auto"/>
        <w:rPr>
          <w:rFonts w:ascii="Times New Roman" w:hAnsi="Times New Roman" w:cs="Times New Roman"/>
          <w:b/>
          <w:sz w:val="25"/>
          <w:szCs w:val="25"/>
        </w:rPr>
      </w:pPr>
      <w:r w:rsidRPr="00E17647">
        <w:rPr>
          <w:rFonts w:ascii="Times New Roman" w:hAnsi="Times New Roman" w:cs="Times New Roman"/>
          <w:b/>
          <w:sz w:val="25"/>
          <w:szCs w:val="25"/>
        </w:rPr>
        <w:t>Reserve requirements</w:t>
      </w:r>
    </w:p>
    <w:p w:rsidR="00910E08" w:rsidRPr="00E17647" w:rsidRDefault="00910E08" w:rsidP="00910E08">
      <w:pPr>
        <w:spacing w:line="264" w:lineRule="auto"/>
        <w:rPr>
          <w:rFonts w:ascii="Times New Roman" w:hAnsi="Times New Roman" w:cs="Times New Roman"/>
          <w:sz w:val="25"/>
          <w:szCs w:val="25"/>
        </w:rPr>
      </w:pPr>
    </w:p>
    <w:p w:rsidR="00910E08" w:rsidRDefault="00910E08" w:rsidP="00910E08">
      <w:pPr>
        <w:spacing w:line="264" w:lineRule="auto"/>
        <w:rPr>
          <w:rFonts w:ascii="Times New Roman" w:hAnsi="Times New Roman" w:cs="Times New Roman"/>
          <w:sz w:val="25"/>
          <w:szCs w:val="25"/>
        </w:rPr>
      </w:pPr>
      <w:r w:rsidRPr="00E17647">
        <w:rPr>
          <w:rFonts w:ascii="Times New Roman" w:hAnsi="Times New Roman" w:cs="Times New Roman"/>
          <w:sz w:val="25"/>
          <w:szCs w:val="25"/>
        </w:rPr>
        <w:t>The Northwest Power Plan recommends IRPs include an estimate of the utility’s operating reserve requirement, including which plants should be assigned in power system models to provide these reserves.</w:t>
      </w:r>
      <w:r w:rsidRPr="00E17647">
        <w:rPr>
          <w:rFonts w:ascii="Times New Roman" w:hAnsi="Times New Roman" w:cs="Times New Roman"/>
          <w:sz w:val="25"/>
          <w:szCs w:val="25"/>
          <w:vertAlign w:val="superscript"/>
        </w:rPr>
        <w:footnoteReference w:id="23"/>
      </w:r>
      <w:r w:rsidRPr="00E17647">
        <w:rPr>
          <w:rFonts w:ascii="Times New Roman" w:hAnsi="Times New Roman" w:cs="Times New Roman"/>
          <w:sz w:val="25"/>
          <w:szCs w:val="25"/>
        </w:rPr>
        <w:t xml:space="preserve"> </w:t>
      </w:r>
    </w:p>
    <w:p w:rsidR="00910E08" w:rsidRDefault="00910E08" w:rsidP="00910E08">
      <w:pPr>
        <w:spacing w:line="264" w:lineRule="auto"/>
        <w:rPr>
          <w:rFonts w:ascii="Times New Roman" w:hAnsi="Times New Roman" w:cs="Times New Roman"/>
          <w:sz w:val="25"/>
          <w:szCs w:val="25"/>
        </w:rPr>
      </w:pPr>
    </w:p>
    <w:p w:rsidR="00910E08" w:rsidRPr="00E17647" w:rsidRDefault="00910E08" w:rsidP="00910E08">
      <w:pPr>
        <w:pStyle w:val="ListParagraph"/>
        <w:numPr>
          <w:ilvl w:val="0"/>
          <w:numId w:val="15"/>
        </w:numPr>
        <w:spacing w:line="264" w:lineRule="auto"/>
        <w:rPr>
          <w:rFonts w:ascii="Times New Roman" w:hAnsi="Times New Roman" w:cs="Times New Roman"/>
          <w:sz w:val="25"/>
          <w:szCs w:val="25"/>
        </w:rPr>
      </w:pPr>
      <w:r w:rsidRPr="00E17647">
        <w:rPr>
          <w:rFonts w:ascii="Times New Roman" w:hAnsi="Times New Roman" w:cs="Times New Roman"/>
          <w:sz w:val="25"/>
          <w:szCs w:val="25"/>
        </w:rPr>
        <w:lastRenderedPageBreak/>
        <w:t xml:space="preserve">The Commission requests that PSE work with regional stakeholders, including the Northwest Power and Conservation Council Staff, to publish information about </w:t>
      </w:r>
      <w:r>
        <w:rPr>
          <w:rFonts w:ascii="Times New Roman" w:hAnsi="Times New Roman" w:cs="Times New Roman"/>
          <w:sz w:val="25"/>
          <w:szCs w:val="25"/>
        </w:rPr>
        <w:t>PSE</w:t>
      </w:r>
      <w:r w:rsidRPr="00E17647">
        <w:rPr>
          <w:rFonts w:ascii="Times New Roman" w:hAnsi="Times New Roman" w:cs="Times New Roman"/>
          <w:sz w:val="25"/>
          <w:szCs w:val="25"/>
        </w:rPr>
        <w:t>’s reserve requirements needs in the next IRP.</w:t>
      </w:r>
    </w:p>
    <w:p w:rsidR="00910E08" w:rsidRDefault="00910E08" w:rsidP="00910E08">
      <w:pPr>
        <w:spacing w:line="264" w:lineRule="auto"/>
        <w:rPr>
          <w:rFonts w:ascii="Times New Roman" w:hAnsi="Times New Roman" w:cs="Times New Roman"/>
          <w:b/>
          <w:sz w:val="25"/>
          <w:szCs w:val="25"/>
        </w:rPr>
      </w:pPr>
    </w:p>
    <w:p w:rsidR="00BC5DE2" w:rsidRPr="00152F5C" w:rsidRDefault="00BC5DE2" w:rsidP="00BC5DE2">
      <w:pPr>
        <w:pStyle w:val="ListParagraph"/>
        <w:numPr>
          <w:ilvl w:val="0"/>
          <w:numId w:val="13"/>
        </w:numPr>
        <w:spacing w:line="264" w:lineRule="auto"/>
        <w:rPr>
          <w:rFonts w:ascii="Times New Roman" w:hAnsi="Times New Roman" w:cs="Times New Roman"/>
          <w:b/>
          <w:sz w:val="25"/>
          <w:szCs w:val="25"/>
          <w:u w:val="single"/>
        </w:rPr>
      </w:pPr>
      <w:r>
        <w:rPr>
          <w:rFonts w:ascii="Times New Roman" w:hAnsi="Times New Roman" w:cs="Times New Roman"/>
          <w:b/>
          <w:sz w:val="25"/>
          <w:szCs w:val="25"/>
          <w:u w:val="single"/>
        </w:rPr>
        <w:t>Modeling Improvements</w:t>
      </w:r>
    </w:p>
    <w:p w:rsidR="00BC5DE2" w:rsidRDefault="00BC5DE2" w:rsidP="00895DF8">
      <w:pPr>
        <w:spacing w:line="264" w:lineRule="auto"/>
        <w:rPr>
          <w:rFonts w:ascii="Times New Roman" w:hAnsi="Times New Roman" w:cs="Times New Roman"/>
          <w:b/>
          <w:sz w:val="25"/>
          <w:szCs w:val="25"/>
        </w:rPr>
      </w:pPr>
    </w:p>
    <w:p w:rsidR="0093543E" w:rsidRPr="00576D6A" w:rsidRDefault="0093543E" w:rsidP="0093543E">
      <w:pPr>
        <w:spacing w:line="264" w:lineRule="auto"/>
        <w:rPr>
          <w:rFonts w:ascii="Times New Roman" w:hAnsi="Times New Roman" w:cs="Times New Roman"/>
          <w:b/>
          <w:sz w:val="25"/>
          <w:szCs w:val="25"/>
        </w:rPr>
      </w:pPr>
      <w:r w:rsidRPr="00576D6A">
        <w:rPr>
          <w:rFonts w:ascii="Times New Roman" w:hAnsi="Times New Roman" w:cs="Times New Roman"/>
          <w:b/>
          <w:sz w:val="25"/>
          <w:szCs w:val="25"/>
        </w:rPr>
        <w:t>Thermal plant capital investments</w:t>
      </w:r>
    </w:p>
    <w:p w:rsidR="0093543E" w:rsidRPr="0093543E" w:rsidRDefault="0093543E" w:rsidP="0093543E">
      <w:pPr>
        <w:spacing w:line="264" w:lineRule="auto"/>
        <w:rPr>
          <w:rFonts w:ascii="Times New Roman" w:hAnsi="Times New Roman" w:cs="Times New Roman"/>
          <w:i/>
          <w:sz w:val="25"/>
          <w:szCs w:val="25"/>
        </w:rPr>
      </w:pPr>
    </w:p>
    <w:p w:rsidR="0093543E" w:rsidRDefault="0093543E" w:rsidP="0093543E">
      <w:pPr>
        <w:spacing w:line="264" w:lineRule="auto"/>
        <w:rPr>
          <w:rFonts w:ascii="Times New Roman" w:hAnsi="Times New Roman" w:cs="Times New Roman"/>
          <w:sz w:val="25"/>
          <w:szCs w:val="25"/>
        </w:rPr>
      </w:pPr>
      <w:r w:rsidRPr="0093543E">
        <w:rPr>
          <w:rFonts w:ascii="Times New Roman" w:hAnsi="Times New Roman" w:cs="Times New Roman"/>
          <w:sz w:val="25"/>
          <w:szCs w:val="25"/>
        </w:rPr>
        <w:t xml:space="preserve">In contrast with </w:t>
      </w:r>
      <w:r w:rsidR="006E7189">
        <w:rPr>
          <w:rFonts w:ascii="Times New Roman" w:hAnsi="Times New Roman" w:cs="Times New Roman"/>
          <w:sz w:val="25"/>
          <w:szCs w:val="25"/>
        </w:rPr>
        <w:t xml:space="preserve">the planning of </w:t>
      </w:r>
      <w:r w:rsidRPr="0093543E">
        <w:rPr>
          <w:rFonts w:ascii="Times New Roman" w:hAnsi="Times New Roman" w:cs="Times New Roman"/>
          <w:sz w:val="25"/>
          <w:szCs w:val="25"/>
        </w:rPr>
        <w:t>Avista and Pacific Power, PSE’s IRP modeling historically has not incorporated the cost of future capital investments in thermal plants. For that reason, consideration of Colstrip retirement in the 2013 IRP wa</w:t>
      </w:r>
      <w:r>
        <w:rPr>
          <w:rFonts w:ascii="Times New Roman" w:hAnsi="Times New Roman" w:cs="Times New Roman"/>
          <w:sz w:val="25"/>
          <w:szCs w:val="25"/>
        </w:rPr>
        <w:t>s considered a one-off analysis</w:t>
      </w:r>
      <w:r w:rsidRPr="0093543E">
        <w:rPr>
          <w:rFonts w:ascii="Times New Roman" w:hAnsi="Times New Roman" w:cs="Times New Roman"/>
          <w:sz w:val="25"/>
          <w:szCs w:val="25"/>
        </w:rPr>
        <w:t xml:space="preserve">. </w:t>
      </w:r>
      <w:r>
        <w:rPr>
          <w:rFonts w:ascii="Times New Roman" w:hAnsi="Times New Roman" w:cs="Times New Roman"/>
          <w:sz w:val="25"/>
          <w:szCs w:val="25"/>
        </w:rPr>
        <w:t>E</w:t>
      </w:r>
      <w:r w:rsidRPr="0093543E">
        <w:rPr>
          <w:rFonts w:ascii="Times New Roman" w:hAnsi="Times New Roman" w:cs="Times New Roman"/>
          <w:sz w:val="25"/>
          <w:szCs w:val="25"/>
        </w:rPr>
        <w:t xml:space="preserve">lectric utilities must consider the realistic possibility that </w:t>
      </w:r>
      <w:r>
        <w:rPr>
          <w:rFonts w:ascii="Times New Roman" w:hAnsi="Times New Roman" w:cs="Times New Roman"/>
          <w:sz w:val="25"/>
          <w:szCs w:val="25"/>
        </w:rPr>
        <w:t xml:space="preserve">the </w:t>
      </w:r>
      <w:r w:rsidRPr="0093543E">
        <w:rPr>
          <w:rFonts w:ascii="Times New Roman" w:hAnsi="Times New Roman" w:cs="Times New Roman"/>
          <w:sz w:val="25"/>
          <w:szCs w:val="25"/>
        </w:rPr>
        <w:t>retirement of thermal plants facing costly retrofits may be the most cost-effective way to serve customers. PSE’s IRP mode</w:t>
      </w:r>
      <w:r w:rsidR="00DD562C">
        <w:rPr>
          <w:rFonts w:ascii="Times New Roman" w:hAnsi="Times New Roman" w:cs="Times New Roman"/>
          <w:sz w:val="25"/>
          <w:szCs w:val="25"/>
        </w:rPr>
        <w:t>l</w:t>
      </w:r>
      <w:r w:rsidRPr="0093543E">
        <w:rPr>
          <w:rFonts w:ascii="Times New Roman" w:hAnsi="Times New Roman" w:cs="Times New Roman"/>
          <w:sz w:val="25"/>
          <w:szCs w:val="25"/>
        </w:rPr>
        <w:t>s do not account for this possibility, yet PSE owns six combined-cycle gas plants and four peak</w:t>
      </w:r>
      <w:r w:rsidR="00D43777">
        <w:rPr>
          <w:rFonts w:ascii="Times New Roman" w:hAnsi="Times New Roman" w:cs="Times New Roman"/>
          <w:sz w:val="25"/>
          <w:szCs w:val="25"/>
        </w:rPr>
        <w:t>ing</w:t>
      </w:r>
      <w:r w:rsidRPr="0093543E">
        <w:rPr>
          <w:rFonts w:ascii="Times New Roman" w:hAnsi="Times New Roman" w:cs="Times New Roman"/>
          <w:sz w:val="25"/>
          <w:szCs w:val="25"/>
        </w:rPr>
        <w:t xml:space="preserve"> plants in addition to Colstrip.</w:t>
      </w:r>
      <w:r w:rsidRPr="0093543E">
        <w:rPr>
          <w:rFonts w:ascii="Times New Roman" w:hAnsi="Times New Roman" w:cs="Times New Roman"/>
          <w:sz w:val="25"/>
          <w:szCs w:val="25"/>
          <w:vertAlign w:val="superscript"/>
        </w:rPr>
        <w:footnoteReference w:id="24"/>
      </w:r>
      <w:r w:rsidRPr="0093543E">
        <w:rPr>
          <w:rFonts w:ascii="Times New Roman" w:hAnsi="Times New Roman" w:cs="Times New Roman"/>
          <w:sz w:val="25"/>
          <w:szCs w:val="25"/>
        </w:rPr>
        <w:t xml:space="preserve"> </w:t>
      </w:r>
    </w:p>
    <w:p w:rsidR="0093543E" w:rsidRDefault="0093543E" w:rsidP="0093543E">
      <w:pPr>
        <w:spacing w:line="264" w:lineRule="auto"/>
        <w:rPr>
          <w:rFonts w:ascii="Times New Roman" w:hAnsi="Times New Roman" w:cs="Times New Roman"/>
          <w:sz w:val="25"/>
          <w:szCs w:val="25"/>
        </w:rPr>
      </w:pPr>
    </w:p>
    <w:p w:rsidR="00DE5045" w:rsidRPr="0093543E" w:rsidRDefault="00DE5045" w:rsidP="00DE5045">
      <w:pPr>
        <w:pStyle w:val="ListParagraph"/>
        <w:numPr>
          <w:ilvl w:val="0"/>
          <w:numId w:val="5"/>
        </w:numPr>
        <w:spacing w:line="264" w:lineRule="auto"/>
        <w:rPr>
          <w:rFonts w:ascii="Times New Roman" w:hAnsi="Times New Roman" w:cs="Times New Roman"/>
          <w:sz w:val="25"/>
          <w:szCs w:val="25"/>
        </w:rPr>
      </w:pPr>
      <w:r w:rsidRPr="00DE5045">
        <w:rPr>
          <w:rFonts w:ascii="Times New Roman" w:hAnsi="Times New Roman" w:cs="Times New Roman"/>
          <w:sz w:val="25"/>
          <w:szCs w:val="25"/>
        </w:rPr>
        <w:t xml:space="preserve">PSE </w:t>
      </w:r>
      <w:r>
        <w:rPr>
          <w:rFonts w:ascii="Times New Roman" w:hAnsi="Times New Roman" w:cs="Times New Roman"/>
          <w:sz w:val="25"/>
          <w:szCs w:val="25"/>
        </w:rPr>
        <w:t xml:space="preserve">must </w:t>
      </w:r>
      <w:r w:rsidRPr="00DE5045">
        <w:rPr>
          <w:rFonts w:ascii="Times New Roman" w:hAnsi="Times New Roman" w:cs="Times New Roman"/>
          <w:sz w:val="25"/>
          <w:szCs w:val="25"/>
        </w:rPr>
        <w:t xml:space="preserve">develop a model that economically optimizes the timing of </w:t>
      </w:r>
      <w:r w:rsidR="00C33F25" w:rsidRPr="00DE5045">
        <w:rPr>
          <w:rFonts w:ascii="Times New Roman" w:hAnsi="Times New Roman" w:cs="Times New Roman"/>
          <w:sz w:val="25"/>
          <w:szCs w:val="25"/>
        </w:rPr>
        <w:t xml:space="preserve">thermal plant </w:t>
      </w:r>
      <w:r w:rsidR="00364C34" w:rsidRPr="00DE5045">
        <w:rPr>
          <w:rFonts w:ascii="Times New Roman" w:hAnsi="Times New Roman" w:cs="Times New Roman"/>
          <w:sz w:val="25"/>
          <w:szCs w:val="25"/>
        </w:rPr>
        <w:t>retirement</w:t>
      </w:r>
      <w:r w:rsidR="00C33F25">
        <w:rPr>
          <w:rFonts w:ascii="Times New Roman" w:hAnsi="Times New Roman" w:cs="Times New Roman"/>
          <w:sz w:val="25"/>
          <w:szCs w:val="25"/>
        </w:rPr>
        <w:t>s</w:t>
      </w:r>
      <w:r w:rsidR="00364C34">
        <w:rPr>
          <w:rFonts w:ascii="Times New Roman" w:hAnsi="Times New Roman" w:cs="Times New Roman"/>
          <w:sz w:val="25"/>
          <w:szCs w:val="25"/>
        </w:rPr>
        <w:t xml:space="preserve">, </w:t>
      </w:r>
      <w:r w:rsidRPr="00DE5045">
        <w:rPr>
          <w:rFonts w:ascii="Times New Roman" w:hAnsi="Times New Roman" w:cs="Times New Roman"/>
          <w:sz w:val="25"/>
          <w:szCs w:val="25"/>
        </w:rPr>
        <w:t xml:space="preserve">capital investments, and replacement power </w:t>
      </w:r>
      <w:r>
        <w:rPr>
          <w:rFonts w:ascii="Times New Roman" w:hAnsi="Times New Roman" w:cs="Times New Roman"/>
          <w:sz w:val="25"/>
          <w:szCs w:val="25"/>
        </w:rPr>
        <w:t xml:space="preserve">for use in all </w:t>
      </w:r>
      <w:r w:rsidRPr="00DE5045">
        <w:rPr>
          <w:rFonts w:ascii="Times New Roman" w:hAnsi="Times New Roman" w:cs="Times New Roman"/>
          <w:sz w:val="25"/>
          <w:szCs w:val="25"/>
        </w:rPr>
        <w:t>future IRPs.</w:t>
      </w:r>
    </w:p>
    <w:p w:rsidR="0093543E" w:rsidRPr="0093543E" w:rsidRDefault="0093543E" w:rsidP="0093543E">
      <w:pPr>
        <w:spacing w:line="264" w:lineRule="auto"/>
        <w:rPr>
          <w:rFonts w:ascii="Times New Roman" w:hAnsi="Times New Roman" w:cs="Times New Roman"/>
          <w:sz w:val="25"/>
          <w:szCs w:val="25"/>
        </w:rPr>
      </w:pPr>
    </w:p>
    <w:p w:rsidR="0093543E" w:rsidRPr="00576D6A" w:rsidRDefault="0093543E" w:rsidP="0093543E">
      <w:pPr>
        <w:spacing w:line="264" w:lineRule="auto"/>
        <w:rPr>
          <w:rFonts w:ascii="Times New Roman" w:hAnsi="Times New Roman" w:cs="Times New Roman"/>
          <w:b/>
          <w:sz w:val="25"/>
          <w:szCs w:val="25"/>
        </w:rPr>
      </w:pPr>
      <w:r w:rsidRPr="00576D6A">
        <w:rPr>
          <w:rFonts w:ascii="Times New Roman" w:hAnsi="Times New Roman" w:cs="Times New Roman"/>
          <w:b/>
          <w:sz w:val="25"/>
          <w:szCs w:val="25"/>
        </w:rPr>
        <w:t>Distribution and transmission system evaluation</w:t>
      </w:r>
    </w:p>
    <w:p w:rsidR="0093543E" w:rsidRPr="0093543E" w:rsidRDefault="0093543E" w:rsidP="0093543E">
      <w:pPr>
        <w:spacing w:line="264" w:lineRule="auto"/>
        <w:rPr>
          <w:rFonts w:ascii="Times New Roman" w:hAnsi="Times New Roman" w:cs="Times New Roman"/>
          <w:sz w:val="25"/>
          <w:szCs w:val="25"/>
          <w:u w:val="single"/>
        </w:rPr>
      </w:pPr>
    </w:p>
    <w:p w:rsidR="0093543E" w:rsidRPr="0093543E" w:rsidRDefault="0093543E" w:rsidP="0093543E">
      <w:pPr>
        <w:spacing w:line="264" w:lineRule="auto"/>
        <w:rPr>
          <w:rFonts w:ascii="Times New Roman" w:hAnsi="Times New Roman" w:cs="Times New Roman"/>
          <w:sz w:val="25"/>
          <w:szCs w:val="25"/>
        </w:rPr>
      </w:pPr>
      <w:r w:rsidRPr="0093543E">
        <w:rPr>
          <w:rFonts w:ascii="Times New Roman" w:hAnsi="Times New Roman" w:cs="Times New Roman"/>
          <w:sz w:val="25"/>
          <w:szCs w:val="25"/>
        </w:rPr>
        <w:t>PSE’s IRP modeling historically has not included distribution system evaluations. PSE’s IRP states that “the planning process for addressing local distribution and transmission needs . . . is appropriately separate from the IRP’s high-level generic resource and system-wide viewpoint.”</w:t>
      </w:r>
      <w:r w:rsidRPr="0093543E">
        <w:rPr>
          <w:rFonts w:ascii="Times New Roman" w:hAnsi="Times New Roman" w:cs="Times New Roman"/>
          <w:sz w:val="25"/>
          <w:szCs w:val="25"/>
          <w:vertAlign w:val="superscript"/>
        </w:rPr>
        <w:footnoteReference w:id="25"/>
      </w:r>
      <w:r w:rsidRPr="0093543E">
        <w:rPr>
          <w:rFonts w:ascii="Times New Roman" w:hAnsi="Times New Roman" w:cs="Times New Roman"/>
          <w:sz w:val="25"/>
          <w:szCs w:val="25"/>
        </w:rPr>
        <w:t xml:space="preserve"> Contradicting this statement, the IRP includes an estimation of the maximum potential of distributed solar generation in PSE’s service territory, and the impact of that build-out on its distribution system.</w:t>
      </w:r>
      <w:r w:rsidRPr="0093543E">
        <w:rPr>
          <w:rFonts w:ascii="Times New Roman" w:hAnsi="Times New Roman" w:cs="Times New Roman"/>
          <w:sz w:val="25"/>
          <w:szCs w:val="25"/>
          <w:vertAlign w:val="superscript"/>
        </w:rPr>
        <w:footnoteReference w:id="26"/>
      </w:r>
      <w:r w:rsidRPr="0093543E">
        <w:rPr>
          <w:rFonts w:ascii="Times New Roman" w:hAnsi="Times New Roman" w:cs="Times New Roman"/>
          <w:sz w:val="25"/>
          <w:szCs w:val="25"/>
        </w:rPr>
        <w:t xml:space="preserve"> The statement inappropriately forecloses on the consideration of distribution and transmission system evaluation in the IRP. </w:t>
      </w:r>
    </w:p>
    <w:p w:rsidR="0093543E" w:rsidRPr="0093543E" w:rsidRDefault="0093543E" w:rsidP="0093543E">
      <w:pPr>
        <w:spacing w:line="264" w:lineRule="auto"/>
        <w:rPr>
          <w:rFonts w:ascii="Times New Roman" w:hAnsi="Times New Roman" w:cs="Times New Roman"/>
          <w:sz w:val="25"/>
          <w:szCs w:val="25"/>
        </w:rPr>
      </w:pPr>
    </w:p>
    <w:p w:rsidR="0093543E" w:rsidRDefault="0093543E" w:rsidP="0093543E">
      <w:pPr>
        <w:spacing w:line="264" w:lineRule="auto"/>
        <w:rPr>
          <w:rFonts w:ascii="Times New Roman" w:hAnsi="Times New Roman" w:cs="Times New Roman"/>
          <w:sz w:val="25"/>
          <w:szCs w:val="25"/>
        </w:rPr>
      </w:pPr>
      <w:r w:rsidRPr="0093543E">
        <w:rPr>
          <w:rFonts w:ascii="Times New Roman" w:hAnsi="Times New Roman" w:cs="Times New Roman"/>
          <w:sz w:val="25"/>
          <w:szCs w:val="25"/>
        </w:rPr>
        <w:t xml:space="preserve">WAC 480-100-238(3)(d)-(e) requires the IRP to include “[a]n assessment of transmission system capability and reliability, to the extent such information can be provided consistent with applicable laws,” and “[a] comparative evaluation of energy supply resources (including transmission and distribution) and improvements in conservation.” </w:t>
      </w:r>
      <w:r>
        <w:rPr>
          <w:rFonts w:ascii="Times New Roman" w:hAnsi="Times New Roman" w:cs="Times New Roman"/>
          <w:sz w:val="25"/>
          <w:szCs w:val="25"/>
        </w:rPr>
        <w:t xml:space="preserve">PSE did not fully respond to </w:t>
      </w:r>
      <w:r w:rsidR="008A458B">
        <w:rPr>
          <w:rFonts w:ascii="Times New Roman" w:hAnsi="Times New Roman" w:cs="Times New Roman"/>
          <w:sz w:val="25"/>
          <w:szCs w:val="25"/>
        </w:rPr>
        <w:t>the Commission’s</w:t>
      </w:r>
      <w:r>
        <w:rPr>
          <w:rFonts w:ascii="Times New Roman" w:hAnsi="Times New Roman" w:cs="Times New Roman"/>
          <w:sz w:val="25"/>
          <w:szCs w:val="25"/>
        </w:rPr>
        <w:t xml:space="preserve"> direction in its </w:t>
      </w:r>
      <w:r w:rsidR="0095563C">
        <w:rPr>
          <w:rFonts w:ascii="Times New Roman" w:hAnsi="Times New Roman" w:cs="Times New Roman"/>
          <w:sz w:val="25"/>
          <w:szCs w:val="25"/>
        </w:rPr>
        <w:t xml:space="preserve">2013 IRP </w:t>
      </w:r>
      <w:r w:rsidRPr="0093543E">
        <w:rPr>
          <w:rFonts w:ascii="Times New Roman" w:hAnsi="Times New Roman" w:cs="Times New Roman"/>
          <w:sz w:val="25"/>
          <w:szCs w:val="25"/>
        </w:rPr>
        <w:t xml:space="preserve">Acknowledgement Letter to “model the transmission constraints present in its system and </w:t>
      </w:r>
      <w:r w:rsidRPr="0093543E">
        <w:rPr>
          <w:rFonts w:ascii="Times New Roman" w:hAnsi="Times New Roman" w:cs="Times New Roman"/>
          <w:sz w:val="25"/>
          <w:szCs w:val="25"/>
        </w:rPr>
        <w:lastRenderedPageBreak/>
        <w:t>the impact those constraints have on resource selection,” and “explicitly describe the relationship between the [distribution and transmission] infrastructure and IRP planning processes.”</w:t>
      </w:r>
      <w:r w:rsidRPr="0093543E">
        <w:rPr>
          <w:rFonts w:ascii="Times New Roman" w:hAnsi="Times New Roman" w:cs="Times New Roman"/>
          <w:sz w:val="25"/>
          <w:szCs w:val="25"/>
          <w:vertAlign w:val="superscript"/>
        </w:rPr>
        <w:footnoteReference w:id="27"/>
      </w:r>
      <w:r>
        <w:rPr>
          <w:rFonts w:ascii="Times New Roman" w:hAnsi="Times New Roman" w:cs="Times New Roman"/>
          <w:sz w:val="25"/>
          <w:szCs w:val="25"/>
        </w:rPr>
        <w:t xml:space="preserve"> The Commission</w:t>
      </w:r>
      <w:r w:rsidRPr="0093543E">
        <w:rPr>
          <w:rFonts w:ascii="Times New Roman" w:hAnsi="Times New Roman" w:cs="Times New Roman"/>
          <w:sz w:val="25"/>
          <w:szCs w:val="25"/>
        </w:rPr>
        <w:t xml:space="preserve"> </w:t>
      </w:r>
      <w:r>
        <w:rPr>
          <w:rFonts w:ascii="Times New Roman" w:hAnsi="Times New Roman" w:cs="Times New Roman"/>
          <w:sz w:val="25"/>
          <w:szCs w:val="25"/>
        </w:rPr>
        <w:t xml:space="preserve">is concerned that </w:t>
      </w:r>
      <w:r w:rsidRPr="0093543E">
        <w:rPr>
          <w:rFonts w:ascii="Times New Roman" w:hAnsi="Times New Roman" w:cs="Times New Roman"/>
          <w:sz w:val="25"/>
          <w:szCs w:val="25"/>
        </w:rPr>
        <w:t>the IRP’s statement regarding distribution and transmission system evaluation</w:t>
      </w:r>
      <w:r w:rsidR="0095563C">
        <w:rPr>
          <w:rFonts w:ascii="Times New Roman" w:hAnsi="Times New Roman" w:cs="Times New Roman"/>
          <w:sz w:val="25"/>
          <w:szCs w:val="25"/>
        </w:rPr>
        <w:t xml:space="preserve"> contradicts </w:t>
      </w:r>
      <w:r w:rsidR="0095563C" w:rsidRPr="0093543E">
        <w:rPr>
          <w:rFonts w:ascii="Times New Roman" w:hAnsi="Times New Roman" w:cs="Times New Roman"/>
          <w:sz w:val="25"/>
          <w:szCs w:val="25"/>
        </w:rPr>
        <w:t>WAC 480-100-238</w:t>
      </w:r>
      <w:r w:rsidRPr="0093543E">
        <w:rPr>
          <w:rFonts w:ascii="Times New Roman" w:hAnsi="Times New Roman" w:cs="Times New Roman"/>
          <w:sz w:val="25"/>
          <w:szCs w:val="25"/>
        </w:rPr>
        <w:t>.</w:t>
      </w:r>
    </w:p>
    <w:p w:rsidR="008A4828" w:rsidRDefault="008A4828" w:rsidP="0093543E">
      <w:pPr>
        <w:spacing w:line="264" w:lineRule="auto"/>
        <w:rPr>
          <w:rFonts w:ascii="Times New Roman" w:hAnsi="Times New Roman" w:cs="Times New Roman"/>
          <w:sz w:val="25"/>
          <w:szCs w:val="25"/>
        </w:rPr>
      </w:pPr>
    </w:p>
    <w:p w:rsidR="008A4828" w:rsidRDefault="008A4828" w:rsidP="008A4828">
      <w:pPr>
        <w:pStyle w:val="ListParagraph"/>
        <w:numPr>
          <w:ilvl w:val="0"/>
          <w:numId w:val="5"/>
        </w:numPr>
        <w:spacing w:line="264" w:lineRule="auto"/>
        <w:rPr>
          <w:rFonts w:ascii="Times New Roman" w:hAnsi="Times New Roman" w:cs="Times New Roman"/>
          <w:sz w:val="25"/>
          <w:szCs w:val="25"/>
        </w:rPr>
      </w:pPr>
      <w:r>
        <w:rPr>
          <w:rFonts w:ascii="Times New Roman" w:hAnsi="Times New Roman" w:cs="Times New Roman"/>
          <w:sz w:val="25"/>
          <w:szCs w:val="25"/>
        </w:rPr>
        <w:t xml:space="preserve">The Commission applauds PSE’s inclusion of </w:t>
      </w:r>
      <w:r w:rsidRPr="008A4828">
        <w:rPr>
          <w:rFonts w:ascii="Times New Roman" w:hAnsi="Times New Roman" w:cs="Times New Roman"/>
          <w:sz w:val="25"/>
          <w:szCs w:val="25"/>
        </w:rPr>
        <w:t>an estimation of the maximum potential of distributed solar generation in PSE’s service territory, and the impact of that build-out on its distribution system</w:t>
      </w:r>
      <w:r>
        <w:rPr>
          <w:rFonts w:ascii="Times New Roman" w:hAnsi="Times New Roman" w:cs="Times New Roman"/>
          <w:sz w:val="25"/>
          <w:szCs w:val="25"/>
        </w:rPr>
        <w:t xml:space="preserve">. </w:t>
      </w:r>
      <w:r w:rsidR="000A011A">
        <w:rPr>
          <w:rFonts w:ascii="Times New Roman" w:hAnsi="Times New Roman" w:cs="Times New Roman"/>
          <w:sz w:val="25"/>
          <w:szCs w:val="25"/>
        </w:rPr>
        <w:t xml:space="preserve">In future IRPs, </w:t>
      </w:r>
      <w:r>
        <w:rPr>
          <w:rFonts w:ascii="Times New Roman" w:hAnsi="Times New Roman" w:cs="Times New Roman"/>
          <w:sz w:val="25"/>
          <w:szCs w:val="25"/>
        </w:rPr>
        <w:t xml:space="preserve">PSE should continue to evaluate the impact of distributed generation on </w:t>
      </w:r>
      <w:r w:rsidR="007A6282">
        <w:rPr>
          <w:rFonts w:ascii="Times New Roman" w:hAnsi="Times New Roman" w:cs="Times New Roman"/>
          <w:sz w:val="25"/>
          <w:szCs w:val="25"/>
        </w:rPr>
        <w:t>the Company’s</w:t>
      </w:r>
      <w:r>
        <w:rPr>
          <w:rFonts w:ascii="Times New Roman" w:hAnsi="Times New Roman" w:cs="Times New Roman"/>
          <w:sz w:val="25"/>
          <w:szCs w:val="25"/>
        </w:rPr>
        <w:t xml:space="preserve"> generation, transmission, and distribution needs.</w:t>
      </w:r>
    </w:p>
    <w:p w:rsidR="006C3868" w:rsidRDefault="006C3868" w:rsidP="006C3868">
      <w:pPr>
        <w:spacing w:line="264" w:lineRule="auto"/>
        <w:rPr>
          <w:rFonts w:ascii="Times New Roman" w:hAnsi="Times New Roman" w:cs="Times New Roman"/>
          <w:sz w:val="25"/>
          <w:szCs w:val="25"/>
        </w:rPr>
      </w:pPr>
    </w:p>
    <w:p w:rsidR="006C3868" w:rsidRDefault="006C3868" w:rsidP="006C3868">
      <w:pPr>
        <w:spacing w:line="264" w:lineRule="auto"/>
        <w:rPr>
          <w:rFonts w:ascii="Times New Roman" w:hAnsi="Times New Roman" w:cs="Times New Roman"/>
          <w:sz w:val="25"/>
          <w:szCs w:val="25"/>
        </w:rPr>
      </w:pPr>
      <w:r w:rsidRPr="006C3868">
        <w:rPr>
          <w:rFonts w:ascii="Times New Roman" w:hAnsi="Times New Roman" w:cs="Times New Roman"/>
          <w:b/>
          <w:sz w:val="25"/>
          <w:szCs w:val="25"/>
        </w:rPr>
        <w:t>Energy Storage</w:t>
      </w:r>
      <w:r>
        <w:rPr>
          <w:rFonts w:ascii="Times New Roman" w:hAnsi="Times New Roman" w:cs="Times New Roman"/>
          <w:b/>
          <w:sz w:val="25"/>
          <w:szCs w:val="25"/>
        </w:rPr>
        <w:t xml:space="preserve"> and Flexibility</w:t>
      </w:r>
    </w:p>
    <w:p w:rsidR="006C3868" w:rsidRDefault="006C3868" w:rsidP="006C3868">
      <w:pPr>
        <w:spacing w:line="264" w:lineRule="auto"/>
        <w:rPr>
          <w:rFonts w:ascii="Times New Roman" w:hAnsi="Times New Roman" w:cs="Times New Roman"/>
          <w:sz w:val="25"/>
          <w:szCs w:val="25"/>
        </w:rPr>
      </w:pPr>
    </w:p>
    <w:p w:rsidR="006C3868" w:rsidRPr="006C3868" w:rsidRDefault="00EA2ECD" w:rsidP="006C3868">
      <w:pPr>
        <w:spacing w:line="264" w:lineRule="auto"/>
        <w:rPr>
          <w:rFonts w:ascii="Times New Roman" w:hAnsi="Times New Roman" w:cs="Times New Roman"/>
          <w:sz w:val="25"/>
          <w:szCs w:val="25"/>
        </w:rPr>
      </w:pPr>
      <w:r w:rsidRPr="006C3868">
        <w:rPr>
          <w:rFonts w:ascii="Times New Roman" w:hAnsi="Times New Roman" w:cs="Times New Roman"/>
          <w:sz w:val="25"/>
          <w:szCs w:val="25"/>
        </w:rPr>
        <w:t xml:space="preserve">In </w:t>
      </w:r>
      <w:r>
        <w:rPr>
          <w:rFonts w:ascii="Times New Roman" w:hAnsi="Times New Roman" w:cs="Times New Roman"/>
          <w:sz w:val="25"/>
          <w:szCs w:val="25"/>
        </w:rPr>
        <w:t xml:space="preserve">its </w:t>
      </w:r>
      <w:r w:rsidRPr="006C3868">
        <w:rPr>
          <w:rFonts w:ascii="Times New Roman" w:hAnsi="Times New Roman" w:cs="Times New Roman"/>
          <w:sz w:val="25"/>
          <w:szCs w:val="25"/>
        </w:rPr>
        <w:t>2013 IRP acknowledgment letter</w:t>
      </w:r>
      <w:r>
        <w:rPr>
          <w:rFonts w:ascii="Times New Roman" w:hAnsi="Times New Roman" w:cs="Times New Roman"/>
          <w:sz w:val="25"/>
          <w:szCs w:val="25"/>
        </w:rPr>
        <w:t>, the Commission</w:t>
      </w:r>
      <w:r w:rsidRPr="00EA2ECD">
        <w:t xml:space="preserve"> </w:t>
      </w:r>
      <w:r>
        <w:rPr>
          <w:rFonts w:ascii="Times New Roman" w:hAnsi="Times New Roman" w:cs="Times New Roman"/>
          <w:sz w:val="25"/>
          <w:szCs w:val="25"/>
        </w:rPr>
        <w:t xml:space="preserve">found </w:t>
      </w:r>
      <w:r w:rsidR="006E7189">
        <w:rPr>
          <w:rFonts w:ascii="Times New Roman" w:hAnsi="Times New Roman" w:cs="Times New Roman"/>
          <w:sz w:val="25"/>
          <w:szCs w:val="25"/>
        </w:rPr>
        <w:t xml:space="preserve">that </w:t>
      </w:r>
      <w:r>
        <w:rPr>
          <w:rFonts w:ascii="Times New Roman" w:hAnsi="Times New Roman" w:cs="Times New Roman"/>
          <w:sz w:val="25"/>
          <w:szCs w:val="25"/>
        </w:rPr>
        <w:t>PSE’s</w:t>
      </w:r>
      <w:r w:rsidRPr="00EA2ECD">
        <w:rPr>
          <w:rFonts w:ascii="Times New Roman" w:hAnsi="Times New Roman" w:cs="Times New Roman"/>
          <w:sz w:val="25"/>
          <w:szCs w:val="25"/>
        </w:rPr>
        <w:t xml:space="preserve"> evaluation </w:t>
      </w:r>
      <w:r>
        <w:rPr>
          <w:rFonts w:ascii="Times New Roman" w:hAnsi="Times New Roman" w:cs="Times New Roman"/>
          <w:sz w:val="25"/>
          <w:szCs w:val="25"/>
        </w:rPr>
        <w:t xml:space="preserve">of energy storage technologies </w:t>
      </w:r>
      <w:r w:rsidR="008A458B">
        <w:rPr>
          <w:rFonts w:ascii="Times New Roman" w:hAnsi="Times New Roman" w:cs="Times New Roman"/>
          <w:sz w:val="25"/>
          <w:szCs w:val="25"/>
        </w:rPr>
        <w:t>was</w:t>
      </w:r>
      <w:r w:rsidRPr="00EA2ECD">
        <w:rPr>
          <w:rFonts w:ascii="Times New Roman" w:hAnsi="Times New Roman" w:cs="Times New Roman"/>
          <w:sz w:val="25"/>
          <w:szCs w:val="25"/>
        </w:rPr>
        <w:t xml:space="preserve"> insufficient</w:t>
      </w:r>
      <w:r w:rsidR="008B72AF">
        <w:rPr>
          <w:rFonts w:ascii="Times New Roman" w:hAnsi="Times New Roman" w:cs="Times New Roman"/>
          <w:sz w:val="25"/>
          <w:szCs w:val="25"/>
        </w:rPr>
        <w:t xml:space="preserve"> and inappropriately relied</w:t>
      </w:r>
      <w:r>
        <w:rPr>
          <w:rFonts w:ascii="Times New Roman" w:hAnsi="Times New Roman" w:cs="Times New Roman"/>
          <w:sz w:val="25"/>
          <w:szCs w:val="25"/>
        </w:rPr>
        <w:t xml:space="preserve"> on outdated cost and performance data. </w:t>
      </w:r>
      <w:r w:rsidR="006C3868" w:rsidRPr="006C3868">
        <w:rPr>
          <w:rFonts w:ascii="Times New Roman" w:hAnsi="Times New Roman" w:cs="Times New Roman"/>
          <w:sz w:val="25"/>
          <w:szCs w:val="25"/>
        </w:rPr>
        <w:t xml:space="preserve">In response to the Commission’s 2013 IRP acknowledgment letter </w:t>
      </w:r>
      <w:r w:rsidR="00DE0DD1">
        <w:rPr>
          <w:rFonts w:ascii="Times New Roman" w:hAnsi="Times New Roman" w:cs="Times New Roman"/>
          <w:sz w:val="25"/>
          <w:szCs w:val="25"/>
        </w:rPr>
        <w:t>directing</w:t>
      </w:r>
      <w:r w:rsidR="006C3868" w:rsidRPr="006C3868">
        <w:rPr>
          <w:rFonts w:ascii="Times New Roman" w:hAnsi="Times New Roman" w:cs="Times New Roman"/>
          <w:sz w:val="25"/>
          <w:szCs w:val="25"/>
        </w:rPr>
        <w:t xml:space="preserve"> the </w:t>
      </w:r>
      <w:r w:rsidR="00552ACB">
        <w:rPr>
          <w:rFonts w:ascii="Times New Roman" w:hAnsi="Times New Roman" w:cs="Times New Roman"/>
          <w:sz w:val="25"/>
          <w:szCs w:val="25"/>
        </w:rPr>
        <w:t>C</w:t>
      </w:r>
      <w:r w:rsidR="006C3868" w:rsidRPr="006C3868">
        <w:rPr>
          <w:rFonts w:ascii="Times New Roman" w:hAnsi="Times New Roman" w:cs="Times New Roman"/>
          <w:sz w:val="25"/>
          <w:szCs w:val="25"/>
        </w:rPr>
        <w:t xml:space="preserve">ompany to improve its modeling of energy storage, PSE </w:t>
      </w:r>
      <w:r w:rsidR="00341AD7">
        <w:rPr>
          <w:rFonts w:ascii="Times New Roman" w:hAnsi="Times New Roman" w:cs="Times New Roman"/>
          <w:sz w:val="25"/>
          <w:szCs w:val="25"/>
        </w:rPr>
        <w:t xml:space="preserve">began its 2015 IRP </w:t>
      </w:r>
      <w:r w:rsidR="006C3868" w:rsidRPr="006C3868">
        <w:rPr>
          <w:rFonts w:ascii="Times New Roman" w:hAnsi="Times New Roman" w:cs="Times New Roman"/>
          <w:sz w:val="25"/>
          <w:szCs w:val="25"/>
        </w:rPr>
        <w:t xml:space="preserve">with the intention </w:t>
      </w:r>
      <w:r w:rsidR="00341AD7">
        <w:rPr>
          <w:rFonts w:ascii="Times New Roman" w:hAnsi="Times New Roman" w:cs="Times New Roman"/>
          <w:sz w:val="25"/>
          <w:szCs w:val="25"/>
        </w:rPr>
        <w:t xml:space="preserve">of </w:t>
      </w:r>
      <w:r w:rsidR="006C3868" w:rsidRPr="006C3868">
        <w:rPr>
          <w:rFonts w:ascii="Times New Roman" w:hAnsi="Times New Roman" w:cs="Times New Roman"/>
          <w:sz w:val="25"/>
          <w:szCs w:val="25"/>
        </w:rPr>
        <w:t>enhanc</w:t>
      </w:r>
      <w:r w:rsidR="00341AD7">
        <w:rPr>
          <w:rFonts w:ascii="Times New Roman" w:hAnsi="Times New Roman" w:cs="Times New Roman"/>
          <w:sz w:val="25"/>
          <w:szCs w:val="25"/>
        </w:rPr>
        <w:t>ing</w:t>
      </w:r>
      <w:r w:rsidR="006C3868" w:rsidRPr="006C3868">
        <w:rPr>
          <w:rFonts w:ascii="Times New Roman" w:hAnsi="Times New Roman" w:cs="Times New Roman"/>
          <w:sz w:val="25"/>
          <w:szCs w:val="25"/>
        </w:rPr>
        <w:t xml:space="preserve"> its intra</w:t>
      </w:r>
      <w:r w:rsidR="006E7189">
        <w:rPr>
          <w:rFonts w:ascii="Times New Roman" w:hAnsi="Times New Roman" w:cs="Times New Roman"/>
          <w:sz w:val="25"/>
          <w:szCs w:val="25"/>
        </w:rPr>
        <w:t>-</w:t>
      </w:r>
      <w:r w:rsidR="006C3868" w:rsidRPr="006C3868">
        <w:rPr>
          <w:rFonts w:ascii="Times New Roman" w:hAnsi="Times New Roman" w:cs="Times New Roman"/>
          <w:sz w:val="25"/>
          <w:szCs w:val="25"/>
        </w:rPr>
        <w:t xml:space="preserve">hour </w:t>
      </w:r>
      <w:r w:rsidR="00FF195C" w:rsidRPr="006C3868">
        <w:rPr>
          <w:rFonts w:ascii="Times New Roman" w:hAnsi="Times New Roman" w:cs="Times New Roman"/>
          <w:sz w:val="25"/>
          <w:szCs w:val="25"/>
        </w:rPr>
        <w:t>flex</w:t>
      </w:r>
      <w:r w:rsidR="00FF195C">
        <w:rPr>
          <w:rFonts w:ascii="Times New Roman" w:hAnsi="Times New Roman" w:cs="Times New Roman"/>
          <w:sz w:val="25"/>
          <w:szCs w:val="25"/>
        </w:rPr>
        <w:t>i</w:t>
      </w:r>
      <w:r w:rsidR="00FF195C" w:rsidRPr="006C3868">
        <w:rPr>
          <w:rFonts w:ascii="Times New Roman" w:hAnsi="Times New Roman" w:cs="Times New Roman"/>
          <w:sz w:val="25"/>
          <w:szCs w:val="25"/>
        </w:rPr>
        <w:t>b</w:t>
      </w:r>
      <w:r w:rsidR="00FF195C">
        <w:rPr>
          <w:rFonts w:ascii="Times New Roman" w:hAnsi="Times New Roman" w:cs="Times New Roman"/>
          <w:sz w:val="25"/>
          <w:szCs w:val="25"/>
        </w:rPr>
        <w:t>ility</w:t>
      </w:r>
      <w:r w:rsidR="006C3868" w:rsidRPr="006C3868">
        <w:rPr>
          <w:rFonts w:ascii="Times New Roman" w:hAnsi="Times New Roman" w:cs="Times New Roman"/>
          <w:sz w:val="25"/>
          <w:szCs w:val="25"/>
        </w:rPr>
        <w:t xml:space="preserve"> analysis. Despite multiple time extensions, PSE was unable to improve this analysis, and instead filed as Appendix H the same flexibility study</w:t>
      </w:r>
      <w:r w:rsidR="006C3868">
        <w:rPr>
          <w:rFonts w:ascii="Times New Roman" w:hAnsi="Times New Roman" w:cs="Times New Roman"/>
          <w:sz w:val="25"/>
          <w:szCs w:val="25"/>
        </w:rPr>
        <w:t xml:space="preserve"> </w:t>
      </w:r>
      <w:r w:rsidR="00341AD7">
        <w:rPr>
          <w:rFonts w:ascii="Times New Roman" w:hAnsi="Times New Roman" w:cs="Times New Roman"/>
          <w:sz w:val="25"/>
          <w:szCs w:val="25"/>
        </w:rPr>
        <w:t xml:space="preserve">it used in its </w:t>
      </w:r>
      <w:r w:rsidR="006C3868">
        <w:rPr>
          <w:rFonts w:ascii="Times New Roman" w:hAnsi="Times New Roman" w:cs="Times New Roman"/>
          <w:sz w:val="25"/>
          <w:szCs w:val="25"/>
        </w:rPr>
        <w:t xml:space="preserve">2013 IRP. </w:t>
      </w:r>
      <w:r w:rsidR="006C3868" w:rsidRPr="006C3868">
        <w:rPr>
          <w:rFonts w:ascii="Times New Roman" w:hAnsi="Times New Roman" w:cs="Times New Roman"/>
          <w:sz w:val="25"/>
          <w:szCs w:val="25"/>
        </w:rPr>
        <w:t xml:space="preserve">In the 2017 IRP cycle, PSE commits to develop </w:t>
      </w:r>
      <w:r w:rsidR="00DE0DD1" w:rsidRPr="006C3868">
        <w:rPr>
          <w:rFonts w:ascii="Times New Roman" w:hAnsi="Times New Roman" w:cs="Times New Roman"/>
          <w:sz w:val="25"/>
          <w:szCs w:val="25"/>
        </w:rPr>
        <w:t xml:space="preserve">further </w:t>
      </w:r>
      <w:r w:rsidR="006C3868" w:rsidRPr="006C3868">
        <w:rPr>
          <w:rFonts w:ascii="Times New Roman" w:hAnsi="Times New Roman" w:cs="Times New Roman"/>
          <w:sz w:val="25"/>
          <w:szCs w:val="25"/>
        </w:rPr>
        <w:t>its intra</w:t>
      </w:r>
      <w:r w:rsidR="006E7189">
        <w:rPr>
          <w:rFonts w:ascii="Times New Roman" w:hAnsi="Times New Roman" w:cs="Times New Roman"/>
          <w:sz w:val="25"/>
          <w:szCs w:val="25"/>
        </w:rPr>
        <w:t>-</w:t>
      </w:r>
      <w:r w:rsidR="006C3868" w:rsidRPr="006C3868">
        <w:rPr>
          <w:rFonts w:ascii="Times New Roman" w:hAnsi="Times New Roman" w:cs="Times New Roman"/>
          <w:sz w:val="25"/>
          <w:szCs w:val="25"/>
        </w:rPr>
        <w:t>hour flexibility analysis, including the benefit provided by different types of resources, including battery storage, reciprocating engin</w:t>
      </w:r>
      <w:r w:rsidR="0080005B">
        <w:rPr>
          <w:rFonts w:ascii="Times New Roman" w:hAnsi="Times New Roman" w:cs="Times New Roman"/>
          <w:sz w:val="25"/>
          <w:szCs w:val="25"/>
        </w:rPr>
        <w:t>es and hydro.</w:t>
      </w:r>
      <w:r w:rsidR="0080005B">
        <w:rPr>
          <w:rStyle w:val="FootnoteReference"/>
          <w:rFonts w:ascii="Times New Roman" w:hAnsi="Times New Roman" w:cs="Times New Roman"/>
          <w:sz w:val="25"/>
          <w:szCs w:val="25"/>
        </w:rPr>
        <w:footnoteReference w:id="28"/>
      </w:r>
    </w:p>
    <w:p w:rsidR="006C3868" w:rsidRPr="006C3868" w:rsidRDefault="006C3868" w:rsidP="006C3868">
      <w:pPr>
        <w:spacing w:line="264" w:lineRule="auto"/>
        <w:rPr>
          <w:rFonts w:ascii="Times New Roman" w:hAnsi="Times New Roman" w:cs="Times New Roman"/>
          <w:sz w:val="25"/>
          <w:szCs w:val="25"/>
        </w:rPr>
      </w:pPr>
    </w:p>
    <w:p w:rsidR="006C3868" w:rsidRPr="006C3868" w:rsidRDefault="006C3868" w:rsidP="006C3868">
      <w:pPr>
        <w:pStyle w:val="ListParagraph"/>
        <w:numPr>
          <w:ilvl w:val="0"/>
          <w:numId w:val="5"/>
        </w:numPr>
        <w:spacing w:line="264" w:lineRule="auto"/>
        <w:rPr>
          <w:rFonts w:ascii="Times New Roman" w:hAnsi="Times New Roman" w:cs="Times New Roman"/>
          <w:b/>
          <w:sz w:val="25"/>
          <w:szCs w:val="25"/>
          <w:u w:val="single"/>
        </w:rPr>
      </w:pPr>
      <w:r>
        <w:rPr>
          <w:rFonts w:ascii="Times New Roman" w:hAnsi="Times New Roman" w:cs="Times New Roman"/>
          <w:sz w:val="25"/>
          <w:szCs w:val="25"/>
        </w:rPr>
        <w:t xml:space="preserve">In </w:t>
      </w:r>
      <w:r w:rsidR="00F54248">
        <w:rPr>
          <w:rFonts w:ascii="Times New Roman" w:hAnsi="Times New Roman" w:cs="Times New Roman"/>
          <w:sz w:val="25"/>
          <w:szCs w:val="25"/>
        </w:rPr>
        <w:t>the 2017</w:t>
      </w:r>
      <w:r>
        <w:rPr>
          <w:rFonts w:ascii="Times New Roman" w:hAnsi="Times New Roman" w:cs="Times New Roman"/>
          <w:sz w:val="25"/>
          <w:szCs w:val="25"/>
        </w:rPr>
        <w:t xml:space="preserve"> IRP, </w:t>
      </w:r>
      <w:r w:rsidRPr="006C3868">
        <w:rPr>
          <w:rFonts w:ascii="Times New Roman" w:hAnsi="Times New Roman" w:cs="Times New Roman"/>
          <w:sz w:val="25"/>
          <w:szCs w:val="25"/>
        </w:rPr>
        <w:t xml:space="preserve">PSE </w:t>
      </w:r>
      <w:r>
        <w:rPr>
          <w:rFonts w:ascii="Times New Roman" w:hAnsi="Times New Roman" w:cs="Times New Roman"/>
          <w:sz w:val="25"/>
          <w:szCs w:val="25"/>
        </w:rPr>
        <w:t xml:space="preserve">should </w:t>
      </w:r>
      <w:r w:rsidR="00860FDB">
        <w:rPr>
          <w:rFonts w:ascii="Times New Roman" w:hAnsi="Times New Roman" w:cs="Times New Roman"/>
          <w:sz w:val="25"/>
          <w:szCs w:val="25"/>
        </w:rPr>
        <w:t xml:space="preserve">value ancillary services and model </w:t>
      </w:r>
      <w:r w:rsidRPr="006C3868">
        <w:rPr>
          <w:rFonts w:ascii="Times New Roman" w:hAnsi="Times New Roman" w:cs="Times New Roman"/>
          <w:sz w:val="25"/>
          <w:szCs w:val="25"/>
        </w:rPr>
        <w:t>the sub</w:t>
      </w:r>
      <w:r w:rsidR="006E7189">
        <w:rPr>
          <w:rFonts w:ascii="Times New Roman" w:hAnsi="Times New Roman" w:cs="Times New Roman"/>
          <w:sz w:val="25"/>
          <w:szCs w:val="25"/>
        </w:rPr>
        <w:t>-</w:t>
      </w:r>
      <w:r w:rsidRPr="006C3868">
        <w:rPr>
          <w:rFonts w:ascii="Times New Roman" w:hAnsi="Times New Roman" w:cs="Times New Roman"/>
          <w:sz w:val="25"/>
          <w:szCs w:val="25"/>
        </w:rPr>
        <w:t>hourly dispatch of its generating resources</w:t>
      </w:r>
      <w:r w:rsidR="00860FDB">
        <w:rPr>
          <w:rFonts w:ascii="Times New Roman" w:hAnsi="Times New Roman" w:cs="Times New Roman"/>
          <w:sz w:val="25"/>
          <w:szCs w:val="25"/>
        </w:rPr>
        <w:t xml:space="preserve"> to the fullest extent possible</w:t>
      </w:r>
      <w:r w:rsidRPr="006C3868">
        <w:rPr>
          <w:rFonts w:ascii="Times New Roman" w:hAnsi="Times New Roman" w:cs="Times New Roman"/>
          <w:sz w:val="25"/>
          <w:szCs w:val="25"/>
        </w:rPr>
        <w:t xml:space="preserve">. </w:t>
      </w:r>
    </w:p>
    <w:p w:rsidR="00246626" w:rsidRPr="00246626" w:rsidRDefault="00246626" w:rsidP="00246626">
      <w:pPr>
        <w:pStyle w:val="ListParagraph"/>
        <w:numPr>
          <w:ilvl w:val="0"/>
          <w:numId w:val="5"/>
        </w:numPr>
        <w:spacing w:line="264" w:lineRule="auto"/>
        <w:rPr>
          <w:rFonts w:ascii="Times New Roman" w:hAnsi="Times New Roman" w:cs="Times New Roman"/>
          <w:sz w:val="25"/>
          <w:szCs w:val="25"/>
        </w:rPr>
      </w:pPr>
      <w:r w:rsidRPr="00246626">
        <w:rPr>
          <w:rFonts w:ascii="Times New Roman" w:hAnsi="Times New Roman" w:cs="Times New Roman"/>
          <w:sz w:val="25"/>
          <w:szCs w:val="25"/>
        </w:rPr>
        <w:t xml:space="preserve">PSE should specify the operating and performance characteristics it prioritizes for energy storage technologies prior to issuing its next RFP.  </w:t>
      </w:r>
    </w:p>
    <w:p w:rsidR="0080005B" w:rsidRPr="00246626" w:rsidRDefault="0080005B" w:rsidP="0080005B">
      <w:pPr>
        <w:pStyle w:val="ListParagraph"/>
        <w:numPr>
          <w:ilvl w:val="0"/>
          <w:numId w:val="5"/>
        </w:numPr>
        <w:spacing w:line="264" w:lineRule="auto"/>
        <w:rPr>
          <w:rFonts w:ascii="Times New Roman" w:hAnsi="Times New Roman" w:cs="Times New Roman"/>
          <w:sz w:val="25"/>
          <w:szCs w:val="25"/>
        </w:rPr>
      </w:pPr>
      <w:r>
        <w:rPr>
          <w:rFonts w:ascii="Times New Roman" w:hAnsi="Times New Roman" w:cs="Times New Roman"/>
          <w:sz w:val="25"/>
          <w:szCs w:val="25"/>
        </w:rPr>
        <w:t xml:space="preserve">At the start of the next IRP cycle, PSE should solicit feedback from the advisory group regarding the timing of cost and performance assumptions for renewable resources and energy storage. When presenting these cost and performance assumptions to the advisory group, PSE should clearly identify any </w:t>
      </w:r>
      <w:r w:rsidR="00D43777">
        <w:rPr>
          <w:rFonts w:ascii="Times New Roman" w:hAnsi="Times New Roman" w:cs="Times New Roman"/>
          <w:sz w:val="25"/>
          <w:szCs w:val="25"/>
        </w:rPr>
        <w:t xml:space="preserve">“learning curves” </w:t>
      </w:r>
      <w:r>
        <w:rPr>
          <w:rFonts w:ascii="Times New Roman" w:hAnsi="Times New Roman" w:cs="Times New Roman"/>
          <w:sz w:val="25"/>
          <w:szCs w:val="25"/>
        </w:rPr>
        <w:t>used to discount future costs or improve performance of those technologies.</w:t>
      </w:r>
    </w:p>
    <w:p w:rsidR="00CF068B" w:rsidRDefault="00CF068B">
      <w:pPr>
        <w:rPr>
          <w:rFonts w:ascii="Times New Roman" w:hAnsi="Times New Roman" w:cs="Times New Roman"/>
          <w:sz w:val="25"/>
          <w:szCs w:val="25"/>
        </w:rPr>
      </w:pPr>
      <w:r>
        <w:rPr>
          <w:rFonts w:ascii="Times New Roman" w:hAnsi="Times New Roman" w:cs="Times New Roman"/>
          <w:sz w:val="25"/>
          <w:szCs w:val="25"/>
        </w:rPr>
        <w:br w:type="page"/>
      </w:r>
    </w:p>
    <w:p w:rsidR="00EA2ECD" w:rsidRPr="00152F5C" w:rsidRDefault="00EA2ECD" w:rsidP="00895DF8">
      <w:pPr>
        <w:spacing w:line="264" w:lineRule="auto"/>
        <w:rPr>
          <w:rFonts w:ascii="Times New Roman" w:hAnsi="Times New Roman" w:cs="Times New Roman"/>
          <w:sz w:val="25"/>
          <w:szCs w:val="25"/>
        </w:rPr>
      </w:pPr>
    </w:p>
    <w:p w:rsidR="00F3297B" w:rsidRPr="00910E08" w:rsidRDefault="00A906C8" w:rsidP="00910E08">
      <w:pPr>
        <w:pStyle w:val="ListParagraph"/>
        <w:numPr>
          <w:ilvl w:val="0"/>
          <w:numId w:val="13"/>
        </w:numPr>
        <w:spacing w:line="264" w:lineRule="auto"/>
        <w:rPr>
          <w:rFonts w:ascii="Times New Roman" w:hAnsi="Times New Roman" w:cs="Times New Roman"/>
          <w:b/>
          <w:sz w:val="25"/>
          <w:szCs w:val="25"/>
          <w:u w:val="single"/>
        </w:rPr>
      </w:pPr>
      <w:r w:rsidRPr="00910E08">
        <w:rPr>
          <w:rFonts w:ascii="Times New Roman" w:hAnsi="Times New Roman" w:cs="Times New Roman"/>
          <w:b/>
          <w:sz w:val="25"/>
          <w:szCs w:val="25"/>
          <w:u w:val="single"/>
        </w:rPr>
        <w:t>Process</w:t>
      </w:r>
      <w:r w:rsidR="001D39F1">
        <w:rPr>
          <w:rFonts w:ascii="Times New Roman" w:hAnsi="Times New Roman" w:cs="Times New Roman"/>
          <w:b/>
          <w:sz w:val="25"/>
          <w:szCs w:val="25"/>
          <w:u w:val="single"/>
        </w:rPr>
        <w:t xml:space="preserve"> and Public Involvement</w:t>
      </w:r>
    </w:p>
    <w:p w:rsidR="005F10DA" w:rsidRPr="00152F5C" w:rsidRDefault="005F10DA" w:rsidP="00895DF8">
      <w:pPr>
        <w:spacing w:line="264" w:lineRule="auto"/>
        <w:rPr>
          <w:rFonts w:ascii="Times New Roman" w:hAnsi="Times New Roman" w:cs="Times New Roman"/>
          <w:sz w:val="25"/>
          <w:szCs w:val="25"/>
        </w:rPr>
      </w:pPr>
    </w:p>
    <w:p w:rsidR="001926A1" w:rsidRPr="001926A1" w:rsidRDefault="001926A1" w:rsidP="001926A1">
      <w:pPr>
        <w:spacing w:line="264" w:lineRule="auto"/>
        <w:rPr>
          <w:rFonts w:ascii="Times New Roman" w:hAnsi="Times New Roman" w:cs="Times New Roman"/>
          <w:sz w:val="25"/>
          <w:szCs w:val="25"/>
        </w:rPr>
      </w:pPr>
      <w:r w:rsidRPr="001926A1">
        <w:rPr>
          <w:rFonts w:ascii="Times New Roman" w:hAnsi="Times New Roman" w:cs="Times New Roman"/>
          <w:sz w:val="25"/>
          <w:szCs w:val="25"/>
        </w:rPr>
        <w:t>The process for developing the 2015 IRP again saw a high level of public participation. This is in no small part due to the salience of issues related to PSE’s coal resources, and its Energize Eastside project.</w:t>
      </w:r>
    </w:p>
    <w:p w:rsidR="001926A1" w:rsidRDefault="001926A1" w:rsidP="001D39F1">
      <w:pPr>
        <w:spacing w:line="264" w:lineRule="auto"/>
        <w:rPr>
          <w:rFonts w:ascii="Times New Roman" w:hAnsi="Times New Roman" w:cs="Times New Roman"/>
          <w:sz w:val="25"/>
          <w:szCs w:val="25"/>
        </w:rPr>
      </w:pPr>
    </w:p>
    <w:p w:rsidR="001926A1" w:rsidRDefault="001926A1" w:rsidP="001926A1">
      <w:pPr>
        <w:pStyle w:val="ListParagraph"/>
        <w:numPr>
          <w:ilvl w:val="0"/>
          <w:numId w:val="8"/>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The Commission encourages PSE to continue using an </w:t>
      </w:r>
      <w:r w:rsidRPr="00313AA8">
        <w:rPr>
          <w:rFonts w:ascii="Times New Roman" w:hAnsi="Times New Roman" w:cs="Times New Roman"/>
          <w:sz w:val="25"/>
          <w:szCs w:val="25"/>
        </w:rPr>
        <w:t>outside facilitator</w:t>
      </w:r>
      <w:r w:rsidRPr="00152F5C">
        <w:rPr>
          <w:rFonts w:ascii="Times New Roman" w:hAnsi="Times New Roman" w:cs="Times New Roman"/>
          <w:sz w:val="25"/>
          <w:szCs w:val="25"/>
        </w:rPr>
        <w:t xml:space="preserve"> to manage the Advisory Group meetings. </w:t>
      </w:r>
    </w:p>
    <w:p w:rsidR="001926A1" w:rsidRDefault="001926A1" w:rsidP="001926A1">
      <w:pPr>
        <w:pStyle w:val="ListParagraph"/>
        <w:numPr>
          <w:ilvl w:val="0"/>
          <w:numId w:val="8"/>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Additionally, the Commission </w:t>
      </w:r>
      <w:r>
        <w:rPr>
          <w:rFonts w:ascii="Times New Roman" w:hAnsi="Times New Roman" w:cs="Times New Roman"/>
          <w:sz w:val="25"/>
          <w:szCs w:val="25"/>
        </w:rPr>
        <w:t>continues to expect</w:t>
      </w:r>
      <w:r w:rsidRPr="00152F5C">
        <w:rPr>
          <w:rFonts w:ascii="Times New Roman" w:hAnsi="Times New Roman" w:cs="Times New Roman"/>
          <w:sz w:val="25"/>
          <w:szCs w:val="25"/>
        </w:rPr>
        <w:t xml:space="preserve"> the Company to provide written responses to all Advisory Group questions submitted to the Company in writing, and to provide minutes for each Advisory Group meeting. The Commission requests the Company include these practices in its workplan for the next IRP.</w:t>
      </w:r>
    </w:p>
    <w:p w:rsidR="001926A1" w:rsidRDefault="001926A1" w:rsidP="001D39F1">
      <w:pPr>
        <w:spacing w:line="264" w:lineRule="auto"/>
        <w:rPr>
          <w:rFonts w:ascii="Times New Roman" w:hAnsi="Times New Roman" w:cs="Times New Roman"/>
          <w:sz w:val="25"/>
          <w:szCs w:val="25"/>
        </w:rPr>
      </w:pPr>
    </w:p>
    <w:p w:rsidR="00761681" w:rsidRDefault="001D39F1" w:rsidP="001D39F1">
      <w:pPr>
        <w:spacing w:line="264" w:lineRule="auto"/>
        <w:rPr>
          <w:rFonts w:ascii="Times New Roman" w:hAnsi="Times New Roman" w:cs="Times New Roman"/>
          <w:sz w:val="25"/>
          <w:szCs w:val="25"/>
        </w:rPr>
      </w:pPr>
      <w:r w:rsidRPr="001D39F1">
        <w:rPr>
          <w:rFonts w:ascii="Times New Roman" w:hAnsi="Times New Roman" w:cs="Times New Roman"/>
          <w:sz w:val="25"/>
          <w:szCs w:val="25"/>
        </w:rPr>
        <w:t xml:space="preserve">The Commission received more than 6,700 individual </w:t>
      </w:r>
      <w:r>
        <w:rPr>
          <w:rFonts w:ascii="Times New Roman" w:hAnsi="Times New Roman" w:cs="Times New Roman"/>
          <w:sz w:val="25"/>
          <w:szCs w:val="25"/>
        </w:rPr>
        <w:t xml:space="preserve">written </w:t>
      </w:r>
      <w:r w:rsidRPr="001D39F1">
        <w:rPr>
          <w:rFonts w:ascii="Times New Roman" w:hAnsi="Times New Roman" w:cs="Times New Roman"/>
          <w:sz w:val="25"/>
          <w:szCs w:val="25"/>
        </w:rPr>
        <w:t xml:space="preserve">comments in response to PSE’s IRP. The vast majority of them oppose PSE’s continued use of Colstrip. </w:t>
      </w:r>
      <w:r w:rsidR="00761681">
        <w:rPr>
          <w:rFonts w:ascii="Times New Roman" w:hAnsi="Times New Roman" w:cs="Times New Roman"/>
          <w:sz w:val="25"/>
          <w:szCs w:val="25"/>
        </w:rPr>
        <w:t xml:space="preserve">For example, </w:t>
      </w:r>
      <w:r w:rsidRPr="001D39F1">
        <w:rPr>
          <w:rFonts w:ascii="Times New Roman" w:hAnsi="Times New Roman" w:cs="Times New Roman"/>
          <w:sz w:val="25"/>
          <w:szCs w:val="25"/>
        </w:rPr>
        <w:t>King County Executive Dow Constantine, joined by the Mayors of Mercer Island, Issaquah, S</w:t>
      </w:r>
      <w:r w:rsidR="00761681">
        <w:rPr>
          <w:rFonts w:ascii="Times New Roman" w:hAnsi="Times New Roman" w:cs="Times New Roman"/>
          <w:sz w:val="25"/>
          <w:szCs w:val="25"/>
        </w:rPr>
        <w:t>noqualmie, Redmond, and Tukwila</w:t>
      </w:r>
      <w:r w:rsidR="00A05B3B">
        <w:rPr>
          <w:rFonts w:ascii="Times New Roman" w:hAnsi="Times New Roman" w:cs="Times New Roman"/>
          <w:sz w:val="25"/>
          <w:szCs w:val="25"/>
        </w:rPr>
        <w:t>,</w:t>
      </w:r>
      <w:r w:rsidRPr="001D39F1">
        <w:rPr>
          <w:rFonts w:ascii="Times New Roman" w:hAnsi="Times New Roman" w:cs="Times New Roman"/>
          <w:sz w:val="25"/>
          <w:szCs w:val="25"/>
        </w:rPr>
        <w:t xml:space="preserve"> and Climate Solutions request</w:t>
      </w:r>
      <w:r w:rsidR="00A05B3B">
        <w:rPr>
          <w:rFonts w:ascii="Times New Roman" w:hAnsi="Times New Roman" w:cs="Times New Roman"/>
          <w:sz w:val="25"/>
          <w:szCs w:val="25"/>
        </w:rPr>
        <w:t>ed</w:t>
      </w:r>
      <w:r w:rsidRPr="001D39F1">
        <w:rPr>
          <w:rFonts w:ascii="Times New Roman" w:hAnsi="Times New Roman" w:cs="Times New Roman"/>
          <w:sz w:val="25"/>
          <w:szCs w:val="25"/>
        </w:rPr>
        <w:t xml:space="preserve"> greater specificity regarding plans for closure of </w:t>
      </w:r>
      <w:r w:rsidR="00C629BD">
        <w:rPr>
          <w:rFonts w:ascii="Times New Roman" w:hAnsi="Times New Roman" w:cs="Times New Roman"/>
          <w:sz w:val="25"/>
          <w:szCs w:val="25"/>
        </w:rPr>
        <w:t xml:space="preserve">the </w:t>
      </w:r>
      <w:r w:rsidRPr="001D39F1">
        <w:rPr>
          <w:rFonts w:ascii="Times New Roman" w:hAnsi="Times New Roman" w:cs="Times New Roman"/>
          <w:sz w:val="25"/>
          <w:szCs w:val="25"/>
        </w:rPr>
        <w:t>Colstrip facility, and a commitment from PSE to replace the facility’s power w</w:t>
      </w:r>
      <w:r w:rsidR="00761681">
        <w:rPr>
          <w:rFonts w:ascii="Times New Roman" w:hAnsi="Times New Roman" w:cs="Times New Roman"/>
          <w:sz w:val="25"/>
          <w:szCs w:val="25"/>
        </w:rPr>
        <w:t xml:space="preserve">ith renewable resources. </w:t>
      </w:r>
      <w:r w:rsidRPr="001D39F1">
        <w:rPr>
          <w:rFonts w:ascii="Times New Roman" w:hAnsi="Times New Roman" w:cs="Times New Roman"/>
          <w:sz w:val="25"/>
          <w:szCs w:val="25"/>
        </w:rPr>
        <w:t xml:space="preserve">Climate Solutions and Sierra Club recommend the Commission use PSE’s upcoming rate case to address the financial risk to ratepayers, retirement dates, and replacement power. </w:t>
      </w:r>
    </w:p>
    <w:p w:rsidR="00761681" w:rsidRDefault="00761681" w:rsidP="001D39F1">
      <w:pPr>
        <w:spacing w:line="264" w:lineRule="auto"/>
        <w:rPr>
          <w:rFonts w:ascii="Times New Roman" w:hAnsi="Times New Roman" w:cs="Times New Roman"/>
          <w:sz w:val="25"/>
          <w:szCs w:val="25"/>
        </w:rPr>
      </w:pPr>
    </w:p>
    <w:p w:rsidR="00761681" w:rsidRDefault="00761681" w:rsidP="001D39F1">
      <w:pPr>
        <w:spacing w:line="264" w:lineRule="auto"/>
        <w:rPr>
          <w:rFonts w:ascii="Times New Roman" w:hAnsi="Times New Roman" w:cs="Times New Roman"/>
          <w:sz w:val="25"/>
          <w:szCs w:val="25"/>
        </w:rPr>
      </w:pPr>
      <w:r>
        <w:rPr>
          <w:rFonts w:ascii="Times New Roman" w:hAnsi="Times New Roman" w:cs="Times New Roman"/>
          <w:sz w:val="25"/>
          <w:szCs w:val="25"/>
        </w:rPr>
        <w:t>On March 4, 2015, the Commission held a</w:t>
      </w:r>
      <w:r w:rsidR="00A4442E">
        <w:rPr>
          <w:rFonts w:ascii="Times New Roman" w:hAnsi="Times New Roman" w:cs="Times New Roman"/>
          <w:sz w:val="25"/>
          <w:szCs w:val="25"/>
        </w:rPr>
        <w:t>n all-day</w:t>
      </w:r>
      <w:r>
        <w:rPr>
          <w:rFonts w:ascii="Times New Roman" w:hAnsi="Times New Roman" w:cs="Times New Roman"/>
          <w:sz w:val="25"/>
          <w:szCs w:val="25"/>
        </w:rPr>
        <w:t xml:space="preserve"> </w:t>
      </w:r>
      <w:r w:rsidR="00A4442E">
        <w:rPr>
          <w:rFonts w:ascii="Times New Roman" w:hAnsi="Times New Roman" w:cs="Times New Roman"/>
          <w:sz w:val="25"/>
          <w:szCs w:val="25"/>
        </w:rPr>
        <w:t>meeting to</w:t>
      </w:r>
      <w:r>
        <w:rPr>
          <w:rFonts w:ascii="Times New Roman" w:hAnsi="Times New Roman" w:cs="Times New Roman"/>
          <w:sz w:val="25"/>
          <w:szCs w:val="25"/>
        </w:rPr>
        <w:t xml:space="preserve"> </w:t>
      </w:r>
      <w:r w:rsidR="00A4442E">
        <w:rPr>
          <w:rFonts w:ascii="Times New Roman" w:hAnsi="Times New Roman" w:cs="Times New Roman"/>
          <w:sz w:val="25"/>
          <w:szCs w:val="25"/>
        </w:rPr>
        <w:t>hear</w:t>
      </w:r>
      <w:r>
        <w:rPr>
          <w:rFonts w:ascii="Times New Roman" w:hAnsi="Times New Roman" w:cs="Times New Roman"/>
          <w:sz w:val="25"/>
          <w:szCs w:val="25"/>
        </w:rPr>
        <w:t xml:space="preserve"> comments </w:t>
      </w:r>
      <w:r w:rsidR="00A4442E">
        <w:rPr>
          <w:rFonts w:ascii="Times New Roman" w:hAnsi="Times New Roman" w:cs="Times New Roman"/>
          <w:sz w:val="25"/>
          <w:szCs w:val="25"/>
        </w:rPr>
        <w:t xml:space="preserve">on PSE’s IRP. The Commission heard from scores </w:t>
      </w:r>
      <w:r>
        <w:rPr>
          <w:rFonts w:ascii="Times New Roman" w:hAnsi="Times New Roman" w:cs="Times New Roman"/>
          <w:sz w:val="25"/>
          <w:szCs w:val="25"/>
        </w:rPr>
        <w:t>of individuals</w:t>
      </w:r>
      <w:r w:rsidR="00A4442E">
        <w:rPr>
          <w:rFonts w:ascii="Times New Roman" w:hAnsi="Times New Roman" w:cs="Times New Roman"/>
          <w:sz w:val="25"/>
          <w:szCs w:val="25"/>
        </w:rPr>
        <w:t>, including many environmental advocates from Washington and Montana</w:t>
      </w:r>
      <w:r w:rsidR="00CF068B">
        <w:rPr>
          <w:rFonts w:ascii="Times New Roman" w:hAnsi="Times New Roman" w:cs="Times New Roman"/>
          <w:sz w:val="25"/>
          <w:szCs w:val="25"/>
        </w:rPr>
        <w:t>,</w:t>
      </w:r>
      <w:r w:rsidR="00A4442E">
        <w:rPr>
          <w:rFonts w:ascii="Times New Roman" w:hAnsi="Times New Roman" w:cs="Times New Roman"/>
          <w:sz w:val="25"/>
          <w:szCs w:val="25"/>
        </w:rPr>
        <w:t xml:space="preserve"> elected officials from </w:t>
      </w:r>
      <w:r w:rsidR="00C629BD">
        <w:rPr>
          <w:rFonts w:ascii="Times New Roman" w:hAnsi="Times New Roman" w:cs="Times New Roman"/>
          <w:sz w:val="25"/>
          <w:szCs w:val="25"/>
        </w:rPr>
        <w:t>the c</w:t>
      </w:r>
      <w:r w:rsidR="00A4442E">
        <w:rPr>
          <w:rFonts w:ascii="Times New Roman" w:hAnsi="Times New Roman" w:cs="Times New Roman"/>
          <w:sz w:val="25"/>
          <w:szCs w:val="25"/>
        </w:rPr>
        <w:t>ities of Olympia, Kirkland, Woodinville, and Bellingham, and citizens concerned about the Energize Eastside project.</w:t>
      </w:r>
    </w:p>
    <w:p w:rsidR="00761681" w:rsidRDefault="00761681" w:rsidP="001D39F1">
      <w:pPr>
        <w:spacing w:line="264" w:lineRule="auto"/>
        <w:rPr>
          <w:rFonts w:ascii="Times New Roman" w:hAnsi="Times New Roman" w:cs="Times New Roman"/>
          <w:sz w:val="25"/>
          <w:szCs w:val="25"/>
        </w:rPr>
      </w:pPr>
    </w:p>
    <w:p w:rsidR="001D39F1" w:rsidRDefault="00761681" w:rsidP="001D39F1">
      <w:pPr>
        <w:spacing w:line="264" w:lineRule="auto"/>
        <w:rPr>
          <w:rFonts w:ascii="Times New Roman" w:hAnsi="Times New Roman" w:cs="Times New Roman"/>
          <w:sz w:val="25"/>
          <w:szCs w:val="25"/>
        </w:rPr>
      </w:pPr>
      <w:r>
        <w:rPr>
          <w:rFonts w:ascii="Times New Roman" w:hAnsi="Times New Roman" w:cs="Times New Roman"/>
          <w:sz w:val="25"/>
          <w:szCs w:val="25"/>
        </w:rPr>
        <w:t xml:space="preserve">The </w:t>
      </w:r>
      <w:r w:rsidR="00E743F2">
        <w:rPr>
          <w:rFonts w:ascii="Times New Roman" w:hAnsi="Times New Roman" w:cs="Times New Roman"/>
          <w:sz w:val="25"/>
          <w:szCs w:val="25"/>
        </w:rPr>
        <w:t xml:space="preserve">Commission recently addressed the </w:t>
      </w:r>
      <w:r>
        <w:rPr>
          <w:rFonts w:ascii="Times New Roman" w:hAnsi="Times New Roman" w:cs="Times New Roman"/>
          <w:sz w:val="25"/>
          <w:szCs w:val="25"/>
        </w:rPr>
        <w:t>issues raised regarding the Colstrip plant in</w:t>
      </w:r>
      <w:r w:rsidR="00CA5687">
        <w:rPr>
          <w:rFonts w:ascii="Times New Roman" w:hAnsi="Times New Roman" w:cs="Times New Roman"/>
          <w:sz w:val="25"/>
          <w:szCs w:val="25"/>
        </w:rPr>
        <w:t xml:space="preserve"> a different docket. </w:t>
      </w:r>
      <w:r w:rsidR="001D39F1" w:rsidRPr="001D39F1">
        <w:rPr>
          <w:rFonts w:ascii="Times New Roman" w:hAnsi="Times New Roman" w:cs="Times New Roman"/>
          <w:sz w:val="25"/>
          <w:szCs w:val="25"/>
        </w:rPr>
        <w:t>On March 9, 2016, PSE, Commission</w:t>
      </w:r>
      <w:r w:rsidR="001D39F1" w:rsidRPr="001D39F1">
        <w:rPr>
          <w:rFonts w:ascii="Times New Roman" w:hAnsi="Times New Roman" w:cs="Times New Roman"/>
          <w:iCs/>
          <w:sz w:val="25"/>
          <w:szCs w:val="25"/>
        </w:rPr>
        <w:t xml:space="preserve"> Regulatory</w:t>
      </w:r>
      <w:r w:rsidR="001D39F1" w:rsidRPr="001D39F1">
        <w:rPr>
          <w:rFonts w:ascii="Times New Roman" w:hAnsi="Times New Roman" w:cs="Times New Roman"/>
          <w:sz w:val="25"/>
          <w:szCs w:val="25"/>
        </w:rPr>
        <w:t xml:space="preserve"> Staff, Public Counsel, Industrial Customers of Northwest Utilities, Northwest Industrial Gas Users, The Energy Project, NW Energy Coalition, Federal Executive Agencies</w:t>
      </w:r>
      <w:r w:rsidR="001D39F1" w:rsidRPr="001D39F1">
        <w:rPr>
          <w:rFonts w:ascii="Times New Roman" w:hAnsi="Times New Roman" w:cs="Times New Roman"/>
          <w:iCs/>
          <w:sz w:val="25"/>
          <w:szCs w:val="25"/>
        </w:rPr>
        <w:t xml:space="preserve"> </w:t>
      </w:r>
      <w:r w:rsidR="001D39F1" w:rsidRPr="001D39F1">
        <w:rPr>
          <w:rFonts w:ascii="Times New Roman" w:hAnsi="Times New Roman" w:cs="Times New Roman"/>
          <w:sz w:val="25"/>
          <w:szCs w:val="25"/>
        </w:rPr>
        <w:t>and the Sierra Club</w:t>
      </w:r>
      <w:r w:rsidR="001D39F1" w:rsidRPr="001D39F1">
        <w:rPr>
          <w:rFonts w:ascii="Times New Roman" w:hAnsi="Times New Roman" w:cs="Times New Roman"/>
          <w:iCs/>
          <w:sz w:val="25"/>
          <w:szCs w:val="25"/>
        </w:rPr>
        <w:t xml:space="preserve"> filed </w:t>
      </w:r>
      <w:r w:rsidR="001D39F1">
        <w:rPr>
          <w:rFonts w:ascii="Times New Roman" w:hAnsi="Times New Roman" w:cs="Times New Roman"/>
          <w:iCs/>
          <w:sz w:val="25"/>
          <w:szCs w:val="25"/>
        </w:rPr>
        <w:t>a</w:t>
      </w:r>
      <w:r w:rsidR="001D39F1" w:rsidRPr="001D39F1">
        <w:rPr>
          <w:rFonts w:ascii="Times New Roman" w:hAnsi="Times New Roman" w:cs="Times New Roman"/>
          <w:iCs/>
          <w:sz w:val="25"/>
          <w:szCs w:val="25"/>
        </w:rPr>
        <w:t xml:space="preserve"> “Joint Petition to Modify</w:t>
      </w:r>
      <w:r w:rsidR="00CA5687">
        <w:rPr>
          <w:rFonts w:ascii="Times New Roman" w:hAnsi="Times New Roman" w:cs="Times New Roman"/>
          <w:iCs/>
          <w:sz w:val="25"/>
          <w:szCs w:val="25"/>
        </w:rPr>
        <w:t xml:space="preserve"> Order</w:t>
      </w:r>
      <w:r w:rsidR="001D39F1" w:rsidRPr="001D39F1">
        <w:rPr>
          <w:rFonts w:ascii="Times New Roman" w:hAnsi="Times New Roman" w:cs="Times New Roman"/>
          <w:iCs/>
          <w:sz w:val="25"/>
          <w:szCs w:val="25"/>
        </w:rPr>
        <w:t xml:space="preserve"> 07” </w:t>
      </w:r>
      <w:r w:rsidR="00CA5687">
        <w:rPr>
          <w:rFonts w:ascii="Times New Roman" w:hAnsi="Times New Roman" w:cs="Times New Roman"/>
          <w:iCs/>
          <w:sz w:val="25"/>
          <w:szCs w:val="25"/>
        </w:rPr>
        <w:t xml:space="preserve">in </w:t>
      </w:r>
      <w:r w:rsidR="00CA5687" w:rsidRPr="00CA5687">
        <w:rPr>
          <w:rFonts w:ascii="Times New Roman" w:hAnsi="Times New Roman" w:cs="Times New Roman"/>
          <w:sz w:val="25"/>
          <w:szCs w:val="25"/>
        </w:rPr>
        <w:t>D</w:t>
      </w:r>
      <w:r w:rsidR="00CA5687">
        <w:rPr>
          <w:rFonts w:ascii="Times New Roman" w:hAnsi="Times New Roman" w:cs="Times New Roman"/>
          <w:sz w:val="25"/>
          <w:szCs w:val="25"/>
        </w:rPr>
        <w:t xml:space="preserve">ockets UE-121697 and UG-121705. </w:t>
      </w:r>
      <w:r w:rsidR="00126867">
        <w:rPr>
          <w:rFonts w:ascii="Times New Roman" w:hAnsi="Times New Roman" w:cs="Times New Roman"/>
          <w:iCs/>
          <w:sz w:val="25"/>
          <w:szCs w:val="25"/>
        </w:rPr>
        <w:t xml:space="preserve">After a hearing on </w:t>
      </w:r>
      <w:r w:rsidR="001D39F1" w:rsidRPr="001D39F1">
        <w:rPr>
          <w:rFonts w:ascii="Times New Roman" w:hAnsi="Times New Roman" w:cs="Times New Roman"/>
          <w:sz w:val="25"/>
          <w:szCs w:val="25"/>
        </w:rPr>
        <w:t>March 17, 2016</w:t>
      </w:r>
      <w:r w:rsidR="001D39F1">
        <w:rPr>
          <w:rFonts w:ascii="Times New Roman" w:hAnsi="Times New Roman" w:cs="Times New Roman"/>
          <w:sz w:val="25"/>
          <w:szCs w:val="25"/>
        </w:rPr>
        <w:t>, t</w:t>
      </w:r>
      <w:r w:rsidR="001D39F1" w:rsidRPr="001D39F1">
        <w:rPr>
          <w:rFonts w:ascii="Times New Roman" w:hAnsi="Times New Roman" w:cs="Times New Roman"/>
          <w:sz w:val="25"/>
          <w:szCs w:val="25"/>
        </w:rPr>
        <w:t xml:space="preserve">he Commission </w:t>
      </w:r>
      <w:r w:rsidR="001D39F1">
        <w:rPr>
          <w:rFonts w:ascii="Times New Roman" w:hAnsi="Times New Roman" w:cs="Times New Roman"/>
          <w:sz w:val="25"/>
          <w:szCs w:val="25"/>
        </w:rPr>
        <w:t>granted</w:t>
      </w:r>
      <w:r w:rsidR="001D39F1" w:rsidRPr="001D39F1">
        <w:rPr>
          <w:rFonts w:ascii="Times New Roman" w:hAnsi="Times New Roman" w:cs="Times New Roman"/>
          <w:sz w:val="25"/>
          <w:szCs w:val="25"/>
        </w:rPr>
        <w:t xml:space="preserve"> the parties’ </w:t>
      </w:r>
      <w:r w:rsidR="001D39F1">
        <w:rPr>
          <w:rFonts w:ascii="Times New Roman" w:hAnsi="Times New Roman" w:cs="Times New Roman"/>
          <w:sz w:val="25"/>
          <w:szCs w:val="25"/>
        </w:rPr>
        <w:t>petition,</w:t>
      </w:r>
      <w:r w:rsidR="00126867">
        <w:rPr>
          <w:rFonts w:ascii="Times New Roman" w:hAnsi="Times New Roman" w:cs="Times New Roman"/>
          <w:sz w:val="25"/>
          <w:szCs w:val="25"/>
        </w:rPr>
        <w:t xml:space="preserve"> directing</w:t>
      </w:r>
      <w:r w:rsidR="001D39F1">
        <w:rPr>
          <w:rFonts w:ascii="Times New Roman" w:hAnsi="Times New Roman" w:cs="Times New Roman"/>
          <w:sz w:val="25"/>
          <w:szCs w:val="25"/>
        </w:rPr>
        <w:t xml:space="preserve"> </w:t>
      </w:r>
      <w:r w:rsidR="001D39F1" w:rsidRPr="001D39F1">
        <w:rPr>
          <w:rFonts w:ascii="Times New Roman" w:hAnsi="Times New Roman" w:cs="Times New Roman"/>
          <w:iCs/>
          <w:sz w:val="25"/>
          <w:szCs w:val="25"/>
        </w:rPr>
        <w:t>PSE to file a general rate case by January 17, 2017</w:t>
      </w:r>
      <w:r w:rsidR="00126867">
        <w:rPr>
          <w:rFonts w:ascii="Times New Roman" w:hAnsi="Times New Roman" w:cs="Times New Roman"/>
          <w:iCs/>
          <w:sz w:val="25"/>
          <w:szCs w:val="25"/>
        </w:rPr>
        <w:t>.</w:t>
      </w:r>
      <w:r w:rsidR="001D39F1">
        <w:rPr>
          <w:rFonts w:ascii="Times New Roman" w:hAnsi="Times New Roman" w:cs="Times New Roman"/>
          <w:iCs/>
          <w:sz w:val="25"/>
          <w:szCs w:val="25"/>
        </w:rPr>
        <w:t xml:space="preserve"> </w:t>
      </w:r>
      <w:r w:rsidR="00126867">
        <w:rPr>
          <w:rFonts w:ascii="Times New Roman" w:hAnsi="Times New Roman" w:cs="Times New Roman"/>
          <w:sz w:val="25"/>
          <w:szCs w:val="25"/>
        </w:rPr>
        <w:t xml:space="preserve">In that rate case, PSE commits to </w:t>
      </w:r>
      <w:r w:rsidR="001D39F1">
        <w:rPr>
          <w:rFonts w:ascii="Times New Roman" w:hAnsi="Times New Roman" w:cs="Times New Roman"/>
          <w:sz w:val="25"/>
          <w:szCs w:val="25"/>
        </w:rPr>
        <w:t>address</w:t>
      </w:r>
      <w:r w:rsidR="001D39F1" w:rsidRPr="001D39F1">
        <w:rPr>
          <w:rFonts w:ascii="Times New Roman" w:hAnsi="Times New Roman" w:cs="Times New Roman"/>
          <w:sz w:val="25"/>
          <w:szCs w:val="25"/>
        </w:rPr>
        <w:t xml:space="preserve"> the future of Colstrip including: </w:t>
      </w:r>
    </w:p>
    <w:p w:rsidR="00CF068B" w:rsidRDefault="00CF068B">
      <w:pPr>
        <w:rPr>
          <w:rFonts w:ascii="Times New Roman" w:hAnsi="Times New Roman" w:cs="Times New Roman"/>
          <w:sz w:val="25"/>
          <w:szCs w:val="25"/>
        </w:rPr>
      </w:pPr>
      <w:r>
        <w:rPr>
          <w:rFonts w:ascii="Times New Roman" w:hAnsi="Times New Roman" w:cs="Times New Roman"/>
          <w:sz w:val="25"/>
          <w:szCs w:val="25"/>
        </w:rPr>
        <w:br w:type="page"/>
      </w:r>
    </w:p>
    <w:p w:rsidR="001D39F1" w:rsidRDefault="001D39F1" w:rsidP="001D39F1">
      <w:pPr>
        <w:spacing w:line="264" w:lineRule="auto"/>
        <w:rPr>
          <w:rFonts w:ascii="Times New Roman" w:hAnsi="Times New Roman" w:cs="Times New Roman"/>
          <w:sz w:val="25"/>
          <w:szCs w:val="25"/>
        </w:rPr>
      </w:pPr>
    </w:p>
    <w:p w:rsidR="001D39F1" w:rsidRDefault="001D39F1" w:rsidP="001D39F1">
      <w:pPr>
        <w:pStyle w:val="ListParagraph"/>
        <w:numPr>
          <w:ilvl w:val="0"/>
          <w:numId w:val="26"/>
        </w:numPr>
        <w:spacing w:line="264" w:lineRule="auto"/>
        <w:rPr>
          <w:rFonts w:ascii="Times New Roman" w:hAnsi="Times New Roman" w:cs="Times New Roman"/>
          <w:sz w:val="25"/>
          <w:szCs w:val="25"/>
        </w:rPr>
      </w:pPr>
      <w:r w:rsidRPr="001D39F1">
        <w:rPr>
          <w:rFonts w:ascii="Times New Roman" w:hAnsi="Times New Roman" w:cs="Times New Roman"/>
          <w:sz w:val="25"/>
          <w:szCs w:val="25"/>
        </w:rPr>
        <w:t xml:space="preserve">a depreciation schedule for all four units that aligns with the plants’ useful life; </w:t>
      </w:r>
    </w:p>
    <w:p w:rsidR="001D39F1" w:rsidRDefault="001D39F1" w:rsidP="001D39F1">
      <w:pPr>
        <w:pStyle w:val="ListParagraph"/>
        <w:numPr>
          <w:ilvl w:val="0"/>
          <w:numId w:val="26"/>
        </w:numPr>
        <w:spacing w:line="264" w:lineRule="auto"/>
        <w:rPr>
          <w:rFonts w:ascii="Times New Roman" w:hAnsi="Times New Roman" w:cs="Times New Roman"/>
          <w:sz w:val="25"/>
          <w:szCs w:val="25"/>
        </w:rPr>
      </w:pPr>
      <w:r w:rsidRPr="001D39F1">
        <w:rPr>
          <w:rFonts w:ascii="Times New Roman" w:hAnsi="Times New Roman" w:cs="Times New Roman"/>
          <w:sz w:val="25"/>
          <w:szCs w:val="25"/>
        </w:rPr>
        <w:t xml:space="preserve">an analysis of Units 1 and 2 that includes known major maintenance obligations and their projected costs; </w:t>
      </w:r>
    </w:p>
    <w:p w:rsidR="001D39F1" w:rsidRDefault="001D39F1" w:rsidP="001D39F1">
      <w:pPr>
        <w:pStyle w:val="ListParagraph"/>
        <w:numPr>
          <w:ilvl w:val="0"/>
          <w:numId w:val="26"/>
        </w:numPr>
        <w:spacing w:line="264" w:lineRule="auto"/>
        <w:rPr>
          <w:rFonts w:ascii="Times New Roman" w:hAnsi="Times New Roman" w:cs="Times New Roman"/>
          <w:sz w:val="25"/>
          <w:szCs w:val="25"/>
        </w:rPr>
      </w:pPr>
      <w:r w:rsidRPr="001D39F1">
        <w:rPr>
          <w:rFonts w:ascii="Times New Roman" w:hAnsi="Times New Roman" w:cs="Times New Roman"/>
          <w:sz w:val="25"/>
          <w:szCs w:val="25"/>
        </w:rPr>
        <w:t xml:space="preserve">a narrow window of dates for the planned retirement of Units 1 and 2; </w:t>
      </w:r>
    </w:p>
    <w:p w:rsidR="001D39F1" w:rsidRDefault="001D39F1" w:rsidP="001D39F1">
      <w:pPr>
        <w:pStyle w:val="ListParagraph"/>
        <w:numPr>
          <w:ilvl w:val="0"/>
          <w:numId w:val="26"/>
        </w:numPr>
        <w:spacing w:line="264" w:lineRule="auto"/>
        <w:rPr>
          <w:rFonts w:ascii="Times New Roman" w:hAnsi="Times New Roman" w:cs="Times New Roman"/>
          <w:sz w:val="25"/>
          <w:szCs w:val="25"/>
        </w:rPr>
      </w:pPr>
      <w:r w:rsidRPr="001D39F1">
        <w:rPr>
          <w:rFonts w:ascii="Times New Roman" w:hAnsi="Times New Roman" w:cs="Times New Roman"/>
          <w:sz w:val="25"/>
          <w:szCs w:val="25"/>
        </w:rPr>
        <w:t xml:space="preserve">detailed information regarding planned decommissioning and remediation activities for Units 1 and 2, including costs associated therewith; and </w:t>
      </w:r>
    </w:p>
    <w:p w:rsidR="00A4442E" w:rsidRPr="00C629BD" w:rsidRDefault="001D39F1" w:rsidP="001A66EA">
      <w:pPr>
        <w:pStyle w:val="ListParagraph"/>
        <w:numPr>
          <w:ilvl w:val="0"/>
          <w:numId w:val="26"/>
        </w:numPr>
        <w:spacing w:line="264" w:lineRule="auto"/>
        <w:rPr>
          <w:rFonts w:ascii="Times New Roman" w:hAnsi="Times New Roman" w:cs="Times New Roman"/>
          <w:sz w:val="25"/>
          <w:szCs w:val="25"/>
        </w:rPr>
      </w:pPr>
      <w:r w:rsidRPr="001D39F1">
        <w:rPr>
          <w:rFonts w:ascii="Times New Roman" w:hAnsi="Times New Roman" w:cs="Times New Roman"/>
          <w:sz w:val="25"/>
          <w:szCs w:val="25"/>
        </w:rPr>
        <w:t>a basic framework for how power replacement decisions will be made if the planned retirement of Units 1 and 2 is out of sync with the development of the 2017 Integrated Resource Plan.</w:t>
      </w:r>
      <w:r w:rsidR="00761681">
        <w:rPr>
          <w:rStyle w:val="FootnoteReference"/>
          <w:rFonts w:ascii="Times New Roman" w:hAnsi="Times New Roman" w:cs="Times New Roman"/>
          <w:sz w:val="25"/>
          <w:szCs w:val="25"/>
        </w:rPr>
        <w:footnoteReference w:id="29"/>
      </w:r>
    </w:p>
    <w:p w:rsidR="00A4442E" w:rsidRPr="001A66EA" w:rsidRDefault="00A4442E" w:rsidP="001A66EA">
      <w:pPr>
        <w:spacing w:line="264" w:lineRule="auto"/>
        <w:rPr>
          <w:rFonts w:ascii="Times New Roman" w:hAnsi="Times New Roman" w:cs="Times New Roman"/>
          <w:sz w:val="25"/>
          <w:szCs w:val="25"/>
        </w:rPr>
      </w:pPr>
    </w:p>
    <w:p w:rsidR="00F3297B" w:rsidRPr="00152F5C" w:rsidRDefault="00F3297B" w:rsidP="00BC5DE2">
      <w:pPr>
        <w:pStyle w:val="ListParagraph"/>
        <w:numPr>
          <w:ilvl w:val="0"/>
          <w:numId w:val="13"/>
        </w:numPr>
        <w:spacing w:line="264" w:lineRule="auto"/>
        <w:rPr>
          <w:rFonts w:ascii="Times New Roman" w:hAnsi="Times New Roman" w:cs="Times New Roman"/>
          <w:b/>
          <w:sz w:val="25"/>
          <w:szCs w:val="25"/>
          <w:u w:val="single"/>
        </w:rPr>
      </w:pPr>
      <w:r w:rsidRPr="00152F5C">
        <w:rPr>
          <w:rFonts w:ascii="Times New Roman" w:hAnsi="Times New Roman" w:cs="Times New Roman"/>
          <w:b/>
          <w:sz w:val="25"/>
          <w:szCs w:val="25"/>
          <w:u w:val="single"/>
        </w:rPr>
        <w:t>Natural Gas Resources</w:t>
      </w:r>
    </w:p>
    <w:p w:rsidR="00F3297B" w:rsidRPr="00152F5C" w:rsidRDefault="00F3297B" w:rsidP="00895DF8">
      <w:pPr>
        <w:spacing w:line="264" w:lineRule="auto"/>
        <w:rPr>
          <w:rFonts w:ascii="Times New Roman" w:hAnsi="Times New Roman" w:cs="Times New Roman"/>
          <w:sz w:val="25"/>
          <w:szCs w:val="25"/>
        </w:rPr>
      </w:pPr>
    </w:p>
    <w:p w:rsidR="00D56D80" w:rsidRPr="00D56D80" w:rsidRDefault="00D76A68" w:rsidP="00D56D80">
      <w:pPr>
        <w:spacing w:line="264" w:lineRule="auto"/>
        <w:rPr>
          <w:rFonts w:ascii="Times New Roman" w:hAnsi="Times New Roman" w:cs="Times New Roman"/>
          <w:sz w:val="25"/>
          <w:szCs w:val="25"/>
        </w:rPr>
      </w:pPr>
      <w:r w:rsidRPr="00152F5C">
        <w:rPr>
          <w:rFonts w:ascii="Times New Roman" w:hAnsi="Times New Roman" w:cs="Times New Roman"/>
          <w:sz w:val="25"/>
          <w:szCs w:val="25"/>
        </w:rPr>
        <w:t>The Commission considers PSE’s approach to natural gas modeling and the reasoning applied</w:t>
      </w:r>
      <w:r w:rsidR="001E20F9" w:rsidRPr="00152F5C">
        <w:rPr>
          <w:rFonts w:ascii="Times New Roman" w:hAnsi="Times New Roman" w:cs="Times New Roman"/>
          <w:sz w:val="25"/>
          <w:szCs w:val="25"/>
        </w:rPr>
        <w:t xml:space="preserve"> to model results to be sound. </w:t>
      </w:r>
      <w:r w:rsidR="00D56D80" w:rsidRPr="00D56D80">
        <w:rPr>
          <w:rFonts w:ascii="Times New Roman" w:hAnsi="Times New Roman" w:cs="Times New Roman"/>
          <w:sz w:val="25"/>
          <w:szCs w:val="25"/>
        </w:rPr>
        <w:t>The IRP identifies a gas shortfall of 25 MDth/day beginning in the winter of 2016-2017 and increasing to 415 MDth/day by the winter of 2034-2035. As a point of reference, PSE’s current gas system capacity is just under 1,000 MDth/day.</w:t>
      </w:r>
    </w:p>
    <w:p w:rsidR="002C6FD0" w:rsidRDefault="002C6FD0" w:rsidP="00895DF8">
      <w:pPr>
        <w:spacing w:line="264" w:lineRule="auto"/>
        <w:rPr>
          <w:rFonts w:ascii="Times New Roman" w:hAnsi="Times New Roman" w:cs="Times New Roman"/>
          <w:sz w:val="25"/>
          <w:szCs w:val="25"/>
        </w:rPr>
      </w:pPr>
    </w:p>
    <w:p w:rsidR="002C6FD0" w:rsidRPr="00152F5C" w:rsidRDefault="002C6FD0"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To meet projected loads, PSE modeled the following resource options:</w:t>
      </w:r>
    </w:p>
    <w:p w:rsidR="002C6FD0" w:rsidRPr="00152F5C" w:rsidRDefault="002C6FD0"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 </w:t>
      </w:r>
    </w:p>
    <w:p w:rsidR="007E5DC5" w:rsidRPr="00152F5C" w:rsidRDefault="006443EE" w:rsidP="007E5DC5">
      <w:pPr>
        <w:pStyle w:val="ListParagraph"/>
        <w:numPr>
          <w:ilvl w:val="0"/>
          <w:numId w:val="12"/>
        </w:numPr>
        <w:spacing w:line="264" w:lineRule="auto"/>
        <w:rPr>
          <w:rFonts w:ascii="Times New Roman" w:hAnsi="Times New Roman" w:cs="Times New Roman"/>
          <w:sz w:val="25"/>
          <w:szCs w:val="25"/>
        </w:rPr>
      </w:pPr>
      <w:r>
        <w:rPr>
          <w:rFonts w:ascii="Times New Roman" w:hAnsi="Times New Roman" w:cs="Times New Roman"/>
          <w:sz w:val="25"/>
          <w:szCs w:val="25"/>
        </w:rPr>
        <w:t>d</w:t>
      </w:r>
      <w:r w:rsidR="007E5DC5">
        <w:rPr>
          <w:rFonts w:ascii="Times New Roman" w:hAnsi="Times New Roman" w:cs="Times New Roman"/>
          <w:sz w:val="25"/>
          <w:szCs w:val="25"/>
        </w:rPr>
        <w:t>emand-side resources;</w:t>
      </w:r>
    </w:p>
    <w:p w:rsidR="007E5DC5" w:rsidRPr="00152F5C" w:rsidRDefault="007E5DC5" w:rsidP="007E5DC5">
      <w:pPr>
        <w:pStyle w:val="ListParagraph"/>
        <w:numPr>
          <w:ilvl w:val="0"/>
          <w:numId w:val="12"/>
        </w:numPr>
        <w:spacing w:line="264" w:lineRule="auto"/>
        <w:rPr>
          <w:rFonts w:ascii="Times New Roman" w:hAnsi="Times New Roman" w:cs="Times New Roman"/>
          <w:sz w:val="25"/>
          <w:szCs w:val="25"/>
        </w:rPr>
      </w:pPr>
      <w:r>
        <w:rPr>
          <w:rFonts w:ascii="Times New Roman" w:hAnsi="Times New Roman" w:cs="Times New Roman"/>
          <w:sz w:val="25"/>
          <w:szCs w:val="25"/>
        </w:rPr>
        <w:t>t</w:t>
      </w:r>
      <w:r w:rsidRPr="00152F5C">
        <w:rPr>
          <w:rFonts w:ascii="Times New Roman" w:hAnsi="Times New Roman" w:cs="Times New Roman"/>
          <w:sz w:val="25"/>
          <w:szCs w:val="25"/>
        </w:rPr>
        <w:t>he proposed PSE LNG peak-shaving facility</w:t>
      </w:r>
      <w:r>
        <w:rPr>
          <w:rFonts w:ascii="Times New Roman" w:hAnsi="Times New Roman" w:cs="Times New Roman"/>
          <w:sz w:val="25"/>
          <w:szCs w:val="25"/>
        </w:rPr>
        <w:t xml:space="preserve">, located </w:t>
      </w:r>
      <w:r w:rsidRPr="007E5DC5">
        <w:rPr>
          <w:rFonts w:ascii="Times New Roman" w:hAnsi="Times New Roman" w:cs="Times New Roman"/>
          <w:sz w:val="25"/>
          <w:szCs w:val="25"/>
        </w:rPr>
        <w:t>at the Port of Tacoma</w:t>
      </w:r>
      <w:r>
        <w:rPr>
          <w:rFonts w:ascii="Times New Roman" w:hAnsi="Times New Roman" w:cs="Times New Roman"/>
          <w:sz w:val="25"/>
          <w:szCs w:val="25"/>
        </w:rPr>
        <w:t xml:space="preserve"> to serve the needs of PSE and as </w:t>
      </w:r>
      <w:r w:rsidRPr="007E5DC5">
        <w:rPr>
          <w:rFonts w:ascii="Times New Roman" w:hAnsi="Times New Roman" w:cs="Times New Roman"/>
          <w:sz w:val="25"/>
          <w:szCs w:val="25"/>
        </w:rPr>
        <w:t xml:space="preserve">marine </w:t>
      </w:r>
      <w:r>
        <w:rPr>
          <w:rFonts w:ascii="Times New Roman" w:hAnsi="Times New Roman" w:cs="Times New Roman"/>
          <w:sz w:val="25"/>
          <w:szCs w:val="25"/>
        </w:rPr>
        <w:t>fuel;</w:t>
      </w:r>
    </w:p>
    <w:p w:rsidR="002C6FD0" w:rsidRPr="00152F5C" w:rsidRDefault="007E5DC5" w:rsidP="00895DF8">
      <w:pPr>
        <w:pStyle w:val="ListParagraph"/>
        <w:numPr>
          <w:ilvl w:val="0"/>
          <w:numId w:val="12"/>
        </w:numPr>
        <w:spacing w:line="264" w:lineRule="auto"/>
        <w:rPr>
          <w:rFonts w:ascii="Times New Roman" w:hAnsi="Times New Roman" w:cs="Times New Roman"/>
          <w:sz w:val="25"/>
          <w:szCs w:val="25"/>
        </w:rPr>
      </w:pPr>
      <w:r>
        <w:rPr>
          <w:rFonts w:ascii="Times New Roman" w:hAnsi="Times New Roman" w:cs="Times New Roman"/>
          <w:sz w:val="25"/>
          <w:szCs w:val="25"/>
        </w:rPr>
        <w:t>e</w:t>
      </w:r>
      <w:r w:rsidR="002C6FD0" w:rsidRPr="00152F5C">
        <w:rPr>
          <w:rFonts w:ascii="Times New Roman" w:hAnsi="Times New Roman" w:cs="Times New Roman"/>
          <w:sz w:val="25"/>
          <w:szCs w:val="25"/>
        </w:rPr>
        <w:t xml:space="preserve">xpansion of the Westcoast Pipeline and associated expansion of Northwest Pipeline (NWP); </w:t>
      </w:r>
    </w:p>
    <w:p w:rsidR="006443EE" w:rsidRPr="00152F5C" w:rsidRDefault="006443EE" w:rsidP="006443EE">
      <w:pPr>
        <w:pStyle w:val="ListParagraph"/>
        <w:numPr>
          <w:ilvl w:val="0"/>
          <w:numId w:val="12"/>
        </w:numPr>
        <w:spacing w:line="264" w:lineRule="auto"/>
        <w:rPr>
          <w:rFonts w:ascii="Times New Roman" w:hAnsi="Times New Roman" w:cs="Times New Roman"/>
          <w:sz w:val="25"/>
          <w:szCs w:val="25"/>
        </w:rPr>
      </w:pPr>
      <w:r>
        <w:rPr>
          <w:rFonts w:ascii="Times New Roman" w:hAnsi="Times New Roman" w:cs="Times New Roman"/>
          <w:sz w:val="25"/>
          <w:szCs w:val="25"/>
        </w:rPr>
        <w:t>e</w:t>
      </w:r>
      <w:r w:rsidRPr="00152F5C">
        <w:rPr>
          <w:rFonts w:ascii="Times New Roman" w:hAnsi="Times New Roman" w:cs="Times New Roman"/>
          <w:sz w:val="25"/>
          <w:szCs w:val="25"/>
        </w:rPr>
        <w:t xml:space="preserve">xpansion of Northwest Natural’s Mist storage facility; </w:t>
      </w:r>
    </w:p>
    <w:p w:rsidR="002C6FD0" w:rsidRPr="00152F5C" w:rsidRDefault="006443EE" w:rsidP="00895DF8">
      <w:pPr>
        <w:pStyle w:val="ListParagraph"/>
        <w:numPr>
          <w:ilvl w:val="0"/>
          <w:numId w:val="12"/>
        </w:numPr>
        <w:spacing w:line="264" w:lineRule="auto"/>
        <w:rPr>
          <w:rFonts w:ascii="Times New Roman" w:hAnsi="Times New Roman" w:cs="Times New Roman"/>
          <w:sz w:val="25"/>
          <w:szCs w:val="25"/>
        </w:rPr>
      </w:pPr>
      <w:r>
        <w:rPr>
          <w:rFonts w:ascii="Times New Roman" w:hAnsi="Times New Roman" w:cs="Times New Roman"/>
          <w:sz w:val="25"/>
          <w:szCs w:val="25"/>
        </w:rPr>
        <w:t>u</w:t>
      </w:r>
      <w:r w:rsidR="002C6FD0" w:rsidRPr="00152F5C">
        <w:rPr>
          <w:rFonts w:ascii="Times New Roman" w:hAnsi="Times New Roman" w:cs="Times New Roman"/>
          <w:sz w:val="25"/>
          <w:szCs w:val="25"/>
        </w:rPr>
        <w:t xml:space="preserve">pgrades to the existing Swarr propane-air injection </w:t>
      </w:r>
      <w:r w:rsidR="007E5DC5" w:rsidRPr="00D56D80">
        <w:rPr>
          <w:rFonts w:ascii="Times New Roman" w:hAnsi="Times New Roman" w:cs="Times New Roman"/>
          <w:sz w:val="25"/>
          <w:szCs w:val="25"/>
        </w:rPr>
        <w:t xml:space="preserve">peaking </w:t>
      </w:r>
      <w:r w:rsidR="002C6FD0" w:rsidRPr="00152F5C">
        <w:rPr>
          <w:rFonts w:ascii="Times New Roman" w:hAnsi="Times New Roman" w:cs="Times New Roman"/>
          <w:sz w:val="25"/>
          <w:szCs w:val="25"/>
        </w:rPr>
        <w:t xml:space="preserve">facility; </w:t>
      </w:r>
    </w:p>
    <w:p w:rsidR="006443EE" w:rsidRDefault="00A16975" w:rsidP="006443EE">
      <w:pPr>
        <w:pStyle w:val="ListParagraph"/>
        <w:numPr>
          <w:ilvl w:val="0"/>
          <w:numId w:val="12"/>
        </w:numPr>
        <w:spacing w:line="264" w:lineRule="auto"/>
        <w:rPr>
          <w:rFonts w:ascii="Times New Roman" w:hAnsi="Times New Roman" w:cs="Times New Roman"/>
          <w:sz w:val="25"/>
          <w:szCs w:val="25"/>
        </w:rPr>
      </w:pPr>
      <w:r>
        <w:rPr>
          <w:rFonts w:ascii="Times New Roman" w:hAnsi="Times New Roman" w:cs="Times New Roman"/>
          <w:sz w:val="25"/>
          <w:szCs w:val="25"/>
        </w:rPr>
        <w:t xml:space="preserve">proposed </w:t>
      </w:r>
      <w:r w:rsidR="006443EE">
        <w:rPr>
          <w:rFonts w:ascii="Times New Roman" w:hAnsi="Times New Roman" w:cs="Times New Roman"/>
          <w:sz w:val="25"/>
          <w:szCs w:val="25"/>
        </w:rPr>
        <w:t>c</w:t>
      </w:r>
      <w:r w:rsidR="006443EE" w:rsidRPr="00D56D80">
        <w:rPr>
          <w:rFonts w:ascii="Times New Roman" w:hAnsi="Times New Roman" w:cs="Times New Roman"/>
          <w:sz w:val="25"/>
          <w:szCs w:val="25"/>
        </w:rPr>
        <w:t xml:space="preserve">ross </w:t>
      </w:r>
      <w:r w:rsidR="006443EE">
        <w:rPr>
          <w:rFonts w:ascii="Times New Roman" w:hAnsi="Times New Roman" w:cs="Times New Roman"/>
          <w:sz w:val="25"/>
          <w:szCs w:val="25"/>
        </w:rPr>
        <w:t>c</w:t>
      </w:r>
      <w:r w:rsidR="006443EE" w:rsidRPr="00D56D80">
        <w:rPr>
          <w:rFonts w:ascii="Times New Roman" w:hAnsi="Times New Roman" w:cs="Times New Roman"/>
          <w:sz w:val="25"/>
          <w:szCs w:val="25"/>
        </w:rPr>
        <w:t xml:space="preserve">ascades </w:t>
      </w:r>
      <w:r w:rsidR="006443EE">
        <w:rPr>
          <w:rFonts w:ascii="Times New Roman" w:hAnsi="Times New Roman" w:cs="Times New Roman"/>
          <w:sz w:val="25"/>
          <w:szCs w:val="25"/>
        </w:rPr>
        <w:t>p</w:t>
      </w:r>
      <w:r w:rsidR="006443EE" w:rsidRPr="00D56D80">
        <w:rPr>
          <w:rFonts w:ascii="Times New Roman" w:hAnsi="Times New Roman" w:cs="Times New Roman"/>
          <w:sz w:val="25"/>
          <w:szCs w:val="25"/>
        </w:rPr>
        <w:t xml:space="preserve">ipeline </w:t>
      </w:r>
      <w:r w:rsidR="006443EE">
        <w:rPr>
          <w:rFonts w:ascii="Times New Roman" w:hAnsi="Times New Roman" w:cs="Times New Roman"/>
          <w:sz w:val="25"/>
          <w:szCs w:val="25"/>
        </w:rPr>
        <w:t>expansions; and</w:t>
      </w:r>
    </w:p>
    <w:p w:rsidR="006443EE" w:rsidRPr="00152F5C" w:rsidRDefault="00A16975" w:rsidP="006443EE">
      <w:pPr>
        <w:pStyle w:val="ListParagraph"/>
        <w:numPr>
          <w:ilvl w:val="0"/>
          <w:numId w:val="12"/>
        </w:numPr>
        <w:spacing w:line="264" w:lineRule="auto"/>
        <w:rPr>
          <w:rFonts w:ascii="Times New Roman" w:hAnsi="Times New Roman" w:cs="Times New Roman"/>
          <w:sz w:val="25"/>
          <w:szCs w:val="25"/>
        </w:rPr>
      </w:pPr>
      <w:r>
        <w:rPr>
          <w:rFonts w:ascii="Times New Roman" w:hAnsi="Times New Roman" w:cs="Times New Roman"/>
          <w:sz w:val="25"/>
          <w:szCs w:val="25"/>
        </w:rPr>
        <w:t xml:space="preserve">the </w:t>
      </w:r>
      <w:r w:rsidR="006443EE" w:rsidRPr="00152F5C">
        <w:rPr>
          <w:rFonts w:ascii="Times New Roman" w:hAnsi="Times New Roman" w:cs="Times New Roman"/>
          <w:sz w:val="25"/>
          <w:szCs w:val="25"/>
        </w:rPr>
        <w:t xml:space="preserve">proposed Kingsvale-Oliver </w:t>
      </w:r>
      <w:r>
        <w:rPr>
          <w:rFonts w:ascii="Times New Roman" w:hAnsi="Times New Roman" w:cs="Times New Roman"/>
          <w:sz w:val="25"/>
          <w:szCs w:val="25"/>
        </w:rPr>
        <w:t>r</w:t>
      </w:r>
      <w:r w:rsidR="006443EE" w:rsidRPr="00152F5C">
        <w:rPr>
          <w:rFonts w:ascii="Times New Roman" w:hAnsi="Times New Roman" w:cs="Times New Roman"/>
          <w:sz w:val="25"/>
          <w:szCs w:val="25"/>
        </w:rPr>
        <w:t xml:space="preserve">einforcement </w:t>
      </w:r>
      <w:r>
        <w:rPr>
          <w:rFonts w:ascii="Times New Roman" w:hAnsi="Times New Roman" w:cs="Times New Roman"/>
          <w:sz w:val="25"/>
          <w:szCs w:val="25"/>
        </w:rPr>
        <w:t>p</w:t>
      </w:r>
      <w:r w:rsidR="006443EE" w:rsidRPr="00152F5C">
        <w:rPr>
          <w:rFonts w:ascii="Times New Roman" w:hAnsi="Times New Roman" w:cs="Times New Roman"/>
          <w:sz w:val="25"/>
          <w:szCs w:val="25"/>
        </w:rPr>
        <w:t>roject</w:t>
      </w:r>
      <w:r w:rsidR="006443EE">
        <w:rPr>
          <w:rFonts w:ascii="Times New Roman" w:hAnsi="Times New Roman" w:cs="Times New Roman"/>
          <w:sz w:val="25"/>
          <w:szCs w:val="25"/>
        </w:rPr>
        <w:t>.</w:t>
      </w:r>
    </w:p>
    <w:p w:rsidR="002C6FD0" w:rsidRPr="00152F5C" w:rsidRDefault="002C6FD0" w:rsidP="00895DF8">
      <w:pPr>
        <w:spacing w:line="264" w:lineRule="auto"/>
        <w:rPr>
          <w:rFonts w:ascii="Times New Roman" w:hAnsi="Times New Roman" w:cs="Times New Roman"/>
          <w:sz w:val="25"/>
          <w:szCs w:val="25"/>
        </w:rPr>
      </w:pPr>
    </w:p>
    <w:p w:rsidR="002C6FD0" w:rsidRPr="00152F5C" w:rsidRDefault="002C6FD0"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After modeling a wide variety of economic scenarios, PSE selected the following resources for its Plan:</w:t>
      </w:r>
    </w:p>
    <w:p w:rsidR="00D76A68" w:rsidRPr="00152F5C" w:rsidRDefault="00D76A68" w:rsidP="00895DF8">
      <w:pPr>
        <w:spacing w:line="264" w:lineRule="auto"/>
        <w:rPr>
          <w:rFonts w:ascii="Times New Roman" w:hAnsi="Times New Roman" w:cs="Times New Roman"/>
          <w:sz w:val="25"/>
          <w:szCs w:val="25"/>
        </w:rPr>
      </w:pPr>
    </w:p>
    <w:p w:rsidR="00CF068B" w:rsidRDefault="00CF068B">
      <w:pPr>
        <w:rPr>
          <w:rFonts w:ascii="Times New Roman" w:hAnsi="Times New Roman" w:cs="Times New Roman"/>
          <w:b/>
          <w:sz w:val="25"/>
          <w:szCs w:val="25"/>
        </w:rPr>
      </w:pPr>
      <w:r>
        <w:rPr>
          <w:rFonts w:ascii="Times New Roman" w:hAnsi="Times New Roman" w:cs="Times New Roman"/>
          <w:b/>
          <w:sz w:val="25"/>
          <w:szCs w:val="25"/>
        </w:rPr>
        <w:br w:type="page"/>
      </w:r>
    </w:p>
    <w:p w:rsidR="00152F5C" w:rsidRDefault="00D22B20" w:rsidP="00152F5C">
      <w:pPr>
        <w:spacing w:line="264" w:lineRule="auto"/>
        <w:jc w:val="center"/>
        <w:rPr>
          <w:rFonts w:ascii="Times New Roman" w:hAnsi="Times New Roman" w:cs="Times New Roman"/>
          <w:b/>
          <w:sz w:val="25"/>
          <w:szCs w:val="25"/>
        </w:rPr>
      </w:pPr>
      <w:bookmarkStart w:id="0" w:name="_GoBack"/>
      <w:bookmarkEnd w:id="0"/>
      <w:r>
        <w:rPr>
          <w:rFonts w:ascii="Times New Roman" w:hAnsi="Times New Roman" w:cs="Times New Roman"/>
          <w:b/>
          <w:sz w:val="25"/>
          <w:szCs w:val="25"/>
        </w:rPr>
        <w:lastRenderedPageBreak/>
        <w:t>Table 2</w:t>
      </w:r>
    </w:p>
    <w:p w:rsidR="00B10424" w:rsidRDefault="00B10424" w:rsidP="00152F5C">
      <w:pPr>
        <w:spacing w:line="264" w:lineRule="auto"/>
        <w:jc w:val="center"/>
        <w:rPr>
          <w:rFonts w:ascii="Times New Roman" w:hAnsi="Times New Roman" w:cs="Times New Roman"/>
          <w:b/>
          <w:sz w:val="25"/>
          <w:szCs w:val="25"/>
        </w:rPr>
      </w:pPr>
      <w:r w:rsidRPr="00152F5C">
        <w:rPr>
          <w:rFonts w:ascii="Times New Roman" w:hAnsi="Times New Roman" w:cs="Times New Roman"/>
          <w:b/>
          <w:sz w:val="25"/>
          <w:szCs w:val="25"/>
        </w:rPr>
        <w:t>Gas Resource Plan, Cumulative Additions in MDth/Day of Capacity</w:t>
      </w:r>
      <w:r w:rsidRPr="00152F5C">
        <w:rPr>
          <w:rStyle w:val="FootnoteReference"/>
          <w:rFonts w:ascii="Times New Roman" w:hAnsi="Times New Roman" w:cs="Times New Roman"/>
          <w:b/>
          <w:sz w:val="25"/>
          <w:szCs w:val="25"/>
        </w:rPr>
        <w:footnoteReference w:id="30"/>
      </w:r>
    </w:p>
    <w:p w:rsidR="00152F5C" w:rsidRPr="00152F5C" w:rsidRDefault="00152F5C" w:rsidP="00152F5C">
      <w:pPr>
        <w:spacing w:line="264" w:lineRule="auto"/>
        <w:jc w:val="center"/>
        <w:rPr>
          <w:rFonts w:ascii="Times New Roman" w:hAnsi="Times New Roman" w:cs="Times New Roman"/>
          <w:b/>
          <w:sz w:val="25"/>
          <w:szCs w:val="25"/>
        </w:rPr>
      </w:pPr>
    </w:p>
    <w:tbl>
      <w:tblPr>
        <w:tblStyle w:val="TableGrid"/>
        <w:tblW w:w="0" w:type="auto"/>
        <w:tblLook w:val="04A0" w:firstRow="1" w:lastRow="0" w:firstColumn="1" w:lastColumn="0" w:noHBand="0" w:noVBand="1"/>
      </w:tblPr>
      <w:tblGrid>
        <w:gridCol w:w="2908"/>
        <w:gridCol w:w="1520"/>
        <w:gridCol w:w="1521"/>
        <w:gridCol w:w="1520"/>
        <w:gridCol w:w="1521"/>
      </w:tblGrid>
      <w:tr w:rsidR="00B10424" w:rsidRPr="00152F5C" w:rsidTr="00980ECB">
        <w:tc>
          <w:tcPr>
            <w:tcW w:w="2908" w:type="dxa"/>
          </w:tcPr>
          <w:p w:rsidR="00B10424" w:rsidRPr="00152F5C" w:rsidRDefault="00B10424" w:rsidP="00556845">
            <w:pPr>
              <w:rPr>
                <w:rFonts w:ascii="Times New Roman" w:hAnsi="Times New Roman" w:cs="Times New Roman"/>
                <w:b/>
                <w:sz w:val="25"/>
                <w:szCs w:val="25"/>
              </w:rPr>
            </w:pPr>
          </w:p>
        </w:tc>
        <w:tc>
          <w:tcPr>
            <w:tcW w:w="1520" w:type="dxa"/>
          </w:tcPr>
          <w:p w:rsidR="00B10424" w:rsidRPr="00152F5C" w:rsidRDefault="00B10424" w:rsidP="00556845">
            <w:pPr>
              <w:jc w:val="center"/>
              <w:rPr>
                <w:rFonts w:ascii="Times New Roman" w:hAnsi="Times New Roman" w:cs="Times New Roman"/>
                <w:b/>
                <w:sz w:val="25"/>
                <w:szCs w:val="25"/>
              </w:rPr>
            </w:pPr>
            <w:r w:rsidRPr="00152F5C">
              <w:rPr>
                <w:rFonts w:ascii="Times New Roman" w:hAnsi="Times New Roman" w:cs="Times New Roman"/>
                <w:b/>
                <w:sz w:val="25"/>
                <w:szCs w:val="25"/>
              </w:rPr>
              <w:t>2018-2019</w:t>
            </w:r>
          </w:p>
        </w:tc>
        <w:tc>
          <w:tcPr>
            <w:tcW w:w="1521" w:type="dxa"/>
          </w:tcPr>
          <w:p w:rsidR="00B10424" w:rsidRPr="00152F5C" w:rsidRDefault="00B10424" w:rsidP="00556845">
            <w:pPr>
              <w:jc w:val="center"/>
              <w:rPr>
                <w:rFonts w:ascii="Times New Roman" w:hAnsi="Times New Roman" w:cs="Times New Roman"/>
                <w:b/>
                <w:sz w:val="25"/>
                <w:szCs w:val="25"/>
              </w:rPr>
            </w:pPr>
            <w:r w:rsidRPr="00152F5C">
              <w:rPr>
                <w:rFonts w:ascii="Times New Roman" w:hAnsi="Times New Roman" w:cs="Times New Roman"/>
                <w:b/>
                <w:sz w:val="25"/>
                <w:szCs w:val="25"/>
              </w:rPr>
              <w:t>2022-2023</w:t>
            </w:r>
          </w:p>
        </w:tc>
        <w:tc>
          <w:tcPr>
            <w:tcW w:w="1520" w:type="dxa"/>
          </w:tcPr>
          <w:p w:rsidR="00B10424" w:rsidRPr="00152F5C" w:rsidRDefault="00980ECB" w:rsidP="00980ECB">
            <w:pPr>
              <w:jc w:val="center"/>
              <w:rPr>
                <w:rFonts w:ascii="Times New Roman" w:hAnsi="Times New Roman" w:cs="Times New Roman"/>
                <w:b/>
                <w:sz w:val="25"/>
                <w:szCs w:val="25"/>
              </w:rPr>
            </w:pPr>
            <w:r>
              <w:rPr>
                <w:rFonts w:ascii="Times New Roman" w:hAnsi="Times New Roman" w:cs="Times New Roman"/>
                <w:b/>
                <w:sz w:val="25"/>
                <w:szCs w:val="25"/>
              </w:rPr>
              <w:t>2026</w:t>
            </w:r>
            <w:r w:rsidR="00B10424" w:rsidRPr="00152F5C">
              <w:rPr>
                <w:rFonts w:ascii="Times New Roman" w:hAnsi="Times New Roman" w:cs="Times New Roman"/>
                <w:b/>
                <w:sz w:val="25"/>
                <w:szCs w:val="25"/>
              </w:rPr>
              <w:t>-202</w:t>
            </w:r>
            <w:r>
              <w:rPr>
                <w:rFonts w:ascii="Times New Roman" w:hAnsi="Times New Roman" w:cs="Times New Roman"/>
                <w:b/>
                <w:sz w:val="25"/>
                <w:szCs w:val="25"/>
              </w:rPr>
              <w:t>7</w:t>
            </w:r>
          </w:p>
        </w:tc>
        <w:tc>
          <w:tcPr>
            <w:tcW w:w="1521" w:type="dxa"/>
          </w:tcPr>
          <w:p w:rsidR="00B10424" w:rsidRPr="00152F5C" w:rsidRDefault="00B10424" w:rsidP="00556845">
            <w:pPr>
              <w:jc w:val="center"/>
              <w:rPr>
                <w:rFonts w:ascii="Times New Roman" w:hAnsi="Times New Roman" w:cs="Times New Roman"/>
                <w:b/>
                <w:sz w:val="25"/>
                <w:szCs w:val="25"/>
              </w:rPr>
            </w:pPr>
            <w:r w:rsidRPr="00152F5C">
              <w:rPr>
                <w:rFonts w:ascii="Times New Roman" w:hAnsi="Times New Roman" w:cs="Times New Roman"/>
                <w:b/>
                <w:sz w:val="25"/>
                <w:szCs w:val="25"/>
              </w:rPr>
              <w:t>2</w:t>
            </w:r>
            <w:r w:rsidR="00980ECB">
              <w:rPr>
                <w:rFonts w:ascii="Times New Roman" w:hAnsi="Times New Roman" w:cs="Times New Roman"/>
                <w:b/>
                <w:sz w:val="25"/>
                <w:szCs w:val="25"/>
              </w:rPr>
              <w:t>034-2035</w:t>
            </w:r>
          </w:p>
        </w:tc>
      </w:tr>
      <w:tr w:rsidR="00B10424" w:rsidRPr="00152F5C" w:rsidTr="00980ECB">
        <w:tc>
          <w:tcPr>
            <w:tcW w:w="2908" w:type="dxa"/>
          </w:tcPr>
          <w:p w:rsidR="00B10424" w:rsidRPr="00152F5C" w:rsidRDefault="00B10424" w:rsidP="00556845">
            <w:pPr>
              <w:rPr>
                <w:rFonts w:ascii="Times New Roman" w:hAnsi="Times New Roman" w:cs="Times New Roman"/>
                <w:b/>
                <w:sz w:val="25"/>
                <w:szCs w:val="25"/>
              </w:rPr>
            </w:pPr>
            <w:r w:rsidRPr="00152F5C">
              <w:rPr>
                <w:rFonts w:ascii="Times New Roman" w:hAnsi="Times New Roman" w:cs="Times New Roman"/>
                <w:b/>
                <w:sz w:val="25"/>
                <w:szCs w:val="25"/>
              </w:rPr>
              <w:t>Demand-Side Resources</w:t>
            </w:r>
          </w:p>
        </w:tc>
        <w:tc>
          <w:tcPr>
            <w:tcW w:w="1520" w:type="dxa"/>
          </w:tcPr>
          <w:p w:rsidR="00B10424" w:rsidRPr="00152F5C" w:rsidRDefault="00980ECB" w:rsidP="00556845">
            <w:pPr>
              <w:jc w:val="center"/>
              <w:rPr>
                <w:rFonts w:ascii="Times New Roman" w:hAnsi="Times New Roman" w:cs="Times New Roman"/>
                <w:sz w:val="25"/>
                <w:szCs w:val="25"/>
              </w:rPr>
            </w:pPr>
            <w:r>
              <w:rPr>
                <w:rFonts w:ascii="Times New Roman" w:hAnsi="Times New Roman" w:cs="Times New Roman"/>
                <w:sz w:val="25"/>
                <w:szCs w:val="25"/>
              </w:rPr>
              <w:t>12</w:t>
            </w:r>
          </w:p>
        </w:tc>
        <w:tc>
          <w:tcPr>
            <w:tcW w:w="1521" w:type="dxa"/>
          </w:tcPr>
          <w:p w:rsidR="00B10424" w:rsidRPr="00152F5C" w:rsidRDefault="00B10424" w:rsidP="00980ECB">
            <w:pPr>
              <w:jc w:val="center"/>
              <w:rPr>
                <w:rFonts w:ascii="Times New Roman" w:hAnsi="Times New Roman" w:cs="Times New Roman"/>
                <w:sz w:val="25"/>
                <w:szCs w:val="25"/>
              </w:rPr>
            </w:pPr>
            <w:r w:rsidRPr="00152F5C">
              <w:rPr>
                <w:rFonts w:ascii="Times New Roman" w:hAnsi="Times New Roman" w:cs="Times New Roman"/>
                <w:sz w:val="25"/>
                <w:szCs w:val="25"/>
              </w:rPr>
              <w:t>2</w:t>
            </w:r>
            <w:r w:rsidR="00980ECB">
              <w:rPr>
                <w:rFonts w:ascii="Times New Roman" w:hAnsi="Times New Roman" w:cs="Times New Roman"/>
                <w:sz w:val="25"/>
                <w:szCs w:val="25"/>
              </w:rPr>
              <w:t>9</w:t>
            </w:r>
          </w:p>
        </w:tc>
        <w:tc>
          <w:tcPr>
            <w:tcW w:w="1520" w:type="dxa"/>
          </w:tcPr>
          <w:p w:rsidR="00B10424" w:rsidRPr="00152F5C" w:rsidRDefault="00980ECB" w:rsidP="00556845">
            <w:pPr>
              <w:jc w:val="center"/>
              <w:rPr>
                <w:rFonts w:ascii="Times New Roman" w:hAnsi="Times New Roman" w:cs="Times New Roman"/>
                <w:sz w:val="25"/>
                <w:szCs w:val="25"/>
              </w:rPr>
            </w:pPr>
            <w:r>
              <w:rPr>
                <w:rFonts w:ascii="Times New Roman" w:hAnsi="Times New Roman" w:cs="Times New Roman"/>
                <w:sz w:val="25"/>
                <w:szCs w:val="25"/>
              </w:rPr>
              <w:t>46</w:t>
            </w:r>
          </w:p>
        </w:tc>
        <w:tc>
          <w:tcPr>
            <w:tcW w:w="1521" w:type="dxa"/>
          </w:tcPr>
          <w:p w:rsidR="00B10424" w:rsidRPr="00152F5C" w:rsidRDefault="00980ECB" w:rsidP="00556845">
            <w:pPr>
              <w:jc w:val="center"/>
              <w:rPr>
                <w:rFonts w:ascii="Times New Roman" w:hAnsi="Times New Roman" w:cs="Times New Roman"/>
                <w:sz w:val="25"/>
                <w:szCs w:val="25"/>
              </w:rPr>
            </w:pPr>
            <w:r>
              <w:rPr>
                <w:rFonts w:ascii="Times New Roman" w:hAnsi="Times New Roman" w:cs="Times New Roman"/>
                <w:sz w:val="25"/>
                <w:szCs w:val="25"/>
              </w:rPr>
              <w:t>69</w:t>
            </w:r>
          </w:p>
        </w:tc>
      </w:tr>
      <w:tr w:rsidR="00B10424" w:rsidRPr="00152F5C" w:rsidTr="00980ECB">
        <w:tc>
          <w:tcPr>
            <w:tcW w:w="2908" w:type="dxa"/>
          </w:tcPr>
          <w:p w:rsidR="00B10424" w:rsidRPr="00152F5C" w:rsidRDefault="00B10424" w:rsidP="00556845">
            <w:pPr>
              <w:rPr>
                <w:rFonts w:ascii="Times New Roman" w:hAnsi="Times New Roman" w:cs="Times New Roman"/>
                <w:b/>
                <w:sz w:val="25"/>
                <w:szCs w:val="25"/>
              </w:rPr>
            </w:pPr>
            <w:r w:rsidRPr="00152F5C">
              <w:rPr>
                <w:rFonts w:ascii="Times New Roman" w:hAnsi="Times New Roman" w:cs="Times New Roman"/>
                <w:b/>
                <w:sz w:val="25"/>
                <w:szCs w:val="25"/>
              </w:rPr>
              <w:t>PSE LNG</w:t>
            </w:r>
          </w:p>
        </w:tc>
        <w:tc>
          <w:tcPr>
            <w:tcW w:w="1520" w:type="dxa"/>
          </w:tcPr>
          <w:p w:rsidR="00B10424" w:rsidRPr="00152F5C" w:rsidRDefault="00980ECB" w:rsidP="00556845">
            <w:pPr>
              <w:jc w:val="center"/>
              <w:rPr>
                <w:rFonts w:ascii="Times New Roman" w:hAnsi="Times New Roman" w:cs="Times New Roman"/>
                <w:sz w:val="25"/>
                <w:szCs w:val="25"/>
              </w:rPr>
            </w:pPr>
            <w:r>
              <w:rPr>
                <w:rFonts w:ascii="Times New Roman" w:hAnsi="Times New Roman" w:cs="Times New Roman"/>
                <w:sz w:val="25"/>
                <w:szCs w:val="25"/>
              </w:rPr>
              <w:t>69</w:t>
            </w:r>
          </w:p>
        </w:tc>
        <w:tc>
          <w:tcPr>
            <w:tcW w:w="1521" w:type="dxa"/>
          </w:tcPr>
          <w:p w:rsidR="00B10424" w:rsidRPr="00152F5C" w:rsidRDefault="00980ECB" w:rsidP="00556845">
            <w:pPr>
              <w:jc w:val="center"/>
              <w:rPr>
                <w:rFonts w:ascii="Times New Roman" w:hAnsi="Times New Roman" w:cs="Times New Roman"/>
                <w:sz w:val="25"/>
                <w:szCs w:val="25"/>
              </w:rPr>
            </w:pPr>
            <w:r>
              <w:rPr>
                <w:rFonts w:ascii="Times New Roman" w:hAnsi="Times New Roman" w:cs="Times New Roman"/>
                <w:sz w:val="25"/>
                <w:szCs w:val="25"/>
              </w:rPr>
              <w:t>85</w:t>
            </w:r>
          </w:p>
        </w:tc>
        <w:tc>
          <w:tcPr>
            <w:tcW w:w="1520" w:type="dxa"/>
          </w:tcPr>
          <w:p w:rsidR="00B10424" w:rsidRPr="00152F5C" w:rsidRDefault="00980ECB" w:rsidP="00556845">
            <w:pPr>
              <w:jc w:val="center"/>
              <w:rPr>
                <w:rFonts w:ascii="Times New Roman" w:hAnsi="Times New Roman" w:cs="Times New Roman"/>
                <w:sz w:val="25"/>
                <w:szCs w:val="25"/>
              </w:rPr>
            </w:pPr>
            <w:r>
              <w:rPr>
                <w:rFonts w:ascii="Times New Roman" w:hAnsi="Times New Roman" w:cs="Times New Roman"/>
                <w:sz w:val="25"/>
                <w:szCs w:val="25"/>
              </w:rPr>
              <w:t>85</w:t>
            </w:r>
          </w:p>
        </w:tc>
        <w:tc>
          <w:tcPr>
            <w:tcW w:w="1521" w:type="dxa"/>
          </w:tcPr>
          <w:p w:rsidR="00B10424" w:rsidRPr="00152F5C" w:rsidRDefault="00980ECB" w:rsidP="00556845">
            <w:pPr>
              <w:jc w:val="center"/>
              <w:rPr>
                <w:rFonts w:ascii="Times New Roman" w:hAnsi="Times New Roman" w:cs="Times New Roman"/>
                <w:sz w:val="25"/>
                <w:szCs w:val="25"/>
              </w:rPr>
            </w:pPr>
            <w:r>
              <w:rPr>
                <w:rFonts w:ascii="Times New Roman" w:hAnsi="Times New Roman" w:cs="Times New Roman"/>
                <w:sz w:val="25"/>
                <w:szCs w:val="25"/>
              </w:rPr>
              <w:t>85</w:t>
            </w:r>
          </w:p>
        </w:tc>
      </w:tr>
      <w:tr w:rsidR="00B10424" w:rsidRPr="00152F5C" w:rsidTr="00980ECB">
        <w:tc>
          <w:tcPr>
            <w:tcW w:w="2908" w:type="dxa"/>
          </w:tcPr>
          <w:p w:rsidR="00B10424" w:rsidRPr="00152F5C" w:rsidRDefault="00B10424" w:rsidP="00556845">
            <w:pPr>
              <w:rPr>
                <w:rFonts w:ascii="Times New Roman" w:hAnsi="Times New Roman" w:cs="Times New Roman"/>
                <w:b/>
                <w:sz w:val="25"/>
                <w:szCs w:val="25"/>
              </w:rPr>
            </w:pPr>
            <w:r w:rsidRPr="00152F5C">
              <w:rPr>
                <w:rFonts w:ascii="Times New Roman" w:hAnsi="Times New Roman" w:cs="Times New Roman"/>
                <w:b/>
                <w:sz w:val="25"/>
                <w:szCs w:val="25"/>
              </w:rPr>
              <w:t>Swarr Upgrade</w:t>
            </w:r>
          </w:p>
        </w:tc>
        <w:tc>
          <w:tcPr>
            <w:tcW w:w="152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30</w:t>
            </w:r>
          </w:p>
        </w:tc>
        <w:tc>
          <w:tcPr>
            <w:tcW w:w="152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30</w:t>
            </w:r>
          </w:p>
        </w:tc>
        <w:tc>
          <w:tcPr>
            <w:tcW w:w="152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30</w:t>
            </w:r>
          </w:p>
        </w:tc>
        <w:tc>
          <w:tcPr>
            <w:tcW w:w="152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30</w:t>
            </w:r>
          </w:p>
        </w:tc>
      </w:tr>
      <w:tr w:rsidR="00980ECB" w:rsidRPr="00152F5C" w:rsidTr="00980ECB">
        <w:tc>
          <w:tcPr>
            <w:tcW w:w="2908" w:type="dxa"/>
          </w:tcPr>
          <w:p w:rsidR="00980ECB" w:rsidRPr="00152F5C" w:rsidRDefault="00980ECB" w:rsidP="00F86CA1">
            <w:pPr>
              <w:rPr>
                <w:rFonts w:ascii="Times New Roman" w:hAnsi="Times New Roman" w:cs="Times New Roman"/>
                <w:b/>
                <w:sz w:val="25"/>
                <w:szCs w:val="25"/>
              </w:rPr>
            </w:pPr>
            <w:r w:rsidRPr="00152F5C">
              <w:rPr>
                <w:rFonts w:ascii="Times New Roman" w:hAnsi="Times New Roman" w:cs="Times New Roman"/>
                <w:b/>
                <w:sz w:val="25"/>
                <w:szCs w:val="25"/>
              </w:rPr>
              <w:t>Westcoast/NWP Expansion</w:t>
            </w:r>
          </w:p>
        </w:tc>
        <w:tc>
          <w:tcPr>
            <w:tcW w:w="1520" w:type="dxa"/>
          </w:tcPr>
          <w:p w:rsidR="00980ECB" w:rsidRPr="00152F5C" w:rsidRDefault="00980ECB" w:rsidP="00F86CA1">
            <w:pPr>
              <w:jc w:val="center"/>
              <w:rPr>
                <w:rFonts w:ascii="Times New Roman" w:hAnsi="Times New Roman" w:cs="Times New Roman"/>
                <w:sz w:val="25"/>
                <w:szCs w:val="25"/>
              </w:rPr>
            </w:pPr>
            <w:r w:rsidRPr="00152F5C">
              <w:rPr>
                <w:rFonts w:ascii="Times New Roman" w:hAnsi="Times New Roman" w:cs="Times New Roman"/>
                <w:sz w:val="25"/>
                <w:szCs w:val="25"/>
              </w:rPr>
              <w:t>0</w:t>
            </w:r>
          </w:p>
        </w:tc>
        <w:tc>
          <w:tcPr>
            <w:tcW w:w="1521" w:type="dxa"/>
          </w:tcPr>
          <w:p w:rsidR="00980ECB" w:rsidRPr="00152F5C" w:rsidRDefault="00980ECB" w:rsidP="00F86CA1">
            <w:pPr>
              <w:jc w:val="center"/>
              <w:rPr>
                <w:rFonts w:ascii="Times New Roman" w:hAnsi="Times New Roman" w:cs="Times New Roman"/>
                <w:sz w:val="25"/>
                <w:szCs w:val="25"/>
              </w:rPr>
            </w:pPr>
            <w:r>
              <w:rPr>
                <w:rFonts w:ascii="Times New Roman" w:hAnsi="Times New Roman" w:cs="Times New Roman"/>
                <w:sz w:val="25"/>
                <w:szCs w:val="25"/>
              </w:rPr>
              <w:t>3</w:t>
            </w:r>
            <w:r w:rsidRPr="00152F5C">
              <w:rPr>
                <w:rFonts w:ascii="Times New Roman" w:hAnsi="Times New Roman" w:cs="Times New Roman"/>
                <w:sz w:val="25"/>
                <w:szCs w:val="25"/>
              </w:rPr>
              <w:t>4</w:t>
            </w:r>
          </w:p>
        </w:tc>
        <w:tc>
          <w:tcPr>
            <w:tcW w:w="1520" w:type="dxa"/>
          </w:tcPr>
          <w:p w:rsidR="00980ECB" w:rsidRPr="00152F5C" w:rsidRDefault="00980ECB" w:rsidP="00F86CA1">
            <w:pPr>
              <w:jc w:val="center"/>
              <w:rPr>
                <w:rFonts w:ascii="Times New Roman" w:hAnsi="Times New Roman" w:cs="Times New Roman"/>
                <w:sz w:val="25"/>
                <w:szCs w:val="25"/>
              </w:rPr>
            </w:pPr>
            <w:r>
              <w:rPr>
                <w:rFonts w:ascii="Times New Roman" w:hAnsi="Times New Roman" w:cs="Times New Roman"/>
                <w:sz w:val="25"/>
                <w:szCs w:val="25"/>
              </w:rPr>
              <w:t>49</w:t>
            </w:r>
          </w:p>
        </w:tc>
        <w:tc>
          <w:tcPr>
            <w:tcW w:w="1521" w:type="dxa"/>
          </w:tcPr>
          <w:p w:rsidR="00980ECB" w:rsidRPr="00152F5C" w:rsidRDefault="00980ECB" w:rsidP="00F86CA1">
            <w:pPr>
              <w:jc w:val="center"/>
              <w:rPr>
                <w:rFonts w:ascii="Times New Roman" w:hAnsi="Times New Roman" w:cs="Times New Roman"/>
                <w:sz w:val="25"/>
                <w:szCs w:val="25"/>
              </w:rPr>
            </w:pPr>
            <w:r>
              <w:rPr>
                <w:rFonts w:ascii="Times New Roman" w:hAnsi="Times New Roman" w:cs="Times New Roman"/>
                <w:sz w:val="25"/>
                <w:szCs w:val="25"/>
              </w:rPr>
              <w:t>102</w:t>
            </w:r>
          </w:p>
        </w:tc>
      </w:tr>
      <w:tr w:rsidR="00B10424" w:rsidRPr="00152F5C" w:rsidTr="00980ECB">
        <w:tc>
          <w:tcPr>
            <w:tcW w:w="2908" w:type="dxa"/>
          </w:tcPr>
          <w:p w:rsidR="00B10424" w:rsidRPr="00152F5C" w:rsidRDefault="00B10424" w:rsidP="00556845">
            <w:pPr>
              <w:rPr>
                <w:rFonts w:ascii="Times New Roman" w:hAnsi="Times New Roman" w:cs="Times New Roman"/>
                <w:b/>
                <w:sz w:val="25"/>
                <w:szCs w:val="25"/>
              </w:rPr>
            </w:pPr>
            <w:r w:rsidRPr="00152F5C">
              <w:rPr>
                <w:rFonts w:ascii="Times New Roman" w:hAnsi="Times New Roman" w:cs="Times New Roman"/>
                <w:b/>
                <w:sz w:val="25"/>
                <w:szCs w:val="25"/>
              </w:rPr>
              <w:t>Mist Storage Expansion</w:t>
            </w:r>
          </w:p>
        </w:tc>
        <w:tc>
          <w:tcPr>
            <w:tcW w:w="1520" w:type="dxa"/>
          </w:tcPr>
          <w:p w:rsidR="00B10424" w:rsidRPr="00152F5C" w:rsidRDefault="00980ECB" w:rsidP="00556845">
            <w:pPr>
              <w:jc w:val="center"/>
              <w:rPr>
                <w:rFonts w:ascii="Times New Roman" w:hAnsi="Times New Roman" w:cs="Times New Roman"/>
                <w:sz w:val="25"/>
                <w:szCs w:val="25"/>
              </w:rPr>
            </w:pPr>
            <w:r>
              <w:rPr>
                <w:rFonts w:ascii="Times New Roman" w:hAnsi="Times New Roman" w:cs="Times New Roman"/>
                <w:sz w:val="25"/>
                <w:szCs w:val="25"/>
              </w:rPr>
              <w:t>0</w:t>
            </w:r>
          </w:p>
        </w:tc>
        <w:tc>
          <w:tcPr>
            <w:tcW w:w="1521" w:type="dxa"/>
          </w:tcPr>
          <w:p w:rsidR="00B10424" w:rsidRPr="00152F5C" w:rsidRDefault="00980ECB" w:rsidP="00556845">
            <w:pPr>
              <w:jc w:val="center"/>
              <w:rPr>
                <w:rFonts w:ascii="Times New Roman" w:hAnsi="Times New Roman" w:cs="Times New Roman"/>
                <w:sz w:val="25"/>
                <w:szCs w:val="25"/>
              </w:rPr>
            </w:pPr>
            <w:r>
              <w:rPr>
                <w:rFonts w:ascii="Times New Roman" w:hAnsi="Times New Roman" w:cs="Times New Roman"/>
                <w:sz w:val="25"/>
                <w:szCs w:val="25"/>
              </w:rPr>
              <w:t>0</w:t>
            </w:r>
          </w:p>
        </w:tc>
        <w:tc>
          <w:tcPr>
            <w:tcW w:w="152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50</w:t>
            </w:r>
          </w:p>
        </w:tc>
        <w:tc>
          <w:tcPr>
            <w:tcW w:w="152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50</w:t>
            </w:r>
          </w:p>
        </w:tc>
      </w:tr>
      <w:tr w:rsidR="00B10424" w:rsidRPr="00152F5C" w:rsidTr="00980ECB">
        <w:tc>
          <w:tcPr>
            <w:tcW w:w="2908" w:type="dxa"/>
          </w:tcPr>
          <w:p w:rsidR="00B10424" w:rsidRPr="00152F5C" w:rsidRDefault="00980ECB" w:rsidP="00556845">
            <w:pPr>
              <w:rPr>
                <w:rFonts w:ascii="Times New Roman" w:hAnsi="Times New Roman" w:cs="Times New Roman"/>
                <w:b/>
                <w:sz w:val="25"/>
                <w:szCs w:val="25"/>
              </w:rPr>
            </w:pPr>
            <w:r>
              <w:rPr>
                <w:rFonts w:ascii="Times New Roman" w:hAnsi="Times New Roman" w:cs="Times New Roman"/>
                <w:b/>
                <w:sz w:val="25"/>
                <w:szCs w:val="25"/>
              </w:rPr>
              <w:t>Cross Cascades to AECO Expansion</w:t>
            </w:r>
          </w:p>
        </w:tc>
        <w:tc>
          <w:tcPr>
            <w:tcW w:w="1520" w:type="dxa"/>
          </w:tcPr>
          <w:p w:rsidR="00B10424" w:rsidRPr="00152F5C" w:rsidRDefault="00980ECB" w:rsidP="00556845">
            <w:pPr>
              <w:jc w:val="center"/>
              <w:rPr>
                <w:rFonts w:ascii="Times New Roman" w:hAnsi="Times New Roman" w:cs="Times New Roman"/>
                <w:sz w:val="25"/>
                <w:szCs w:val="25"/>
              </w:rPr>
            </w:pPr>
            <w:r>
              <w:rPr>
                <w:rFonts w:ascii="Times New Roman" w:hAnsi="Times New Roman" w:cs="Times New Roman"/>
                <w:sz w:val="25"/>
                <w:szCs w:val="25"/>
              </w:rPr>
              <w:t>0</w:t>
            </w:r>
          </w:p>
        </w:tc>
        <w:tc>
          <w:tcPr>
            <w:tcW w:w="1521" w:type="dxa"/>
          </w:tcPr>
          <w:p w:rsidR="00B10424" w:rsidRPr="00152F5C" w:rsidRDefault="00980ECB" w:rsidP="00556845">
            <w:pPr>
              <w:jc w:val="center"/>
              <w:rPr>
                <w:rFonts w:ascii="Times New Roman" w:hAnsi="Times New Roman" w:cs="Times New Roman"/>
                <w:sz w:val="25"/>
                <w:szCs w:val="25"/>
              </w:rPr>
            </w:pPr>
            <w:r>
              <w:rPr>
                <w:rFonts w:ascii="Times New Roman" w:hAnsi="Times New Roman" w:cs="Times New Roman"/>
                <w:sz w:val="25"/>
                <w:szCs w:val="25"/>
              </w:rPr>
              <w:t>0</w:t>
            </w:r>
          </w:p>
        </w:tc>
        <w:tc>
          <w:tcPr>
            <w:tcW w:w="1520" w:type="dxa"/>
          </w:tcPr>
          <w:p w:rsidR="00B10424" w:rsidRPr="00152F5C" w:rsidRDefault="00980ECB" w:rsidP="00556845">
            <w:pPr>
              <w:jc w:val="center"/>
              <w:rPr>
                <w:rFonts w:ascii="Times New Roman" w:hAnsi="Times New Roman" w:cs="Times New Roman"/>
                <w:sz w:val="25"/>
                <w:szCs w:val="25"/>
              </w:rPr>
            </w:pPr>
            <w:r>
              <w:rPr>
                <w:rFonts w:ascii="Times New Roman" w:hAnsi="Times New Roman" w:cs="Times New Roman"/>
                <w:sz w:val="25"/>
                <w:szCs w:val="25"/>
              </w:rPr>
              <w:t>10</w:t>
            </w:r>
          </w:p>
        </w:tc>
        <w:tc>
          <w:tcPr>
            <w:tcW w:w="1521" w:type="dxa"/>
          </w:tcPr>
          <w:p w:rsidR="00B10424" w:rsidRPr="00152F5C" w:rsidRDefault="00980ECB" w:rsidP="00556845">
            <w:pPr>
              <w:jc w:val="center"/>
              <w:rPr>
                <w:rFonts w:ascii="Times New Roman" w:hAnsi="Times New Roman" w:cs="Times New Roman"/>
                <w:sz w:val="25"/>
                <w:szCs w:val="25"/>
              </w:rPr>
            </w:pPr>
            <w:r>
              <w:rPr>
                <w:rFonts w:ascii="Times New Roman" w:hAnsi="Times New Roman" w:cs="Times New Roman"/>
                <w:sz w:val="25"/>
                <w:szCs w:val="25"/>
              </w:rPr>
              <w:t>10</w:t>
            </w:r>
          </w:p>
        </w:tc>
      </w:tr>
      <w:tr w:rsidR="00980ECB" w:rsidRPr="00152F5C" w:rsidTr="00980ECB">
        <w:tc>
          <w:tcPr>
            <w:tcW w:w="2908" w:type="dxa"/>
          </w:tcPr>
          <w:p w:rsidR="00980ECB" w:rsidRDefault="00980ECB" w:rsidP="00980ECB">
            <w:pPr>
              <w:rPr>
                <w:rFonts w:ascii="Times New Roman" w:hAnsi="Times New Roman" w:cs="Times New Roman"/>
                <w:b/>
                <w:sz w:val="25"/>
                <w:szCs w:val="25"/>
              </w:rPr>
            </w:pPr>
            <w:r>
              <w:rPr>
                <w:rFonts w:ascii="Times New Roman" w:hAnsi="Times New Roman" w:cs="Times New Roman"/>
                <w:b/>
                <w:sz w:val="25"/>
                <w:szCs w:val="25"/>
              </w:rPr>
              <w:t>Cross Cascades to Malin Expansion</w:t>
            </w:r>
          </w:p>
        </w:tc>
        <w:tc>
          <w:tcPr>
            <w:tcW w:w="1520" w:type="dxa"/>
          </w:tcPr>
          <w:p w:rsidR="00980ECB" w:rsidRDefault="00980ECB" w:rsidP="00556845">
            <w:pPr>
              <w:jc w:val="center"/>
              <w:rPr>
                <w:rFonts w:ascii="Times New Roman" w:hAnsi="Times New Roman" w:cs="Times New Roman"/>
                <w:sz w:val="25"/>
                <w:szCs w:val="25"/>
              </w:rPr>
            </w:pPr>
            <w:r>
              <w:rPr>
                <w:rFonts w:ascii="Times New Roman" w:hAnsi="Times New Roman" w:cs="Times New Roman"/>
                <w:sz w:val="25"/>
                <w:szCs w:val="25"/>
              </w:rPr>
              <w:t>0</w:t>
            </w:r>
          </w:p>
        </w:tc>
        <w:tc>
          <w:tcPr>
            <w:tcW w:w="1521" w:type="dxa"/>
          </w:tcPr>
          <w:p w:rsidR="00980ECB" w:rsidRDefault="00980ECB" w:rsidP="00556845">
            <w:pPr>
              <w:jc w:val="center"/>
              <w:rPr>
                <w:rFonts w:ascii="Times New Roman" w:hAnsi="Times New Roman" w:cs="Times New Roman"/>
                <w:sz w:val="25"/>
                <w:szCs w:val="25"/>
              </w:rPr>
            </w:pPr>
            <w:r>
              <w:rPr>
                <w:rFonts w:ascii="Times New Roman" w:hAnsi="Times New Roman" w:cs="Times New Roman"/>
                <w:sz w:val="25"/>
                <w:szCs w:val="25"/>
              </w:rPr>
              <w:t>0</w:t>
            </w:r>
          </w:p>
        </w:tc>
        <w:tc>
          <w:tcPr>
            <w:tcW w:w="1520" w:type="dxa"/>
          </w:tcPr>
          <w:p w:rsidR="00980ECB" w:rsidRDefault="00980ECB" w:rsidP="00556845">
            <w:pPr>
              <w:jc w:val="center"/>
              <w:rPr>
                <w:rFonts w:ascii="Times New Roman" w:hAnsi="Times New Roman" w:cs="Times New Roman"/>
                <w:sz w:val="25"/>
                <w:szCs w:val="25"/>
              </w:rPr>
            </w:pPr>
            <w:r>
              <w:rPr>
                <w:rFonts w:ascii="Times New Roman" w:hAnsi="Times New Roman" w:cs="Times New Roman"/>
                <w:sz w:val="25"/>
                <w:szCs w:val="25"/>
              </w:rPr>
              <w:t>0</w:t>
            </w:r>
          </w:p>
        </w:tc>
        <w:tc>
          <w:tcPr>
            <w:tcW w:w="1521" w:type="dxa"/>
          </w:tcPr>
          <w:p w:rsidR="00980ECB" w:rsidRDefault="00980ECB" w:rsidP="00556845">
            <w:pPr>
              <w:jc w:val="center"/>
              <w:rPr>
                <w:rFonts w:ascii="Times New Roman" w:hAnsi="Times New Roman" w:cs="Times New Roman"/>
                <w:sz w:val="25"/>
                <w:szCs w:val="25"/>
              </w:rPr>
            </w:pPr>
            <w:r>
              <w:rPr>
                <w:rFonts w:ascii="Times New Roman" w:hAnsi="Times New Roman" w:cs="Times New Roman"/>
                <w:sz w:val="25"/>
                <w:szCs w:val="25"/>
              </w:rPr>
              <w:t>99</w:t>
            </w:r>
          </w:p>
        </w:tc>
      </w:tr>
    </w:tbl>
    <w:p w:rsidR="002C6FD0" w:rsidRPr="00152F5C" w:rsidRDefault="002C6FD0" w:rsidP="00F3297B">
      <w:pPr>
        <w:rPr>
          <w:rFonts w:ascii="Times New Roman" w:hAnsi="Times New Roman" w:cs="Times New Roman"/>
          <w:sz w:val="25"/>
          <w:szCs w:val="25"/>
        </w:rPr>
      </w:pPr>
    </w:p>
    <w:p w:rsidR="009E5B7D" w:rsidRDefault="008916C0" w:rsidP="008916C0">
      <w:pPr>
        <w:spacing w:line="264" w:lineRule="auto"/>
        <w:rPr>
          <w:rFonts w:ascii="Times New Roman" w:hAnsi="Times New Roman" w:cs="Times New Roman"/>
          <w:sz w:val="25"/>
          <w:szCs w:val="25"/>
        </w:rPr>
      </w:pPr>
      <w:r w:rsidRPr="008916C0">
        <w:rPr>
          <w:rFonts w:ascii="Times New Roman" w:hAnsi="Times New Roman" w:cs="Times New Roman"/>
          <w:sz w:val="25"/>
          <w:szCs w:val="25"/>
        </w:rPr>
        <w:t>Historically, the Sumas hub at the Canadian border has been a liquid market with excess pipeline capacity</w:t>
      </w:r>
      <w:r w:rsidR="009E3BB2">
        <w:rPr>
          <w:rFonts w:ascii="Times New Roman" w:hAnsi="Times New Roman" w:cs="Times New Roman"/>
          <w:sz w:val="25"/>
          <w:szCs w:val="25"/>
        </w:rPr>
        <w:t xml:space="preserve"> from the production fields to the north</w:t>
      </w:r>
      <w:r w:rsidRPr="008916C0">
        <w:rPr>
          <w:rFonts w:ascii="Times New Roman" w:hAnsi="Times New Roman" w:cs="Times New Roman"/>
          <w:sz w:val="25"/>
          <w:szCs w:val="25"/>
        </w:rPr>
        <w:t>, so PSE acquires firm pipeline capa</w:t>
      </w:r>
      <w:r w:rsidR="00FF34F0">
        <w:rPr>
          <w:rFonts w:ascii="Times New Roman" w:hAnsi="Times New Roman" w:cs="Times New Roman"/>
          <w:sz w:val="25"/>
          <w:szCs w:val="25"/>
        </w:rPr>
        <w:t>city on the Westcoast pipeline</w:t>
      </w:r>
      <w:r w:rsidRPr="008916C0">
        <w:rPr>
          <w:rFonts w:ascii="Times New Roman" w:hAnsi="Times New Roman" w:cs="Times New Roman"/>
          <w:sz w:val="25"/>
          <w:szCs w:val="25"/>
        </w:rPr>
        <w:t xml:space="preserve"> to meet half of its need at Sumas.</w:t>
      </w:r>
      <w:r w:rsidRPr="008916C0">
        <w:rPr>
          <w:rFonts w:ascii="Times New Roman" w:hAnsi="Times New Roman" w:cs="Times New Roman"/>
          <w:sz w:val="25"/>
          <w:szCs w:val="25"/>
          <w:vertAlign w:val="superscript"/>
        </w:rPr>
        <w:footnoteReference w:id="31"/>
      </w:r>
      <w:r w:rsidRPr="008916C0">
        <w:rPr>
          <w:rFonts w:ascii="Times New Roman" w:hAnsi="Times New Roman" w:cs="Times New Roman"/>
          <w:sz w:val="25"/>
          <w:szCs w:val="25"/>
        </w:rPr>
        <w:t xml:space="preserve"> In </w:t>
      </w:r>
      <w:r w:rsidR="008A458B">
        <w:rPr>
          <w:rFonts w:ascii="Times New Roman" w:hAnsi="Times New Roman" w:cs="Times New Roman"/>
          <w:sz w:val="25"/>
          <w:szCs w:val="25"/>
        </w:rPr>
        <w:t>the 2015</w:t>
      </w:r>
      <w:r w:rsidR="008B72AF">
        <w:rPr>
          <w:rFonts w:ascii="Times New Roman" w:hAnsi="Times New Roman" w:cs="Times New Roman"/>
          <w:sz w:val="25"/>
          <w:szCs w:val="25"/>
        </w:rPr>
        <w:t xml:space="preserve"> </w:t>
      </w:r>
      <w:r w:rsidR="00304AC3">
        <w:rPr>
          <w:rFonts w:ascii="Times New Roman" w:hAnsi="Times New Roman" w:cs="Times New Roman"/>
          <w:sz w:val="25"/>
          <w:szCs w:val="25"/>
        </w:rPr>
        <w:t>IRP</w:t>
      </w:r>
      <w:r w:rsidRPr="008916C0">
        <w:rPr>
          <w:rFonts w:ascii="Times New Roman" w:hAnsi="Times New Roman" w:cs="Times New Roman"/>
          <w:sz w:val="25"/>
          <w:szCs w:val="25"/>
        </w:rPr>
        <w:t>, PSE claims that it “cannot rely on spot market supplies at Sumas to meet our peak loads.”</w:t>
      </w:r>
      <w:r w:rsidRPr="008916C0">
        <w:rPr>
          <w:rFonts w:ascii="Times New Roman" w:hAnsi="Times New Roman" w:cs="Times New Roman"/>
          <w:sz w:val="25"/>
          <w:szCs w:val="25"/>
          <w:vertAlign w:val="superscript"/>
        </w:rPr>
        <w:footnoteReference w:id="32"/>
      </w:r>
      <w:r w:rsidRPr="008916C0">
        <w:rPr>
          <w:rFonts w:ascii="Times New Roman" w:hAnsi="Times New Roman" w:cs="Times New Roman"/>
          <w:sz w:val="25"/>
          <w:szCs w:val="25"/>
        </w:rPr>
        <w:t xml:space="preserve"> There is no analysis in the IRP to support this conclusion, though PSE’s </w:t>
      </w:r>
      <w:r w:rsidR="009E5B7D">
        <w:rPr>
          <w:rFonts w:ascii="Times New Roman" w:hAnsi="Times New Roman" w:cs="Times New Roman"/>
          <w:sz w:val="25"/>
          <w:szCs w:val="25"/>
        </w:rPr>
        <w:t xml:space="preserve">presentations show that </w:t>
      </w:r>
      <w:r w:rsidRPr="008916C0">
        <w:rPr>
          <w:rFonts w:ascii="Times New Roman" w:hAnsi="Times New Roman" w:cs="Times New Roman"/>
          <w:sz w:val="25"/>
          <w:szCs w:val="25"/>
        </w:rPr>
        <w:t xml:space="preserve">that Westcoast has </w:t>
      </w:r>
      <w:r w:rsidR="00FF34F0">
        <w:rPr>
          <w:rFonts w:ascii="Times New Roman" w:hAnsi="Times New Roman" w:cs="Times New Roman"/>
          <w:sz w:val="25"/>
          <w:szCs w:val="25"/>
        </w:rPr>
        <w:t>limited</w:t>
      </w:r>
      <w:r w:rsidRPr="008916C0">
        <w:rPr>
          <w:rFonts w:ascii="Times New Roman" w:hAnsi="Times New Roman" w:cs="Times New Roman"/>
          <w:sz w:val="25"/>
          <w:szCs w:val="25"/>
        </w:rPr>
        <w:t xml:space="preserve"> winter capacity av</w:t>
      </w:r>
      <w:r w:rsidR="00827917">
        <w:rPr>
          <w:rFonts w:ascii="Times New Roman" w:hAnsi="Times New Roman" w:cs="Times New Roman"/>
          <w:sz w:val="25"/>
          <w:szCs w:val="25"/>
        </w:rPr>
        <w:t>ailable.</w:t>
      </w:r>
    </w:p>
    <w:p w:rsidR="009E5B7D" w:rsidRDefault="009E5B7D" w:rsidP="008916C0">
      <w:pPr>
        <w:spacing w:line="264" w:lineRule="auto"/>
        <w:rPr>
          <w:rFonts w:ascii="Times New Roman" w:hAnsi="Times New Roman" w:cs="Times New Roman"/>
          <w:sz w:val="25"/>
          <w:szCs w:val="25"/>
        </w:rPr>
      </w:pPr>
    </w:p>
    <w:p w:rsidR="008916C0" w:rsidRPr="00DC6168" w:rsidRDefault="00DC40EA" w:rsidP="009E5B7D">
      <w:pPr>
        <w:pStyle w:val="ListParagraph"/>
        <w:numPr>
          <w:ilvl w:val="0"/>
          <w:numId w:val="21"/>
        </w:numPr>
        <w:spacing w:line="264" w:lineRule="auto"/>
        <w:rPr>
          <w:rFonts w:ascii="Times New Roman" w:hAnsi="Times New Roman" w:cs="Times New Roman"/>
          <w:sz w:val="25"/>
          <w:szCs w:val="25"/>
        </w:rPr>
      </w:pPr>
      <w:r>
        <w:rPr>
          <w:rFonts w:ascii="Times New Roman" w:hAnsi="Times New Roman" w:cs="Times New Roman"/>
          <w:sz w:val="25"/>
          <w:szCs w:val="25"/>
        </w:rPr>
        <w:t xml:space="preserve">PSE’s 2015 </w:t>
      </w:r>
      <w:r w:rsidR="009E5B7D">
        <w:rPr>
          <w:rFonts w:ascii="Times New Roman" w:hAnsi="Times New Roman" w:cs="Times New Roman"/>
          <w:sz w:val="25"/>
          <w:szCs w:val="25"/>
        </w:rPr>
        <w:t>IRP does not contain sufficient information to allow the Commission evaluate the availability of pipeline capacity</w:t>
      </w:r>
      <w:r w:rsidR="00D70201">
        <w:rPr>
          <w:rFonts w:ascii="Times New Roman" w:hAnsi="Times New Roman" w:cs="Times New Roman"/>
          <w:sz w:val="25"/>
          <w:szCs w:val="25"/>
        </w:rPr>
        <w:t xml:space="preserve"> on Westcoast</w:t>
      </w:r>
      <w:r w:rsidR="008916C0" w:rsidRPr="009E5B7D">
        <w:rPr>
          <w:rFonts w:ascii="Times New Roman" w:hAnsi="Times New Roman" w:cs="Times New Roman"/>
          <w:sz w:val="25"/>
          <w:szCs w:val="25"/>
        </w:rPr>
        <w:t>.</w:t>
      </w:r>
      <w:r>
        <w:rPr>
          <w:rFonts w:ascii="Times New Roman" w:hAnsi="Times New Roman" w:cs="Times New Roman"/>
          <w:sz w:val="25"/>
          <w:szCs w:val="25"/>
        </w:rPr>
        <w:t xml:space="preserve"> </w:t>
      </w:r>
      <w:r w:rsidR="00DC6168">
        <w:rPr>
          <w:rFonts w:ascii="Times New Roman" w:hAnsi="Times New Roman" w:cs="Times New Roman"/>
          <w:sz w:val="25"/>
          <w:szCs w:val="25"/>
        </w:rPr>
        <w:t xml:space="preserve">In the next IRP cycle, PSE should revisit the availability of pipeline capacity and utilization </w:t>
      </w:r>
      <w:r w:rsidRPr="00DC6168">
        <w:rPr>
          <w:rFonts w:ascii="Times New Roman" w:hAnsi="Times New Roman" w:cs="Times New Roman"/>
          <w:sz w:val="25"/>
          <w:szCs w:val="25"/>
        </w:rPr>
        <w:t xml:space="preserve">with </w:t>
      </w:r>
      <w:r w:rsidR="009F73DB">
        <w:rPr>
          <w:rFonts w:ascii="Times New Roman" w:hAnsi="Times New Roman" w:cs="Times New Roman"/>
          <w:sz w:val="25"/>
          <w:szCs w:val="25"/>
        </w:rPr>
        <w:t>the</w:t>
      </w:r>
      <w:r w:rsidR="00DC6168">
        <w:rPr>
          <w:rFonts w:ascii="Times New Roman" w:hAnsi="Times New Roman" w:cs="Times New Roman"/>
          <w:sz w:val="25"/>
          <w:szCs w:val="25"/>
        </w:rPr>
        <w:t xml:space="preserve"> </w:t>
      </w:r>
      <w:r w:rsidRPr="00DC6168">
        <w:rPr>
          <w:rFonts w:ascii="Times New Roman" w:hAnsi="Times New Roman" w:cs="Times New Roman"/>
          <w:sz w:val="25"/>
          <w:szCs w:val="25"/>
        </w:rPr>
        <w:t>advisory group</w:t>
      </w:r>
      <w:r w:rsidR="00DC6168">
        <w:rPr>
          <w:rFonts w:ascii="Times New Roman" w:hAnsi="Times New Roman" w:cs="Times New Roman"/>
          <w:sz w:val="25"/>
          <w:szCs w:val="25"/>
        </w:rPr>
        <w:t>. In every IRP, PSE must include documentation and analysis to support any significant changes to its plan</w:t>
      </w:r>
      <w:r w:rsidRPr="00DC6168">
        <w:rPr>
          <w:rFonts w:ascii="Times New Roman" w:hAnsi="Times New Roman" w:cs="Times New Roman"/>
          <w:sz w:val="25"/>
          <w:szCs w:val="25"/>
        </w:rPr>
        <w:t>.</w:t>
      </w:r>
    </w:p>
    <w:p w:rsidR="00AB5BDE" w:rsidRPr="00152F5C" w:rsidRDefault="00AB5BDE" w:rsidP="00895DF8">
      <w:pPr>
        <w:spacing w:line="264" w:lineRule="auto"/>
        <w:rPr>
          <w:rFonts w:ascii="Times New Roman" w:hAnsi="Times New Roman" w:cs="Times New Roman"/>
          <w:sz w:val="25"/>
          <w:szCs w:val="25"/>
        </w:rPr>
      </w:pPr>
    </w:p>
    <w:p w:rsidR="00B451BD" w:rsidRPr="00152F5C" w:rsidRDefault="00B451BD" w:rsidP="00BC5DE2">
      <w:pPr>
        <w:pStyle w:val="ListParagraph"/>
        <w:numPr>
          <w:ilvl w:val="0"/>
          <w:numId w:val="13"/>
        </w:numPr>
        <w:spacing w:line="264" w:lineRule="auto"/>
        <w:rPr>
          <w:rFonts w:ascii="Times New Roman" w:hAnsi="Times New Roman" w:cs="Times New Roman"/>
          <w:sz w:val="25"/>
          <w:szCs w:val="25"/>
          <w:u w:val="single"/>
        </w:rPr>
      </w:pPr>
      <w:r w:rsidRPr="00152F5C">
        <w:rPr>
          <w:rFonts w:ascii="Times New Roman" w:hAnsi="Times New Roman" w:cs="Times New Roman"/>
          <w:b/>
          <w:sz w:val="25"/>
          <w:szCs w:val="25"/>
          <w:u w:val="single"/>
        </w:rPr>
        <w:t>Conclusion</w:t>
      </w:r>
    </w:p>
    <w:p w:rsidR="00883D5B" w:rsidRDefault="00883D5B" w:rsidP="00895DF8">
      <w:pPr>
        <w:spacing w:line="264" w:lineRule="auto"/>
        <w:rPr>
          <w:rFonts w:ascii="Times New Roman" w:hAnsi="Times New Roman" w:cs="Times New Roman"/>
          <w:sz w:val="25"/>
          <w:szCs w:val="25"/>
        </w:rPr>
      </w:pPr>
    </w:p>
    <w:p w:rsidR="004427D2" w:rsidRPr="00152F5C" w:rsidRDefault="00B451BD">
      <w:pPr>
        <w:spacing w:line="264" w:lineRule="auto"/>
        <w:rPr>
          <w:rFonts w:ascii="Times New Roman" w:hAnsi="Times New Roman" w:cs="Times New Roman"/>
          <w:sz w:val="25"/>
          <w:szCs w:val="25"/>
        </w:rPr>
      </w:pPr>
      <w:r w:rsidRPr="00152F5C">
        <w:rPr>
          <w:rFonts w:ascii="Times New Roman" w:hAnsi="Times New Roman" w:cs="Times New Roman"/>
          <w:sz w:val="25"/>
          <w:szCs w:val="25"/>
        </w:rPr>
        <w:t>The Commission acknowledges that Puget Sound Energy’s 201</w:t>
      </w:r>
      <w:r w:rsidR="00221711">
        <w:rPr>
          <w:rFonts w:ascii="Times New Roman" w:hAnsi="Times New Roman" w:cs="Times New Roman"/>
          <w:sz w:val="25"/>
          <w:szCs w:val="25"/>
        </w:rPr>
        <w:t>5</w:t>
      </w:r>
      <w:r w:rsidRPr="00152F5C">
        <w:rPr>
          <w:rFonts w:ascii="Times New Roman" w:hAnsi="Times New Roman" w:cs="Times New Roman"/>
          <w:sz w:val="25"/>
          <w:szCs w:val="25"/>
        </w:rPr>
        <w:t xml:space="preserve"> Electric and Natural Gas Integrated Resource </w:t>
      </w:r>
      <w:r w:rsidR="00170633" w:rsidRPr="00152F5C">
        <w:rPr>
          <w:rFonts w:ascii="Times New Roman" w:hAnsi="Times New Roman" w:cs="Times New Roman"/>
          <w:sz w:val="25"/>
          <w:szCs w:val="25"/>
        </w:rPr>
        <w:t>Plan</w:t>
      </w:r>
      <w:r w:rsidRPr="00152F5C">
        <w:rPr>
          <w:rFonts w:ascii="Times New Roman" w:hAnsi="Times New Roman" w:cs="Times New Roman"/>
          <w:sz w:val="25"/>
          <w:szCs w:val="25"/>
        </w:rPr>
        <w:t xml:space="preserve"> complies with WAC 480-100-238 and WAC 480-90-238.</w:t>
      </w:r>
      <w:r w:rsidR="00AB356B" w:rsidRPr="00152F5C">
        <w:rPr>
          <w:rFonts w:ascii="Times New Roman" w:hAnsi="Times New Roman" w:cs="Times New Roman"/>
          <w:sz w:val="25"/>
          <w:szCs w:val="25"/>
        </w:rPr>
        <w:t xml:space="preserve">  </w:t>
      </w:r>
      <w:r w:rsidR="00955AD8" w:rsidRPr="00955AD8">
        <w:rPr>
          <w:rFonts w:ascii="Times New Roman" w:hAnsi="Times New Roman" w:cs="Times New Roman"/>
          <w:sz w:val="25"/>
          <w:szCs w:val="25"/>
        </w:rPr>
        <w:t xml:space="preserve">PSE should not rely on </w:t>
      </w:r>
      <w:r w:rsidR="00955AD8">
        <w:rPr>
          <w:rFonts w:ascii="Times New Roman" w:hAnsi="Times New Roman" w:cs="Times New Roman"/>
          <w:sz w:val="25"/>
          <w:szCs w:val="25"/>
        </w:rPr>
        <w:t xml:space="preserve">its proposed planning margin </w:t>
      </w:r>
      <w:r w:rsidR="00955AD8" w:rsidRPr="00955AD8">
        <w:rPr>
          <w:rFonts w:ascii="Times New Roman" w:hAnsi="Times New Roman" w:cs="Times New Roman"/>
          <w:sz w:val="25"/>
          <w:szCs w:val="25"/>
        </w:rPr>
        <w:t>as justification for procuring a new resource at this time.</w:t>
      </w:r>
      <w:r w:rsidR="00955AD8">
        <w:rPr>
          <w:rFonts w:ascii="Times New Roman" w:hAnsi="Times New Roman" w:cs="Times New Roman"/>
          <w:sz w:val="25"/>
          <w:szCs w:val="25"/>
        </w:rPr>
        <w:t xml:space="preserve"> Further, t</w:t>
      </w:r>
      <w:r w:rsidR="009F73DB">
        <w:rPr>
          <w:rFonts w:ascii="Times New Roman" w:hAnsi="Times New Roman" w:cs="Times New Roman"/>
          <w:sz w:val="25"/>
          <w:szCs w:val="25"/>
        </w:rPr>
        <w:t xml:space="preserve">he Commission recommends that PSE </w:t>
      </w:r>
      <w:r w:rsidR="00955AD8">
        <w:rPr>
          <w:rFonts w:ascii="Times New Roman" w:hAnsi="Times New Roman" w:cs="Times New Roman"/>
          <w:sz w:val="25"/>
          <w:szCs w:val="25"/>
        </w:rPr>
        <w:t>employ</w:t>
      </w:r>
      <w:r w:rsidR="009F73DB">
        <w:rPr>
          <w:rFonts w:ascii="Times New Roman" w:hAnsi="Times New Roman" w:cs="Times New Roman"/>
          <w:sz w:val="25"/>
          <w:szCs w:val="25"/>
        </w:rPr>
        <w:t xml:space="preserve"> models for use in all future IRPs that fully account for capital investments in thermal plants</w:t>
      </w:r>
      <w:r w:rsidR="00955AD8">
        <w:rPr>
          <w:rFonts w:ascii="Times New Roman" w:hAnsi="Times New Roman" w:cs="Times New Roman"/>
          <w:sz w:val="25"/>
          <w:szCs w:val="25"/>
        </w:rPr>
        <w:t xml:space="preserve"> and</w:t>
      </w:r>
      <w:r w:rsidR="009F73DB">
        <w:rPr>
          <w:rFonts w:ascii="Times New Roman" w:hAnsi="Times New Roman" w:cs="Times New Roman"/>
          <w:sz w:val="25"/>
          <w:szCs w:val="25"/>
        </w:rPr>
        <w:t xml:space="preserve"> system flexibility</w:t>
      </w:r>
      <w:r w:rsidR="00F34EE8" w:rsidRPr="00152F5C">
        <w:rPr>
          <w:rFonts w:ascii="Times New Roman" w:hAnsi="Times New Roman" w:cs="Times New Roman"/>
          <w:sz w:val="25"/>
          <w:szCs w:val="25"/>
        </w:rPr>
        <w:t xml:space="preserve">. The Commission expects PSE to follow the recommendations outlined in this letter as it develops </w:t>
      </w:r>
      <w:r w:rsidR="00955AD8">
        <w:rPr>
          <w:rFonts w:ascii="Times New Roman" w:hAnsi="Times New Roman" w:cs="Times New Roman"/>
          <w:sz w:val="25"/>
          <w:szCs w:val="25"/>
        </w:rPr>
        <w:t>future</w:t>
      </w:r>
      <w:r w:rsidR="00F34EE8" w:rsidRPr="00152F5C">
        <w:rPr>
          <w:rFonts w:ascii="Times New Roman" w:hAnsi="Times New Roman" w:cs="Times New Roman"/>
          <w:sz w:val="25"/>
          <w:szCs w:val="25"/>
        </w:rPr>
        <w:t xml:space="preserve"> IRP</w:t>
      </w:r>
      <w:r w:rsidR="00955AD8">
        <w:rPr>
          <w:rFonts w:ascii="Times New Roman" w:hAnsi="Times New Roman" w:cs="Times New Roman"/>
          <w:sz w:val="25"/>
          <w:szCs w:val="25"/>
        </w:rPr>
        <w:t>s</w:t>
      </w:r>
      <w:r w:rsidR="00F34EE8" w:rsidRPr="00152F5C">
        <w:rPr>
          <w:rFonts w:ascii="Times New Roman" w:hAnsi="Times New Roman" w:cs="Times New Roman"/>
          <w:sz w:val="25"/>
          <w:szCs w:val="25"/>
        </w:rPr>
        <w:t>.</w:t>
      </w:r>
    </w:p>
    <w:sectPr w:rsidR="004427D2" w:rsidRPr="00152F5C" w:rsidSect="00152F5C">
      <w:footerReference w:type="default" r:id="rId12"/>
      <w:footerReference w:type="first" r:id="rId13"/>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AA2" w:rsidRDefault="00AA6AA2" w:rsidP="00173E8B">
      <w:r>
        <w:separator/>
      </w:r>
    </w:p>
  </w:endnote>
  <w:endnote w:type="continuationSeparator" w:id="0">
    <w:p w:rsidR="00AA6AA2" w:rsidRDefault="00AA6AA2" w:rsidP="0017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640048"/>
      <w:docPartObj>
        <w:docPartGallery w:val="Page Numbers (Bottom of Page)"/>
        <w:docPartUnique/>
      </w:docPartObj>
    </w:sdtPr>
    <w:sdtEndPr>
      <w:rPr>
        <w:rFonts w:ascii="Times New Roman" w:hAnsi="Times New Roman" w:cs="Times New Roman"/>
        <w:noProof/>
      </w:rPr>
    </w:sdtEndPr>
    <w:sdtContent>
      <w:p w:rsidR="00F86CA1" w:rsidRPr="00E94EA1" w:rsidRDefault="00F86CA1">
        <w:pPr>
          <w:pStyle w:val="Footer"/>
          <w:jc w:val="center"/>
          <w:rPr>
            <w:rFonts w:ascii="Times New Roman" w:hAnsi="Times New Roman" w:cs="Times New Roman"/>
          </w:rPr>
        </w:pPr>
        <w:r w:rsidRPr="00E94EA1">
          <w:rPr>
            <w:rFonts w:ascii="Times New Roman" w:hAnsi="Times New Roman" w:cs="Times New Roman"/>
          </w:rPr>
          <w:fldChar w:fldCharType="begin"/>
        </w:r>
        <w:r w:rsidRPr="00E94EA1">
          <w:rPr>
            <w:rFonts w:ascii="Times New Roman" w:hAnsi="Times New Roman" w:cs="Times New Roman"/>
          </w:rPr>
          <w:instrText xml:space="preserve"> PAGE   \* MERGEFORMAT </w:instrText>
        </w:r>
        <w:r w:rsidRPr="00E94EA1">
          <w:rPr>
            <w:rFonts w:ascii="Times New Roman" w:hAnsi="Times New Roman" w:cs="Times New Roman"/>
          </w:rPr>
          <w:fldChar w:fldCharType="separate"/>
        </w:r>
        <w:r w:rsidR="00CF068B">
          <w:rPr>
            <w:rFonts w:ascii="Times New Roman" w:hAnsi="Times New Roman" w:cs="Times New Roman"/>
            <w:noProof/>
          </w:rPr>
          <w:t>15</w:t>
        </w:r>
        <w:r w:rsidRPr="00E94EA1">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09748"/>
      <w:docPartObj>
        <w:docPartGallery w:val="Page Numbers (Bottom of Page)"/>
        <w:docPartUnique/>
      </w:docPartObj>
    </w:sdtPr>
    <w:sdtEndPr>
      <w:rPr>
        <w:rFonts w:ascii="Times New Roman" w:hAnsi="Times New Roman" w:cs="Times New Roman"/>
        <w:noProof/>
      </w:rPr>
    </w:sdtEndPr>
    <w:sdtContent>
      <w:p w:rsidR="00F86CA1" w:rsidRPr="00556845" w:rsidRDefault="00F86CA1">
        <w:pPr>
          <w:pStyle w:val="Footer"/>
          <w:jc w:val="center"/>
          <w:rPr>
            <w:rFonts w:ascii="Times New Roman" w:hAnsi="Times New Roman" w:cs="Times New Roman"/>
          </w:rPr>
        </w:pPr>
        <w:r w:rsidRPr="00556845">
          <w:rPr>
            <w:rFonts w:ascii="Times New Roman" w:hAnsi="Times New Roman" w:cs="Times New Roman"/>
          </w:rPr>
          <w:fldChar w:fldCharType="begin"/>
        </w:r>
        <w:r w:rsidRPr="00556845">
          <w:rPr>
            <w:rFonts w:ascii="Times New Roman" w:hAnsi="Times New Roman" w:cs="Times New Roman"/>
          </w:rPr>
          <w:instrText xml:space="preserve"> PAGE   \* MERGEFORMAT </w:instrText>
        </w:r>
        <w:r w:rsidRPr="00556845">
          <w:rPr>
            <w:rFonts w:ascii="Times New Roman" w:hAnsi="Times New Roman" w:cs="Times New Roman"/>
          </w:rPr>
          <w:fldChar w:fldCharType="separate"/>
        </w:r>
        <w:r w:rsidR="00CF068B">
          <w:rPr>
            <w:rFonts w:ascii="Times New Roman" w:hAnsi="Times New Roman" w:cs="Times New Roman"/>
            <w:noProof/>
          </w:rPr>
          <w:t>1</w:t>
        </w:r>
        <w:r w:rsidRPr="00556845">
          <w:rPr>
            <w:rFonts w:ascii="Times New Roman" w:hAnsi="Times New Roman" w:cs="Times New Roman"/>
            <w:noProof/>
          </w:rPr>
          <w:fldChar w:fldCharType="end"/>
        </w:r>
      </w:p>
    </w:sdtContent>
  </w:sdt>
  <w:p w:rsidR="00F86CA1" w:rsidRDefault="00F86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AA2" w:rsidRDefault="00AA6AA2" w:rsidP="00173E8B">
      <w:r>
        <w:separator/>
      </w:r>
    </w:p>
  </w:footnote>
  <w:footnote w:type="continuationSeparator" w:id="0">
    <w:p w:rsidR="00AA6AA2" w:rsidRDefault="00AA6AA2" w:rsidP="00173E8B">
      <w:r>
        <w:continuationSeparator/>
      </w:r>
    </w:p>
  </w:footnote>
  <w:footnote w:id="1">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Econometric models (also called regression models) are statistical models that analyze the relationship among a wide range of inputs (such as weather, economic conditions, employment rates, etc.) and how they interact to affect a given output (such as electricity or gas consumption). </w:t>
      </w:r>
    </w:p>
  </w:footnote>
  <w:footnote w:id="2">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PSE 2015 Integrated Resource Plan, page 1-17, figure 1-7.</w:t>
      </w:r>
    </w:p>
  </w:footnote>
  <w:footnote w:id="3">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This is the same metric used by the Northwest Power and Conservation Council in its annual regional resource adequacy evaluation.</w:t>
      </w:r>
    </w:p>
  </w:footnote>
  <w:footnote w:id="4">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PSE 2015 IRP, page 2-3 (Figure 2-1) shows that under the previous planning standard, PSE would be 150 MW long on capacity in 2021. </w:t>
      </w:r>
      <w:r w:rsidRPr="00CA5687">
        <w:rPr>
          <w:rFonts w:ascii="Times New Roman" w:hAnsi="Times New Roman" w:cs="Times New Roman"/>
          <w:i/>
        </w:rPr>
        <w:t>Id</w:t>
      </w:r>
      <w:r w:rsidRPr="00CA5687">
        <w:rPr>
          <w:rFonts w:ascii="Times New Roman" w:hAnsi="Times New Roman" w:cs="Times New Roman"/>
        </w:rPr>
        <w:t xml:space="preserve">., page 1-14 (Figure 1-4) shows the </w:t>
      </w:r>
      <w:r w:rsidR="00552ACB">
        <w:rPr>
          <w:rFonts w:ascii="Times New Roman" w:hAnsi="Times New Roman" w:cs="Times New Roman"/>
        </w:rPr>
        <w:t>C</w:t>
      </w:r>
      <w:r w:rsidRPr="00CA5687">
        <w:rPr>
          <w:rFonts w:ascii="Times New Roman" w:hAnsi="Times New Roman" w:cs="Times New Roman"/>
        </w:rPr>
        <w:t>ompany needing 275 MW in 2021.</w:t>
      </w:r>
    </w:p>
  </w:footnote>
  <w:footnote w:id="5">
    <w:p w:rsidR="00552ACB" w:rsidRPr="00CA5687" w:rsidRDefault="00552ACB" w:rsidP="00552ACB">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PSE 2015 IRP, page 2-2.</w:t>
      </w:r>
    </w:p>
  </w:footnote>
  <w:footnote w:id="6">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In contrast, the Company experiences many outages each year due to distribution system impacts.</w:t>
      </w:r>
    </w:p>
  </w:footnote>
  <w:footnote w:id="7">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w:t>
      </w:r>
      <w:r w:rsidRPr="00CA5687">
        <w:rPr>
          <w:rFonts w:ascii="Times New Roman" w:hAnsi="Times New Roman" w:cs="Times New Roman"/>
          <w:i/>
        </w:rPr>
        <w:t xml:space="preserve">Id., </w:t>
      </w:r>
      <w:r w:rsidRPr="00CA5687">
        <w:rPr>
          <w:rFonts w:ascii="Times New Roman" w:hAnsi="Times New Roman" w:cs="Times New Roman"/>
        </w:rPr>
        <w:t>pages 6-12 and 6-13.</w:t>
      </w:r>
    </w:p>
  </w:footnote>
  <w:footnote w:id="8">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w:t>
      </w:r>
      <w:r w:rsidRPr="00CA5687">
        <w:rPr>
          <w:rFonts w:ascii="Times New Roman" w:hAnsi="Times New Roman" w:cs="Times New Roman"/>
          <w:i/>
        </w:rPr>
        <w:t xml:space="preserve">Id., </w:t>
      </w:r>
      <w:r w:rsidRPr="00CA5687">
        <w:rPr>
          <w:rFonts w:ascii="Times New Roman" w:hAnsi="Times New Roman" w:cs="Times New Roman"/>
        </w:rPr>
        <w:t>page 6-13, figure 6-6.</w:t>
      </w:r>
    </w:p>
  </w:footnote>
  <w:footnote w:id="9">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w:t>
      </w:r>
      <w:r w:rsidRPr="00CA5687">
        <w:rPr>
          <w:rFonts w:ascii="Times New Roman" w:hAnsi="Times New Roman" w:cs="Times New Roman"/>
          <w:i/>
        </w:rPr>
        <w:t xml:space="preserve">See, i.e., </w:t>
      </w:r>
      <w:r w:rsidRPr="00CA5687">
        <w:rPr>
          <w:rFonts w:ascii="Times New Roman" w:hAnsi="Times New Roman" w:cs="Times New Roman"/>
        </w:rPr>
        <w:t xml:space="preserve">Madaeni, S. H., et al, Comparison of Capacity Value Methods for Photovoltaics in the Western United States, Nat’l Renewable Energy Lab, available at </w:t>
      </w:r>
      <w:hyperlink r:id="rId1" w:history="1">
        <w:r w:rsidRPr="00CA5687">
          <w:rPr>
            <w:rStyle w:val="Hyperlink"/>
            <w:rFonts w:ascii="Times New Roman" w:hAnsi="Times New Roman" w:cs="Times New Roman"/>
          </w:rPr>
          <w:t>http://www.nrel.gov/docs/fy12osti/54704.pdf</w:t>
        </w:r>
      </w:hyperlink>
      <w:r w:rsidRPr="00CA5687">
        <w:rPr>
          <w:rFonts w:ascii="Times New Roman" w:hAnsi="Times New Roman" w:cs="Times New Roman"/>
        </w:rPr>
        <w:t xml:space="preserve"> (2012); Methods to Model and Calculate Capacity Contributions of Variable Generation for Resource Adequacy Planning, N. Am. Elec. Reliability Corp., available at </w:t>
      </w:r>
      <w:hyperlink r:id="rId2" w:history="1">
        <w:r w:rsidRPr="00CA5687">
          <w:rPr>
            <w:rStyle w:val="Hyperlink"/>
            <w:rFonts w:ascii="Times New Roman" w:hAnsi="Times New Roman" w:cs="Times New Roman"/>
          </w:rPr>
          <w:t>http://www.nerc.com/files/ivgtf1-2.pdf</w:t>
        </w:r>
      </w:hyperlink>
      <w:r w:rsidRPr="00CA5687">
        <w:rPr>
          <w:rFonts w:ascii="Times New Roman" w:hAnsi="Times New Roman" w:cs="Times New Roman"/>
        </w:rPr>
        <w:t xml:space="preserve"> (March 2011).</w:t>
      </w:r>
    </w:p>
  </w:footnote>
  <w:footnote w:id="10">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For instance, PSE could </w:t>
      </w:r>
      <w:r w:rsidR="00A05B3B" w:rsidRPr="00CA5687">
        <w:rPr>
          <w:rFonts w:ascii="Times New Roman" w:hAnsi="Times New Roman" w:cs="Times New Roman"/>
        </w:rPr>
        <w:t xml:space="preserve">capture </w:t>
      </w:r>
      <w:r w:rsidRPr="00CA5687">
        <w:rPr>
          <w:rFonts w:ascii="Times New Roman" w:hAnsi="Times New Roman" w:cs="Times New Roman"/>
        </w:rPr>
        <w:t xml:space="preserve">more accurately each utility’s projected market need, </w:t>
      </w:r>
      <w:r w:rsidR="00A05B3B" w:rsidRPr="00CA5687">
        <w:rPr>
          <w:rFonts w:ascii="Times New Roman" w:hAnsi="Times New Roman" w:cs="Times New Roman"/>
        </w:rPr>
        <w:t xml:space="preserve">model </w:t>
      </w:r>
      <w:r w:rsidRPr="00CA5687">
        <w:rPr>
          <w:rFonts w:ascii="Times New Roman" w:hAnsi="Times New Roman" w:cs="Times New Roman"/>
        </w:rPr>
        <w:t xml:space="preserve">more accurately when gas plants without firm pipeline capacity can operate, and include all plants acknowledged to operate by the Pacific Northwest Power Supply Adequacy Assessment. </w:t>
      </w:r>
    </w:p>
  </w:footnote>
  <w:footnote w:id="11">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UE-120767, Attachment A to PSE 2013 IRP Acknowledgment Letter, at 3 (Feb. 6, 2014).</w:t>
      </w:r>
    </w:p>
  </w:footnote>
  <w:footnote w:id="12">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PSE 2015 IRP, page 2-7.</w:t>
      </w:r>
    </w:p>
  </w:footnote>
  <w:footnote w:id="13">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PSE 2015 IRP, Page 6-38.</w:t>
      </w:r>
    </w:p>
  </w:footnote>
  <w:footnote w:id="14">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PSE 2015 IRP, Page 1-10.</w:t>
      </w:r>
    </w:p>
  </w:footnote>
  <w:footnote w:id="15">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PSE 2015 IRP, page 2-15. PSE uses the shorthand “50% Firm Pipeline” to mean 12 hours a day.</w:t>
      </w:r>
    </w:p>
  </w:footnote>
  <w:footnote w:id="16">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PSE 2015 IRP, page 2-15.</w:t>
      </w:r>
    </w:p>
  </w:footnote>
  <w:footnote w:id="17">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PSE’s response to WUTC Staff Informal Data Request No. 5, at 1.</w:t>
      </w:r>
    </w:p>
  </w:footnote>
  <w:footnote w:id="18">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PSE 2015 IRP, page 2-15; PSE’s response to WUTC Staff Informal Data Request No. 5, at 1. Additionally, the IRP notes that “there is no dispatch” of the peaking plants across all deterministic scenarios, except for Low, where there is a very small dispatch. PSE 2015 IRP, page 6-43.</w:t>
      </w:r>
    </w:p>
  </w:footnote>
  <w:footnote w:id="19">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PSE’s response to WUTC Staff Informal Data Request No. 8, at 1-2. This increased a peaking plant’s variable operations and maintenance from $0.44/MWh to $2.69/MWh. </w:t>
      </w:r>
      <w:r w:rsidRPr="00CA5687">
        <w:rPr>
          <w:rFonts w:ascii="Times New Roman" w:hAnsi="Times New Roman" w:cs="Times New Roman"/>
          <w:i/>
        </w:rPr>
        <w:t>Id</w:t>
      </w:r>
      <w:r w:rsidRPr="00CA5687">
        <w:rPr>
          <w:rFonts w:ascii="Times New Roman" w:hAnsi="Times New Roman" w:cs="Times New Roman"/>
        </w:rPr>
        <w:t xml:space="preserve"> at 2.</w:t>
      </w:r>
    </w:p>
  </w:footnote>
  <w:footnote w:id="20">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In addition, Public Counsel noted that statements from PSE regarding its level of apprehension about the misinterpretation of the Colstrip analysis was concerning, as PSE should not be limiting the useful, consistent and transparent information it provides stakeholders through the IRP process. The Commission agrees that PSE has an obligation to provide useful and transparent information to the advisory group at every stage of the IRP process.</w:t>
      </w:r>
    </w:p>
  </w:footnote>
  <w:footnote w:id="21">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PSE 2015 IRP, page 6-61.</w:t>
      </w:r>
    </w:p>
  </w:footnote>
  <w:footnote w:id="22">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An unbundled REC represents the environmental attributes of renewable energy generation; it is traded independently of the underlying electricity generation.</w:t>
      </w:r>
    </w:p>
  </w:footnote>
  <w:footnote w:id="23">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7</w:t>
      </w:r>
      <w:r w:rsidRPr="00CA5687">
        <w:rPr>
          <w:rFonts w:ascii="Times New Roman" w:hAnsi="Times New Roman" w:cs="Times New Roman"/>
          <w:vertAlign w:val="superscript"/>
        </w:rPr>
        <w:t>th</w:t>
      </w:r>
      <w:r w:rsidRPr="00CA5687">
        <w:rPr>
          <w:rFonts w:ascii="Times New Roman" w:hAnsi="Times New Roman" w:cs="Times New Roman"/>
        </w:rPr>
        <w:t xml:space="preserve"> Northwest Power Plan, page 4-7 (action item REG-4).</w:t>
      </w:r>
    </w:p>
  </w:footnote>
  <w:footnote w:id="24">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PSE 2015 IRP, pages D-5 and D-6.</w:t>
      </w:r>
    </w:p>
  </w:footnote>
  <w:footnote w:id="25">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PSE 2015 IRP, page 1-9.</w:t>
      </w:r>
    </w:p>
  </w:footnote>
  <w:footnote w:id="26">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PSE 2015 IRP, page 6-81 and Appendix M.  This study on distributed solar was done by the Cadmus Group.</w:t>
      </w:r>
    </w:p>
  </w:footnote>
  <w:footnote w:id="27">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UE-120767, Attachment A to PSE 2013 IRP Acknowledgment Letter, at 5 (Feb. 6, 2014).</w:t>
      </w:r>
    </w:p>
  </w:footnote>
  <w:footnote w:id="28">
    <w:p w:rsidR="00F86CA1" w:rsidRPr="00CA5687" w:rsidRDefault="00F86CA1">
      <w:pPr>
        <w:pStyle w:val="FootnoteText"/>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PSE 2015 IRP, page 1-11.</w:t>
      </w:r>
    </w:p>
  </w:footnote>
  <w:footnote w:id="29">
    <w:p w:rsidR="00761681" w:rsidRPr="00CA5687" w:rsidRDefault="00761681">
      <w:pPr>
        <w:pStyle w:val="FootnoteText"/>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w:t>
      </w:r>
      <w:r w:rsidR="00CA5687" w:rsidRPr="00CA5687">
        <w:rPr>
          <w:rFonts w:ascii="Times New Roman" w:hAnsi="Times New Roman" w:cs="Times New Roman"/>
        </w:rPr>
        <w:t>Dockets UE-121697 and UG-121705, Joint Petition to Modify</w:t>
      </w:r>
      <w:r w:rsidR="00CA5687">
        <w:rPr>
          <w:rFonts w:ascii="Times New Roman" w:hAnsi="Times New Roman" w:cs="Times New Roman"/>
        </w:rPr>
        <w:t xml:space="preserve"> Order</w:t>
      </w:r>
      <w:r w:rsidR="00CA5687" w:rsidRPr="00CA5687">
        <w:rPr>
          <w:rFonts w:ascii="Times New Roman" w:hAnsi="Times New Roman" w:cs="Times New Roman"/>
        </w:rPr>
        <w:t xml:space="preserve"> 07 ¶ 8 (March 9, 2016).</w:t>
      </w:r>
    </w:p>
  </w:footnote>
  <w:footnote w:id="30">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PSE 2013 Integrated Resource Plan, page 1-24, figure 1-12.</w:t>
      </w:r>
    </w:p>
  </w:footnote>
  <w:footnote w:id="31">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September 25, 2014 PSE IRPAG Presentation, at 55.</w:t>
      </w:r>
    </w:p>
  </w:footnote>
  <w:footnote w:id="32">
    <w:p w:rsidR="00F86CA1" w:rsidRPr="00CA5687" w:rsidRDefault="00F86CA1" w:rsidP="00BC1D6F">
      <w:pPr>
        <w:pStyle w:val="FootnoteText"/>
        <w:spacing w:after="12"/>
        <w:rPr>
          <w:rFonts w:ascii="Times New Roman" w:hAnsi="Times New Roman" w:cs="Times New Roman"/>
        </w:rPr>
      </w:pPr>
      <w:r w:rsidRPr="00CA5687">
        <w:rPr>
          <w:rStyle w:val="FootnoteReference"/>
          <w:rFonts w:ascii="Times New Roman" w:hAnsi="Times New Roman" w:cs="Times New Roman"/>
        </w:rPr>
        <w:footnoteRef/>
      </w:r>
      <w:r w:rsidRPr="00CA5687">
        <w:rPr>
          <w:rFonts w:ascii="Times New Roman" w:hAnsi="Times New Roman" w:cs="Times New Roman"/>
        </w:rPr>
        <w:t xml:space="preserve"> PSE 2015 IRP, page 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14F1"/>
    <w:multiLevelType w:val="hybridMultilevel"/>
    <w:tmpl w:val="40CEA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3204B"/>
    <w:multiLevelType w:val="hybridMultilevel"/>
    <w:tmpl w:val="020C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B7907"/>
    <w:multiLevelType w:val="hybridMultilevel"/>
    <w:tmpl w:val="F08813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429DF"/>
    <w:multiLevelType w:val="hybridMultilevel"/>
    <w:tmpl w:val="FAEC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259D7"/>
    <w:multiLevelType w:val="hybridMultilevel"/>
    <w:tmpl w:val="8C2281D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40616"/>
    <w:multiLevelType w:val="hybridMultilevel"/>
    <w:tmpl w:val="A6A4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D09C4"/>
    <w:multiLevelType w:val="hybridMultilevel"/>
    <w:tmpl w:val="A57A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2A10FC"/>
    <w:multiLevelType w:val="hybridMultilevel"/>
    <w:tmpl w:val="8E24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67495"/>
    <w:multiLevelType w:val="hybridMultilevel"/>
    <w:tmpl w:val="1F3E0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8D602B"/>
    <w:multiLevelType w:val="hybridMultilevel"/>
    <w:tmpl w:val="2F24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97C14"/>
    <w:multiLevelType w:val="hybridMultilevel"/>
    <w:tmpl w:val="A8EE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E46916"/>
    <w:multiLevelType w:val="hybridMultilevel"/>
    <w:tmpl w:val="9BFE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9C36D2"/>
    <w:multiLevelType w:val="hybridMultilevel"/>
    <w:tmpl w:val="8FD8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146233"/>
    <w:multiLevelType w:val="hybridMultilevel"/>
    <w:tmpl w:val="3930311E"/>
    <w:lvl w:ilvl="0" w:tplc="A5F0876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4C3B4B"/>
    <w:multiLevelType w:val="hybridMultilevel"/>
    <w:tmpl w:val="E374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46502C"/>
    <w:multiLevelType w:val="hybridMultilevel"/>
    <w:tmpl w:val="20D2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433EAE"/>
    <w:multiLevelType w:val="hybridMultilevel"/>
    <w:tmpl w:val="B704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3A3F9A"/>
    <w:multiLevelType w:val="hybridMultilevel"/>
    <w:tmpl w:val="8C02D0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E76B7B"/>
    <w:multiLevelType w:val="hybridMultilevel"/>
    <w:tmpl w:val="CC38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C0662A"/>
    <w:multiLevelType w:val="hybridMultilevel"/>
    <w:tmpl w:val="7218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C1595A"/>
    <w:multiLevelType w:val="hybridMultilevel"/>
    <w:tmpl w:val="F420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32567D"/>
    <w:multiLevelType w:val="hybridMultilevel"/>
    <w:tmpl w:val="A580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A06BF9"/>
    <w:multiLevelType w:val="hybridMultilevel"/>
    <w:tmpl w:val="77B857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6DC32B9E"/>
    <w:multiLevelType w:val="hybridMultilevel"/>
    <w:tmpl w:val="1534E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AB0273"/>
    <w:multiLevelType w:val="hybridMultilevel"/>
    <w:tmpl w:val="335E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780EE3"/>
    <w:multiLevelType w:val="hybridMultilevel"/>
    <w:tmpl w:val="BAF4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036FA0"/>
    <w:multiLevelType w:val="hybridMultilevel"/>
    <w:tmpl w:val="3958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4"/>
  </w:num>
  <w:num w:numId="4">
    <w:abstractNumId w:val="7"/>
  </w:num>
  <w:num w:numId="5">
    <w:abstractNumId w:val="15"/>
  </w:num>
  <w:num w:numId="6">
    <w:abstractNumId w:val="5"/>
  </w:num>
  <w:num w:numId="7">
    <w:abstractNumId w:val="24"/>
  </w:num>
  <w:num w:numId="8">
    <w:abstractNumId w:val="18"/>
  </w:num>
  <w:num w:numId="9">
    <w:abstractNumId w:val="9"/>
  </w:num>
  <w:num w:numId="10">
    <w:abstractNumId w:val="22"/>
  </w:num>
  <w:num w:numId="11">
    <w:abstractNumId w:val="21"/>
  </w:num>
  <w:num w:numId="12">
    <w:abstractNumId w:val="10"/>
  </w:num>
  <w:num w:numId="13">
    <w:abstractNumId w:val="17"/>
  </w:num>
  <w:num w:numId="14">
    <w:abstractNumId w:val="8"/>
  </w:num>
  <w:num w:numId="15">
    <w:abstractNumId w:val="16"/>
  </w:num>
  <w:num w:numId="16">
    <w:abstractNumId w:val="2"/>
  </w:num>
  <w:num w:numId="17">
    <w:abstractNumId w:val="13"/>
  </w:num>
  <w:num w:numId="18">
    <w:abstractNumId w:val="1"/>
  </w:num>
  <w:num w:numId="19">
    <w:abstractNumId w:val="23"/>
  </w:num>
  <w:num w:numId="20">
    <w:abstractNumId w:val="0"/>
  </w:num>
  <w:num w:numId="21">
    <w:abstractNumId w:val="19"/>
  </w:num>
  <w:num w:numId="22">
    <w:abstractNumId w:val="3"/>
  </w:num>
  <w:num w:numId="23">
    <w:abstractNumId w:val="6"/>
  </w:num>
  <w:num w:numId="24">
    <w:abstractNumId w:val="11"/>
  </w:num>
  <w:num w:numId="25">
    <w:abstractNumId w:val="4"/>
  </w:num>
  <w:num w:numId="26">
    <w:abstractNumId w:val="1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7B"/>
    <w:rsid w:val="00015BC4"/>
    <w:rsid w:val="00017C68"/>
    <w:rsid w:val="000345BA"/>
    <w:rsid w:val="00040B1E"/>
    <w:rsid w:val="00060654"/>
    <w:rsid w:val="00075B75"/>
    <w:rsid w:val="00076E9F"/>
    <w:rsid w:val="000806B6"/>
    <w:rsid w:val="00081DF4"/>
    <w:rsid w:val="00085DF0"/>
    <w:rsid w:val="0008702B"/>
    <w:rsid w:val="000905CC"/>
    <w:rsid w:val="0009365E"/>
    <w:rsid w:val="00095905"/>
    <w:rsid w:val="000A011A"/>
    <w:rsid w:val="000B7E81"/>
    <w:rsid w:val="000C4017"/>
    <w:rsid w:val="000D6E37"/>
    <w:rsid w:val="000E2FB5"/>
    <w:rsid w:val="000E640C"/>
    <w:rsid w:val="000F1073"/>
    <w:rsid w:val="0010233B"/>
    <w:rsid w:val="00113742"/>
    <w:rsid w:val="00114B9E"/>
    <w:rsid w:val="00114DF4"/>
    <w:rsid w:val="001213BD"/>
    <w:rsid w:val="0012318D"/>
    <w:rsid w:val="00126867"/>
    <w:rsid w:val="0013657D"/>
    <w:rsid w:val="00141C09"/>
    <w:rsid w:val="001465FD"/>
    <w:rsid w:val="00147F83"/>
    <w:rsid w:val="00152F5C"/>
    <w:rsid w:val="00153194"/>
    <w:rsid w:val="0016437F"/>
    <w:rsid w:val="00170633"/>
    <w:rsid w:val="00173BC7"/>
    <w:rsid w:val="00173E8B"/>
    <w:rsid w:val="001767E1"/>
    <w:rsid w:val="001769A4"/>
    <w:rsid w:val="001835FA"/>
    <w:rsid w:val="001849D0"/>
    <w:rsid w:val="001926A1"/>
    <w:rsid w:val="00194566"/>
    <w:rsid w:val="0019729C"/>
    <w:rsid w:val="001A46BB"/>
    <w:rsid w:val="001A66EA"/>
    <w:rsid w:val="001B2D21"/>
    <w:rsid w:val="001C17DC"/>
    <w:rsid w:val="001C28B9"/>
    <w:rsid w:val="001C5AB1"/>
    <w:rsid w:val="001C7E9F"/>
    <w:rsid w:val="001D39F1"/>
    <w:rsid w:val="001D3D6E"/>
    <w:rsid w:val="001D3EB3"/>
    <w:rsid w:val="001D7A18"/>
    <w:rsid w:val="001E00F2"/>
    <w:rsid w:val="001E1D7A"/>
    <w:rsid w:val="001E20F9"/>
    <w:rsid w:val="001E2C38"/>
    <w:rsid w:val="001E4DDD"/>
    <w:rsid w:val="001F03DC"/>
    <w:rsid w:val="002012C9"/>
    <w:rsid w:val="002104AA"/>
    <w:rsid w:val="002135F1"/>
    <w:rsid w:val="00213A71"/>
    <w:rsid w:val="002172F8"/>
    <w:rsid w:val="00217B6C"/>
    <w:rsid w:val="00221711"/>
    <w:rsid w:val="002217F3"/>
    <w:rsid w:val="00224D45"/>
    <w:rsid w:val="002448DE"/>
    <w:rsid w:val="0024637F"/>
    <w:rsid w:val="00246626"/>
    <w:rsid w:val="0026325E"/>
    <w:rsid w:val="002851E9"/>
    <w:rsid w:val="00285AAB"/>
    <w:rsid w:val="0028616E"/>
    <w:rsid w:val="002907A1"/>
    <w:rsid w:val="002A075E"/>
    <w:rsid w:val="002C039A"/>
    <w:rsid w:val="002C41DE"/>
    <w:rsid w:val="002C5728"/>
    <w:rsid w:val="002C6FD0"/>
    <w:rsid w:val="002D53AC"/>
    <w:rsid w:val="002E061B"/>
    <w:rsid w:val="002E78E0"/>
    <w:rsid w:val="002F67BA"/>
    <w:rsid w:val="00304AC3"/>
    <w:rsid w:val="00310D9D"/>
    <w:rsid w:val="00313054"/>
    <w:rsid w:val="00313AA8"/>
    <w:rsid w:val="00325C90"/>
    <w:rsid w:val="003352A6"/>
    <w:rsid w:val="00341AD7"/>
    <w:rsid w:val="003447AE"/>
    <w:rsid w:val="003464EE"/>
    <w:rsid w:val="00350144"/>
    <w:rsid w:val="00357792"/>
    <w:rsid w:val="00364C34"/>
    <w:rsid w:val="0038400C"/>
    <w:rsid w:val="00384C03"/>
    <w:rsid w:val="0039177E"/>
    <w:rsid w:val="003A0118"/>
    <w:rsid w:val="003A062B"/>
    <w:rsid w:val="003C711C"/>
    <w:rsid w:val="003E1D1A"/>
    <w:rsid w:val="003E51A8"/>
    <w:rsid w:val="003F1174"/>
    <w:rsid w:val="003F18E2"/>
    <w:rsid w:val="003F20B4"/>
    <w:rsid w:val="003F3BA3"/>
    <w:rsid w:val="003F5315"/>
    <w:rsid w:val="003F564C"/>
    <w:rsid w:val="00402BA5"/>
    <w:rsid w:val="00420A62"/>
    <w:rsid w:val="0042491B"/>
    <w:rsid w:val="0042606E"/>
    <w:rsid w:val="004427D2"/>
    <w:rsid w:val="0044737F"/>
    <w:rsid w:val="004541D1"/>
    <w:rsid w:val="00463210"/>
    <w:rsid w:val="004762A5"/>
    <w:rsid w:val="00490160"/>
    <w:rsid w:val="004916ED"/>
    <w:rsid w:val="00497DD2"/>
    <w:rsid w:val="004A1ABD"/>
    <w:rsid w:val="004A5819"/>
    <w:rsid w:val="004A61C8"/>
    <w:rsid w:val="004B7273"/>
    <w:rsid w:val="004D2112"/>
    <w:rsid w:val="004D4D61"/>
    <w:rsid w:val="004D6D21"/>
    <w:rsid w:val="004E329B"/>
    <w:rsid w:val="004F6B3F"/>
    <w:rsid w:val="005004AE"/>
    <w:rsid w:val="005060A4"/>
    <w:rsid w:val="00506B7E"/>
    <w:rsid w:val="005106B9"/>
    <w:rsid w:val="00512F4B"/>
    <w:rsid w:val="00530921"/>
    <w:rsid w:val="00536AED"/>
    <w:rsid w:val="005376DF"/>
    <w:rsid w:val="005444DF"/>
    <w:rsid w:val="005455E6"/>
    <w:rsid w:val="0055186E"/>
    <w:rsid w:val="00552600"/>
    <w:rsid w:val="00552ACB"/>
    <w:rsid w:val="00556845"/>
    <w:rsid w:val="00564046"/>
    <w:rsid w:val="005657D3"/>
    <w:rsid w:val="00575D07"/>
    <w:rsid w:val="00576D6A"/>
    <w:rsid w:val="00582816"/>
    <w:rsid w:val="00584D99"/>
    <w:rsid w:val="00584E63"/>
    <w:rsid w:val="005852D0"/>
    <w:rsid w:val="00591509"/>
    <w:rsid w:val="005A5676"/>
    <w:rsid w:val="005A6C74"/>
    <w:rsid w:val="005C2EE5"/>
    <w:rsid w:val="005C5606"/>
    <w:rsid w:val="005F10DA"/>
    <w:rsid w:val="00601587"/>
    <w:rsid w:val="00605A5B"/>
    <w:rsid w:val="00606528"/>
    <w:rsid w:val="0061558B"/>
    <w:rsid w:val="00621276"/>
    <w:rsid w:val="006256C8"/>
    <w:rsid w:val="006443EE"/>
    <w:rsid w:val="00662C7A"/>
    <w:rsid w:val="00663C17"/>
    <w:rsid w:val="0066598F"/>
    <w:rsid w:val="00665C69"/>
    <w:rsid w:val="006701C2"/>
    <w:rsid w:val="00672F7B"/>
    <w:rsid w:val="00683356"/>
    <w:rsid w:val="0069214A"/>
    <w:rsid w:val="00695F1A"/>
    <w:rsid w:val="006A3480"/>
    <w:rsid w:val="006A41EE"/>
    <w:rsid w:val="006A5B8B"/>
    <w:rsid w:val="006B3C0F"/>
    <w:rsid w:val="006C3868"/>
    <w:rsid w:val="006C5F1E"/>
    <w:rsid w:val="006C73AD"/>
    <w:rsid w:val="006D628C"/>
    <w:rsid w:val="006E1EC1"/>
    <w:rsid w:val="006E245F"/>
    <w:rsid w:val="006E7189"/>
    <w:rsid w:val="007037DB"/>
    <w:rsid w:val="00703C97"/>
    <w:rsid w:val="007337FA"/>
    <w:rsid w:val="00733D61"/>
    <w:rsid w:val="00740C88"/>
    <w:rsid w:val="00743259"/>
    <w:rsid w:val="007510AF"/>
    <w:rsid w:val="00751CC2"/>
    <w:rsid w:val="007548D2"/>
    <w:rsid w:val="00761681"/>
    <w:rsid w:val="007648C8"/>
    <w:rsid w:val="00767BC9"/>
    <w:rsid w:val="00777159"/>
    <w:rsid w:val="00777E34"/>
    <w:rsid w:val="00784F23"/>
    <w:rsid w:val="0078664D"/>
    <w:rsid w:val="00791310"/>
    <w:rsid w:val="0079332C"/>
    <w:rsid w:val="00796AA7"/>
    <w:rsid w:val="007A1065"/>
    <w:rsid w:val="007A6282"/>
    <w:rsid w:val="007B658E"/>
    <w:rsid w:val="007C1322"/>
    <w:rsid w:val="007C43A5"/>
    <w:rsid w:val="007E5DC5"/>
    <w:rsid w:val="0080005B"/>
    <w:rsid w:val="008009FF"/>
    <w:rsid w:val="00810A55"/>
    <w:rsid w:val="00811C17"/>
    <w:rsid w:val="0082419C"/>
    <w:rsid w:val="00827917"/>
    <w:rsid w:val="00832A74"/>
    <w:rsid w:val="008360EC"/>
    <w:rsid w:val="0084156F"/>
    <w:rsid w:val="00841D2A"/>
    <w:rsid w:val="008432D5"/>
    <w:rsid w:val="008560D7"/>
    <w:rsid w:val="00860FDB"/>
    <w:rsid w:val="00866293"/>
    <w:rsid w:val="0087201D"/>
    <w:rsid w:val="00875C0D"/>
    <w:rsid w:val="00877314"/>
    <w:rsid w:val="00883D5B"/>
    <w:rsid w:val="008916C0"/>
    <w:rsid w:val="00892441"/>
    <w:rsid w:val="00895DF8"/>
    <w:rsid w:val="008A1078"/>
    <w:rsid w:val="008A2174"/>
    <w:rsid w:val="008A458B"/>
    <w:rsid w:val="008A4828"/>
    <w:rsid w:val="008A5A98"/>
    <w:rsid w:val="008B377E"/>
    <w:rsid w:val="008B72AF"/>
    <w:rsid w:val="008C530B"/>
    <w:rsid w:val="008C6FF7"/>
    <w:rsid w:val="008C7D92"/>
    <w:rsid w:val="008D334A"/>
    <w:rsid w:val="008F6AA4"/>
    <w:rsid w:val="0091005F"/>
    <w:rsid w:val="00910E08"/>
    <w:rsid w:val="00915423"/>
    <w:rsid w:val="009264ED"/>
    <w:rsid w:val="0092669D"/>
    <w:rsid w:val="00932EFB"/>
    <w:rsid w:val="0093543E"/>
    <w:rsid w:val="009405B3"/>
    <w:rsid w:val="00942605"/>
    <w:rsid w:val="0095304F"/>
    <w:rsid w:val="0095563C"/>
    <w:rsid w:val="00955AD8"/>
    <w:rsid w:val="00967BC4"/>
    <w:rsid w:val="00980ECB"/>
    <w:rsid w:val="00981969"/>
    <w:rsid w:val="009838F9"/>
    <w:rsid w:val="009A0339"/>
    <w:rsid w:val="009A1661"/>
    <w:rsid w:val="009B0344"/>
    <w:rsid w:val="009B1956"/>
    <w:rsid w:val="009B70C1"/>
    <w:rsid w:val="009E145F"/>
    <w:rsid w:val="009E3BB2"/>
    <w:rsid w:val="009E5B7D"/>
    <w:rsid w:val="009F73DB"/>
    <w:rsid w:val="00A05B3B"/>
    <w:rsid w:val="00A079AE"/>
    <w:rsid w:val="00A13DFB"/>
    <w:rsid w:val="00A16975"/>
    <w:rsid w:val="00A206B9"/>
    <w:rsid w:val="00A31BCF"/>
    <w:rsid w:val="00A44097"/>
    <w:rsid w:val="00A4442E"/>
    <w:rsid w:val="00A52DED"/>
    <w:rsid w:val="00A54785"/>
    <w:rsid w:val="00A61D97"/>
    <w:rsid w:val="00A632AB"/>
    <w:rsid w:val="00A72231"/>
    <w:rsid w:val="00A73E02"/>
    <w:rsid w:val="00A8374B"/>
    <w:rsid w:val="00A84C2A"/>
    <w:rsid w:val="00A85E31"/>
    <w:rsid w:val="00A86E5A"/>
    <w:rsid w:val="00A906C8"/>
    <w:rsid w:val="00A95663"/>
    <w:rsid w:val="00AA368D"/>
    <w:rsid w:val="00AA6AA2"/>
    <w:rsid w:val="00AB1C03"/>
    <w:rsid w:val="00AB356B"/>
    <w:rsid w:val="00AB3A4B"/>
    <w:rsid w:val="00AB3E38"/>
    <w:rsid w:val="00AB5BDE"/>
    <w:rsid w:val="00AB6145"/>
    <w:rsid w:val="00AB7964"/>
    <w:rsid w:val="00AC23D3"/>
    <w:rsid w:val="00AC3B9F"/>
    <w:rsid w:val="00AC4E33"/>
    <w:rsid w:val="00AD1FA4"/>
    <w:rsid w:val="00AD3312"/>
    <w:rsid w:val="00AD47CD"/>
    <w:rsid w:val="00AD6935"/>
    <w:rsid w:val="00AE1274"/>
    <w:rsid w:val="00AE273E"/>
    <w:rsid w:val="00AE3BC6"/>
    <w:rsid w:val="00AE76C4"/>
    <w:rsid w:val="00AF131A"/>
    <w:rsid w:val="00B0184A"/>
    <w:rsid w:val="00B025F6"/>
    <w:rsid w:val="00B10424"/>
    <w:rsid w:val="00B107EF"/>
    <w:rsid w:val="00B13041"/>
    <w:rsid w:val="00B151CC"/>
    <w:rsid w:val="00B35403"/>
    <w:rsid w:val="00B37F7E"/>
    <w:rsid w:val="00B42F3A"/>
    <w:rsid w:val="00B451BD"/>
    <w:rsid w:val="00B471A6"/>
    <w:rsid w:val="00B61E47"/>
    <w:rsid w:val="00B62367"/>
    <w:rsid w:val="00B81325"/>
    <w:rsid w:val="00B930C3"/>
    <w:rsid w:val="00B936ED"/>
    <w:rsid w:val="00B93C49"/>
    <w:rsid w:val="00B945D8"/>
    <w:rsid w:val="00BA7A08"/>
    <w:rsid w:val="00BB34D4"/>
    <w:rsid w:val="00BB7F71"/>
    <w:rsid w:val="00BC059D"/>
    <w:rsid w:val="00BC1D6F"/>
    <w:rsid w:val="00BC542E"/>
    <w:rsid w:val="00BC5DE2"/>
    <w:rsid w:val="00BE39B1"/>
    <w:rsid w:val="00BE561C"/>
    <w:rsid w:val="00BF019E"/>
    <w:rsid w:val="00BF3B02"/>
    <w:rsid w:val="00BF4CC2"/>
    <w:rsid w:val="00BF7903"/>
    <w:rsid w:val="00C25E2E"/>
    <w:rsid w:val="00C33F25"/>
    <w:rsid w:val="00C36F0E"/>
    <w:rsid w:val="00C42719"/>
    <w:rsid w:val="00C46A13"/>
    <w:rsid w:val="00C51098"/>
    <w:rsid w:val="00C54A2D"/>
    <w:rsid w:val="00C54D7D"/>
    <w:rsid w:val="00C55EC6"/>
    <w:rsid w:val="00C5672B"/>
    <w:rsid w:val="00C629BD"/>
    <w:rsid w:val="00C66BCB"/>
    <w:rsid w:val="00C67676"/>
    <w:rsid w:val="00C677BE"/>
    <w:rsid w:val="00C74F85"/>
    <w:rsid w:val="00C80AAF"/>
    <w:rsid w:val="00C82524"/>
    <w:rsid w:val="00CA3B68"/>
    <w:rsid w:val="00CA556F"/>
    <w:rsid w:val="00CA5687"/>
    <w:rsid w:val="00CA7666"/>
    <w:rsid w:val="00CB4298"/>
    <w:rsid w:val="00CB76F3"/>
    <w:rsid w:val="00CD7C5F"/>
    <w:rsid w:val="00CE0506"/>
    <w:rsid w:val="00CE1332"/>
    <w:rsid w:val="00CE728B"/>
    <w:rsid w:val="00CE78D7"/>
    <w:rsid w:val="00CF068B"/>
    <w:rsid w:val="00D04991"/>
    <w:rsid w:val="00D104A7"/>
    <w:rsid w:val="00D12A18"/>
    <w:rsid w:val="00D15484"/>
    <w:rsid w:val="00D21FA5"/>
    <w:rsid w:val="00D22B20"/>
    <w:rsid w:val="00D240B4"/>
    <w:rsid w:val="00D43777"/>
    <w:rsid w:val="00D46AD9"/>
    <w:rsid w:val="00D50993"/>
    <w:rsid w:val="00D546F2"/>
    <w:rsid w:val="00D5676F"/>
    <w:rsid w:val="00D56D80"/>
    <w:rsid w:val="00D56FC0"/>
    <w:rsid w:val="00D64702"/>
    <w:rsid w:val="00D6551A"/>
    <w:rsid w:val="00D70201"/>
    <w:rsid w:val="00D758A0"/>
    <w:rsid w:val="00D76A68"/>
    <w:rsid w:val="00D8293B"/>
    <w:rsid w:val="00D83234"/>
    <w:rsid w:val="00D91A48"/>
    <w:rsid w:val="00D91C5F"/>
    <w:rsid w:val="00D97C43"/>
    <w:rsid w:val="00DA033F"/>
    <w:rsid w:val="00DA1B86"/>
    <w:rsid w:val="00DB0C62"/>
    <w:rsid w:val="00DB5BE4"/>
    <w:rsid w:val="00DB615C"/>
    <w:rsid w:val="00DB6665"/>
    <w:rsid w:val="00DC1E7C"/>
    <w:rsid w:val="00DC40EA"/>
    <w:rsid w:val="00DC6168"/>
    <w:rsid w:val="00DC6C7A"/>
    <w:rsid w:val="00DC7006"/>
    <w:rsid w:val="00DD11E2"/>
    <w:rsid w:val="00DD2A47"/>
    <w:rsid w:val="00DD4BF1"/>
    <w:rsid w:val="00DD562C"/>
    <w:rsid w:val="00DE0DD1"/>
    <w:rsid w:val="00DE5045"/>
    <w:rsid w:val="00DF1A3B"/>
    <w:rsid w:val="00E00E60"/>
    <w:rsid w:val="00E0441E"/>
    <w:rsid w:val="00E12D8A"/>
    <w:rsid w:val="00E15DD9"/>
    <w:rsid w:val="00E168C5"/>
    <w:rsid w:val="00E17647"/>
    <w:rsid w:val="00E2222C"/>
    <w:rsid w:val="00E23F50"/>
    <w:rsid w:val="00E31666"/>
    <w:rsid w:val="00E45372"/>
    <w:rsid w:val="00E46D4C"/>
    <w:rsid w:val="00E579AE"/>
    <w:rsid w:val="00E63EFA"/>
    <w:rsid w:val="00E74125"/>
    <w:rsid w:val="00E743F2"/>
    <w:rsid w:val="00E75C79"/>
    <w:rsid w:val="00E94EA1"/>
    <w:rsid w:val="00EA2ECD"/>
    <w:rsid w:val="00EB0147"/>
    <w:rsid w:val="00ED6347"/>
    <w:rsid w:val="00EF68ED"/>
    <w:rsid w:val="00EF772B"/>
    <w:rsid w:val="00F10EEB"/>
    <w:rsid w:val="00F20A56"/>
    <w:rsid w:val="00F21B68"/>
    <w:rsid w:val="00F268AB"/>
    <w:rsid w:val="00F26E00"/>
    <w:rsid w:val="00F2763E"/>
    <w:rsid w:val="00F3297B"/>
    <w:rsid w:val="00F34DA8"/>
    <w:rsid w:val="00F34EE8"/>
    <w:rsid w:val="00F411A0"/>
    <w:rsid w:val="00F54248"/>
    <w:rsid w:val="00F728BB"/>
    <w:rsid w:val="00F745CD"/>
    <w:rsid w:val="00F86CA1"/>
    <w:rsid w:val="00F87D14"/>
    <w:rsid w:val="00F94391"/>
    <w:rsid w:val="00FA4441"/>
    <w:rsid w:val="00FB0DAC"/>
    <w:rsid w:val="00FB526A"/>
    <w:rsid w:val="00FC78B6"/>
    <w:rsid w:val="00FD6261"/>
    <w:rsid w:val="00FE095C"/>
    <w:rsid w:val="00FE0B70"/>
    <w:rsid w:val="00FE36B5"/>
    <w:rsid w:val="00FF195C"/>
    <w:rsid w:val="00FF283C"/>
    <w:rsid w:val="00FF3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7CAF509-01D4-4521-B43D-0D2B406C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3297B"/>
    <w:pPr>
      <w:ind w:left="720"/>
      <w:contextualSpacing/>
    </w:pPr>
  </w:style>
  <w:style w:type="paragraph" w:styleId="Header">
    <w:name w:val="header"/>
    <w:basedOn w:val="Normal"/>
    <w:link w:val="HeaderChar"/>
    <w:uiPriority w:val="99"/>
    <w:unhideWhenUsed/>
    <w:rsid w:val="00173E8B"/>
    <w:pPr>
      <w:tabs>
        <w:tab w:val="center" w:pos="4680"/>
        <w:tab w:val="right" w:pos="9360"/>
      </w:tabs>
    </w:pPr>
  </w:style>
  <w:style w:type="character" w:customStyle="1" w:styleId="HeaderChar">
    <w:name w:val="Header Char"/>
    <w:basedOn w:val="DefaultParagraphFont"/>
    <w:link w:val="Header"/>
    <w:uiPriority w:val="99"/>
    <w:rsid w:val="00173E8B"/>
  </w:style>
  <w:style w:type="paragraph" w:styleId="Footer">
    <w:name w:val="footer"/>
    <w:basedOn w:val="Normal"/>
    <w:link w:val="FooterChar"/>
    <w:uiPriority w:val="99"/>
    <w:unhideWhenUsed/>
    <w:rsid w:val="00173E8B"/>
    <w:pPr>
      <w:tabs>
        <w:tab w:val="center" w:pos="4680"/>
        <w:tab w:val="right" w:pos="9360"/>
      </w:tabs>
    </w:pPr>
  </w:style>
  <w:style w:type="character" w:customStyle="1" w:styleId="FooterChar">
    <w:name w:val="Footer Char"/>
    <w:basedOn w:val="DefaultParagraphFont"/>
    <w:link w:val="Footer"/>
    <w:uiPriority w:val="99"/>
    <w:rsid w:val="00173E8B"/>
  </w:style>
  <w:style w:type="paragraph" w:styleId="FootnoteText">
    <w:name w:val="footnote text"/>
    <w:basedOn w:val="Normal"/>
    <w:link w:val="FootnoteTextChar"/>
    <w:uiPriority w:val="99"/>
    <w:unhideWhenUsed/>
    <w:rsid w:val="00AB3E38"/>
    <w:rPr>
      <w:sz w:val="20"/>
      <w:szCs w:val="20"/>
    </w:rPr>
  </w:style>
  <w:style w:type="character" w:customStyle="1" w:styleId="FootnoteTextChar">
    <w:name w:val="Footnote Text Char"/>
    <w:basedOn w:val="DefaultParagraphFont"/>
    <w:link w:val="FootnoteText"/>
    <w:uiPriority w:val="99"/>
    <w:rsid w:val="00AB3E38"/>
    <w:rPr>
      <w:sz w:val="20"/>
      <w:szCs w:val="20"/>
    </w:rPr>
  </w:style>
  <w:style w:type="character" w:styleId="FootnoteReference">
    <w:name w:val="footnote reference"/>
    <w:basedOn w:val="DefaultParagraphFont"/>
    <w:semiHidden/>
    <w:unhideWhenUsed/>
    <w:rsid w:val="00AB3E38"/>
    <w:rPr>
      <w:vertAlign w:val="superscript"/>
    </w:rPr>
  </w:style>
  <w:style w:type="character" w:styleId="CommentReference">
    <w:name w:val="annotation reference"/>
    <w:basedOn w:val="DefaultParagraphFont"/>
    <w:uiPriority w:val="99"/>
    <w:semiHidden/>
    <w:unhideWhenUsed/>
    <w:rsid w:val="00DF1A3B"/>
    <w:rPr>
      <w:sz w:val="16"/>
      <w:szCs w:val="16"/>
    </w:rPr>
  </w:style>
  <w:style w:type="paragraph" w:styleId="CommentText">
    <w:name w:val="annotation text"/>
    <w:basedOn w:val="Normal"/>
    <w:link w:val="CommentTextChar"/>
    <w:uiPriority w:val="99"/>
    <w:semiHidden/>
    <w:unhideWhenUsed/>
    <w:rsid w:val="00DF1A3B"/>
    <w:rPr>
      <w:sz w:val="20"/>
      <w:szCs w:val="20"/>
    </w:rPr>
  </w:style>
  <w:style w:type="character" w:customStyle="1" w:styleId="CommentTextChar">
    <w:name w:val="Comment Text Char"/>
    <w:basedOn w:val="DefaultParagraphFont"/>
    <w:link w:val="CommentText"/>
    <w:uiPriority w:val="99"/>
    <w:semiHidden/>
    <w:rsid w:val="00DF1A3B"/>
    <w:rPr>
      <w:sz w:val="20"/>
      <w:szCs w:val="20"/>
    </w:rPr>
  </w:style>
  <w:style w:type="paragraph" w:styleId="CommentSubject">
    <w:name w:val="annotation subject"/>
    <w:basedOn w:val="CommentText"/>
    <w:next w:val="CommentText"/>
    <w:link w:val="CommentSubjectChar"/>
    <w:uiPriority w:val="99"/>
    <w:semiHidden/>
    <w:unhideWhenUsed/>
    <w:rsid w:val="00DF1A3B"/>
    <w:rPr>
      <w:b/>
      <w:bCs/>
    </w:rPr>
  </w:style>
  <w:style w:type="character" w:customStyle="1" w:styleId="CommentSubjectChar">
    <w:name w:val="Comment Subject Char"/>
    <w:basedOn w:val="CommentTextChar"/>
    <w:link w:val="CommentSubject"/>
    <w:uiPriority w:val="99"/>
    <w:semiHidden/>
    <w:rsid w:val="00DF1A3B"/>
    <w:rPr>
      <w:b/>
      <w:bCs/>
      <w:sz w:val="20"/>
      <w:szCs w:val="20"/>
    </w:rPr>
  </w:style>
  <w:style w:type="paragraph" w:styleId="BalloonText">
    <w:name w:val="Balloon Text"/>
    <w:basedOn w:val="Normal"/>
    <w:link w:val="BalloonTextChar"/>
    <w:uiPriority w:val="99"/>
    <w:semiHidden/>
    <w:unhideWhenUsed/>
    <w:rsid w:val="00DF1A3B"/>
    <w:rPr>
      <w:rFonts w:ascii="Tahoma" w:hAnsi="Tahoma" w:cs="Tahoma"/>
      <w:sz w:val="16"/>
      <w:szCs w:val="16"/>
    </w:rPr>
  </w:style>
  <w:style w:type="character" w:customStyle="1" w:styleId="BalloonTextChar">
    <w:name w:val="Balloon Text Char"/>
    <w:basedOn w:val="DefaultParagraphFont"/>
    <w:link w:val="BalloonText"/>
    <w:uiPriority w:val="99"/>
    <w:semiHidden/>
    <w:rsid w:val="00DF1A3B"/>
    <w:rPr>
      <w:rFonts w:ascii="Tahoma" w:hAnsi="Tahoma" w:cs="Tahoma"/>
      <w:sz w:val="16"/>
      <w:szCs w:val="16"/>
    </w:rPr>
  </w:style>
  <w:style w:type="table" w:styleId="TableGrid">
    <w:name w:val="Table Grid"/>
    <w:basedOn w:val="TableNormal"/>
    <w:uiPriority w:val="59"/>
    <w:rsid w:val="00CA3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06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files/ivgtf1-2.pdf" TargetMode="External"/><Relationship Id="rId1" Type="http://schemas.openxmlformats.org/officeDocument/2006/relationships/hyperlink" Target="http://www.nrel.gov/docs/fy12osti/547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2016-05-09T20:22:12+00:00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4525A-2407-4260-96A9-2CD0CA28BFE8}"/>
</file>

<file path=customXml/itemProps2.xml><?xml version="1.0" encoding="utf-8"?>
<ds:datastoreItem xmlns:ds="http://schemas.openxmlformats.org/officeDocument/2006/customXml" ds:itemID="{61A75CBC-51D4-48ED-8BAC-C07C8F5CCFCB}"/>
</file>

<file path=customXml/itemProps3.xml><?xml version="1.0" encoding="utf-8"?>
<ds:datastoreItem xmlns:ds="http://schemas.openxmlformats.org/officeDocument/2006/customXml" ds:itemID="{3381A519-D87B-48D4-8D8C-D24FE804817F}"/>
</file>

<file path=customXml/itemProps4.xml><?xml version="1.0" encoding="utf-8"?>
<ds:datastoreItem xmlns:ds="http://schemas.openxmlformats.org/officeDocument/2006/customXml" ds:itemID="{1006A97F-6115-42E4-BBA2-13241ACC8AAE}"/>
</file>

<file path=customXml/itemProps5.xml><?xml version="1.0" encoding="utf-8"?>
<ds:datastoreItem xmlns:ds="http://schemas.openxmlformats.org/officeDocument/2006/customXml" ds:itemID="{9982C6CA-49F7-41D2-A456-F16D91B79220}"/>
</file>

<file path=docProps/app.xml><?xml version="1.0" encoding="utf-8"?>
<Properties xmlns="http://schemas.openxmlformats.org/officeDocument/2006/extended-properties" xmlns:vt="http://schemas.openxmlformats.org/officeDocument/2006/docPropsVTypes">
  <Template>Normal</Template>
  <TotalTime>0</TotalTime>
  <Pages>15</Pages>
  <Words>4602</Words>
  <Characters>26238</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Zakai, Yochi (UTC)</dc:creator>
  <cp:lastModifiedBy>Moen, Nancy (UTC)</cp:lastModifiedBy>
  <cp:revision>2</cp:revision>
  <dcterms:created xsi:type="dcterms:W3CDTF">2016-05-06T20:52:00Z</dcterms:created>
  <dcterms:modified xsi:type="dcterms:W3CDTF">2016-05-06T20:52:00Z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