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28D6F" w14:textId="77777777" w:rsidR="008B6401" w:rsidRDefault="008B6401" w:rsidP="006920CD">
      <w:pPr>
        <w:pStyle w:val="NoSpacing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B4D137" wp14:editId="64CB120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62940" cy="685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564">
        <w:rPr>
          <w:sz w:val="14"/>
        </w:rPr>
        <w:br w:type="textWrapping" w:clear="all"/>
      </w:r>
      <w:r>
        <w:rPr>
          <w:rFonts w:ascii="Arial" w:hAnsi="Arial"/>
          <w:b/>
          <w:color w:val="008000"/>
          <w:sz w:val="18"/>
        </w:rPr>
        <w:t>STATE OF WASHINGTON</w:t>
      </w:r>
    </w:p>
    <w:p w14:paraId="019890C1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4F5DCC8" w14:textId="77777777"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723C5FC" w14:textId="77777777" w:rsidR="008B6401" w:rsidRDefault="008B6401" w:rsidP="008B640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26F5E57" w14:textId="77777777" w:rsidR="00984FE4" w:rsidRPr="00D807FF" w:rsidRDefault="00AD6D72" w:rsidP="008B6401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February </w:t>
      </w:r>
      <w:r w:rsidR="00E03565">
        <w:rPr>
          <w:sz w:val="25"/>
          <w:szCs w:val="25"/>
        </w:rPr>
        <w:t>1</w:t>
      </w:r>
      <w:r w:rsidR="0029749C">
        <w:rPr>
          <w:sz w:val="25"/>
          <w:szCs w:val="25"/>
        </w:rPr>
        <w:t>3</w:t>
      </w:r>
      <w:r>
        <w:rPr>
          <w:sz w:val="25"/>
          <w:szCs w:val="25"/>
        </w:rPr>
        <w:t>, 2015</w:t>
      </w:r>
    </w:p>
    <w:p w14:paraId="75830AF1" w14:textId="77777777" w:rsidR="00D47A3D" w:rsidRPr="00D807FF" w:rsidRDefault="00D47A3D" w:rsidP="008B6401">
      <w:pPr>
        <w:spacing w:line="288" w:lineRule="auto"/>
        <w:rPr>
          <w:sz w:val="25"/>
          <w:szCs w:val="25"/>
        </w:rPr>
      </w:pPr>
    </w:p>
    <w:p w14:paraId="3F47A980" w14:textId="77777777" w:rsidR="00984FE4" w:rsidRPr="005F1869" w:rsidRDefault="00984FE4" w:rsidP="008B6401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AD6D72">
        <w:rPr>
          <w:i/>
          <w:sz w:val="25"/>
          <w:szCs w:val="25"/>
        </w:rPr>
        <w:t>Pacific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AD6D72">
        <w:rPr>
          <w:sz w:val="25"/>
          <w:szCs w:val="25"/>
        </w:rPr>
        <w:t xml:space="preserve">Docket </w:t>
      </w:r>
      <w:r w:rsidR="00000B00">
        <w:rPr>
          <w:sz w:val="25"/>
          <w:szCs w:val="25"/>
        </w:rPr>
        <w:t>UE-</w:t>
      </w:r>
      <w:r w:rsidR="00AD6D72">
        <w:rPr>
          <w:sz w:val="25"/>
          <w:szCs w:val="25"/>
        </w:rPr>
        <w:t>100749</w:t>
      </w:r>
    </w:p>
    <w:p w14:paraId="3B3E6758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640F7E9F" w14:textId="77777777" w:rsidR="00984FE4" w:rsidRPr="00D807FF" w:rsidRDefault="00984FE4" w:rsidP="008B6401">
      <w:pPr>
        <w:spacing w:line="288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417989EE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6EAD4613" w14:textId="77777777" w:rsidR="00832B95" w:rsidRDefault="00973912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On December 12, 2014, t</w:t>
      </w:r>
      <w:r w:rsidR="00984FE4" w:rsidRPr="00D807FF">
        <w:rPr>
          <w:sz w:val="25"/>
          <w:szCs w:val="25"/>
        </w:rPr>
        <w:t xml:space="preserve">he </w:t>
      </w:r>
      <w:r w:rsidR="00743DDE" w:rsidRPr="00D807FF">
        <w:rPr>
          <w:sz w:val="25"/>
          <w:szCs w:val="25"/>
        </w:rPr>
        <w:t>Washington Utilities and Transportation Commission (</w:t>
      </w:r>
      <w:r w:rsidR="00984FE4"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="00984FE4" w:rsidRPr="00D807FF">
        <w:rPr>
          <w:sz w:val="25"/>
          <w:szCs w:val="25"/>
        </w:rPr>
        <w:t xml:space="preserve"> entered Order </w:t>
      </w:r>
      <w:r w:rsidR="00AD6D72">
        <w:rPr>
          <w:sz w:val="25"/>
          <w:szCs w:val="25"/>
        </w:rPr>
        <w:t>16 in Docket</w:t>
      </w:r>
      <w:r w:rsidR="007B3C4F">
        <w:rPr>
          <w:sz w:val="25"/>
          <w:szCs w:val="25"/>
        </w:rPr>
        <w:t xml:space="preserve"> UE-</w:t>
      </w:r>
      <w:r w:rsidR="00AD6D72">
        <w:rPr>
          <w:sz w:val="25"/>
          <w:szCs w:val="25"/>
        </w:rPr>
        <w:t>100749</w:t>
      </w:r>
      <w:r w:rsidR="00EA2564">
        <w:rPr>
          <w:sz w:val="25"/>
          <w:szCs w:val="25"/>
        </w:rPr>
        <w:t>,</w:t>
      </w:r>
      <w:r w:rsidR="00984FE4"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</w:t>
      </w:r>
      <w:r w:rsidR="00B44BB8">
        <w:rPr>
          <w:rFonts w:cstheme="minorBidi"/>
          <w:sz w:val="25"/>
          <w:szCs w:val="25"/>
        </w:rPr>
        <w:t xml:space="preserve">Filed </w:t>
      </w:r>
      <w:r w:rsidR="00AD6D72">
        <w:rPr>
          <w:rFonts w:cstheme="minorBidi"/>
          <w:sz w:val="25"/>
          <w:szCs w:val="25"/>
        </w:rPr>
        <w:t>Revision to Schedule 95 and Authorizing Alternative Recovery of Over-Credits of Renewable</w:t>
      </w:r>
      <w:r w:rsidR="00702E02">
        <w:rPr>
          <w:rFonts w:cstheme="minorBidi"/>
          <w:sz w:val="25"/>
          <w:szCs w:val="25"/>
        </w:rPr>
        <w:t xml:space="preserve"> Energy Credit Sale Proceeds</w:t>
      </w:r>
      <w:r w:rsidR="00B44BB8">
        <w:rPr>
          <w:sz w:val="25"/>
          <w:szCs w:val="25"/>
        </w:rPr>
        <w:t xml:space="preserve"> </w:t>
      </w:r>
      <w:r w:rsidR="00E054BB">
        <w:rPr>
          <w:sz w:val="25"/>
          <w:szCs w:val="25"/>
        </w:rPr>
        <w:t>(Order</w:t>
      </w:r>
      <w:r w:rsidR="008E7156">
        <w:rPr>
          <w:sz w:val="25"/>
          <w:szCs w:val="25"/>
        </w:rPr>
        <w:t xml:space="preserve"> 16</w:t>
      </w:r>
      <w:r w:rsidR="00E054BB">
        <w:rPr>
          <w:sz w:val="25"/>
          <w:szCs w:val="25"/>
        </w:rPr>
        <w:t>)</w:t>
      </w:r>
      <w:r w:rsidR="00984FE4" w:rsidRPr="00D807FF">
        <w:rPr>
          <w:sz w:val="25"/>
          <w:szCs w:val="25"/>
        </w:rPr>
        <w:t xml:space="preserve">.  </w:t>
      </w:r>
      <w:r w:rsidR="00CB7D0B">
        <w:rPr>
          <w:sz w:val="25"/>
          <w:szCs w:val="25"/>
        </w:rPr>
        <w:t>Order 16</w:t>
      </w:r>
      <w:r w:rsidR="008D7F63" w:rsidRPr="00D807FF">
        <w:rPr>
          <w:sz w:val="25"/>
          <w:szCs w:val="25"/>
        </w:rPr>
        <w:t xml:space="preserve">, among other things, rejected tariff proposals by </w:t>
      </w:r>
      <w:r w:rsidR="00702E02">
        <w:rPr>
          <w:sz w:val="25"/>
          <w:szCs w:val="25"/>
        </w:rPr>
        <w:t>Pacific Power &amp; Light Company</w:t>
      </w:r>
      <w:r w:rsidR="008D7F63">
        <w:rPr>
          <w:sz w:val="25"/>
          <w:szCs w:val="25"/>
        </w:rPr>
        <w:t xml:space="preserve"> (</w:t>
      </w:r>
      <w:r w:rsidR="004F6DBB">
        <w:rPr>
          <w:sz w:val="25"/>
          <w:szCs w:val="25"/>
        </w:rPr>
        <w:t>Pacific Power</w:t>
      </w:r>
      <w:r w:rsidR="007C669C">
        <w:rPr>
          <w:sz w:val="25"/>
          <w:szCs w:val="25"/>
        </w:rPr>
        <w:t xml:space="preserve"> or Company</w:t>
      </w:r>
      <w:r w:rsidR="008D7F63">
        <w:rPr>
          <w:sz w:val="25"/>
          <w:szCs w:val="25"/>
        </w:rPr>
        <w:t>)</w:t>
      </w:r>
      <w:r w:rsidR="00EA2564">
        <w:rPr>
          <w:sz w:val="25"/>
          <w:szCs w:val="25"/>
        </w:rPr>
        <w:t>, and</w:t>
      </w:r>
      <w:r w:rsidR="008D7F63" w:rsidRPr="00D807FF">
        <w:rPr>
          <w:sz w:val="25"/>
          <w:szCs w:val="25"/>
        </w:rPr>
        <w:t xml:space="preserve"> authorized the Commission Secretary to approve by letter, with copies to all parties, revised tariff sheets that comply with the requirements of</w:t>
      </w:r>
      <w:r w:rsidR="00EA2564">
        <w:rPr>
          <w:sz w:val="25"/>
          <w:szCs w:val="25"/>
        </w:rPr>
        <w:t xml:space="preserve"> </w:t>
      </w:r>
      <w:r w:rsidR="008D7F63" w:rsidRPr="00D807FF">
        <w:rPr>
          <w:sz w:val="25"/>
          <w:szCs w:val="25"/>
        </w:rPr>
        <w:t>Order</w:t>
      </w:r>
      <w:r w:rsidR="00B06E21">
        <w:rPr>
          <w:sz w:val="25"/>
          <w:szCs w:val="25"/>
        </w:rPr>
        <w:t xml:space="preserve"> 16</w:t>
      </w:r>
      <w:r w:rsidR="008D7F63" w:rsidRPr="00D807FF">
        <w:rPr>
          <w:sz w:val="25"/>
          <w:szCs w:val="25"/>
        </w:rPr>
        <w:t>.</w:t>
      </w:r>
    </w:p>
    <w:p w14:paraId="08664636" w14:textId="77777777" w:rsidR="00B94632" w:rsidRDefault="00B94632" w:rsidP="008B6401">
      <w:pPr>
        <w:spacing w:line="288" w:lineRule="auto"/>
        <w:rPr>
          <w:sz w:val="25"/>
          <w:szCs w:val="25"/>
        </w:rPr>
      </w:pPr>
    </w:p>
    <w:p w14:paraId="56A02A1B" w14:textId="77777777" w:rsidR="00973912" w:rsidRDefault="00E054BB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02E02">
        <w:rPr>
          <w:sz w:val="25"/>
          <w:szCs w:val="25"/>
        </w:rPr>
        <w:t>January 30</w:t>
      </w:r>
      <w:r>
        <w:rPr>
          <w:sz w:val="25"/>
          <w:szCs w:val="25"/>
        </w:rPr>
        <w:t>, 201</w:t>
      </w:r>
      <w:r w:rsidR="00702E02">
        <w:rPr>
          <w:sz w:val="25"/>
          <w:szCs w:val="25"/>
        </w:rPr>
        <w:t>5</w:t>
      </w:r>
      <w:r>
        <w:rPr>
          <w:sz w:val="25"/>
          <w:szCs w:val="25"/>
        </w:rPr>
        <w:t xml:space="preserve">, </w:t>
      </w:r>
      <w:r w:rsidR="004F6DBB">
        <w:rPr>
          <w:sz w:val="25"/>
          <w:szCs w:val="25"/>
        </w:rPr>
        <w:t xml:space="preserve">Pacific Power </w:t>
      </w:r>
      <w:r w:rsidR="00973912">
        <w:rPr>
          <w:sz w:val="25"/>
          <w:szCs w:val="25"/>
        </w:rPr>
        <w:t>filed the following revised</w:t>
      </w:r>
      <w:r>
        <w:rPr>
          <w:sz w:val="25"/>
          <w:szCs w:val="25"/>
        </w:rPr>
        <w:t xml:space="preserve"> tariff sheet.  </w:t>
      </w:r>
    </w:p>
    <w:p w14:paraId="597C3941" w14:textId="77777777" w:rsidR="00973912" w:rsidRDefault="00973912" w:rsidP="008B6401">
      <w:pPr>
        <w:spacing w:line="288" w:lineRule="auto"/>
        <w:rPr>
          <w:sz w:val="25"/>
          <w:szCs w:val="25"/>
        </w:rPr>
      </w:pPr>
    </w:p>
    <w:tbl>
      <w:tblPr>
        <w:tblStyle w:val="TableGrid"/>
        <w:tblW w:w="8910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3713"/>
        <w:gridCol w:w="1530"/>
        <w:gridCol w:w="3667"/>
      </w:tblGrid>
      <w:tr w:rsidR="00973912" w:rsidRPr="003458FD" w14:paraId="711DFCB2" w14:textId="77777777" w:rsidTr="006920CD">
        <w:trPr>
          <w:trHeight w:val="557"/>
        </w:trPr>
        <w:tc>
          <w:tcPr>
            <w:tcW w:w="3713" w:type="dxa"/>
          </w:tcPr>
          <w:p w14:paraId="0DAD5E97" w14:textId="77777777" w:rsidR="00973912" w:rsidRPr="003458FD" w:rsidRDefault="00973912" w:rsidP="00A469D8">
            <w:pPr>
              <w:widowControl w:val="0"/>
              <w:ind w:left="-108"/>
            </w:pPr>
            <w:r w:rsidRPr="003458FD">
              <w:t>Second Revision of Sheet No. 95.1</w:t>
            </w:r>
          </w:p>
        </w:tc>
        <w:tc>
          <w:tcPr>
            <w:tcW w:w="1530" w:type="dxa"/>
          </w:tcPr>
          <w:p w14:paraId="4F127084" w14:textId="77777777" w:rsidR="00973912" w:rsidRPr="003458FD" w:rsidRDefault="00973912" w:rsidP="00A469D8">
            <w:pPr>
              <w:widowControl w:val="0"/>
            </w:pPr>
            <w:r w:rsidRPr="003458FD">
              <w:t>Schedule 95</w:t>
            </w:r>
          </w:p>
        </w:tc>
        <w:tc>
          <w:tcPr>
            <w:tcW w:w="3667" w:type="dxa"/>
          </w:tcPr>
          <w:p w14:paraId="1173517F" w14:textId="77777777" w:rsidR="006920CD" w:rsidRDefault="00973912" w:rsidP="006920CD">
            <w:pPr>
              <w:widowControl w:val="0"/>
            </w:pPr>
            <w:r w:rsidRPr="003458FD">
              <w:t>Renewable Energy Revenue</w:t>
            </w:r>
          </w:p>
          <w:p w14:paraId="100A2AF0" w14:textId="77777777" w:rsidR="00973912" w:rsidRPr="003458FD" w:rsidRDefault="00973912" w:rsidP="006920CD">
            <w:pPr>
              <w:widowControl w:val="0"/>
            </w:pPr>
            <w:r w:rsidRPr="003458FD">
              <w:t>Adjustment</w:t>
            </w:r>
          </w:p>
        </w:tc>
      </w:tr>
    </w:tbl>
    <w:p w14:paraId="26742BC1" w14:textId="77777777" w:rsidR="00973912" w:rsidRDefault="00973912" w:rsidP="008B6401">
      <w:pPr>
        <w:spacing w:line="288" w:lineRule="auto"/>
        <w:rPr>
          <w:sz w:val="25"/>
          <w:szCs w:val="25"/>
        </w:rPr>
      </w:pPr>
    </w:p>
    <w:p w14:paraId="51BF64F4" w14:textId="77777777" w:rsidR="00E054BB" w:rsidRDefault="008D7F63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The Commission has examined the filing</w:t>
      </w:r>
      <w:r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and it appears to comply with the terms of Order</w:t>
      </w:r>
      <w:r w:rsidR="008E7156">
        <w:rPr>
          <w:sz w:val="25"/>
          <w:szCs w:val="25"/>
        </w:rPr>
        <w:t xml:space="preserve"> 16</w:t>
      </w:r>
      <w:r w:rsidR="007B3C4F">
        <w:rPr>
          <w:sz w:val="25"/>
          <w:szCs w:val="25"/>
        </w:rPr>
        <w:t>.</w:t>
      </w:r>
    </w:p>
    <w:p w14:paraId="3690B650" w14:textId="77777777" w:rsidR="008B6401" w:rsidRDefault="008B6401" w:rsidP="008B6401">
      <w:pPr>
        <w:spacing w:line="288" w:lineRule="auto"/>
        <w:rPr>
          <w:sz w:val="25"/>
          <w:szCs w:val="25"/>
        </w:rPr>
      </w:pPr>
    </w:p>
    <w:p w14:paraId="68AEF473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</w:t>
      </w:r>
      <w:r w:rsidR="008E7156">
        <w:rPr>
          <w:sz w:val="25"/>
          <w:szCs w:val="25"/>
        </w:rPr>
        <w:t xml:space="preserve">in accordance with Order 16, </w:t>
      </w:r>
      <w:r w:rsidRPr="00D807FF">
        <w:rPr>
          <w:sz w:val="25"/>
          <w:szCs w:val="25"/>
        </w:rPr>
        <w:t xml:space="preserve">the tariff sheet indicated </w:t>
      </w:r>
      <w:r w:rsidR="00973912">
        <w:rPr>
          <w:sz w:val="25"/>
          <w:szCs w:val="25"/>
        </w:rPr>
        <w:t>above</w:t>
      </w:r>
      <w:r w:rsidRPr="00D807FF">
        <w:rPr>
          <w:sz w:val="25"/>
          <w:szCs w:val="25"/>
        </w:rPr>
        <w:t xml:space="preserve"> will become effective as filed </w:t>
      </w:r>
      <w:r w:rsidR="008E7156">
        <w:rPr>
          <w:sz w:val="25"/>
          <w:szCs w:val="25"/>
        </w:rPr>
        <w:t>on the effective date of the tariff filings Pacific Power makes in compliance with the final order in Docket UE-140762.  The Commission and the Company</w:t>
      </w:r>
      <w:r w:rsidR="00525EB0">
        <w:rPr>
          <w:sz w:val="25"/>
          <w:szCs w:val="25"/>
        </w:rPr>
        <w:t xml:space="preserve"> </w:t>
      </w:r>
      <w:r w:rsidR="008E7156">
        <w:rPr>
          <w:sz w:val="25"/>
          <w:szCs w:val="25"/>
        </w:rPr>
        <w:t xml:space="preserve">expect this </w:t>
      </w:r>
      <w:r w:rsidRPr="00D807FF">
        <w:rPr>
          <w:sz w:val="25"/>
          <w:szCs w:val="25"/>
        </w:rPr>
        <w:t xml:space="preserve">effective date </w:t>
      </w:r>
      <w:r w:rsidR="008E7156">
        <w:rPr>
          <w:sz w:val="25"/>
          <w:szCs w:val="25"/>
        </w:rPr>
        <w:t>will be</w:t>
      </w:r>
      <w:r w:rsidR="008E7156" w:rsidRPr="00D807FF">
        <w:rPr>
          <w:sz w:val="25"/>
          <w:szCs w:val="25"/>
        </w:rPr>
        <w:t xml:space="preserve"> </w:t>
      </w:r>
      <w:r w:rsidR="00702E02">
        <w:rPr>
          <w:sz w:val="25"/>
          <w:szCs w:val="25"/>
        </w:rPr>
        <w:t>March 31, 2015</w:t>
      </w:r>
      <w:r w:rsidR="00411F03">
        <w:rPr>
          <w:sz w:val="25"/>
          <w:szCs w:val="25"/>
        </w:rPr>
        <w:t>.</w:t>
      </w:r>
    </w:p>
    <w:p w14:paraId="1AE4D45E" w14:textId="77777777"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14:paraId="57B3E5E6" w14:textId="77777777" w:rsidR="00984FE4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14:paraId="2B879AE6" w14:textId="77777777" w:rsidR="00C001C7" w:rsidRDefault="00C001C7" w:rsidP="008B6401">
      <w:pPr>
        <w:spacing w:line="288" w:lineRule="auto"/>
        <w:rPr>
          <w:sz w:val="25"/>
          <w:szCs w:val="25"/>
        </w:rPr>
      </w:pPr>
    </w:p>
    <w:p w14:paraId="0C4E2414" w14:textId="77777777" w:rsidR="006920CD" w:rsidRDefault="006920CD" w:rsidP="008B6401">
      <w:pPr>
        <w:spacing w:line="288" w:lineRule="auto"/>
        <w:rPr>
          <w:sz w:val="25"/>
          <w:szCs w:val="25"/>
        </w:rPr>
      </w:pPr>
    </w:p>
    <w:p w14:paraId="2CCAC16C" w14:textId="77777777" w:rsidR="00C001C7" w:rsidRPr="00D807FF" w:rsidRDefault="00297C43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96B21E0" w14:textId="77777777" w:rsidR="00B00AFB" w:rsidRDefault="00C001C7" w:rsidP="006920CD">
      <w:pPr>
        <w:spacing w:line="288" w:lineRule="auto"/>
        <w:rPr>
          <w:color w:val="000000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sectPr w:rsidR="00B00AFB" w:rsidSect="006920CD">
      <w:headerReference w:type="default" r:id="rId11"/>
      <w:headerReference w:type="first" r:id="rId12"/>
      <w:footerReference w:type="first" r:id="rId13"/>
      <w:pgSz w:w="12240" w:h="15840" w:code="1"/>
      <w:pgMar w:top="720" w:right="1440" w:bottom="72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307" w14:textId="77777777" w:rsidR="00A17D26" w:rsidRDefault="00A17D26" w:rsidP="00E2675D">
      <w:r>
        <w:separator/>
      </w:r>
    </w:p>
  </w:endnote>
  <w:endnote w:type="continuationSeparator" w:id="0">
    <w:p w14:paraId="5921ACFD" w14:textId="77777777" w:rsidR="00A17D26" w:rsidRDefault="00A17D26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DB79" w14:textId="77777777" w:rsidR="006920CD" w:rsidRDefault="006920CD" w:rsidP="006920C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A733" w14:textId="77777777" w:rsidR="00A17D26" w:rsidRDefault="00A17D26" w:rsidP="00E2675D">
      <w:r>
        <w:separator/>
      </w:r>
    </w:p>
  </w:footnote>
  <w:footnote w:type="continuationSeparator" w:id="0">
    <w:p w14:paraId="7F758763" w14:textId="77777777" w:rsidR="00A17D26" w:rsidRDefault="00A17D26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AA21" w14:textId="77777777" w:rsidR="00FA7878" w:rsidRDefault="00FA7878">
    <w:pPr>
      <w:pStyle w:val="Header"/>
      <w:rPr>
        <w:b/>
        <w:noProof/>
        <w:sz w:val="20"/>
      </w:rPr>
    </w:pPr>
    <w:r>
      <w:rPr>
        <w:b/>
        <w:sz w:val="20"/>
      </w:rPr>
      <w:t>DOCKET</w:t>
    </w:r>
    <w:r w:rsidR="00237E60" w:rsidRPr="00FA7878">
      <w:rPr>
        <w:b/>
        <w:sz w:val="20"/>
      </w:rPr>
      <w:t xml:space="preserve"> UE-</w:t>
    </w:r>
    <w:r w:rsidR="00803F13">
      <w:rPr>
        <w:b/>
        <w:sz w:val="20"/>
      </w:rPr>
      <w:t>100749</w:t>
    </w:r>
    <w:r w:rsidR="00237E60" w:rsidRPr="00FA7878">
      <w:rPr>
        <w:b/>
        <w:sz w:val="20"/>
      </w:rPr>
      <w:ptab w:relativeTo="margin" w:alignment="right" w:leader="none"/>
    </w:r>
    <w:r w:rsidR="00237E60" w:rsidRPr="00FA7878">
      <w:rPr>
        <w:b/>
        <w:sz w:val="20"/>
      </w:rPr>
      <w:t xml:space="preserve">PAGE </w:t>
    </w:r>
    <w:r w:rsidR="00237E60" w:rsidRPr="00FA7878">
      <w:rPr>
        <w:b/>
        <w:sz w:val="20"/>
      </w:rPr>
      <w:fldChar w:fldCharType="begin"/>
    </w:r>
    <w:r w:rsidR="00237E60" w:rsidRPr="00FA7878">
      <w:rPr>
        <w:b/>
        <w:sz w:val="20"/>
      </w:rPr>
      <w:instrText xml:space="preserve"> PAGE   \* MERGEFORMAT </w:instrText>
    </w:r>
    <w:r w:rsidR="00237E60" w:rsidRPr="00FA7878">
      <w:rPr>
        <w:b/>
        <w:sz w:val="20"/>
      </w:rPr>
      <w:fldChar w:fldCharType="separate"/>
    </w:r>
    <w:r w:rsidR="006920CD">
      <w:rPr>
        <w:b/>
        <w:noProof/>
        <w:sz w:val="20"/>
      </w:rPr>
      <w:t>2</w:t>
    </w:r>
    <w:r w:rsidR="00237E60" w:rsidRPr="00FA7878">
      <w:rPr>
        <w:b/>
        <w:noProof/>
        <w:sz w:val="20"/>
      </w:rPr>
      <w:fldChar w:fldCharType="end"/>
    </w:r>
  </w:p>
  <w:p w14:paraId="0E2578DA" w14:textId="77777777" w:rsidR="003466FB" w:rsidRDefault="003466FB">
    <w:pPr>
      <w:pStyle w:val="Header"/>
      <w:rPr>
        <w:b/>
        <w:noProof/>
        <w:sz w:val="20"/>
      </w:rPr>
    </w:pPr>
  </w:p>
  <w:p w14:paraId="4E99F3E6" w14:textId="77777777" w:rsidR="003466FB" w:rsidRDefault="00346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E7F8" w14:textId="6C058558" w:rsidR="00EB1104" w:rsidRPr="00EB1104" w:rsidRDefault="00DF060C" w:rsidP="00EB110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February 13,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43699"/>
    <w:rsid w:val="00080771"/>
    <w:rsid w:val="00092415"/>
    <w:rsid w:val="0009640F"/>
    <w:rsid w:val="000B2225"/>
    <w:rsid w:val="000D3515"/>
    <w:rsid w:val="000F5435"/>
    <w:rsid w:val="001475C3"/>
    <w:rsid w:val="00170D00"/>
    <w:rsid w:val="0018019C"/>
    <w:rsid w:val="00184163"/>
    <w:rsid w:val="001A0005"/>
    <w:rsid w:val="001B2CA9"/>
    <w:rsid w:val="001F54E7"/>
    <w:rsid w:val="00231350"/>
    <w:rsid w:val="00237E60"/>
    <w:rsid w:val="002403D2"/>
    <w:rsid w:val="00242D23"/>
    <w:rsid w:val="00244042"/>
    <w:rsid w:val="00244E6F"/>
    <w:rsid w:val="002512F9"/>
    <w:rsid w:val="00270FAF"/>
    <w:rsid w:val="0029749C"/>
    <w:rsid w:val="00297C43"/>
    <w:rsid w:val="002C5F29"/>
    <w:rsid w:val="00316073"/>
    <w:rsid w:val="00320645"/>
    <w:rsid w:val="00322830"/>
    <w:rsid w:val="00333497"/>
    <w:rsid w:val="003466FB"/>
    <w:rsid w:val="00346B61"/>
    <w:rsid w:val="003B3116"/>
    <w:rsid w:val="003C5F77"/>
    <w:rsid w:val="004011CD"/>
    <w:rsid w:val="00411F03"/>
    <w:rsid w:val="004137E7"/>
    <w:rsid w:val="004164EF"/>
    <w:rsid w:val="004648E9"/>
    <w:rsid w:val="0048172D"/>
    <w:rsid w:val="00493D65"/>
    <w:rsid w:val="00497C7E"/>
    <w:rsid w:val="004A6B58"/>
    <w:rsid w:val="004B2782"/>
    <w:rsid w:val="004D784D"/>
    <w:rsid w:val="004F6DBB"/>
    <w:rsid w:val="0050670E"/>
    <w:rsid w:val="00525EB0"/>
    <w:rsid w:val="00540236"/>
    <w:rsid w:val="00545A46"/>
    <w:rsid w:val="0055304B"/>
    <w:rsid w:val="00593CE4"/>
    <w:rsid w:val="005B71A4"/>
    <w:rsid w:val="005C57F2"/>
    <w:rsid w:val="005D1074"/>
    <w:rsid w:val="005D28BB"/>
    <w:rsid w:val="005F1869"/>
    <w:rsid w:val="005F6842"/>
    <w:rsid w:val="00615D0E"/>
    <w:rsid w:val="006211BA"/>
    <w:rsid w:val="00646DDF"/>
    <w:rsid w:val="00650D76"/>
    <w:rsid w:val="006920CD"/>
    <w:rsid w:val="006D02FE"/>
    <w:rsid w:val="006F567C"/>
    <w:rsid w:val="00701C69"/>
    <w:rsid w:val="00702E02"/>
    <w:rsid w:val="00743DDE"/>
    <w:rsid w:val="00744114"/>
    <w:rsid w:val="00746F2A"/>
    <w:rsid w:val="00752A5C"/>
    <w:rsid w:val="007532C7"/>
    <w:rsid w:val="00763737"/>
    <w:rsid w:val="00784C45"/>
    <w:rsid w:val="00792BC9"/>
    <w:rsid w:val="007B3C4F"/>
    <w:rsid w:val="007C669C"/>
    <w:rsid w:val="007F53F1"/>
    <w:rsid w:val="00803F13"/>
    <w:rsid w:val="00810EBD"/>
    <w:rsid w:val="0081169F"/>
    <w:rsid w:val="00826875"/>
    <w:rsid w:val="00832B95"/>
    <w:rsid w:val="008769A8"/>
    <w:rsid w:val="008A0C15"/>
    <w:rsid w:val="008A18B8"/>
    <w:rsid w:val="008A35EA"/>
    <w:rsid w:val="008B6401"/>
    <w:rsid w:val="008B7E4C"/>
    <w:rsid w:val="008C5F2C"/>
    <w:rsid w:val="008D7F63"/>
    <w:rsid w:val="008E7156"/>
    <w:rsid w:val="00903E77"/>
    <w:rsid w:val="009276E9"/>
    <w:rsid w:val="009278E4"/>
    <w:rsid w:val="00931500"/>
    <w:rsid w:val="00943CE2"/>
    <w:rsid w:val="00944AD3"/>
    <w:rsid w:val="00945C37"/>
    <w:rsid w:val="0095670C"/>
    <w:rsid w:val="009658B3"/>
    <w:rsid w:val="00973912"/>
    <w:rsid w:val="00973B48"/>
    <w:rsid w:val="00981E37"/>
    <w:rsid w:val="00984FE4"/>
    <w:rsid w:val="009F38CA"/>
    <w:rsid w:val="00A065CA"/>
    <w:rsid w:val="00A17D26"/>
    <w:rsid w:val="00A403A6"/>
    <w:rsid w:val="00A435FC"/>
    <w:rsid w:val="00A5134D"/>
    <w:rsid w:val="00A542FE"/>
    <w:rsid w:val="00A80DCF"/>
    <w:rsid w:val="00AA2492"/>
    <w:rsid w:val="00AA7135"/>
    <w:rsid w:val="00AA76DF"/>
    <w:rsid w:val="00AD2B25"/>
    <w:rsid w:val="00AD6D72"/>
    <w:rsid w:val="00AF7DBE"/>
    <w:rsid w:val="00AF7EC6"/>
    <w:rsid w:val="00B00AFB"/>
    <w:rsid w:val="00B06E21"/>
    <w:rsid w:val="00B44BB8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91F2D"/>
    <w:rsid w:val="00CA51DD"/>
    <w:rsid w:val="00CB7D0B"/>
    <w:rsid w:val="00CD5E71"/>
    <w:rsid w:val="00CF7B60"/>
    <w:rsid w:val="00D35F82"/>
    <w:rsid w:val="00D361DE"/>
    <w:rsid w:val="00D363AF"/>
    <w:rsid w:val="00D42945"/>
    <w:rsid w:val="00D47A3D"/>
    <w:rsid w:val="00D7341F"/>
    <w:rsid w:val="00D74F70"/>
    <w:rsid w:val="00D807FF"/>
    <w:rsid w:val="00D93BBB"/>
    <w:rsid w:val="00DB2BDD"/>
    <w:rsid w:val="00DC0B2A"/>
    <w:rsid w:val="00DF060C"/>
    <w:rsid w:val="00E00545"/>
    <w:rsid w:val="00E03565"/>
    <w:rsid w:val="00E054BB"/>
    <w:rsid w:val="00E13CE1"/>
    <w:rsid w:val="00E2675D"/>
    <w:rsid w:val="00E40931"/>
    <w:rsid w:val="00E97EC5"/>
    <w:rsid w:val="00EA0931"/>
    <w:rsid w:val="00EA2564"/>
    <w:rsid w:val="00EA59E3"/>
    <w:rsid w:val="00EB1104"/>
    <w:rsid w:val="00EE20B8"/>
    <w:rsid w:val="00F01AFA"/>
    <w:rsid w:val="00F03E6D"/>
    <w:rsid w:val="00F140EA"/>
    <w:rsid w:val="00F430B0"/>
    <w:rsid w:val="00F704FB"/>
    <w:rsid w:val="00F73AEB"/>
    <w:rsid w:val="00F801A8"/>
    <w:rsid w:val="00F81CAA"/>
    <w:rsid w:val="00F83CE9"/>
    <w:rsid w:val="00F94F91"/>
    <w:rsid w:val="00FA3AC5"/>
    <w:rsid w:val="00FA7878"/>
    <w:rsid w:val="00FB1F79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FBF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2015-02-13T20:08:10+00:00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00D6-888F-4FDC-A8DD-E7C7074DCFFC}"/>
</file>

<file path=customXml/itemProps2.xml><?xml version="1.0" encoding="utf-8"?>
<ds:datastoreItem xmlns:ds="http://schemas.openxmlformats.org/officeDocument/2006/customXml" ds:itemID="{001C1520-7AA6-47DB-A914-D6058E049157}"/>
</file>

<file path=customXml/itemProps3.xml><?xml version="1.0" encoding="utf-8"?>
<ds:datastoreItem xmlns:ds="http://schemas.openxmlformats.org/officeDocument/2006/customXml" ds:itemID="{60E8A309-2E3A-4287-BA9D-ED627368A8D9}"/>
</file>

<file path=customXml/itemProps4.xml><?xml version="1.0" encoding="utf-8"?>
<ds:datastoreItem xmlns:ds="http://schemas.openxmlformats.org/officeDocument/2006/customXml" ds:itemID="{9B17AE8A-C735-4DC9-A56D-7A0837B77B3E}"/>
</file>

<file path=customXml/itemProps5.xml><?xml version="1.0" encoding="utf-8"?>
<ds:datastoreItem xmlns:ds="http://schemas.openxmlformats.org/officeDocument/2006/customXml" ds:itemID="{CBA368C2-42A0-4D3E-BF2B-42969AD6C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2015-02-13T17:07:00Z</dcterms:created>
  <dcterms:modified xsi:type="dcterms:W3CDTF">2015-02-13T17:07:00Z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