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5B" w:rsidRPr="00B814E2" w:rsidRDefault="00B814E2" w:rsidP="00B814E2">
      <w:pPr>
        <w:ind w:left="5760"/>
        <w:rPr>
          <w:b/>
        </w:rPr>
      </w:pPr>
      <w:bookmarkStart w:id="0" w:name="_GoBack"/>
      <w:bookmarkEnd w:id="0"/>
      <w:r w:rsidRPr="00B814E2">
        <w:rPr>
          <w:b/>
        </w:rPr>
        <w:t>Exhibit No. ___</w:t>
      </w:r>
      <w:r w:rsidR="0017271E" w:rsidRPr="00B814E2">
        <w:rPr>
          <w:b/>
        </w:rPr>
        <w:t xml:space="preserve"> (</w:t>
      </w:r>
      <w:proofErr w:type="spellStart"/>
      <w:r w:rsidR="0017271E">
        <w:rPr>
          <w:b/>
        </w:rPr>
        <w:t>SVK-</w:t>
      </w:r>
      <w:r w:rsidR="00F73950">
        <w:rPr>
          <w:b/>
        </w:rPr>
        <w:t>3</w:t>
      </w:r>
      <w:r w:rsidR="00E3033A" w:rsidRPr="00B814E2">
        <w:rPr>
          <w:b/>
        </w:rPr>
        <w:t>T</w:t>
      </w:r>
      <w:proofErr w:type="spellEnd"/>
      <w:r w:rsidRPr="00B814E2">
        <w:rPr>
          <w:b/>
        </w:rPr>
        <w:t>)</w:t>
      </w:r>
    </w:p>
    <w:p w:rsidR="00B814E2" w:rsidRPr="00B814E2" w:rsidRDefault="00B814E2" w:rsidP="00B814E2">
      <w:pPr>
        <w:ind w:left="5760"/>
        <w:rPr>
          <w:b/>
        </w:rPr>
      </w:pPr>
      <w:r w:rsidRPr="00B814E2">
        <w:rPr>
          <w:b/>
        </w:rPr>
        <w:t xml:space="preserve">Docket </w:t>
      </w:r>
      <w:r w:rsidR="00BE6E2C">
        <w:rPr>
          <w:b/>
        </w:rPr>
        <w:t>U</w:t>
      </w:r>
      <w:r w:rsidRPr="00B814E2">
        <w:rPr>
          <w:b/>
        </w:rPr>
        <w:t>-</w:t>
      </w:r>
      <w:r w:rsidR="00BE6E2C">
        <w:rPr>
          <w:b/>
        </w:rPr>
        <w:t>110808</w:t>
      </w:r>
    </w:p>
    <w:p w:rsidR="00B814E2" w:rsidRPr="00B814E2" w:rsidRDefault="0046251D" w:rsidP="00B814E2">
      <w:pPr>
        <w:ind w:left="5760"/>
        <w:rPr>
          <w:b/>
        </w:rPr>
      </w:pPr>
      <w:r>
        <w:rPr>
          <w:b/>
        </w:rPr>
        <w:t xml:space="preserve">Witness:  </w:t>
      </w:r>
      <w:r w:rsidR="00031CCC">
        <w:rPr>
          <w:b/>
        </w:rPr>
        <w:t>Steven V. King</w:t>
      </w:r>
      <w:r w:rsidR="00B814E2" w:rsidRPr="00B814E2">
        <w:rPr>
          <w:b/>
        </w:rPr>
        <w:t xml:space="preserve"> </w:t>
      </w:r>
    </w:p>
    <w:p w:rsidR="00B814E2" w:rsidRPr="00B814E2" w:rsidRDefault="00B814E2" w:rsidP="00B814E2">
      <w:pPr>
        <w:rPr>
          <w:b/>
        </w:rPr>
      </w:pPr>
    </w:p>
    <w:p w:rsidR="00B814E2" w:rsidRPr="00B814E2" w:rsidRDefault="00B814E2" w:rsidP="00B814E2">
      <w:pPr>
        <w:rPr>
          <w:b/>
        </w:rPr>
      </w:pPr>
    </w:p>
    <w:p w:rsidR="00B814E2" w:rsidRPr="00B814E2" w:rsidRDefault="00B814E2" w:rsidP="00B814E2">
      <w:pPr>
        <w:ind w:left="-360" w:right="-252"/>
        <w:jc w:val="center"/>
        <w:rPr>
          <w:b/>
        </w:rPr>
      </w:pPr>
      <w:r w:rsidRPr="00B814E2">
        <w:rPr>
          <w:b/>
        </w:rPr>
        <w:t>BEFORE THE WASHINGTON UTILITIES AND TRANSPORTATION COMMISSION</w:t>
      </w:r>
    </w:p>
    <w:p w:rsidR="00B814E2" w:rsidRPr="00B814E2" w:rsidRDefault="00B814E2" w:rsidP="00B814E2">
      <w:pPr>
        <w:rPr>
          <w:b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B814E2" w:rsidTr="008407B2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B814E2" w:rsidRDefault="00686BC6" w:rsidP="00F957C6">
            <w:pPr>
              <w:rPr>
                <w:b/>
                <w:bCs/>
              </w:rPr>
            </w:pPr>
            <w:r>
              <w:rPr>
                <w:b/>
                <w:bCs/>
              </w:rPr>
              <w:t>WASHINGTON UTILITIES AND TRANSPORTATION COMMISSION,</w:t>
            </w:r>
          </w:p>
          <w:p w:rsidR="00B814E2" w:rsidRDefault="00B814E2" w:rsidP="00F957C6">
            <w:pPr>
              <w:rPr>
                <w:b/>
                <w:bCs/>
              </w:rPr>
            </w:pPr>
          </w:p>
          <w:p w:rsidR="00B814E2" w:rsidRDefault="00B814E2" w:rsidP="00F957C6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Complainant, </w:t>
            </w:r>
          </w:p>
          <w:p w:rsidR="00B814E2" w:rsidRDefault="00B814E2" w:rsidP="00F957C6">
            <w:pPr>
              <w:rPr>
                <w:b/>
                <w:bCs/>
              </w:rPr>
            </w:pPr>
          </w:p>
          <w:p w:rsidR="00B814E2" w:rsidRDefault="00B814E2" w:rsidP="00F957C6">
            <w:pPr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  <w:p w:rsidR="00B814E2" w:rsidRDefault="00B814E2" w:rsidP="00F957C6">
            <w:pPr>
              <w:rPr>
                <w:b/>
                <w:bCs/>
              </w:rPr>
            </w:pPr>
          </w:p>
          <w:p w:rsidR="00B814E2" w:rsidRDefault="00686BC6" w:rsidP="00F957C6">
            <w:pPr>
              <w:rPr>
                <w:b/>
                <w:bCs/>
              </w:rPr>
            </w:pPr>
            <w:r>
              <w:rPr>
                <w:b/>
                <w:bCs/>
              </w:rPr>
              <w:t>PUGET SOUND ENERGY, INC.,</w:t>
            </w:r>
          </w:p>
          <w:p w:rsidR="00B814E2" w:rsidRDefault="00B814E2" w:rsidP="00F957C6">
            <w:pPr>
              <w:rPr>
                <w:b/>
                <w:bCs/>
              </w:rPr>
            </w:pPr>
          </w:p>
          <w:p w:rsidR="00B814E2" w:rsidRDefault="00B814E2" w:rsidP="00F957C6">
            <w:pPr>
              <w:spacing w:after="19"/>
              <w:rPr>
                <w:b/>
                <w:bCs/>
              </w:rPr>
            </w:pPr>
            <w:r>
              <w:rPr>
                <w:b/>
                <w:bCs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814E2" w:rsidRDefault="00B814E2" w:rsidP="00F957C6">
            <w:pP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 xml:space="preserve">DOCKET </w:t>
            </w:r>
            <w:r w:rsidR="008407B2">
              <w:rPr>
                <w:b/>
                <w:bCs/>
              </w:rPr>
              <w:t>U-110808</w:t>
            </w:r>
          </w:p>
          <w:p w:rsidR="00B814E2" w:rsidRDefault="00B814E2" w:rsidP="00F957C6">
            <w:pPr>
              <w:rPr>
                <w:b/>
                <w:bCs/>
              </w:rPr>
            </w:pPr>
          </w:p>
          <w:p w:rsidR="00B814E2" w:rsidRDefault="00B814E2" w:rsidP="00F957C6">
            <w:pPr>
              <w:spacing w:after="19"/>
              <w:ind w:left="720"/>
              <w:rPr>
                <w:b/>
                <w:bCs/>
              </w:rPr>
            </w:pPr>
          </w:p>
        </w:tc>
      </w:tr>
    </w:tbl>
    <w:p w:rsidR="00B814E2" w:rsidRDefault="00B814E2" w:rsidP="00B814E2">
      <w:pPr>
        <w:jc w:val="both"/>
      </w:pPr>
    </w:p>
    <w:p w:rsidR="00B814E2" w:rsidRDefault="00B814E2" w:rsidP="00B814E2">
      <w:pPr>
        <w:rPr>
          <w:b/>
          <w:bCs/>
        </w:rPr>
      </w:pPr>
    </w:p>
    <w:p w:rsidR="00B814E2" w:rsidRDefault="00B814E2" w:rsidP="00B814E2">
      <w:pPr>
        <w:rPr>
          <w:b/>
          <w:bCs/>
        </w:rPr>
      </w:pPr>
    </w:p>
    <w:p w:rsidR="00B814E2" w:rsidRDefault="00D00D71" w:rsidP="00B814E2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 xml:space="preserve">REBUTTAL </w:t>
      </w:r>
      <w:r w:rsidR="00B814E2">
        <w:rPr>
          <w:b/>
          <w:bCs/>
        </w:rPr>
        <w:t>TESTIMONY OF</w:t>
      </w:r>
    </w:p>
    <w:p w:rsidR="00B814E2" w:rsidRDefault="00B814E2" w:rsidP="00B814E2">
      <w:pPr>
        <w:jc w:val="center"/>
        <w:rPr>
          <w:b/>
          <w:bCs/>
        </w:rPr>
      </w:pPr>
    </w:p>
    <w:p w:rsidR="00B814E2" w:rsidRDefault="00285989" w:rsidP="00B814E2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Steve</w:t>
      </w:r>
      <w:r w:rsidR="00A21289">
        <w:rPr>
          <w:b/>
          <w:bCs/>
        </w:rPr>
        <w:t>n</w:t>
      </w:r>
      <w:r>
        <w:rPr>
          <w:b/>
          <w:bCs/>
        </w:rPr>
        <w:t xml:space="preserve"> </w:t>
      </w:r>
      <w:r w:rsidR="00031CCC">
        <w:rPr>
          <w:b/>
          <w:bCs/>
        </w:rPr>
        <w:t xml:space="preserve">V. </w:t>
      </w:r>
      <w:r>
        <w:rPr>
          <w:b/>
          <w:bCs/>
        </w:rPr>
        <w:t>King</w:t>
      </w:r>
    </w:p>
    <w:p w:rsidR="00B814E2" w:rsidRDefault="00B814E2" w:rsidP="00B814E2">
      <w:pPr>
        <w:tabs>
          <w:tab w:val="center" w:pos="4680"/>
        </w:tabs>
        <w:jc w:val="center"/>
        <w:rPr>
          <w:b/>
          <w:bCs/>
        </w:rPr>
      </w:pPr>
    </w:p>
    <w:p w:rsidR="00B814E2" w:rsidRDefault="00B814E2" w:rsidP="00B814E2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STAFF OF</w:t>
      </w:r>
    </w:p>
    <w:p w:rsidR="00B814E2" w:rsidRDefault="00B814E2" w:rsidP="00B814E2">
      <w:pPr>
        <w:tabs>
          <w:tab w:val="center" w:pos="4680"/>
        </w:tabs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</w:rPr>
            <w:t>WASHINGTON</w:t>
          </w:r>
        </w:smartTag>
      </w:smartTag>
      <w:r>
        <w:rPr>
          <w:b/>
          <w:bCs/>
        </w:rPr>
        <w:t xml:space="preserve"> UTILITIES AND</w:t>
      </w:r>
    </w:p>
    <w:p w:rsidR="00B814E2" w:rsidRDefault="00B814E2" w:rsidP="00B814E2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TRANSPORTATION COMMISSION</w:t>
      </w:r>
    </w:p>
    <w:p w:rsidR="00B814E2" w:rsidRDefault="00B814E2" w:rsidP="00B814E2">
      <w:pPr>
        <w:jc w:val="center"/>
        <w:rPr>
          <w:b/>
          <w:bCs/>
        </w:rPr>
      </w:pPr>
    </w:p>
    <w:p w:rsidR="00B814E2" w:rsidRDefault="00B814E2" w:rsidP="00B814E2">
      <w:pPr>
        <w:rPr>
          <w:b/>
          <w:bCs/>
        </w:rPr>
      </w:pPr>
    </w:p>
    <w:p w:rsidR="00B814E2" w:rsidRDefault="00B814E2" w:rsidP="00B814E2">
      <w:pPr>
        <w:rPr>
          <w:b/>
          <w:bCs/>
        </w:rPr>
      </w:pPr>
    </w:p>
    <w:p w:rsidR="00B814E2" w:rsidRDefault="00B814E2" w:rsidP="00B814E2">
      <w:pPr>
        <w:rPr>
          <w:b/>
          <w:bCs/>
        </w:rPr>
      </w:pPr>
    </w:p>
    <w:p w:rsidR="00B814E2" w:rsidRDefault="00B814E2" w:rsidP="00B814E2">
      <w:pPr>
        <w:rPr>
          <w:b/>
          <w:bCs/>
        </w:rPr>
      </w:pPr>
    </w:p>
    <w:p w:rsidR="00B814E2" w:rsidRDefault="005B0B20" w:rsidP="00B814E2">
      <w:pPr>
        <w:jc w:val="center"/>
        <w:rPr>
          <w:b/>
          <w:bCs/>
        </w:rPr>
      </w:pPr>
      <w:r>
        <w:rPr>
          <w:b/>
          <w:bCs/>
        </w:rPr>
        <w:t>July 6</w:t>
      </w:r>
      <w:r w:rsidR="00341E09">
        <w:rPr>
          <w:b/>
          <w:bCs/>
        </w:rPr>
        <w:t>, 2012</w:t>
      </w:r>
    </w:p>
    <w:p w:rsidR="00B814E2" w:rsidRDefault="00B814E2" w:rsidP="00B814E2"/>
    <w:p w:rsidR="00B814E2" w:rsidRDefault="00B814E2" w:rsidP="00B814E2"/>
    <w:p w:rsidR="00B814E2" w:rsidRDefault="00B814E2" w:rsidP="00B814E2">
      <w:pPr>
        <w:sectPr w:rsidR="00B814E2" w:rsidSect="00B814E2"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B814E2" w:rsidRDefault="00B814E2" w:rsidP="00B814E2">
      <w:pPr>
        <w:jc w:val="center"/>
      </w:pPr>
      <w:r>
        <w:rPr>
          <w:b/>
        </w:rPr>
        <w:lastRenderedPageBreak/>
        <w:t>TABLE OF CONTENTS</w:t>
      </w:r>
    </w:p>
    <w:p w:rsidR="00B814E2" w:rsidRDefault="00B814E2" w:rsidP="00B814E2"/>
    <w:p w:rsidR="00B814E2" w:rsidRDefault="00B814E2" w:rsidP="00B814E2"/>
    <w:p w:rsidR="00B814E2" w:rsidRDefault="00B814E2" w:rsidP="00B814E2">
      <w:pPr>
        <w:tabs>
          <w:tab w:val="left" w:pos="720"/>
          <w:tab w:val="left" w:pos="1440"/>
          <w:tab w:val="left" w:pos="2160"/>
          <w:tab w:val="right" w:leader="dot" w:pos="8820"/>
        </w:tabs>
      </w:pPr>
      <w:r>
        <w:t>I.</w:t>
      </w:r>
      <w:r>
        <w:tab/>
        <w:t xml:space="preserve">INTRODUCTION </w:t>
      </w:r>
      <w:r>
        <w:tab/>
        <w:t>1</w:t>
      </w:r>
    </w:p>
    <w:p w:rsidR="00B814E2" w:rsidRDefault="00B814E2" w:rsidP="00B814E2">
      <w:pPr>
        <w:tabs>
          <w:tab w:val="left" w:pos="720"/>
          <w:tab w:val="left" w:pos="1440"/>
          <w:tab w:val="left" w:pos="2160"/>
          <w:tab w:val="right" w:leader="dot" w:pos="8820"/>
        </w:tabs>
      </w:pPr>
    </w:p>
    <w:p w:rsidR="00B814E2" w:rsidRDefault="00B814E2" w:rsidP="00B814E2">
      <w:pPr>
        <w:tabs>
          <w:tab w:val="left" w:pos="720"/>
          <w:tab w:val="left" w:pos="1440"/>
          <w:tab w:val="left" w:pos="2160"/>
          <w:tab w:val="right" w:leader="dot" w:pos="8820"/>
        </w:tabs>
      </w:pPr>
      <w:r>
        <w:t>II.</w:t>
      </w:r>
      <w:r>
        <w:tab/>
      </w:r>
      <w:r w:rsidR="0017271E">
        <w:t>DISCUSSION</w:t>
      </w:r>
      <w:r>
        <w:t xml:space="preserve"> </w:t>
      </w:r>
      <w:r>
        <w:tab/>
      </w:r>
      <w:r w:rsidR="00295060">
        <w:t>1</w:t>
      </w:r>
    </w:p>
    <w:p w:rsidR="00B814E2" w:rsidRDefault="00B814E2" w:rsidP="00B814E2">
      <w:pPr>
        <w:tabs>
          <w:tab w:val="left" w:pos="720"/>
          <w:tab w:val="left" w:pos="1440"/>
          <w:tab w:val="left" w:pos="2160"/>
          <w:tab w:val="right" w:leader="dot" w:pos="8820"/>
        </w:tabs>
      </w:pPr>
    </w:p>
    <w:p w:rsidR="00B814E2" w:rsidRDefault="00B814E2" w:rsidP="00B814E2">
      <w:pPr>
        <w:tabs>
          <w:tab w:val="left" w:pos="720"/>
          <w:tab w:val="left" w:pos="1440"/>
          <w:tab w:val="left" w:pos="2160"/>
          <w:tab w:val="right" w:leader="dot" w:pos="8820"/>
        </w:tabs>
      </w:pPr>
    </w:p>
    <w:p w:rsidR="00B814E2" w:rsidRDefault="00B814E2" w:rsidP="00B814E2">
      <w:pPr>
        <w:tabs>
          <w:tab w:val="left" w:pos="720"/>
          <w:tab w:val="left" w:pos="1440"/>
          <w:tab w:val="left" w:pos="2160"/>
          <w:tab w:val="right" w:leader="dot" w:pos="8820"/>
        </w:tabs>
      </w:pPr>
    </w:p>
    <w:p w:rsidR="00B814E2" w:rsidRDefault="00B814E2" w:rsidP="00B814E2"/>
    <w:p w:rsidR="00B814E2" w:rsidRDefault="00B814E2" w:rsidP="00B814E2"/>
    <w:p w:rsidR="00B814E2" w:rsidRDefault="00B814E2" w:rsidP="00B814E2">
      <w:pPr>
        <w:sectPr w:rsidR="00B814E2" w:rsidSect="0015026F">
          <w:footerReference w:type="default" r:id="rId9"/>
          <w:pgSz w:w="12240" w:h="15840"/>
          <w:pgMar w:top="1440" w:right="1440" w:bottom="1440" w:left="1872" w:header="720" w:footer="720" w:gutter="0"/>
          <w:pgNumType w:fmt="lowerRoman" w:start="1"/>
          <w:cols w:space="720"/>
          <w:docGrid w:linePitch="360"/>
        </w:sectPr>
      </w:pPr>
    </w:p>
    <w:p w:rsidR="00B814E2" w:rsidRDefault="00B814E2" w:rsidP="00B814E2">
      <w:pPr>
        <w:spacing w:line="480" w:lineRule="auto"/>
        <w:jc w:val="center"/>
        <w:rPr>
          <w:b/>
        </w:rPr>
      </w:pPr>
      <w:r>
        <w:rPr>
          <w:b/>
        </w:rPr>
        <w:lastRenderedPageBreak/>
        <w:t>I.</w:t>
      </w:r>
      <w:r>
        <w:rPr>
          <w:b/>
        </w:rPr>
        <w:tab/>
        <w:t>INTRODUCTION</w:t>
      </w:r>
    </w:p>
    <w:p w:rsidR="00B814E2" w:rsidRDefault="00B814E2" w:rsidP="00B814E2">
      <w:pPr>
        <w:spacing w:line="480" w:lineRule="auto"/>
        <w:rPr>
          <w:b/>
        </w:rPr>
      </w:pPr>
    </w:p>
    <w:p w:rsidR="00B814E2" w:rsidRDefault="00B814E2" w:rsidP="00B3235E">
      <w:pPr>
        <w:spacing w:line="480" w:lineRule="auto"/>
        <w:ind w:left="720" w:hanging="720"/>
      </w:pPr>
      <w:r>
        <w:rPr>
          <w:b/>
        </w:rPr>
        <w:t>Q.</w:t>
      </w:r>
      <w:r>
        <w:rPr>
          <w:b/>
        </w:rPr>
        <w:tab/>
      </w:r>
      <w:r w:rsidR="00D00D71">
        <w:rPr>
          <w:b/>
        </w:rPr>
        <w:t>Are you the same Steven V. King who submitted prefiled direct testimony in this proceeding on May 3, 2012, on behalf of the Washington Utilities and Transportation Commission Staff</w:t>
      </w:r>
      <w:r w:rsidR="00C050B3">
        <w:rPr>
          <w:b/>
        </w:rPr>
        <w:t xml:space="preserve"> (“Staff”)</w:t>
      </w:r>
      <w:r w:rsidR="00D00D71">
        <w:rPr>
          <w:b/>
        </w:rPr>
        <w:t>?</w:t>
      </w:r>
      <w:r>
        <w:rPr>
          <w:b/>
        </w:rPr>
        <w:t xml:space="preserve">  </w:t>
      </w:r>
    </w:p>
    <w:p w:rsidR="00B814E2" w:rsidRDefault="00B814E2" w:rsidP="00B814E2">
      <w:pPr>
        <w:spacing w:line="480" w:lineRule="auto"/>
        <w:ind w:left="720" w:hanging="720"/>
      </w:pPr>
      <w:r>
        <w:t>A.</w:t>
      </w:r>
      <w:r>
        <w:tab/>
      </w:r>
      <w:r w:rsidR="00D00D71">
        <w:t xml:space="preserve">Yes. On May 3, 2012, I </w:t>
      </w:r>
      <w:r w:rsidR="00C050B3">
        <w:t>pre</w:t>
      </w:r>
      <w:r w:rsidR="00D00D71">
        <w:t>filed direct testimony, Exhibit No. ____T (SVK-1T).</w:t>
      </w:r>
      <w:r>
        <w:t xml:space="preserve">  </w:t>
      </w:r>
    </w:p>
    <w:p w:rsidR="00D00D71" w:rsidRDefault="00D00D71" w:rsidP="00D00D71">
      <w:pPr>
        <w:spacing w:line="480" w:lineRule="auto"/>
        <w:ind w:left="720" w:hanging="720"/>
        <w:rPr>
          <w:b/>
        </w:rPr>
      </w:pPr>
    </w:p>
    <w:p w:rsidR="00D00D71" w:rsidRDefault="00D00D71" w:rsidP="00D00D71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>Please state the purpose of your rebuttal testimony.</w:t>
      </w:r>
    </w:p>
    <w:p w:rsidR="00D00D71" w:rsidRDefault="00D00D71" w:rsidP="00D00D71">
      <w:pPr>
        <w:spacing w:line="480" w:lineRule="auto"/>
        <w:ind w:left="720" w:hanging="720"/>
      </w:pPr>
      <w:r>
        <w:t>A.</w:t>
      </w:r>
      <w:r>
        <w:tab/>
        <w:t xml:space="preserve">The purpose of my </w:t>
      </w:r>
      <w:r w:rsidR="009254BF">
        <w:t xml:space="preserve">rebuttal </w:t>
      </w:r>
      <w:r>
        <w:t xml:space="preserve">testimony is to respond </w:t>
      </w:r>
      <w:r w:rsidR="00C050B3">
        <w:t xml:space="preserve">to </w:t>
      </w:r>
      <w:r>
        <w:t>statements made by Agnes Barard, PSE’s Director of Customer Care, in her prefiled testimony dated June 1, 2012, Exhibit No</w:t>
      </w:r>
      <w:r w:rsidR="00C050B3">
        <w:t>.</w:t>
      </w:r>
      <w:r>
        <w:t xml:space="preserve"> ___(APB-1T)</w:t>
      </w:r>
      <w:r w:rsidR="00C050B3">
        <w:t>, and Kristina McClenahan,</w:t>
      </w:r>
      <w:r w:rsidR="009254BF">
        <w:t xml:space="preserve"> a PSE Customer Access Center Supervisor,</w:t>
      </w:r>
      <w:r w:rsidR="00C050B3">
        <w:t xml:space="preserve"> in her prefiled testimony dated June 1, 2012, Exhibit No. ___(</w:t>
      </w:r>
      <w:proofErr w:type="spellStart"/>
      <w:r w:rsidR="00C050B3">
        <w:t>KRM</w:t>
      </w:r>
      <w:proofErr w:type="spellEnd"/>
      <w:r w:rsidR="00C050B3">
        <w:t>-1T)</w:t>
      </w:r>
      <w:r w:rsidR="0063623F">
        <w:t xml:space="preserve">.  </w:t>
      </w:r>
    </w:p>
    <w:p w:rsidR="00341E09" w:rsidRDefault="00341E09" w:rsidP="00C050B3">
      <w:pPr>
        <w:spacing w:line="480" w:lineRule="auto"/>
      </w:pPr>
    </w:p>
    <w:p w:rsidR="00B814E2" w:rsidRDefault="00B814E2" w:rsidP="00B814E2">
      <w:pPr>
        <w:spacing w:line="480" w:lineRule="auto"/>
        <w:ind w:left="720" w:hanging="720"/>
        <w:jc w:val="center"/>
      </w:pPr>
      <w:r>
        <w:rPr>
          <w:b/>
        </w:rPr>
        <w:t>II.</w:t>
      </w:r>
      <w:r>
        <w:rPr>
          <w:b/>
        </w:rPr>
        <w:tab/>
      </w:r>
      <w:r w:rsidR="0017271E">
        <w:rPr>
          <w:b/>
        </w:rPr>
        <w:t>DISCUSSION</w:t>
      </w:r>
    </w:p>
    <w:p w:rsidR="00B814E2" w:rsidRDefault="00B814E2" w:rsidP="00B814E2">
      <w:pPr>
        <w:spacing w:line="480" w:lineRule="auto"/>
        <w:ind w:left="720" w:hanging="720"/>
      </w:pPr>
    </w:p>
    <w:p w:rsidR="004D2872" w:rsidRDefault="00A64E08" w:rsidP="007D0251">
      <w:pPr>
        <w:spacing w:line="480" w:lineRule="auto"/>
        <w:ind w:left="720" w:hanging="720"/>
      </w:pPr>
      <w:r>
        <w:t>Q</w:t>
      </w:r>
      <w:r w:rsidR="00E3033A">
        <w:t>.</w:t>
      </w:r>
      <w:r>
        <w:tab/>
      </w:r>
      <w:r w:rsidR="00D00D71" w:rsidRPr="00D00D71">
        <w:rPr>
          <w:b/>
        </w:rPr>
        <w:t xml:space="preserve">In Ms. Barard’s testimony, Exhibit No ___(APB-1T), page 5 </w:t>
      </w:r>
      <w:r w:rsidR="00C050B3">
        <w:rPr>
          <w:b/>
        </w:rPr>
        <w:t xml:space="preserve">starting </w:t>
      </w:r>
      <w:r w:rsidR="00D00D71" w:rsidRPr="00D00D71">
        <w:rPr>
          <w:b/>
        </w:rPr>
        <w:t>at</w:t>
      </w:r>
      <w:r w:rsidR="00D00D71">
        <w:t xml:space="preserve"> </w:t>
      </w:r>
      <w:r w:rsidR="00DF5C42" w:rsidRPr="007D0251">
        <w:rPr>
          <w:b/>
        </w:rPr>
        <w:t>line</w:t>
      </w:r>
      <w:r w:rsidR="004D2872" w:rsidRPr="007D0251">
        <w:rPr>
          <w:b/>
        </w:rPr>
        <w:t xml:space="preserve"> 1, </w:t>
      </w:r>
      <w:r w:rsidR="009254BF">
        <w:rPr>
          <w:b/>
        </w:rPr>
        <w:t xml:space="preserve">she </w:t>
      </w:r>
      <w:r w:rsidRPr="007D0251">
        <w:rPr>
          <w:b/>
        </w:rPr>
        <w:t>states that “</w:t>
      </w:r>
      <w:r w:rsidR="004D2872" w:rsidRPr="007D0251">
        <w:rPr>
          <w:b/>
        </w:rPr>
        <w:t xml:space="preserve">PSE could have been more </w:t>
      </w:r>
      <w:r w:rsidRPr="007D0251">
        <w:rPr>
          <w:b/>
        </w:rPr>
        <w:t xml:space="preserve">clear in its </w:t>
      </w:r>
      <w:r w:rsidR="00DF5C42" w:rsidRPr="007D0251">
        <w:rPr>
          <w:b/>
        </w:rPr>
        <w:t xml:space="preserve">[May 20, 2011] </w:t>
      </w:r>
      <w:r w:rsidRPr="007D0251">
        <w:rPr>
          <w:b/>
        </w:rPr>
        <w:t>reportin</w:t>
      </w:r>
      <w:r w:rsidR="004D1E22">
        <w:rPr>
          <w:b/>
        </w:rPr>
        <w:t>g</w:t>
      </w:r>
      <w:r w:rsidR="00D00D71">
        <w:rPr>
          <w:b/>
        </w:rPr>
        <w:t>”</w:t>
      </w:r>
      <w:r w:rsidR="00C050B3">
        <w:rPr>
          <w:b/>
        </w:rPr>
        <w:t xml:space="preserve"> and “in hindsight, I can understand how Staff could misinterpret the letter and report provided on May 20,</w:t>
      </w:r>
      <w:r w:rsidR="00686BC6">
        <w:rPr>
          <w:b/>
        </w:rPr>
        <w:t xml:space="preserve"> </w:t>
      </w:r>
      <w:r w:rsidR="00C050B3">
        <w:rPr>
          <w:b/>
        </w:rPr>
        <w:t>2011.”</w:t>
      </w:r>
      <w:r w:rsidRPr="007D0251">
        <w:rPr>
          <w:b/>
        </w:rPr>
        <w:t xml:space="preserve"> </w:t>
      </w:r>
      <w:r w:rsidR="00DF5C42" w:rsidRPr="007D0251">
        <w:rPr>
          <w:b/>
        </w:rPr>
        <w:t xml:space="preserve"> Do you </w:t>
      </w:r>
      <w:r w:rsidR="007D0251">
        <w:rPr>
          <w:b/>
        </w:rPr>
        <w:t xml:space="preserve">wish to comment on </w:t>
      </w:r>
      <w:r w:rsidR="00C050B3" w:rsidRPr="007D0251">
        <w:rPr>
          <w:b/>
        </w:rPr>
        <w:t>th</w:t>
      </w:r>
      <w:r w:rsidR="00C050B3">
        <w:rPr>
          <w:b/>
        </w:rPr>
        <w:t xml:space="preserve">ose </w:t>
      </w:r>
      <w:r w:rsidR="00DF5C42" w:rsidRPr="007D0251">
        <w:rPr>
          <w:b/>
        </w:rPr>
        <w:t>statement</w:t>
      </w:r>
      <w:r w:rsidR="00C050B3">
        <w:rPr>
          <w:b/>
        </w:rPr>
        <w:t>s</w:t>
      </w:r>
      <w:r w:rsidR="00DF5C42" w:rsidRPr="007D0251">
        <w:rPr>
          <w:b/>
        </w:rPr>
        <w:t>?</w:t>
      </w:r>
    </w:p>
    <w:p w:rsidR="007D0251" w:rsidRDefault="00DF5C42" w:rsidP="00DF5C42">
      <w:pPr>
        <w:spacing w:line="480" w:lineRule="auto"/>
        <w:ind w:left="720" w:hanging="720"/>
      </w:pPr>
      <w:r>
        <w:t>A</w:t>
      </w:r>
      <w:r w:rsidR="00E3033A">
        <w:t>.</w:t>
      </w:r>
      <w:r>
        <w:tab/>
        <w:t>Yes.</w:t>
      </w:r>
      <w:r w:rsidR="007D0251">
        <w:t xml:space="preserve"> </w:t>
      </w:r>
      <w:r w:rsidR="008E4FCE">
        <w:t xml:space="preserve"> </w:t>
      </w:r>
      <w:r w:rsidR="007D0251">
        <w:t xml:space="preserve">After reading all of the </w:t>
      </w:r>
      <w:r w:rsidR="00C050B3">
        <w:t>C</w:t>
      </w:r>
      <w:r w:rsidR="007D0251">
        <w:t>ompany’s respons</w:t>
      </w:r>
      <w:r w:rsidR="009254BF">
        <w:t>ive</w:t>
      </w:r>
      <w:r w:rsidR="007D0251">
        <w:t xml:space="preserve"> testimony and again reviewing the documents in question, </w:t>
      </w:r>
      <w:r>
        <w:t xml:space="preserve">I </w:t>
      </w:r>
      <w:r w:rsidR="007D0251">
        <w:t xml:space="preserve">still find </w:t>
      </w:r>
      <w:r>
        <w:t xml:space="preserve">nothing in the referenced report that suggests </w:t>
      </w:r>
      <w:r w:rsidR="007D0251">
        <w:lastRenderedPageBreak/>
        <w:t xml:space="preserve">to me </w:t>
      </w:r>
      <w:r>
        <w:t xml:space="preserve">the stated account activities were still underway nearly six months after the </w:t>
      </w:r>
      <w:r w:rsidR="00C050B3">
        <w:t>C</w:t>
      </w:r>
      <w:r>
        <w:t xml:space="preserve">ommission’s </w:t>
      </w:r>
      <w:r w:rsidR="00D00D71">
        <w:t>O</w:t>
      </w:r>
      <w:r>
        <w:t xml:space="preserve">rder that the </w:t>
      </w:r>
      <w:r w:rsidR="00D00D71">
        <w:t>C</w:t>
      </w:r>
      <w:r>
        <w:t xml:space="preserve">ompany promptly complete </w:t>
      </w:r>
      <w:r w:rsidR="00D00D71">
        <w:t xml:space="preserve">its </w:t>
      </w:r>
      <w:r>
        <w:t>investigat</w:t>
      </w:r>
      <w:r w:rsidR="00D00D71">
        <w:t>ion</w:t>
      </w:r>
      <w:r>
        <w:t xml:space="preserve"> into the 26 accounts. </w:t>
      </w:r>
      <w:r w:rsidR="00C050B3">
        <w:t xml:space="preserve"> </w:t>
      </w:r>
      <w:r w:rsidR="007D0251">
        <w:t xml:space="preserve">So I agree the </w:t>
      </w:r>
      <w:r w:rsidR="00D00D71">
        <w:t>C</w:t>
      </w:r>
      <w:r w:rsidR="007D0251">
        <w:t xml:space="preserve">ompany could have been clearer that it had not yet completed the review previously ordered by the </w:t>
      </w:r>
      <w:r w:rsidR="00D00D71">
        <w:t>C</w:t>
      </w:r>
      <w:r w:rsidR="007D0251">
        <w:t>ommission.</w:t>
      </w:r>
    </w:p>
    <w:p w:rsidR="00DF5C42" w:rsidRDefault="007D0251" w:rsidP="007D0251">
      <w:pPr>
        <w:spacing w:line="480" w:lineRule="auto"/>
        <w:ind w:left="720" w:firstLine="450"/>
      </w:pPr>
      <w:r>
        <w:t xml:space="preserve">For example, </w:t>
      </w:r>
      <w:r w:rsidR="00DF5C42">
        <w:t xml:space="preserve">the cover letter to the </w:t>
      </w:r>
      <w:r w:rsidR="00C050B3">
        <w:t xml:space="preserve">“PSE 26 Account Review” </w:t>
      </w:r>
      <w:r w:rsidR="00DF5C42">
        <w:t>report</w:t>
      </w:r>
      <w:r w:rsidR="00C050B3">
        <w:t xml:space="preserve"> that </w:t>
      </w:r>
      <w:r w:rsidR="009254BF">
        <w:t>the Company</w:t>
      </w:r>
      <w:r w:rsidR="00C050B3">
        <w:t xml:space="preserve"> filed with the Commission</w:t>
      </w:r>
      <w:r w:rsidR="00DF5C42">
        <w:t xml:space="preserve"> stated in pertinent part:</w:t>
      </w:r>
    </w:p>
    <w:p w:rsidR="00DF5C42" w:rsidRDefault="00DF5C42" w:rsidP="00DF5C42">
      <w:pPr>
        <w:spacing w:line="276" w:lineRule="auto"/>
        <w:ind w:left="1170" w:right="738"/>
      </w:pPr>
      <w:r>
        <w:t xml:space="preserve">Enclosed for filing in the above referenced docket is Puget Sound Energy, Inc.’s first quarterly report regarding the continued implementation of the plan described in Attachment B to the Joint Motion to Accept Full Payment of Penalty; Require Investigation of Twenty-Six Specific Accounts; Require Continued Plan Implementation; and Terminate Proceeding (“Joint Motion”), dated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10"/>
        </w:smartTagPr>
        <w:r>
          <w:t>December 16, 2010</w:t>
        </w:r>
      </w:smartTag>
      <w:r>
        <w:t xml:space="preserve">, </w:t>
      </w:r>
      <w:r w:rsidRPr="001264A5">
        <w:rPr>
          <w:u w:val="single"/>
        </w:rPr>
        <w:t xml:space="preserve">and the corrective actions taken on the twenty-six </w:t>
      </w:r>
      <w:r w:rsidRPr="00B50173">
        <w:rPr>
          <w:u w:val="single"/>
        </w:rPr>
        <w:t>accounts</w:t>
      </w:r>
      <w:r w:rsidRPr="00291322">
        <w:rPr>
          <w:u w:val="single"/>
        </w:rPr>
        <w:t xml:space="preserve"> listed in Attachment A to the Joint Motion</w:t>
      </w:r>
      <w:r>
        <w:t xml:space="preserve">. </w:t>
      </w:r>
      <w:r w:rsidR="008E4FCE">
        <w:t xml:space="preserve"> </w:t>
      </w:r>
      <w:r>
        <w:t>[Emphasis added</w:t>
      </w:r>
      <w:r w:rsidR="009254BF">
        <w:t>.</w:t>
      </w:r>
      <w:r>
        <w:t>]</w:t>
      </w:r>
    </w:p>
    <w:p w:rsidR="00C050B3" w:rsidRDefault="00C050B3" w:rsidP="00DF5C42">
      <w:pPr>
        <w:spacing w:line="276" w:lineRule="auto"/>
        <w:ind w:left="1170" w:right="738"/>
      </w:pPr>
    </w:p>
    <w:p w:rsidR="00C050B3" w:rsidRDefault="00C050B3" w:rsidP="00E156CB">
      <w:pPr>
        <w:spacing w:line="276" w:lineRule="auto"/>
        <w:ind w:left="720" w:right="738"/>
      </w:pPr>
      <w:r>
        <w:t xml:space="preserve">See Exhibit No. ___ (RP-4C), page 1. </w:t>
      </w:r>
    </w:p>
    <w:p w:rsidR="00DF5C42" w:rsidRDefault="00DF5C42" w:rsidP="00DF5C42">
      <w:pPr>
        <w:spacing w:line="276" w:lineRule="auto"/>
        <w:ind w:left="720" w:right="738"/>
      </w:pPr>
    </w:p>
    <w:p w:rsidR="00285989" w:rsidRDefault="00DF5C42" w:rsidP="00951EAD">
      <w:pPr>
        <w:spacing w:line="480" w:lineRule="auto"/>
        <w:ind w:left="720" w:firstLine="720"/>
      </w:pPr>
      <w:r>
        <w:t xml:space="preserve">In addition, </w:t>
      </w:r>
      <w:r w:rsidR="00C050B3">
        <w:t xml:space="preserve">it was </w:t>
      </w:r>
      <w:r w:rsidR="006C146E">
        <w:t xml:space="preserve">indeed </w:t>
      </w:r>
      <w:r w:rsidR="00C050B3">
        <w:t xml:space="preserve">reasonable for Staff to have interpreted from the filing that the actions were completed because all of the </w:t>
      </w:r>
      <w:r>
        <w:t xml:space="preserve">descriptions in the </w:t>
      </w:r>
      <w:r w:rsidRPr="003B3949">
        <w:rPr>
          <w:i/>
        </w:rPr>
        <w:t>Resolution</w:t>
      </w:r>
      <w:r w:rsidR="006C146E">
        <w:rPr>
          <w:i/>
        </w:rPr>
        <w:t xml:space="preserve"> </w:t>
      </w:r>
      <w:r>
        <w:t>column</w:t>
      </w:r>
      <w:r w:rsidR="006C146E">
        <w:t xml:space="preserve"> of the “PSE 26 Account Review” table</w:t>
      </w:r>
      <w:r>
        <w:t xml:space="preserve"> are in the past tense indicating to the interested reader that the action </w:t>
      </w:r>
      <w:r w:rsidR="009254BF">
        <w:t xml:space="preserve">had been </w:t>
      </w:r>
      <w:r>
        <w:t xml:space="preserve">completed.  </w:t>
      </w:r>
    </w:p>
    <w:p w:rsidR="00C050B3" w:rsidRPr="00C050B3" w:rsidRDefault="00C050B3" w:rsidP="00951EAD">
      <w:pPr>
        <w:spacing w:line="480" w:lineRule="auto"/>
        <w:ind w:left="720" w:firstLine="720"/>
      </w:pPr>
      <w:r>
        <w:t xml:space="preserve">In a dramatic engagement of revisionist history, the Company now claims, through the testimony of Ms. McClenahan, that “resolution” meant “resolution in process” and that “resolution” meant “the actions that </w:t>
      </w:r>
      <w:r>
        <w:rPr>
          <w:i/>
        </w:rPr>
        <w:t xml:space="preserve">were being taken </w:t>
      </w:r>
      <w:r>
        <w:t>to re</w:t>
      </w:r>
      <w:r w:rsidR="009254BF">
        <w:t>solve the alleged violations.  (E</w:t>
      </w:r>
      <w:r>
        <w:t>mphasis added</w:t>
      </w:r>
      <w:r w:rsidR="009254BF">
        <w:t xml:space="preserve">.)  </w:t>
      </w:r>
      <w:r>
        <w:t>See Exhibit No. ___ (KRM-1T</w:t>
      </w:r>
      <w:r w:rsidR="006C146E">
        <w:t xml:space="preserve">), page 6, lines 17-18 and page 7, lines 8-10.  </w:t>
      </w:r>
    </w:p>
    <w:p w:rsidR="00E75C13" w:rsidRDefault="00E75C13" w:rsidP="007D0251">
      <w:pPr>
        <w:spacing w:line="480" w:lineRule="auto"/>
        <w:ind w:firstLine="720"/>
      </w:pPr>
    </w:p>
    <w:p w:rsidR="00E75C13" w:rsidRPr="002975F0" w:rsidRDefault="00922CD8" w:rsidP="00951EAD">
      <w:pPr>
        <w:spacing w:line="480" w:lineRule="auto"/>
        <w:ind w:left="720" w:hanging="720"/>
        <w:rPr>
          <w:b/>
        </w:rPr>
      </w:pPr>
      <w:r w:rsidRPr="002975F0">
        <w:rPr>
          <w:b/>
        </w:rPr>
        <w:lastRenderedPageBreak/>
        <w:t>Q</w:t>
      </w:r>
      <w:r w:rsidR="00E3033A">
        <w:rPr>
          <w:b/>
        </w:rPr>
        <w:t>.</w:t>
      </w:r>
      <w:r w:rsidRPr="002975F0">
        <w:rPr>
          <w:b/>
        </w:rPr>
        <w:tab/>
        <w:t xml:space="preserve">At page 9, </w:t>
      </w:r>
      <w:r w:rsidR="00D00D71">
        <w:rPr>
          <w:b/>
        </w:rPr>
        <w:t xml:space="preserve">of </w:t>
      </w:r>
      <w:r w:rsidRPr="002975F0">
        <w:rPr>
          <w:b/>
        </w:rPr>
        <w:t>Ms. Barard</w:t>
      </w:r>
      <w:r w:rsidR="00D00D71">
        <w:rPr>
          <w:b/>
        </w:rPr>
        <w:t>’s</w:t>
      </w:r>
      <w:r w:rsidRPr="002975F0">
        <w:rPr>
          <w:b/>
        </w:rPr>
        <w:t xml:space="preserve"> </w:t>
      </w:r>
      <w:r w:rsidR="00006432">
        <w:rPr>
          <w:b/>
        </w:rPr>
        <w:t xml:space="preserve">testimony, Exhibit No ___(APB-1T), beginning on line 14, she </w:t>
      </w:r>
      <w:r w:rsidR="00E75C13" w:rsidRPr="002975F0">
        <w:rPr>
          <w:b/>
        </w:rPr>
        <w:t xml:space="preserve">references “a good faith disagreement between PSE and Staff over the interpretation of the </w:t>
      </w:r>
      <w:r w:rsidR="00006432">
        <w:rPr>
          <w:b/>
        </w:rPr>
        <w:t>C</w:t>
      </w:r>
      <w:r w:rsidR="00E75C13" w:rsidRPr="002975F0">
        <w:rPr>
          <w:b/>
        </w:rPr>
        <w:t>ommission’s rules.</w:t>
      </w:r>
      <w:r w:rsidR="00006432">
        <w:rPr>
          <w:b/>
        </w:rPr>
        <w:t>”</w:t>
      </w:r>
      <w:r w:rsidR="00E75C13" w:rsidRPr="002975F0">
        <w:rPr>
          <w:b/>
        </w:rPr>
        <w:t xml:space="preserve"> </w:t>
      </w:r>
      <w:r w:rsidR="006C146E">
        <w:rPr>
          <w:b/>
        </w:rPr>
        <w:t xml:space="preserve"> </w:t>
      </w:r>
      <w:r w:rsidR="00E75C13" w:rsidRPr="002975F0">
        <w:rPr>
          <w:b/>
        </w:rPr>
        <w:t xml:space="preserve">To what is she referring? </w:t>
      </w:r>
    </w:p>
    <w:p w:rsidR="00E75C13" w:rsidRDefault="00E75C13" w:rsidP="00951EAD">
      <w:pPr>
        <w:spacing w:line="480" w:lineRule="auto"/>
        <w:ind w:left="720" w:hanging="720"/>
      </w:pPr>
      <w:r>
        <w:t>A</w:t>
      </w:r>
      <w:r w:rsidR="00E3033A">
        <w:t>.</w:t>
      </w:r>
      <w:r>
        <w:tab/>
        <w:t xml:space="preserve">It is </w:t>
      </w:r>
      <w:r w:rsidR="00C63A7E">
        <w:t xml:space="preserve">apparently </w:t>
      </w:r>
      <w:r>
        <w:t xml:space="preserve">the </w:t>
      </w:r>
      <w:r w:rsidR="00C63A7E">
        <w:t>C</w:t>
      </w:r>
      <w:r>
        <w:t>ompany’s belief that grants from organizations other than the Low-Income Heating and Energy Assistance Program (LIHEAP) may be applied to a customer’s prior obligation.</w:t>
      </w:r>
      <w:r w:rsidR="006C146E">
        <w:t xml:space="preserve"> </w:t>
      </w:r>
      <w:r>
        <w:t xml:space="preserve"> It is </w:t>
      </w:r>
      <w:r w:rsidR="006C146E">
        <w:t>S</w:t>
      </w:r>
      <w:r>
        <w:t xml:space="preserve">taff’s opinion that energy assistance grants, whatever the source, </w:t>
      </w:r>
      <w:r w:rsidR="00D6073D">
        <w:t>may</w:t>
      </w:r>
      <w:r>
        <w:t xml:space="preserve"> only be applied to a customer’s </w:t>
      </w:r>
      <w:r w:rsidRPr="002975F0">
        <w:rPr>
          <w:u w:val="single"/>
        </w:rPr>
        <w:t>current</w:t>
      </w:r>
      <w:r>
        <w:t xml:space="preserve"> balance.</w:t>
      </w:r>
      <w:r w:rsidR="006C146E">
        <w:t xml:space="preserve"> </w:t>
      </w:r>
      <w:r>
        <w:t xml:space="preserve"> The purpose of these grants is to </w:t>
      </w:r>
      <w:r w:rsidR="00D6073D">
        <w:t>retain energy service for</w:t>
      </w:r>
      <w:r>
        <w:t xml:space="preserve"> low-income customers </w:t>
      </w:r>
      <w:r w:rsidR="00C63A7E">
        <w:t xml:space="preserve">and </w:t>
      </w:r>
      <w:r>
        <w:t xml:space="preserve">not </w:t>
      </w:r>
      <w:r w:rsidR="00C63A7E">
        <w:t xml:space="preserve">to </w:t>
      </w:r>
      <w:r>
        <w:t xml:space="preserve">reduce the company’s uncollected revenues. </w:t>
      </w:r>
      <w:r w:rsidR="006C146E">
        <w:t xml:space="preserve"> </w:t>
      </w:r>
      <w:r>
        <w:t xml:space="preserve">The </w:t>
      </w:r>
      <w:r w:rsidR="00C63A7E">
        <w:t>C</w:t>
      </w:r>
      <w:r>
        <w:t>ompany is permitted to address its uncollected revenues in other ways</w:t>
      </w:r>
      <w:r w:rsidR="009254BF">
        <w:t>,</w:t>
      </w:r>
      <w:r>
        <w:t xml:space="preserve"> such as establishing payment arrangements with the customer and sending prior balances to collections. </w:t>
      </w:r>
      <w:r w:rsidR="00D6073D">
        <w:t xml:space="preserve"> Staff is supported in its opinion on how energy assistance grants are to be applied by </w:t>
      </w:r>
      <w:r>
        <w:t>the Office of the Attorney General</w:t>
      </w:r>
      <w:r w:rsidR="00D6073D">
        <w:t>.</w:t>
      </w:r>
    </w:p>
    <w:p w:rsidR="00951EAD" w:rsidRDefault="00951EAD" w:rsidP="002975F0">
      <w:pPr>
        <w:spacing w:line="480" w:lineRule="auto"/>
        <w:ind w:right="734"/>
        <w:rPr>
          <w:b/>
        </w:rPr>
      </w:pPr>
    </w:p>
    <w:p w:rsidR="00922CD8" w:rsidRPr="002975F0" w:rsidRDefault="00D6073D" w:rsidP="002975F0">
      <w:pPr>
        <w:spacing w:line="480" w:lineRule="auto"/>
        <w:ind w:right="734"/>
        <w:rPr>
          <w:b/>
        </w:rPr>
      </w:pPr>
      <w:r w:rsidRPr="002975F0">
        <w:rPr>
          <w:b/>
        </w:rPr>
        <w:t>Q</w:t>
      </w:r>
      <w:r w:rsidR="00E3033A">
        <w:rPr>
          <w:b/>
        </w:rPr>
        <w:t>.</w:t>
      </w:r>
      <w:r w:rsidRPr="002975F0">
        <w:rPr>
          <w:b/>
        </w:rPr>
        <w:tab/>
        <w:t>Why is this difference of opinion important in this context?</w:t>
      </w:r>
    </w:p>
    <w:p w:rsidR="002975F0" w:rsidRDefault="00D6073D" w:rsidP="00951EAD">
      <w:pPr>
        <w:spacing w:line="480" w:lineRule="auto"/>
        <w:ind w:left="720" w:right="734" w:hanging="720"/>
      </w:pPr>
      <w:r>
        <w:t>A.</w:t>
      </w:r>
      <w:r>
        <w:tab/>
        <w:t xml:space="preserve">It is important because how </w:t>
      </w:r>
      <w:r w:rsidR="00C63A7E">
        <w:t xml:space="preserve">the </w:t>
      </w:r>
      <w:r w:rsidR="009254BF">
        <w:t>C</w:t>
      </w:r>
      <w:r w:rsidR="00C63A7E">
        <w:t xml:space="preserve">ompany applies </w:t>
      </w:r>
      <w:r w:rsidR="002975F0">
        <w:t>low-income</w:t>
      </w:r>
      <w:r w:rsidR="00C63A7E">
        <w:t xml:space="preserve"> energy</w:t>
      </w:r>
      <w:r>
        <w:t xml:space="preserve"> grants </w:t>
      </w:r>
      <w:r w:rsidR="00C63A7E">
        <w:t xml:space="preserve">to a customer’s account </w:t>
      </w:r>
      <w:r>
        <w:t xml:space="preserve">has a direct effect on whether </w:t>
      </w:r>
      <w:r w:rsidR="00C63A7E">
        <w:t xml:space="preserve">that </w:t>
      </w:r>
      <w:r>
        <w:t xml:space="preserve">customer is disconnected and how much money he or she owes the </w:t>
      </w:r>
      <w:r w:rsidR="009254BF">
        <w:t>C</w:t>
      </w:r>
      <w:r>
        <w:t>ompany</w:t>
      </w:r>
      <w:r w:rsidR="00C63A7E">
        <w:t xml:space="preserve"> as a current balance</w:t>
      </w:r>
      <w:r>
        <w:t xml:space="preserve">. </w:t>
      </w:r>
      <w:r w:rsidR="00F73950">
        <w:t xml:space="preserve"> </w:t>
      </w:r>
      <w:r>
        <w:t xml:space="preserve">The financial impact on these customers is discussed in some detail by </w:t>
      </w:r>
      <w:r w:rsidR="00105E75">
        <w:t>Staff wi</w:t>
      </w:r>
      <w:r w:rsidR="006C146E">
        <w:t>t</w:t>
      </w:r>
      <w:r w:rsidR="00105E75">
        <w:t>n</w:t>
      </w:r>
      <w:r w:rsidR="006C146E">
        <w:t>ess</w:t>
      </w:r>
      <w:r w:rsidR="00686BC6">
        <w:t xml:space="preserve"> </w:t>
      </w:r>
      <w:r>
        <w:t>Vick</w:t>
      </w:r>
      <w:r w:rsidR="006C146E">
        <w:t>i</w:t>
      </w:r>
      <w:r>
        <w:t xml:space="preserve"> Elliott</w:t>
      </w:r>
      <w:r w:rsidR="00C63A7E">
        <w:t>, in her rebuttal testimony</w:t>
      </w:r>
      <w:r w:rsidR="006C146E">
        <w:t>,</w:t>
      </w:r>
      <w:r w:rsidR="00C63A7E">
        <w:t xml:space="preserve"> Exhibit No ___(VE-1T)</w:t>
      </w:r>
      <w:r>
        <w:t xml:space="preserve">. </w:t>
      </w:r>
    </w:p>
    <w:p w:rsidR="00D6073D" w:rsidRDefault="00D6073D" w:rsidP="00951EAD">
      <w:pPr>
        <w:spacing w:line="480" w:lineRule="auto"/>
        <w:ind w:left="720" w:right="734" w:firstLine="720"/>
      </w:pPr>
      <w:r>
        <w:t xml:space="preserve">As </w:t>
      </w:r>
      <w:r w:rsidR="00C63A7E">
        <w:t xml:space="preserve">Ms. Elliott </w:t>
      </w:r>
      <w:r>
        <w:t>dem</w:t>
      </w:r>
      <w:r w:rsidR="00AD4233">
        <w:t>onstrates in her testimony</w:t>
      </w:r>
      <w:r w:rsidR="002975F0">
        <w:t>,</w:t>
      </w:r>
      <w:r>
        <w:t xml:space="preserve"> of the 21 accounts she examined</w:t>
      </w:r>
      <w:r w:rsidR="00AD4233">
        <w:t>,</w:t>
      </w:r>
      <w:r>
        <w:t xml:space="preserve"> the </w:t>
      </w:r>
      <w:r w:rsidR="00C63A7E">
        <w:t>C</w:t>
      </w:r>
      <w:r>
        <w:t>ompany misap</w:t>
      </w:r>
      <w:r w:rsidR="00AD4233">
        <w:t>plied prior obligation 22 times and</w:t>
      </w:r>
      <w:r>
        <w:t xml:space="preserve"> misapplied </w:t>
      </w:r>
      <w:r>
        <w:lastRenderedPageBreak/>
        <w:t xml:space="preserve">pledge payments 38 </w:t>
      </w:r>
      <w:r w:rsidR="00AD4233">
        <w:t xml:space="preserve">times. </w:t>
      </w:r>
      <w:r w:rsidR="00C63A7E">
        <w:t xml:space="preserve"> </w:t>
      </w:r>
      <w:r w:rsidR="00AD4233">
        <w:t xml:space="preserve">These errors resulted in more than 200 improper billings by the </w:t>
      </w:r>
      <w:r w:rsidR="006C146E">
        <w:t>C</w:t>
      </w:r>
      <w:r w:rsidR="00AD4233">
        <w:t>ompany and customers being improperly disconnected 15 times.</w:t>
      </w:r>
    </w:p>
    <w:p w:rsidR="00AD4233" w:rsidRDefault="00AD4233" w:rsidP="002975F0">
      <w:pPr>
        <w:spacing w:line="480" w:lineRule="auto"/>
        <w:ind w:right="734"/>
      </w:pPr>
    </w:p>
    <w:p w:rsidR="00AD4233" w:rsidRPr="002975F0" w:rsidRDefault="00AD4233" w:rsidP="002975F0">
      <w:pPr>
        <w:spacing w:line="480" w:lineRule="auto"/>
        <w:ind w:right="734"/>
        <w:rPr>
          <w:b/>
        </w:rPr>
      </w:pPr>
      <w:r w:rsidRPr="002975F0">
        <w:rPr>
          <w:b/>
        </w:rPr>
        <w:t>Q</w:t>
      </w:r>
      <w:r w:rsidR="00E3033A">
        <w:rPr>
          <w:b/>
        </w:rPr>
        <w:t>.</w:t>
      </w:r>
      <w:r w:rsidRPr="002975F0">
        <w:rPr>
          <w:b/>
        </w:rPr>
        <w:tab/>
      </w:r>
      <w:r w:rsidR="009254BF">
        <w:rPr>
          <w:b/>
        </w:rPr>
        <w:t xml:space="preserve">Do you view this as causing significant harm to the affected customers? </w:t>
      </w:r>
    </w:p>
    <w:p w:rsidR="00575578" w:rsidRDefault="00AD4233" w:rsidP="00951EAD">
      <w:pPr>
        <w:spacing w:line="480" w:lineRule="auto"/>
        <w:ind w:left="720" w:right="734" w:hanging="720"/>
      </w:pPr>
      <w:r>
        <w:t>A.</w:t>
      </w:r>
      <w:r>
        <w:tab/>
      </w:r>
      <w:r w:rsidR="009254BF">
        <w:t xml:space="preserve">Yes.  </w:t>
      </w:r>
      <w:r w:rsidR="002975F0">
        <w:t xml:space="preserve">At the time of the December 2010 settlement discussion, </w:t>
      </w:r>
      <w:r>
        <w:t xml:space="preserve">Staff understood that </w:t>
      </w:r>
      <w:r w:rsidR="002975F0">
        <w:t>misapplying</w:t>
      </w:r>
      <w:r>
        <w:t xml:space="preserve"> </w:t>
      </w:r>
      <w:r w:rsidR="002975F0">
        <w:t xml:space="preserve">the prior obligation rules as the </w:t>
      </w:r>
      <w:r w:rsidR="006C146E">
        <w:t>C</w:t>
      </w:r>
      <w:r w:rsidR="002975F0">
        <w:t xml:space="preserve">ompany had done would result in the </w:t>
      </w:r>
      <w:r w:rsidR="00575578">
        <w:t xml:space="preserve">kinds of </w:t>
      </w:r>
      <w:r>
        <w:t>improper billings and improper disconnections that</w:t>
      </w:r>
      <w:r w:rsidR="002975F0">
        <w:t xml:space="preserve"> Ms. Elliott documents in her testimony. </w:t>
      </w:r>
    </w:p>
    <w:p w:rsidR="002975F0" w:rsidRDefault="00575578" w:rsidP="00575578">
      <w:pPr>
        <w:spacing w:line="480" w:lineRule="auto"/>
        <w:ind w:left="720" w:right="734" w:hanging="720"/>
      </w:pPr>
      <w:r>
        <w:tab/>
      </w:r>
      <w:r>
        <w:tab/>
        <w:t xml:space="preserve">In negotiations over settlements of Staff-conducted compliance investigations that document inappropriate charges by a company, </w:t>
      </w:r>
      <w:r w:rsidR="006C146E">
        <w:t>S</w:t>
      </w:r>
      <w:r>
        <w:t xml:space="preserve">taff always insists that the company refund such charges. </w:t>
      </w:r>
      <w:r w:rsidR="009254BF">
        <w:t xml:space="preserve"> </w:t>
      </w:r>
      <w:r>
        <w:t xml:space="preserve">The inappropriate charges identified by Ms. Elliott clearly need to be refunded.  </w:t>
      </w:r>
      <w:r w:rsidR="002975F0">
        <w:t xml:space="preserve">Staff conveyed </w:t>
      </w:r>
      <w:r>
        <w:t xml:space="preserve">this </w:t>
      </w:r>
      <w:r w:rsidR="002975F0">
        <w:t xml:space="preserve">concern to the </w:t>
      </w:r>
      <w:r>
        <w:t>C</w:t>
      </w:r>
      <w:r w:rsidR="002975F0">
        <w:t xml:space="preserve">ompany </w:t>
      </w:r>
      <w:r>
        <w:t xml:space="preserve">as well as </w:t>
      </w:r>
      <w:r w:rsidR="002975F0">
        <w:t xml:space="preserve">the need for the </w:t>
      </w:r>
      <w:r w:rsidR="009254BF">
        <w:t>C</w:t>
      </w:r>
      <w:r w:rsidR="002975F0">
        <w:t xml:space="preserve">ompany to analyze these accounts and make each customer whole. </w:t>
      </w:r>
    </w:p>
    <w:p w:rsidR="000C1129" w:rsidRDefault="000C1129" w:rsidP="00B814E2">
      <w:pPr>
        <w:spacing w:line="480" w:lineRule="auto"/>
        <w:ind w:left="720" w:hanging="720"/>
      </w:pPr>
    </w:p>
    <w:p w:rsidR="00E3033A" w:rsidRDefault="00E3033A" w:rsidP="00B814E2">
      <w:pPr>
        <w:spacing w:line="480" w:lineRule="auto"/>
        <w:ind w:left="720" w:hanging="720"/>
      </w:pPr>
      <w:r>
        <w:t>Q.</w:t>
      </w:r>
      <w:r>
        <w:tab/>
        <w:t>Does this conclude your testimony?</w:t>
      </w:r>
    </w:p>
    <w:p w:rsidR="00E3033A" w:rsidRPr="00B814E2" w:rsidRDefault="00E3033A" w:rsidP="00B814E2">
      <w:pPr>
        <w:spacing w:line="480" w:lineRule="auto"/>
        <w:ind w:left="720" w:hanging="720"/>
      </w:pPr>
      <w:r>
        <w:t>A.</w:t>
      </w:r>
      <w:r>
        <w:tab/>
        <w:t>Yes.</w:t>
      </w:r>
    </w:p>
    <w:sectPr w:rsidR="00E3033A" w:rsidRPr="00B814E2" w:rsidSect="0015026F">
      <w:footerReference w:type="default" r:id="rId10"/>
      <w:pgSz w:w="12240" w:h="15840" w:code="1"/>
      <w:pgMar w:top="1440" w:right="1440" w:bottom="1440" w:left="1872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F6" w:rsidRDefault="008E36F6" w:rsidP="0015026F">
      <w:r>
        <w:separator/>
      </w:r>
    </w:p>
  </w:endnote>
  <w:endnote w:type="continuationSeparator" w:id="0">
    <w:p w:rsidR="008E36F6" w:rsidRDefault="008E36F6" w:rsidP="0015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47" w:rsidRPr="0015026F" w:rsidRDefault="00764D47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</w:p>
  <w:p w:rsidR="00764D47" w:rsidRPr="0015026F" w:rsidRDefault="009254BF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  <w:r>
      <w:rPr>
        <w:sz w:val="20"/>
        <w:szCs w:val="20"/>
      </w:rPr>
      <w:t xml:space="preserve">REBUTTAL </w:t>
    </w:r>
    <w:r w:rsidR="00764D47" w:rsidRPr="0015026F">
      <w:rPr>
        <w:sz w:val="20"/>
        <w:szCs w:val="20"/>
      </w:rPr>
      <w:t xml:space="preserve">TESTIMONY OF </w:t>
    </w:r>
    <w:r w:rsidR="00764D47">
      <w:rPr>
        <w:sz w:val="20"/>
        <w:szCs w:val="20"/>
      </w:rPr>
      <w:t>STEVE</w:t>
    </w:r>
    <w:r w:rsidR="00FE00E1">
      <w:rPr>
        <w:sz w:val="20"/>
        <w:szCs w:val="20"/>
      </w:rPr>
      <w:t>N V.</w:t>
    </w:r>
    <w:r w:rsidR="00764D47">
      <w:rPr>
        <w:sz w:val="20"/>
        <w:szCs w:val="20"/>
      </w:rPr>
      <w:t xml:space="preserve"> KING</w:t>
    </w:r>
    <w:r w:rsidR="00764D47" w:rsidRPr="0015026F">
      <w:rPr>
        <w:sz w:val="20"/>
        <w:szCs w:val="20"/>
      </w:rPr>
      <w:t xml:space="preserve"> </w:t>
    </w:r>
    <w:r w:rsidR="00764D47" w:rsidRPr="0015026F">
      <w:rPr>
        <w:sz w:val="20"/>
        <w:szCs w:val="20"/>
      </w:rPr>
      <w:tab/>
    </w:r>
    <w:r w:rsidR="00764D47" w:rsidRPr="0015026F">
      <w:rPr>
        <w:sz w:val="20"/>
        <w:szCs w:val="20"/>
      </w:rPr>
      <w:tab/>
      <w:t>Exhibit No.</w:t>
    </w:r>
    <w:r w:rsidR="00FE00E1">
      <w:rPr>
        <w:sz w:val="20"/>
        <w:szCs w:val="20"/>
      </w:rPr>
      <w:t>___</w:t>
    </w:r>
    <w:r w:rsidR="00764D47" w:rsidRPr="0015026F">
      <w:rPr>
        <w:sz w:val="20"/>
        <w:szCs w:val="20"/>
      </w:rPr>
      <w:t>-</w:t>
    </w:r>
    <w:r w:rsidR="00FE00E1" w:rsidRPr="0015026F" w:rsidDel="00FE00E1">
      <w:rPr>
        <w:sz w:val="20"/>
        <w:szCs w:val="20"/>
      </w:rPr>
      <w:t xml:space="preserve"> </w:t>
    </w:r>
    <w:r w:rsidR="00764D47" w:rsidRPr="0015026F">
      <w:rPr>
        <w:sz w:val="20"/>
        <w:szCs w:val="20"/>
      </w:rPr>
      <w:t>T</w:t>
    </w:r>
    <w:r w:rsidR="00FE00E1">
      <w:rPr>
        <w:sz w:val="20"/>
        <w:szCs w:val="20"/>
      </w:rPr>
      <w:t xml:space="preserve"> (</w:t>
    </w:r>
    <w:proofErr w:type="spellStart"/>
    <w:r w:rsidR="00FE00E1">
      <w:rPr>
        <w:sz w:val="20"/>
        <w:szCs w:val="20"/>
      </w:rPr>
      <w:t>SVK-</w:t>
    </w:r>
    <w:r w:rsidR="00F73950">
      <w:rPr>
        <w:sz w:val="20"/>
        <w:szCs w:val="20"/>
      </w:rPr>
      <w:t>3</w:t>
    </w:r>
    <w:r w:rsidR="00E3033A">
      <w:rPr>
        <w:sz w:val="20"/>
        <w:szCs w:val="20"/>
      </w:rPr>
      <w:t>T</w:t>
    </w:r>
    <w:proofErr w:type="spellEnd"/>
    <w:r w:rsidR="00FE00E1">
      <w:rPr>
        <w:sz w:val="20"/>
        <w:szCs w:val="20"/>
      </w:rPr>
      <w:t>)</w:t>
    </w:r>
  </w:p>
  <w:p w:rsidR="00764D47" w:rsidRPr="0015026F" w:rsidRDefault="00764D47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  <w:r w:rsidRPr="0015026F">
      <w:rPr>
        <w:sz w:val="20"/>
        <w:szCs w:val="20"/>
      </w:rPr>
      <w:t xml:space="preserve">Docket </w:t>
    </w:r>
    <w:r>
      <w:rPr>
        <w:sz w:val="20"/>
        <w:szCs w:val="20"/>
      </w:rPr>
      <w:t>U</w:t>
    </w:r>
    <w:r w:rsidRPr="0015026F">
      <w:rPr>
        <w:sz w:val="20"/>
        <w:szCs w:val="20"/>
      </w:rPr>
      <w:t>-</w:t>
    </w:r>
    <w:r>
      <w:rPr>
        <w:sz w:val="20"/>
        <w:szCs w:val="20"/>
      </w:rPr>
      <w:t>110808</w:t>
    </w:r>
    <w:r w:rsidRPr="0015026F">
      <w:rPr>
        <w:sz w:val="20"/>
        <w:szCs w:val="20"/>
      </w:rPr>
      <w:tab/>
    </w:r>
    <w:r w:rsidRPr="0015026F">
      <w:rPr>
        <w:sz w:val="20"/>
        <w:szCs w:val="20"/>
      </w:rPr>
      <w:tab/>
      <w:t xml:space="preserve">Page </w:t>
    </w:r>
    <w:r w:rsidR="00A33197" w:rsidRPr="0015026F">
      <w:rPr>
        <w:sz w:val="20"/>
        <w:szCs w:val="20"/>
      </w:rPr>
      <w:fldChar w:fldCharType="begin"/>
    </w:r>
    <w:r w:rsidRPr="0015026F">
      <w:rPr>
        <w:sz w:val="20"/>
        <w:szCs w:val="20"/>
      </w:rPr>
      <w:instrText xml:space="preserve"> PAGE   \* MERGEFORMAT </w:instrText>
    </w:r>
    <w:r w:rsidR="00A33197" w:rsidRPr="0015026F">
      <w:rPr>
        <w:sz w:val="20"/>
        <w:szCs w:val="20"/>
      </w:rPr>
      <w:fldChar w:fldCharType="separate"/>
    </w:r>
    <w:r w:rsidR="00407D49">
      <w:rPr>
        <w:noProof/>
        <w:sz w:val="20"/>
        <w:szCs w:val="20"/>
      </w:rPr>
      <w:t>i</w:t>
    </w:r>
    <w:r w:rsidR="00A33197" w:rsidRPr="0015026F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47" w:rsidRPr="0015026F" w:rsidRDefault="00764D47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</w:p>
  <w:p w:rsidR="00764D47" w:rsidRPr="0015026F" w:rsidRDefault="006C146E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  <w:r>
      <w:rPr>
        <w:sz w:val="20"/>
        <w:szCs w:val="20"/>
      </w:rPr>
      <w:t xml:space="preserve">REBUTTAL </w:t>
    </w:r>
    <w:r w:rsidR="00764D47" w:rsidRPr="0015026F">
      <w:rPr>
        <w:sz w:val="20"/>
        <w:szCs w:val="20"/>
      </w:rPr>
      <w:t xml:space="preserve">TESTIMONY OF </w:t>
    </w:r>
    <w:r w:rsidR="00764D47">
      <w:rPr>
        <w:sz w:val="20"/>
        <w:szCs w:val="20"/>
      </w:rPr>
      <w:t>STEVE</w:t>
    </w:r>
    <w:r w:rsidR="00FE00E1">
      <w:rPr>
        <w:sz w:val="20"/>
        <w:szCs w:val="20"/>
      </w:rPr>
      <w:t>N V.</w:t>
    </w:r>
    <w:r w:rsidR="00764D47">
      <w:rPr>
        <w:sz w:val="20"/>
        <w:szCs w:val="20"/>
      </w:rPr>
      <w:t xml:space="preserve"> KING</w:t>
    </w:r>
    <w:r w:rsidR="00764D47" w:rsidRPr="0015026F">
      <w:rPr>
        <w:sz w:val="20"/>
        <w:szCs w:val="20"/>
      </w:rPr>
      <w:t xml:space="preserve"> </w:t>
    </w:r>
    <w:r w:rsidR="00764D47" w:rsidRPr="0015026F">
      <w:rPr>
        <w:sz w:val="20"/>
        <w:szCs w:val="20"/>
      </w:rPr>
      <w:tab/>
    </w:r>
    <w:r w:rsidR="00764D47" w:rsidRPr="0015026F">
      <w:rPr>
        <w:sz w:val="20"/>
        <w:szCs w:val="20"/>
      </w:rPr>
      <w:tab/>
      <w:t xml:space="preserve">Exhibit </w:t>
    </w:r>
    <w:r w:rsidR="00B86173" w:rsidRPr="0015026F">
      <w:rPr>
        <w:sz w:val="20"/>
        <w:szCs w:val="20"/>
      </w:rPr>
      <w:t>No</w:t>
    </w:r>
    <w:r w:rsidR="00B86173">
      <w:rPr>
        <w:sz w:val="20"/>
        <w:szCs w:val="20"/>
      </w:rPr>
      <w:t>. __</w:t>
    </w:r>
    <w:r w:rsidR="00B86173" w:rsidRPr="0015026F">
      <w:rPr>
        <w:sz w:val="20"/>
        <w:szCs w:val="20"/>
      </w:rPr>
      <w:t>T</w:t>
    </w:r>
    <w:r w:rsidR="00764D47">
      <w:rPr>
        <w:sz w:val="20"/>
        <w:szCs w:val="20"/>
      </w:rPr>
      <w:t xml:space="preserve"> (</w:t>
    </w:r>
    <w:proofErr w:type="spellStart"/>
    <w:r w:rsidR="00764D47">
      <w:rPr>
        <w:sz w:val="20"/>
        <w:szCs w:val="20"/>
      </w:rPr>
      <w:t>SVK-</w:t>
    </w:r>
    <w:r w:rsidR="00407D49">
      <w:rPr>
        <w:sz w:val="20"/>
        <w:szCs w:val="20"/>
      </w:rPr>
      <w:t>3</w:t>
    </w:r>
    <w:r w:rsidR="00E3033A">
      <w:rPr>
        <w:sz w:val="20"/>
        <w:szCs w:val="20"/>
      </w:rPr>
      <w:t>T</w:t>
    </w:r>
    <w:proofErr w:type="spellEnd"/>
    <w:r w:rsidR="00764D47">
      <w:rPr>
        <w:sz w:val="20"/>
        <w:szCs w:val="20"/>
      </w:rPr>
      <w:t>)</w:t>
    </w:r>
  </w:p>
  <w:p w:rsidR="00764D47" w:rsidRPr="0015026F" w:rsidRDefault="00764D47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  <w:r w:rsidRPr="0015026F">
      <w:rPr>
        <w:sz w:val="20"/>
        <w:szCs w:val="20"/>
      </w:rPr>
      <w:t xml:space="preserve">Docket </w:t>
    </w:r>
    <w:r>
      <w:rPr>
        <w:sz w:val="20"/>
        <w:szCs w:val="20"/>
      </w:rPr>
      <w:t>U</w:t>
    </w:r>
    <w:r w:rsidRPr="0015026F">
      <w:rPr>
        <w:sz w:val="20"/>
        <w:szCs w:val="20"/>
      </w:rPr>
      <w:t>-</w:t>
    </w:r>
    <w:r>
      <w:rPr>
        <w:sz w:val="20"/>
        <w:szCs w:val="20"/>
      </w:rPr>
      <w:t>110808</w:t>
    </w:r>
    <w:r w:rsidRPr="0015026F">
      <w:rPr>
        <w:sz w:val="20"/>
        <w:szCs w:val="20"/>
      </w:rPr>
      <w:tab/>
    </w:r>
    <w:r w:rsidRPr="0015026F">
      <w:rPr>
        <w:sz w:val="20"/>
        <w:szCs w:val="20"/>
      </w:rPr>
      <w:tab/>
      <w:t xml:space="preserve">Page </w:t>
    </w:r>
    <w:r w:rsidR="00A33197" w:rsidRPr="0015026F">
      <w:rPr>
        <w:sz w:val="20"/>
        <w:szCs w:val="20"/>
      </w:rPr>
      <w:fldChar w:fldCharType="begin"/>
    </w:r>
    <w:r w:rsidRPr="0015026F">
      <w:rPr>
        <w:sz w:val="20"/>
        <w:szCs w:val="20"/>
      </w:rPr>
      <w:instrText xml:space="preserve"> PAGE   \* MERGEFORMAT </w:instrText>
    </w:r>
    <w:r w:rsidR="00A33197" w:rsidRPr="0015026F">
      <w:rPr>
        <w:sz w:val="20"/>
        <w:szCs w:val="20"/>
      </w:rPr>
      <w:fldChar w:fldCharType="separate"/>
    </w:r>
    <w:r w:rsidR="00407D49">
      <w:rPr>
        <w:noProof/>
        <w:sz w:val="20"/>
        <w:szCs w:val="20"/>
      </w:rPr>
      <w:t>2</w:t>
    </w:r>
    <w:r w:rsidR="00A33197" w:rsidRPr="0015026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F6" w:rsidRDefault="008E36F6" w:rsidP="0015026F">
      <w:r>
        <w:separator/>
      </w:r>
    </w:p>
  </w:footnote>
  <w:footnote w:type="continuationSeparator" w:id="0">
    <w:p w:rsidR="008E36F6" w:rsidRDefault="008E36F6" w:rsidP="0015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546"/>
    <w:multiLevelType w:val="hybridMultilevel"/>
    <w:tmpl w:val="B596E12E"/>
    <w:lvl w:ilvl="0" w:tplc="0BD423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5D77"/>
    <w:multiLevelType w:val="hybridMultilevel"/>
    <w:tmpl w:val="CC069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E2"/>
    <w:rsid w:val="00004850"/>
    <w:rsid w:val="00006432"/>
    <w:rsid w:val="00025DA2"/>
    <w:rsid w:val="00031CCC"/>
    <w:rsid w:val="00042FF1"/>
    <w:rsid w:val="00067BFA"/>
    <w:rsid w:val="00076272"/>
    <w:rsid w:val="000806A4"/>
    <w:rsid w:val="000831FE"/>
    <w:rsid w:val="00096824"/>
    <w:rsid w:val="000C1129"/>
    <w:rsid w:val="001013A2"/>
    <w:rsid w:val="00105E75"/>
    <w:rsid w:val="001264A5"/>
    <w:rsid w:val="001372EF"/>
    <w:rsid w:val="0015026F"/>
    <w:rsid w:val="00165FCF"/>
    <w:rsid w:val="0017271E"/>
    <w:rsid w:val="0018005A"/>
    <w:rsid w:val="001A17CB"/>
    <w:rsid w:val="00252E1B"/>
    <w:rsid w:val="0025614E"/>
    <w:rsid w:val="00264DB5"/>
    <w:rsid w:val="00266F15"/>
    <w:rsid w:val="00281992"/>
    <w:rsid w:val="00285989"/>
    <w:rsid w:val="00291322"/>
    <w:rsid w:val="00295060"/>
    <w:rsid w:val="002975F0"/>
    <w:rsid w:val="002B161B"/>
    <w:rsid w:val="002C64EA"/>
    <w:rsid w:val="002E1030"/>
    <w:rsid w:val="00336144"/>
    <w:rsid w:val="00341E09"/>
    <w:rsid w:val="00366392"/>
    <w:rsid w:val="00391048"/>
    <w:rsid w:val="003B208F"/>
    <w:rsid w:val="003B3949"/>
    <w:rsid w:val="004006E6"/>
    <w:rsid w:val="00407D49"/>
    <w:rsid w:val="004327F6"/>
    <w:rsid w:val="0046251D"/>
    <w:rsid w:val="0047591B"/>
    <w:rsid w:val="004A0F02"/>
    <w:rsid w:val="004D1E22"/>
    <w:rsid w:val="004D2872"/>
    <w:rsid w:val="00526610"/>
    <w:rsid w:val="00562BDE"/>
    <w:rsid w:val="005712C8"/>
    <w:rsid w:val="00575578"/>
    <w:rsid w:val="00580C89"/>
    <w:rsid w:val="005B0B20"/>
    <w:rsid w:val="005C37CD"/>
    <w:rsid w:val="005D1AFE"/>
    <w:rsid w:val="005E0C1A"/>
    <w:rsid w:val="0063623F"/>
    <w:rsid w:val="00684195"/>
    <w:rsid w:val="00686BC6"/>
    <w:rsid w:val="006B5536"/>
    <w:rsid w:val="006C146E"/>
    <w:rsid w:val="006C1FF9"/>
    <w:rsid w:val="006C6F4A"/>
    <w:rsid w:val="0073235B"/>
    <w:rsid w:val="00764D47"/>
    <w:rsid w:val="007D0251"/>
    <w:rsid w:val="007D3D2D"/>
    <w:rsid w:val="007F313E"/>
    <w:rsid w:val="00815155"/>
    <w:rsid w:val="008407B2"/>
    <w:rsid w:val="00844367"/>
    <w:rsid w:val="00845BC8"/>
    <w:rsid w:val="0085153B"/>
    <w:rsid w:val="008835FD"/>
    <w:rsid w:val="008B2D3D"/>
    <w:rsid w:val="008B5CC0"/>
    <w:rsid w:val="008E36F6"/>
    <w:rsid w:val="008E4FCE"/>
    <w:rsid w:val="009209BF"/>
    <w:rsid w:val="00922CD8"/>
    <w:rsid w:val="009254BF"/>
    <w:rsid w:val="00931369"/>
    <w:rsid w:val="00951EAD"/>
    <w:rsid w:val="009668D4"/>
    <w:rsid w:val="00977FD7"/>
    <w:rsid w:val="009A03A7"/>
    <w:rsid w:val="009A2843"/>
    <w:rsid w:val="009F53BC"/>
    <w:rsid w:val="00A21289"/>
    <w:rsid w:val="00A23054"/>
    <w:rsid w:val="00A33197"/>
    <w:rsid w:val="00A5075D"/>
    <w:rsid w:val="00A64E08"/>
    <w:rsid w:val="00A65FFD"/>
    <w:rsid w:val="00A92378"/>
    <w:rsid w:val="00AB106C"/>
    <w:rsid w:val="00AB126C"/>
    <w:rsid w:val="00AB6262"/>
    <w:rsid w:val="00AD4233"/>
    <w:rsid w:val="00B3235E"/>
    <w:rsid w:val="00B50173"/>
    <w:rsid w:val="00B77FBB"/>
    <w:rsid w:val="00B814E2"/>
    <w:rsid w:val="00B824F5"/>
    <w:rsid w:val="00B86173"/>
    <w:rsid w:val="00BC4A56"/>
    <w:rsid w:val="00BE6E2C"/>
    <w:rsid w:val="00C050B3"/>
    <w:rsid w:val="00C0665B"/>
    <w:rsid w:val="00C129DC"/>
    <w:rsid w:val="00C30AB8"/>
    <w:rsid w:val="00C43E24"/>
    <w:rsid w:val="00C63A7E"/>
    <w:rsid w:val="00C65A5C"/>
    <w:rsid w:val="00C97976"/>
    <w:rsid w:val="00CA2B49"/>
    <w:rsid w:val="00D00D71"/>
    <w:rsid w:val="00D22B26"/>
    <w:rsid w:val="00D6073D"/>
    <w:rsid w:val="00DF5C42"/>
    <w:rsid w:val="00E156CB"/>
    <w:rsid w:val="00E25C52"/>
    <w:rsid w:val="00E3033A"/>
    <w:rsid w:val="00E3448E"/>
    <w:rsid w:val="00E50BE2"/>
    <w:rsid w:val="00E6593A"/>
    <w:rsid w:val="00E75C13"/>
    <w:rsid w:val="00EC5452"/>
    <w:rsid w:val="00ED014E"/>
    <w:rsid w:val="00F04D42"/>
    <w:rsid w:val="00F73950"/>
    <w:rsid w:val="00F957C6"/>
    <w:rsid w:val="00FA6FC3"/>
    <w:rsid w:val="00FB1BFC"/>
    <w:rsid w:val="00FC38FE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814E2"/>
  </w:style>
  <w:style w:type="paragraph" w:styleId="Header">
    <w:name w:val="header"/>
    <w:basedOn w:val="Normal"/>
    <w:link w:val="HeaderChar"/>
    <w:uiPriority w:val="99"/>
    <w:unhideWhenUsed/>
    <w:rsid w:val="00150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26F"/>
  </w:style>
  <w:style w:type="paragraph" w:styleId="Footer">
    <w:name w:val="footer"/>
    <w:basedOn w:val="Normal"/>
    <w:link w:val="FooterChar"/>
    <w:uiPriority w:val="99"/>
    <w:unhideWhenUsed/>
    <w:rsid w:val="00150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26F"/>
  </w:style>
  <w:style w:type="paragraph" w:styleId="FootnoteText">
    <w:name w:val="footnote text"/>
    <w:basedOn w:val="Normal"/>
    <w:link w:val="FootnoteTextChar"/>
    <w:uiPriority w:val="99"/>
    <w:semiHidden/>
    <w:unhideWhenUsed/>
    <w:rsid w:val="000806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6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6A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7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814E2"/>
  </w:style>
  <w:style w:type="paragraph" w:styleId="Header">
    <w:name w:val="header"/>
    <w:basedOn w:val="Normal"/>
    <w:link w:val="HeaderChar"/>
    <w:uiPriority w:val="99"/>
    <w:unhideWhenUsed/>
    <w:rsid w:val="00150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26F"/>
  </w:style>
  <w:style w:type="paragraph" w:styleId="Footer">
    <w:name w:val="footer"/>
    <w:basedOn w:val="Normal"/>
    <w:link w:val="FooterChar"/>
    <w:uiPriority w:val="99"/>
    <w:unhideWhenUsed/>
    <w:rsid w:val="00150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26F"/>
  </w:style>
  <w:style w:type="paragraph" w:styleId="FootnoteText">
    <w:name w:val="footnote text"/>
    <w:basedOn w:val="Normal"/>
    <w:link w:val="FootnoteTextChar"/>
    <w:uiPriority w:val="99"/>
    <w:semiHidden/>
    <w:unhideWhenUsed/>
    <w:rsid w:val="000806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6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6A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7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C16ED37629714BB1E1EDBE5545B438" ma:contentTypeVersion="135" ma:contentTypeDescription="" ma:contentTypeScope="" ma:versionID="b1f94222ca92b06a2fd18dc7638c93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501</IndustryCode>
    <CaseStatus xmlns="dc463f71-b30c-4ab2-9473-d307f9d35888">Closed</CaseStatus>
    <OpenedDate xmlns="dc463f71-b30c-4ab2-9473-d307f9d35888">2011-05-02T07:00:00+00:00</OpenedDate>
    <Date1 xmlns="dc463f71-b30c-4ab2-9473-d307f9d35888">2012-07-06T07:00:00+00:00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7292BC0-9A7A-4732-9FDA-C47D25E3E795}"/>
</file>

<file path=customXml/itemProps2.xml><?xml version="1.0" encoding="utf-8"?>
<ds:datastoreItem xmlns:ds="http://schemas.openxmlformats.org/officeDocument/2006/customXml" ds:itemID="{847767C8-D140-4936-BA59-9A7B3F5640FD}"/>
</file>

<file path=customXml/itemProps3.xml><?xml version="1.0" encoding="utf-8"?>
<ds:datastoreItem xmlns:ds="http://schemas.openxmlformats.org/officeDocument/2006/customXml" ds:itemID="{0CFF4B47-60F7-4D0B-9C64-113C48DA8FEB}"/>
</file>

<file path=customXml/itemProps4.xml><?xml version="1.0" encoding="utf-8"?>
<ds:datastoreItem xmlns:ds="http://schemas.openxmlformats.org/officeDocument/2006/customXml" ds:itemID="{0CEB98BB-95FA-4091-9524-BB8EBF4B277C}"/>
</file>

<file path=customXml/itemProps5.xml><?xml version="1.0" encoding="utf-8"?>
<ds:datastoreItem xmlns:ds="http://schemas.openxmlformats.org/officeDocument/2006/customXml" ds:itemID="{254F96D0-0D2F-46B6-B1D0-36841151A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2012-07-06T16:57:00Z</dcterms:created>
  <dcterms:modified xsi:type="dcterms:W3CDTF">2012-07-06T17:15:00Z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0x0101006E56B4D1795A2E4DB2F0B01679ED314A00A2C16ED37629714BB1E1EDBE5545B438</vt:lpwstr>
  </property>
  <property fmtid="{D5CDD505-2E9C-101B-9397-08002B2CF9AE}" pid="3" name="_docset_NoMedatataSyncRequired">
    <vt:lpwstr>False</vt:lpwstr>
  </property>
</Properties>
</file>