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FE687" w14:textId="77777777" w:rsidR="0005692F" w:rsidRPr="00DA5DBB" w:rsidRDefault="0005692F" w:rsidP="0005692F">
      <w:pPr>
        <w:pStyle w:val="BodyText"/>
        <w:rPr>
          <w:b/>
          <w:bCs/>
          <w:sz w:val="25"/>
          <w:szCs w:val="25"/>
        </w:rPr>
      </w:pPr>
      <w:r>
        <w:rPr>
          <w:b/>
          <w:bCs/>
          <w:sz w:val="25"/>
          <w:szCs w:val="25"/>
        </w:rPr>
        <w:t>B</w:t>
      </w:r>
      <w:r w:rsidRPr="00DA5DBB">
        <w:rPr>
          <w:b/>
          <w:bCs/>
          <w:sz w:val="25"/>
          <w:szCs w:val="25"/>
        </w:rPr>
        <w:t>EFORE THE WASHINGTON</w:t>
      </w:r>
      <w:bookmarkStart w:id="0" w:name="_GoBack"/>
      <w:bookmarkEnd w:id="0"/>
    </w:p>
    <w:p w14:paraId="0A7FE688" w14:textId="77777777" w:rsidR="0005692F" w:rsidRPr="00DA5DBB" w:rsidRDefault="0005692F" w:rsidP="0005692F">
      <w:pPr>
        <w:pStyle w:val="BodyText"/>
        <w:rPr>
          <w:b/>
          <w:bCs/>
          <w:sz w:val="25"/>
          <w:szCs w:val="25"/>
        </w:rPr>
      </w:pPr>
      <w:r w:rsidRPr="00DA5DBB">
        <w:rPr>
          <w:b/>
          <w:bCs/>
          <w:sz w:val="25"/>
          <w:szCs w:val="25"/>
        </w:rPr>
        <w:t>UTILITIES AND TRANSPORTATION COMMISSION</w:t>
      </w:r>
    </w:p>
    <w:p w14:paraId="0A7FE689" w14:textId="77777777" w:rsidR="0005692F" w:rsidRDefault="0005692F" w:rsidP="0005692F">
      <w:pPr>
        <w:rPr>
          <w:sz w:val="25"/>
          <w:szCs w:val="25"/>
        </w:rPr>
      </w:pPr>
    </w:p>
    <w:p w14:paraId="0A7FE68A" w14:textId="77777777" w:rsidR="0005692F" w:rsidRPr="00DA5DBB" w:rsidRDefault="0005692F" w:rsidP="0005692F">
      <w:pPr>
        <w:rPr>
          <w:sz w:val="25"/>
          <w:szCs w:val="25"/>
        </w:rPr>
      </w:pPr>
    </w:p>
    <w:tbl>
      <w:tblPr>
        <w:tblW w:w="8896" w:type="dxa"/>
        <w:tblBorders>
          <w:insideH w:val="single" w:sz="4" w:space="0" w:color="auto"/>
        </w:tblBorders>
        <w:tblLook w:val="0000" w:firstRow="0" w:lastRow="0" w:firstColumn="0" w:lastColumn="0" w:noHBand="0" w:noVBand="0"/>
      </w:tblPr>
      <w:tblGrid>
        <w:gridCol w:w="4308"/>
        <w:gridCol w:w="300"/>
        <w:gridCol w:w="4288"/>
      </w:tblGrid>
      <w:tr w:rsidR="0005692F" w:rsidRPr="00DA5DBB" w14:paraId="0A7FE6AC" w14:textId="77777777" w:rsidTr="00A8775C">
        <w:tc>
          <w:tcPr>
            <w:tcW w:w="4308" w:type="dxa"/>
          </w:tcPr>
          <w:p w14:paraId="0A7FE68B" w14:textId="77777777" w:rsidR="0005692F" w:rsidRDefault="0005692F" w:rsidP="00A8775C">
            <w:pPr>
              <w:rPr>
                <w:sz w:val="25"/>
                <w:szCs w:val="25"/>
              </w:rPr>
            </w:pPr>
            <w:smartTag w:uri="urn:schemas-microsoft-com:office:smarttags" w:element="State">
              <w:smartTag w:uri="urn:schemas-microsoft-com:office:smarttags" w:element="place">
                <w:r w:rsidRPr="00DA5DBB">
                  <w:rPr>
                    <w:sz w:val="25"/>
                    <w:szCs w:val="25"/>
                  </w:rPr>
                  <w:t>WASHINGTON</w:t>
                </w:r>
              </w:smartTag>
            </w:smartTag>
            <w:r w:rsidRPr="00DA5DBB">
              <w:rPr>
                <w:sz w:val="25"/>
                <w:szCs w:val="25"/>
              </w:rPr>
              <w:t xml:space="preserve"> UTILITIES AND TRANSPORTATION COMMISSION,</w:t>
            </w:r>
          </w:p>
          <w:p w14:paraId="0A7FE68C" w14:textId="77777777" w:rsidR="0005692F" w:rsidRPr="00DA5DBB" w:rsidRDefault="0005692F" w:rsidP="00A8775C">
            <w:pPr>
              <w:rPr>
                <w:sz w:val="25"/>
                <w:szCs w:val="25"/>
              </w:rPr>
            </w:pPr>
          </w:p>
          <w:p w14:paraId="0A7FE68D" w14:textId="77777777" w:rsidR="0005692F" w:rsidRPr="00DA5DBB" w:rsidRDefault="0005692F" w:rsidP="00A8775C">
            <w:pPr>
              <w:rPr>
                <w:sz w:val="25"/>
                <w:szCs w:val="25"/>
              </w:rPr>
            </w:pPr>
            <w:r w:rsidRPr="00DA5DBB">
              <w:rPr>
                <w:sz w:val="25"/>
                <w:szCs w:val="25"/>
              </w:rPr>
              <w:t xml:space="preserve">                           </w:t>
            </w:r>
            <w:r>
              <w:rPr>
                <w:sz w:val="25"/>
                <w:szCs w:val="25"/>
              </w:rPr>
              <w:t xml:space="preserve">             </w:t>
            </w:r>
            <w:r w:rsidRPr="00DA5DBB">
              <w:rPr>
                <w:sz w:val="25"/>
                <w:szCs w:val="25"/>
              </w:rPr>
              <w:t>Complainant,</w:t>
            </w:r>
          </w:p>
          <w:p w14:paraId="0A7FE68E" w14:textId="77777777" w:rsidR="0005692F" w:rsidRPr="00DA5DBB" w:rsidRDefault="0005692F" w:rsidP="00A8775C">
            <w:pPr>
              <w:rPr>
                <w:sz w:val="25"/>
                <w:szCs w:val="25"/>
              </w:rPr>
            </w:pPr>
          </w:p>
          <w:p w14:paraId="0A7FE68F" w14:textId="77777777" w:rsidR="0005692F" w:rsidRPr="00DA5DBB" w:rsidRDefault="0005692F" w:rsidP="005276AD">
            <w:pPr>
              <w:jc w:val="center"/>
              <w:rPr>
                <w:sz w:val="25"/>
                <w:szCs w:val="25"/>
              </w:rPr>
            </w:pPr>
            <w:r w:rsidRPr="00DA5DBB">
              <w:rPr>
                <w:sz w:val="25"/>
                <w:szCs w:val="25"/>
              </w:rPr>
              <w:t>v.</w:t>
            </w:r>
          </w:p>
          <w:p w14:paraId="0A7FE690" w14:textId="77777777" w:rsidR="0005692F" w:rsidRPr="00DA5DBB" w:rsidRDefault="0005692F" w:rsidP="00A8775C">
            <w:pPr>
              <w:rPr>
                <w:sz w:val="25"/>
                <w:szCs w:val="25"/>
              </w:rPr>
            </w:pPr>
          </w:p>
          <w:p w14:paraId="0A7FE691" w14:textId="0A4C2925" w:rsidR="0005692F" w:rsidRPr="00DA5DBB" w:rsidRDefault="0005692F" w:rsidP="00A8775C">
            <w:pPr>
              <w:rPr>
                <w:sz w:val="25"/>
                <w:szCs w:val="25"/>
              </w:rPr>
            </w:pPr>
            <w:r>
              <w:rPr>
                <w:sz w:val="25"/>
                <w:szCs w:val="25"/>
              </w:rPr>
              <w:t>PACIFIC POWER &amp; LIGHT COMPANY,</w:t>
            </w:r>
          </w:p>
          <w:p w14:paraId="0A7FE692" w14:textId="77777777" w:rsidR="0005692F" w:rsidRPr="00DA5DBB" w:rsidRDefault="0005692F" w:rsidP="00A8775C">
            <w:pPr>
              <w:rPr>
                <w:b/>
                <w:bCs/>
                <w:sz w:val="25"/>
                <w:szCs w:val="25"/>
              </w:rPr>
            </w:pPr>
          </w:p>
          <w:p w14:paraId="0A7FE693" w14:textId="77777777" w:rsidR="0005692F" w:rsidRPr="00DA5DBB" w:rsidRDefault="0005692F" w:rsidP="00A8775C">
            <w:pPr>
              <w:rPr>
                <w:sz w:val="25"/>
                <w:szCs w:val="25"/>
              </w:rPr>
            </w:pPr>
            <w:r w:rsidRPr="00DA5DBB">
              <w:rPr>
                <w:sz w:val="25"/>
                <w:szCs w:val="25"/>
              </w:rPr>
              <w:t xml:space="preserve">                          </w:t>
            </w:r>
            <w:r>
              <w:rPr>
                <w:sz w:val="25"/>
                <w:szCs w:val="25"/>
              </w:rPr>
              <w:t xml:space="preserve">             </w:t>
            </w:r>
            <w:r w:rsidRPr="00DA5DBB">
              <w:rPr>
                <w:sz w:val="25"/>
                <w:szCs w:val="25"/>
              </w:rPr>
              <w:t xml:space="preserve"> Respondent.</w:t>
            </w:r>
          </w:p>
          <w:p w14:paraId="0A7FE695" w14:textId="77777777" w:rsidR="0005692F" w:rsidRPr="00DA5DBB" w:rsidRDefault="0005692F" w:rsidP="00A8775C">
            <w:pPr>
              <w:rPr>
                <w:sz w:val="25"/>
                <w:szCs w:val="25"/>
              </w:rPr>
            </w:pPr>
            <w:r w:rsidRPr="00DA5DBB">
              <w:rPr>
                <w:sz w:val="25"/>
                <w:szCs w:val="25"/>
              </w:rPr>
              <w:t xml:space="preserve">. . . . . . . . . . . . . . . . . . . . . . . . . . . . . . . . . </w:t>
            </w:r>
          </w:p>
        </w:tc>
        <w:tc>
          <w:tcPr>
            <w:tcW w:w="300" w:type="dxa"/>
          </w:tcPr>
          <w:p w14:paraId="0A7FE696" w14:textId="77777777" w:rsidR="0005692F" w:rsidRPr="00DA5DBB" w:rsidRDefault="0005692F" w:rsidP="00A8775C">
            <w:pPr>
              <w:rPr>
                <w:sz w:val="25"/>
                <w:szCs w:val="25"/>
              </w:rPr>
            </w:pPr>
            <w:r w:rsidRPr="00DA5DBB">
              <w:rPr>
                <w:sz w:val="25"/>
                <w:szCs w:val="25"/>
              </w:rPr>
              <w:t>)</w:t>
            </w:r>
          </w:p>
          <w:p w14:paraId="0A7FE697" w14:textId="77777777" w:rsidR="0005692F" w:rsidRPr="00DA5DBB" w:rsidRDefault="0005692F" w:rsidP="00A8775C">
            <w:pPr>
              <w:rPr>
                <w:sz w:val="25"/>
                <w:szCs w:val="25"/>
              </w:rPr>
            </w:pPr>
            <w:r w:rsidRPr="00DA5DBB">
              <w:rPr>
                <w:sz w:val="25"/>
                <w:szCs w:val="25"/>
              </w:rPr>
              <w:t>)</w:t>
            </w:r>
          </w:p>
          <w:p w14:paraId="0A7FE698" w14:textId="77777777" w:rsidR="0005692F" w:rsidRPr="00DA5DBB" w:rsidRDefault="0005692F" w:rsidP="00A8775C">
            <w:pPr>
              <w:rPr>
                <w:sz w:val="25"/>
                <w:szCs w:val="25"/>
              </w:rPr>
            </w:pPr>
            <w:r w:rsidRPr="00DA5DBB">
              <w:rPr>
                <w:sz w:val="25"/>
                <w:szCs w:val="25"/>
              </w:rPr>
              <w:t>)</w:t>
            </w:r>
          </w:p>
          <w:p w14:paraId="0A7FE699" w14:textId="77777777" w:rsidR="0005692F" w:rsidRPr="00DA5DBB" w:rsidRDefault="0005692F" w:rsidP="00A8775C">
            <w:pPr>
              <w:rPr>
                <w:sz w:val="25"/>
                <w:szCs w:val="25"/>
              </w:rPr>
            </w:pPr>
            <w:r w:rsidRPr="00DA5DBB">
              <w:rPr>
                <w:sz w:val="25"/>
                <w:szCs w:val="25"/>
              </w:rPr>
              <w:t>)</w:t>
            </w:r>
          </w:p>
          <w:p w14:paraId="0A7FE69A" w14:textId="77777777" w:rsidR="0005692F" w:rsidRPr="00DA5DBB" w:rsidRDefault="0005692F" w:rsidP="00A8775C">
            <w:pPr>
              <w:rPr>
                <w:sz w:val="25"/>
                <w:szCs w:val="25"/>
              </w:rPr>
            </w:pPr>
            <w:r w:rsidRPr="00DA5DBB">
              <w:rPr>
                <w:sz w:val="25"/>
                <w:szCs w:val="25"/>
              </w:rPr>
              <w:t>)</w:t>
            </w:r>
          </w:p>
          <w:p w14:paraId="0A7FE69B" w14:textId="77777777" w:rsidR="0005692F" w:rsidRPr="00DA5DBB" w:rsidRDefault="0005692F" w:rsidP="00A8775C">
            <w:pPr>
              <w:rPr>
                <w:sz w:val="25"/>
                <w:szCs w:val="25"/>
              </w:rPr>
            </w:pPr>
            <w:r w:rsidRPr="00DA5DBB">
              <w:rPr>
                <w:sz w:val="25"/>
                <w:szCs w:val="25"/>
              </w:rPr>
              <w:t>)</w:t>
            </w:r>
          </w:p>
          <w:p w14:paraId="0A7FE69C" w14:textId="77777777" w:rsidR="0005692F" w:rsidRPr="00DA5DBB" w:rsidRDefault="0005692F" w:rsidP="00A8775C">
            <w:pPr>
              <w:rPr>
                <w:sz w:val="25"/>
                <w:szCs w:val="25"/>
              </w:rPr>
            </w:pPr>
            <w:r w:rsidRPr="00DA5DBB">
              <w:rPr>
                <w:sz w:val="25"/>
                <w:szCs w:val="25"/>
              </w:rPr>
              <w:t>)</w:t>
            </w:r>
          </w:p>
          <w:p w14:paraId="0A7FE69D" w14:textId="77777777" w:rsidR="0005692F" w:rsidRPr="00DA5DBB" w:rsidRDefault="0005692F" w:rsidP="00A8775C">
            <w:pPr>
              <w:rPr>
                <w:sz w:val="25"/>
                <w:szCs w:val="25"/>
              </w:rPr>
            </w:pPr>
            <w:r w:rsidRPr="00DA5DBB">
              <w:rPr>
                <w:sz w:val="25"/>
                <w:szCs w:val="25"/>
              </w:rPr>
              <w:t>)</w:t>
            </w:r>
          </w:p>
          <w:p w14:paraId="0A7FE69E" w14:textId="77777777" w:rsidR="0005692F" w:rsidRPr="00DA5DBB" w:rsidRDefault="0005692F" w:rsidP="00A8775C">
            <w:pPr>
              <w:rPr>
                <w:sz w:val="25"/>
                <w:szCs w:val="25"/>
              </w:rPr>
            </w:pPr>
            <w:r w:rsidRPr="00DA5DBB">
              <w:rPr>
                <w:sz w:val="25"/>
                <w:szCs w:val="25"/>
              </w:rPr>
              <w:t>)</w:t>
            </w:r>
          </w:p>
          <w:p w14:paraId="0A7FE6A0" w14:textId="77777777" w:rsidR="0005692F" w:rsidRDefault="0005692F" w:rsidP="00A8775C">
            <w:pPr>
              <w:rPr>
                <w:sz w:val="25"/>
                <w:szCs w:val="25"/>
              </w:rPr>
            </w:pPr>
            <w:r w:rsidRPr="00DA5DBB">
              <w:rPr>
                <w:sz w:val="25"/>
                <w:szCs w:val="25"/>
              </w:rPr>
              <w:t>)</w:t>
            </w:r>
          </w:p>
          <w:p w14:paraId="0A7FE6A1" w14:textId="77777777" w:rsidR="0005692F" w:rsidRDefault="0005692F" w:rsidP="00A8775C">
            <w:pPr>
              <w:rPr>
                <w:sz w:val="25"/>
                <w:szCs w:val="25"/>
              </w:rPr>
            </w:pPr>
            <w:r>
              <w:rPr>
                <w:sz w:val="25"/>
                <w:szCs w:val="25"/>
              </w:rPr>
              <w:t>)</w:t>
            </w:r>
          </w:p>
          <w:p w14:paraId="0A7FE6A2" w14:textId="77777777" w:rsidR="0005692F" w:rsidRPr="00DA5DBB" w:rsidRDefault="0005692F" w:rsidP="00A8775C">
            <w:pPr>
              <w:rPr>
                <w:sz w:val="25"/>
                <w:szCs w:val="25"/>
              </w:rPr>
            </w:pPr>
            <w:r>
              <w:rPr>
                <w:sz w:val="25"/>
                <w:szCs w:val="25"/>
              </w:rPr>
              <w:t>)</w:t>
            </w:r>
          </w:p>
        </w:tc>
        <w:tc>
          <w:tcPr>
            <w:tcW w:w="4288" w:type="dxa"/>
          </w:tcPr>
          <w:p w14:paraId="0A7FE6A3" w14:textId="77777777" w:rsidR="0005692F" w:rsidRPr="00DA5DBB" w:rsidRDefault="0005692F" w:rsidP="00A8775C">
            <w:pPr>
              <w:ind w:left="192"/>
              <w:rPr>
                <w:sz w:val="25"/>
                <w:szCs w:val="25"/>
              </w:rPr>
            </w:pPr>
            <w:r w:rsidRPr="00DA5DBB">
              <w:rPr>
                <w:sz w:val="25"/>
                <w:szCs w:val="25"/>
              </w:rPr>
              <w:t xml:space="preserve">DOCKET </w:t>
            </w:r>
            <w:proofErr w:type="spellStart"/>
            <w:r w:rsidRPr="00DA5DBB">
              <w:rPr>
                <w:sz w:val="25"/>
                <w:szCs w:val="25"/>
              </w:rPr>
              <w:t>UE</w:t>
            </w:r>
            <w:proofErr w:type="spellEnd"/>
            <w:r w:rsidRPr="00DA5DBB">
              <w:rPr>
                <w:sz w:val="25"/>
                <w:szCs w:val="25"/>
              </w:rPr>
              <w:t>-</w:t>
            </w:r>
            <w:r>
              <w:rPr>
                <w:sz w:val="25"/>
                <w:szCs w:val="25"/>
              </w:rPr>
              <w:t>10</w:t>
            </w:r>
            <w:r w:rsidRPr="00DA5DBB">
              <w:rPr>
                <w:sz w:val="25"/>
                <w:szCs w:val="25"/>
              </w:rPr>
              <w:t>0</w:t>
            </w:r>
            <w:r>
              <w:rPr>
                <w:sz w:val="25"/>
                <w:szCs w:val="25"/>
              </w:rPr>
              <w:t>749</w:t>
            </w:r>
          </w:p>
          <w:p w14:paraId="0A7FE6A4" w14:textId="77777777" w:rsidR="0005692F" w:rsidRDefault="0005692F" w:rsidP="00A8775C">
            <w:pPr>
              <w:ind w:left="192"/>
              <w:rPr>
                <w:sz w:val="25"/>
                <w:szCs w:val="25"/>
              </w:rPr>
            </w:pPr>
          </w:p>
          <w:p w14:paraId="0A7FE6A5" w14:textId="77777777" w:rsidR="0005692F" w:rsidRPr="00DA5DBB" w:rsidRDefault="0005692F" w:rsidP="00A8775C">
            <w:pPr>
              <w:ind w:left="192"/>
              <w:rPr>
                <w:sz w:val="25"/>
                <w:szCs w:val="25"/>
              </w:rPr>
            </w:pPr>
          </w:p>
          <w:p w14:paraId="0A7FE6A6" w14:textId="7ECD218E" w:rsidR="0005692F" w:rsidRPr="00DA5DBB" w:rsidRDefault="0005692F" w:rsidP="00A8775C">
            <w:pPr>
              <w:ind w:left="192"/>
              <w:rPr>
                <w:sz w:val="25"/>
                <w:szCs w:val="25"/>
              </w:rPr>
            </w:pPr>
            <w:r w:rsidRPr="00DA5DBB">
              <w:rPr>
                <w:sz w:val="25"/>
                <w:szCs w:val="25"/>
              </w:rPr>
              <w:t xml:space="preserve">ORDER </w:t>
            </w:r>
            <w:r>
              <w:rPr>
                <w:sz w:val="25"/>
                <w:szCs w:val="25"/>
              </w:rPr>
              <w:t>1</w:t>
            </w:r>
            <w:r w:rsidR="005004CC">
              <w:rPr>
                <w:sz w:val="25"/>
                <w:szCs w:val="25"/>
              </w:rPr>
              <w:t>7</w:t>
            </w:r>
          </w:p>
          <w:p w14:paraId="0A7FE6A7" w14:textId="77777777" w:rsidR="0005692F" w:rsidRPr="00DA5DBB" w:rsidRDefault="0005692F" w:rsidP="00A8775C">
            <w:pPr>
              <w:ind w:left="192"/>
              <w:rPr>
                <w:sz w:val="25"/>
                <w:szCs w:val="25"/>
              </w:rPr>
            </w:pPr>
          </w:p>
          <w:p w14:paraId="0A7FE6A8" w14:textId="77777777" w:rsidR="0005692F" w:rsidRDefault="0005692F" w:rsidP="00A8775C">
            <w:pPr>
              <w:ind w:left="192"/>
              <w:rPr>
                <w:b/>
                <w:bCs/>
                <w:sz w:val="25"/>
                <w:szCs w:val="25"/>
              </w:rPr>
            </w:pPr>
          </w:p>
          <w:p w14:paraId="0A7FE6AA" w14:textId="2EC831C8" w:rsidR="0005692F" w:rsidRDefault="0005692F" w:rsidP="00A8775C">
            <w:pPr>
              <w:ind w:left="192"/>
              <w:rPr>
                <w:b/>
                <w:sz w:val="25"/>
                <w:szCs w:val="25"/>
              </w:rPr>
            </w:pPr>
            <w:r>
              <w:rPr>
                <w:sz w:val="25"/>
                <w:szCs w:val="25"/>
              </w:rPr>
              <w:t xml:space="preserve">ORDER </w:t>
            </w:r>
            <w:r w:rsidR="005004CC">
              <w:rPr>
                <w:sz w:val="25"/>
                <w:szCs w:val="25"/>
              </w:rPr>
              <w:t>CLARIFYING ORDER 16</w:t>
            </w:r>
          </w:p>
          <w:p w14:paraId="0A7FE6AB" w14:textId="77777777" w:rsidR="0005692F" w:rsidRPr="00603378" w:rsidRDefault="0005692F" w:rsidP="00A8775C">
            <w:pPr>
              <w:ind w:left="192"/>
              <w:rPr>
                <w:b/>
                <w:sz w:val="25"/>
                <w:szCs w:val="25"/>
              </w:rPr>
            </w:pPr>
          </w:p>
        </w:tc>
      </w:tr>
    </w:tbl>
    <w:p w14:paraId="0A7FE6AE" w14:textId="77777777" w:rsidR="006E474F" w:rsidRDefault="006E474F" w:rsidP="006E474F">
      <w:pPr>
        <w:spacing w:line="288" w:lineRule="auto"/>
        <w:rPr>
          <w:sz w:val="25"/>
          <w:szCs w:val="25"/>
        </w:rPr>
      </w:pPr>
    </w:p>
    <w:p w14:paraId="0A7FE6AF" w14:textId="77D4A93F" w:rsidR="0005692F" w:rsidRPr="005004CC" w:rsidRDefault="005004CC" w:rsidP="007943D6">
      <w:pPr>
        <w:jc w:val="center"/>
        <w:rPr>
          <w:sz w:val="25"/>
          <w:szCs w:val="25"/>
        </w:rPr>
      </w:pPr>
      <w:r>
        <w:rPr>
          <w:b/>
          <w:sz w:val="25"/>
          <w:szCs w:val="25"/>
        </w:rPr>
        <w:t>MOTION</w:t>
      </w:r>
    </w:p>
    <w:p w14:paraId="0A7FE6B0" w14:textId="77777777" w:rsidR="0005692F" w:rsidRPr="005D31AE" w:rsidRDefault="0005692F" w:rsidP="0005692F">
      <w:pPr>
        <w:rPr>
          <w:i/>
          <w:sz w:val="25"/>
          <w:szCs w:val="25"/>
        </w:rPr>
      </w:pPr>
    </w:p>
    <w:p w14:paraId="0A7FE6B1" w14:textId="77050295" w:rsidR="0005692F" w:rsidRPr="008863F8" w:rsidRDefault="0005692F" w:rsidP="008863F8">
      <w:pPr>
        <w:numPr>
          <w:ilvl w:val="0"/>
          <w:numId w:val="1"/>
        </w:numPr>
        <w:tabs>
          <w:tab w:val="clear" w:pos="1080"/>
          <w:tab w:val="num" w:pos="0"/>
        </w:tabs>
        <w:spacing w:after="240" w:line="288" w:lineRule="auto"/>
        <w:ind w:left="0" w:hanging="720"/>
        <w:rPr>
          <w:sz w:val="25"/>
          <w:szCs w:val="25"/>
        </w:rPr>
      </w:pPr>
      <w:r>
        <w:rPr>
          <w:sz w:val="25"/>
          <w:szCs w:val="25"/>
        </w:rPr>
        <w:t xml:space="preserve">By </w:t>
      </w:r>
      <w:r w:rsidR="009E1893">
        <w:rPr>
          <w:sz w:val="25"/>
          <w:szCs w:val="25"/>
        </w:rPr>
        <w:t>Order 06, entered March 25, 2011</w:t>
      </w:r>
      <w:r>
        <w:rPr>
          <w:sz w:val="25"/>
          <w:szCs w:val="25"/>
        </w:rPr>
        <w:t>, the Washington Utilities and Transportation Commission (Commission) resolved all issues regarding Pacific Power &amp; Light Company’s (Pacifi</w:t>
      </w:r>
      <w:r w:rsidR="00BB7F6A">
        <w:rPr>
          <w:sz w:val="25"/>
          <w:szCs w:val="25"/>
        </w:rPr>
        <w:t>c Power</w:t>
      </w:r>
      <w:r>
        <w:rPr>
          <w:sz w:val="25"/>
          <w:szCs w:val="25"/>
        </w:rPr>
        <w:t xml:space="preserve"> or Company) request for </w:t>
      </w:r>
      <w:r w:rsidR="00441AE2">
        <w:rPr>
          <w:sz w:val="25"/>
          <w:szCs w:val="25"/>
        </w:rPr>
        <w:t xml:space="preserve">a </w:t>
      </w:r>
      <w:r>
        <w:rPr>
          <w:sz w:val="25"/>
          <w:szCs w:val="25"/>
        </w:rPr>
        <w:t xml:space="preserve">general rate </w:t>
      </w:r>
      <w:r w:rsidR="00441AE2">
        <w:rPr>
          <w:sz w:val="25"/>
          <w:szCs w:val="25"/>
        </w:rPr>
        <w:t>increase</w:t>
      </w:r>
      <w:r>
        <w:rPr>
          <w:sz w:val="25"/>
          <w:szCs w:val="25"/>
        </w:rPr>
        <w:t xml:space="preserve"> except for certain issues regarding the appropriate treatment of </w:t>
      </w:r>
      <w:r w:rsidR="006E58CD">
        <w:rPr>
          <w:sz w:val="25"/>
          <w:szCs w:val="25"/>
        </w:rPr>
        <w:t xml:space="preserve">the proceeds from the Company’s sale of </w:t>
      </w:r>
      <w:r>
        <w:rPr>
          <w:sz w:val="25"/>
          <w:szCs w:val="25"/>
        </w:rPr>
        <w:t>Renewable Energy Credits (</w:t>
      </w:r>
      <w:proofErr w:type="spellStart"/>
      <w:r>
        <w:rPr>
          <w:sz w:val="25"/>
          <w:szCs w:val="25"/>
        </w:rPr>
        <w:t>RECs</w:t>
      </w:r>
      <w:proofErr w:type="spellEnd"/>
      <w:r>
        <w:rPr>
          <w:sz w:val="25"/>
          <w:szCs w:val="25"/>
        </w:rPr>
        <w:t xml:space="preserve">).  </w:t>
      </w:r>
      <w:r w:rsidR="00065A03">
        <w:rPr>
          <w:sz w:val="25"/>
          <w:szCs w:val="25"/>
        </w:rPr>
        <w:t xml:space="preserve">The Commission concluded </w:t>
      </w:r>
      <w:r w:rsidR="00A22268">
        <w:rPr>
          <w:sz w:val="25"/>
          <w:szCs w:val="25"/>
        </w:rPr>
        <w:t xml:space="preserve">in that order </w:t>
      </w:r>
      <w:r w:rsidR="00065A03">
        <w:rPr>
          <w:sz w:val="25"/>
          <w:szCs w:val="25"/>
        </w:rPr>
        <w:t>that those proceeds should be distributed to Pacifi</w:t>
      </w:r>
      <w:r w:rsidR="00BB7F6A">
        <w:rPr>
          <w:sz w:val="25"/>
          <w:szCs w:val="25"/>
        </w:rPr>
        <w:t>c Power</w:t>
      </w:r>
      <w:r w:rsidR="00065A03">
        <w:rPr>
          <w:sz w:val="25"/>
          <w:szCs w:val="25"/>
        </w:rPr>
        <w:t>’s ratepayers as a bill credit</w:t>
      </w:r>
      <w:r w:rsidR="00CA7A70">
        <w:rPr>
          <w:sz w:val="25"/>
          <w:szCs w:val="25"/>
        </w:rPr>
        <w:t>,</w:t>
      </w:r>
      <w:r w:rsidR="00670D94">
        <w:rPr>
          <w:sz w:val="25"/>
          <w:szCs w:val="25"/>
        </w:rPr>
        <w:t xml:space="preserve"> and </w:t>
      </w:r>
      <w:r w:rsidR="00B136A4">
        <w:rPr>
          <w:sz w:val="25"/>
          <w:szCs w:val="25"/>
        </w:rPr>
        <w:t xml:space="preserve">pending resolution of other issues, </w:t>
      </w:r>
      <w:r w:rsidR="00670D94">
        <w:rPr>
          <w:sz w:val="25"/>
          <w:szCs w:val="25"/>
        </w:rPr>
        <w:t xml:space="preserve">required the Company to begin crediting customers </w:t>
      </w:r>
      <w:r w:rsidR="00703A51">
        <w:rPr>
          <w:sz w:val="25"/>
          <w:szCs w:val="25"/>
        </w:rPr>
        <w:t xml:space="preserve">for REC sales proceeds </w:t>
      </w:r>
      <w:r w:rsidR="00847068">
        <w:rPr>
          <w:sz w:val="25"/>
          <w:szCs w:val="25"/>
        </w:rPr>
        <w:t>based on a forecast of future REC sales proceeds, subject to true-up</w:t>
      </w:r>
      <w:r w:rsidR="00703A51">
        <w:rPr>
          <w:sz w:val="25"/>
          <w:szCs w:val="25"/>
        </w:rPr>
        <w:t xml:space="preserve"> to actual amounts</w:t>
      </w:r>
      <w:r w:rsidR="00E40DA7">
        <w:rPr>
          <w:sz w:val="25"/>
          <w:szCs w:val="25"/>
        </w:rPr>
        <w:t xml:space="preserve"> Pacifi</w:t>
      </w:r>
      <w:r w:rsidR="00BB7F6A">
        <w:rPr>
          <w:sz w:val="25"/>
          <w:szCs w:val="25"/>
        </w:rPr>
        <w:t>c Power</w:t>
      </w:r>
      <w:r w:rsidR="00E40DA7">
        <w:rPr>
          <w:sz w:val="25"/>
          <w:szCs w:val="25"/>
        </w:rPr>
        <w:t xml:space="preserve"> received</w:t>
      </w:r>
      <w:r>
        <w:rPr>
          <w:sz w:val="25"/>
          <w:szCs w:val="25"/>
        </w:rPr>
        <w:t xml:space="preserve">.  </w:t>
      </w:r>
    </w:p>
    <w:p w14:paraId="0A7FE6B3" w14:textId="72F7F55F" w:rsidR="00B365D3" w:rsidRPr="007B0463" w:rsidRDefault="000A2239" w:rsidP="008863F8">
      <w:pPr>
        <w:pStyle w:val="FindingsConclusions"/>
        <w:tabs>
          <w:tab w:val="clear" w:pos="1080"/>
          <w:tab w:val="num" w:pos="0"/>
        </w:tabs>
        <w:spacing w:after="240" w:line="288" w:lineRule="auto"/>
        <w:ind w:left="0" w:hanging="720"/>
        <w:rPr>
          <w:sz w:val="25"/>
          <w:szCs w:val="25"/>
        </w:rPr>
      </w:pPr>
      <w:r>
        <w:rPr>
          <w:sz w:val="25"/>
          <w:szCs w:val="25"/>
        </w:rPr>
        <w:t xml:space="preserve">Following additional proceedings, Pacific Power made </w:t>
      </w:r>
      <w:r w:rsidR="005004CC">
        <w:rPr>
          <w:sz w:val="25"/>
          <w:szCs w:val="25"/>
        </w:rPr>
        <w:t xml:space="preserve">a compliance filing on January 16, 2013, </w:t>
      </w:r>
      <w:r>
        <w:rPr>
          <w:sz w:val="25"/>
          <w:szCs w:val="25"/>
        </w:rPr>
        <w:t>in which the Company</w:t>
      </w:r>
      <w:r w:rsidR="006B72EB" w:rsidRPr="007B0463">
        <w:rPr>
          <w:sz w:val="25"/>
          <w:szCs w:val="25"/>
        </w:rPr>
        <w:t xml:space="preserve"> </w:t>
      </w:r>
      <w:r w:rsidR="00B60216">
        <w:rPr>
          <w:sz w:val="25"/>
          <w:szCs w:val="25"/>
        </w:rPr>
        <w:t>represent</w:t>
      </w:r>
      <w:r w:rsidR="00BB7F6A">
        <w:rPr>
          <w:sz w:val="25"/>
          <w:szCs w:val="25"/>
        </w:rPr>
        <w:t>ed</w:t>
      </w:r>
      <w:r w:rsidR="00B60216">
        <w:rPr>
          <w:sz w:val="25"/>
          <w:szCs w:val="25"/>
        </w:rPr>
        <w:t xml:space="preserve"> that it </w:t>
      </w:r>
      <w:r>
        <w:rPr>
          <w:sz w:val="25"/>
          <w:szCs w:val="25"/>
        </w:rPr>
        <w:t xml:space="preserve">had </w:t>
      </w:r>
      <w:r w:rsidR="00204075" w:rsidRPr="007B0463">
        <w:rPr>
          <w:sz w:val="25"/>
          <w:szCs w:val="25"/>
        </w:rPr>
        <w:t>over-credited customers $3.6 million</w:t>
      </w:r>
      <w:r w:rsidR="00BB7F6A">
        <w:rPr>
          <w:sz w:val="25"/>
          <w:szCs w:val="25"/>
        </w:rPr>
        <w:t xml:space="preserve"> </w:t>
      </w:r>
      <w:r w:rsidR="00CD26D6">
        <w:rPr>
          <w:sz w:val="25"/>
          <w:szCs w:val="25"/>
        </w:rPr>
        <w:t xml:space="preserve">for REC sales proceeds </w:t>
      </w:r>
      <w:r>
        <w:rPr>
          <w:sz w:val="25"/>
          <w:szCs w:val="25"/>
        </w:rPr>
        <w:t xml:space="preserve">received after April 2011 </w:t>
      </w:r>
      <w:r w:rsidR="006B5DFE">
        <w:rPr>
          <w:sz w:val="25"/>
          <w:szCs w:val="25"/>
        </w:rPr>
        <w:t xml:space="preserve">and </w:t>
      </w:r>
      <w:r w:rsidR="00CD26D6">
        <w:rPr>
          <w:sz w:val="25"/>
          <w:szCs w:val="25"/>
        </w:rPr>
        <w:t xml:space="preserve">requested to discontinue making additional credits </w:t>
      </w:r>
      <w:r w:rsidR="007B0463">
        <w:rPr>
          <w:sz w:val="25"/>
          <w:szCs w:val="25"/>
        </w:rPr>
        <w:t>effective immediately</w:t>
      </w:r>
      <w:r w:rsidR="00B365D3" w:rsidRPr="007B0463">
        <w:rPr>
          <w:sz w:val="25"/>
          <w:szCs w:val="25"/>
        </w:rPr>
        <w:t>.</w:t>
      </w:r>
    </w:p>
    <w:p w14:paraId="0A7FE6B4" w14:textId="71C0E6E1" w:rsidR="00B60216" w:rsidRDefault="00A924B5" w:rsidP="00BC6A99">
      <w:pPr>
        <w:pStyle w:val="FindingsConclusions"/>
        <w:tabs>
          <w:tab w:val="clear" w:pos="1080"/>
          <w:tab w:val="num" w:pos="0"/>
        </w:tabs>
        <w:spacing w:after="240" w:line="288" w:lineRule="auto"/>
        <w:ind w:left="0" w:hanging="720"/>
        <w:rPr>
          <w:sz w:val="25"/>
          <w:szCs w:val="25"/>
        </w:rPr>
      </w:pPr>
      <w:r>
        <w:rPr>
          <w:sz w:val="25"/>
          <w:szCs w:val="25"/>
        </w:rPr>
        <w:t xml:space="preserve">On </w:t>
      </w:r>
      <w:r w:rsidR="00BB7F6A">
        <w:rPr>
          <w:sz w:val="25"/>
          <w:szCs w:val="25"/>
        </w:rPr>
        <w:t>February 12</w:t>
      </w:r>
      <w:r w:rsidR="007B0463">
        <w:rPr>
          <w:sz w:val="25"/>
          <w:szCs w:val="25"/>
        </w:rPr>
        <w:t>, 2013</w:t>
      </w:r>
      <w:r>
        <w:rPr>
          <w:sz w:val="25"/>
          <w:szCs w:val="25"/>
        </w:rPr>
        <w:t xml:space="preserve">, </w:t>
      </w:r>
      <w:r w:rsidR="00BB7F6A">
        <w:rPr>
          <w:sz w:val="25"/>
          <w:szCs w:val="25"/>
        </w:rPr>
        <w:t xml:space="preserve">the </w:t>
      </w:r>
      <w:r>
        <w:rPr>
          <w:sz w:val="25"/>
          <w:szCs w:val="25"/>
        </w:rPr>
        <w:t xml:space="preserve">Commission </w:t>
      </w:r>
      <w:r w:rsidR="00BB7F6A">
        <w:rPr>
          <w:sz w:val="25"/>
          <w:szCs w:val="25"/>
        </w:rPr>
        <w:t xml:space="preserve">entered Order 13 </w:t>
      </w:r>
      <w:r w:rsidR="00CD26D6">
        <w:rPr>
          <w:sz w:val="25"/>
          <w:szCs w:val="25"/>
        </w:rPr>
        <w:t>granting Pa</w:t>
      </w:r>
      <w:r w:rsidR="006B5DFE">
        <w:rPr>
          <w:sz w:val="25"/>
          <w:szCs w:val="25"/>
        </w:rPr>
        <w:t>cific Power</w:t>
      </w:r>
      <w:r w:rsidR="00BB7F6A">
        <w:rPr>
          <w:sz w:val="25"/>
          <w:szCs w:val="25"/>
        </w:rPr>
        <w:t xml:space="preserve">’s </w:t>
      </w:r>
      <w:r w:rsidR="00CD26D6">
        <w:rPr>
          <w:sz w:val="25"/>
          <w:szCs w:val="25"/>
        </w:rPr>
        <w:t>request</w:t>
      </w:r>
      <w:r w:rsidR="006B5DFE">
        <w:rPr>
          <w:sz w:val="25"/>
          <w:szCs w:val="25"/>
        </w:rPr>
        <w:t xml:space="preserve"> and requiring the Company to make annual report and true-up filings as required in Order 06 by January 31 of each successive year</w:t>
      </w:r>
      <w:r w:rsidR="007B0463">
        <w:rPr>
          <w:sz w:val="25"/>
          <w:szCs w:val="25"/>
        </w:rPr>
        <w:t xml:space="preserve">.  </w:t>
      </w:r>
    </w:p>
    <w:p w14:paraId="7CF75E56" w14:textId="3B24646F" w:rsidR="00406CE7" w:rsidRDefault="00406CE7" w:rsidP="00BC6A99">
      <w:pPr>
        <w:pStyle w:val="FindingsConclusions"/>
        <w:tabs>
          <w:tab w:val="clear" w:pos="1080"/>
          <w:tab w:val="num" w:pos="0"/>
        </w:tabs>
        <w:spacing w:after="240" w:line="288" w:lineRule="auto"/>
        <w:ind w:left="0" w:hanging="720"/>
        <w:rPr>
          <w:sz w:val="25"/>
          <w:szCs w:val="25"/>
        </w:rPr>
      </w:pPr>
      <w:r>
        <w:rPr>
          <w:sz w:val="25"/>
          <w:szCs w:val="25"/>
        </w:rPr>
        <w:t xml:space="preserve">On February 28, 2014, Pacific Power filed a letter reflecting an agreement between the Company, Commission Staff (Staff), Public Counsel, and the Industrial </w:t>
      </w:r>
      <w:r>
        <w:rPr>
          <w:sz w:val="25"/>
          <w:szCs w:val="25"/>
        </w:rPr>
        <w:lastRenderedPageBreak/>
        <w:t>Customers of Northwest Utilities (</w:t>
      </w:r>
      <w:proofErr w:type="spellStart"/>
      <w:r>
        <w:rPr>
          <w:sz w:val="25"/>
          <w:szCs w:val="25"/>
        </w:rPr>
        <w:t>ICNU</w:t>
      </w:r>
      <w:proofErr w:type="spellEnd"/>
      <w:r>
        <w:rPr>
          <w:sz w:val="25"/>
          <w:szCs w:val="25"/>
        </w:rPr>
        <w:t xml:space="preserve">) on a </w:t>
      </w:r>
      <w:r w:rsidR="00B27503">
        <w:rPr>
          <w:sz w:val="25"/>
          <w:szCs w:val="25"/>
        </w:rPr>
        <w:t xml:space="preserve">proposal for a </w:t>
      </w:r>
      <w:r>
        <w:rPr>
          <w:sz w:val="25"/>
          <w:szCs w:val="25"/>
        </w:rPr>
        <w:t>tracking mechanism for REC sales proceeds</w:t>
      </w:r>
      <w:r w:rsidR="00B27503">
        <w:rPr>
          <w:sz w:val="25"/>
          <w:szCs w:val="25"/>
        </w:rPr>
        <w:t xml:space="preserve"> (February 2013 Agreement)</w:t>
      </w:r>
      <w:r>
        <w:rPr>
          <w:sz w:val="25"/>
          <w:szCs w:val="25"/>
        </w:rPr>
        <w:t xml:space="preserve">.  The parties agreed </w:t>
      </w:r>
      <w:r w:rsidR="00B27503">
        <w:rPr>
          <w:sz w:val="25"/>
          <w:szCs w:val="25"/>
        </w:rPr>
        <w:t xml:space="preserve">to propose </w:t>
      </w:r>
      <w:r>
        <w:rPr>
          <w:sz w:val="25"/>
          <w:szCs w:val="25"/>
        </w:rPr>
        <w:t>that Pacific Power would make annual filings on May 1 of each year accounting for the total actual REC sale proceeds for the prior calendar year and a true up of the credits issued during that time, including interest on any under- or over-credits.</w:t>
      </w:r>
    </w:p>
    <w:p w14:paraId="5B903A0A" w14:textId="2B152BE9" w:rsidR="00406CE7" w:rsidRDefault="00406CE7" w:rsidP="00BC6A99">
      <w:pPr>
        <w:pStyle w:val="FindingsConclusions"/>
        <w:tabs>
          <w:tab w:val="clear" w:pos="1080"/>
          <w:tab w:val="num" w:pos="0"/>
        </w:tabs>
        <w:spacing w:after="240" w:line="288" w:lineRule="auto"/>
        <w:ind w:left="0" w:hanging="720"/>
        <w:rPr>
          <w:sz w:val="25"/>
          <w:szCs w:val="25"/>
        </w:rPr>
      </w:pPr>
      <w:r>
        <w:rPr>
          <w:sz w:val="25"/>
          <w:szCs w:val="25"/>
        </w:rPr>
        <w:t>On May 1, 2014, Pacific Power m</w:t>
      </w:r>
      <w:r w:rsidR="006C2449">
        <w:rPr>
          <w:sz w:val="25"/>
          <w:szCs w:val="25"/>
        </w:rPr>
        <w:t xml:space="preserve">ade a filing pursuant to </w:t>
      </w:r>
      <w:r>
        <w:rPr>
          <w:sz w:val="25"/>
          <w:szCs w:val="25"/>
        </w:rPr>
        <w:t>Order 13</w:t>
      </w:r>
      <w:r w:rsidR="00D775FD">
        <w:rPr>
          <w:sz w:val="25"/>
          <w:szCs w:val="25"/>
        </w:rPr>
        <w:t xml:space="preserve"> and a subsequent notice authorizing the Company to file on that date</w:t>
      </w:r>
      <w:r>
        <w:rPr>
          <w:sz w:val="25"/>
          <w:szCs w:val="25"/>
        </w:rPr>
        <w:t xml:space="preserve">.  The Company </w:t>
      </w:r>
      <w:r w:rsidR="009154F6">
        <w:rPr>
          <w:sz w:val="25"/>
          <w:szCs w:val="25"/>
        </w:rPr>
        <w:t xml:space="preserve">provided actual REC sales proceeds received and credits made to customers </w:t>
      </w:r>
      <w:r w:rsidR="00D775FD">
        <w:rPr>
          <w:sz w:val="25"/>
          <w:szCs w:val="25"/>
        </w:rPr>
        <w:t>between April 2, 2011 and December</w:t>
      </w:r>
      <w:r w:rsidR="009154F6">
        <w:rPr>
          <w:sz w:val="25"/>
          <w:szCs w:val="25"/>
        </w:rPr>
        <w:t xml:space="preserve"> </w:t>
      </w:r>
      <w:r w:rsidR="00D775FD">
        <w:rPr>
          <w:sz w:val="25"/>
          <w:szCs w:val="25"/>
        </w:rPr>
        <w:t xml:space="preserve">31, </w:t>
      </w:r>
      <w:r w:rsidR="009154F6">
        <w:rPr>
          <w:sz w:val="25"/>
          <w:szCs w:val="25"/>
        </w:rPr>
        <w:t>2013, including interest</w:t>
      </w:r>
      <w:r w:rsidR="00CD26D6">
        <w:rPr>
          <w:sz w:val="25"/>
          <w:szCs w:val="25"/>
        </w:rPr>
        <w:t xml:space="preserve">, but </w:t>
      </w:r>
      <w:r w:rsidR="009154F6">
        <w:rPr>
          <w:sz w:val="25"/>
          <w:szCs w:val="25"/>
        </w:rPr>
        <w:t xml:space="preserve">did not propose any </w:t>
      </w:r>
      <w:r w:rsidR="00A22DB7">
        <w:rPr>
          <w:sz w:val="25"/>
          <w:szCs w:val="25"/>
        </w:rPr>
        <w:t xml:space="preserve">mechanism </w:t>
      </w:r>
      <w:r w:rsidR="009154F6">
        <w:rPr>
          <w:sz w:val="25"/>
          <w:szCs w:val="25"/>
        </w:rPr>
        <w:t>to true up the discrepancy between the actual REC proceeds and customer credits.</w:t>
      </w:r>
    </w:p>
    <w:p w14:paraId="7C82AFFD" w14:textId="47034840" w:rsidR="009154F6" w:rsidRDefault="009154F6" w:rsidP="00BC6A99">
      <w:pPr>
        <w:pStyle w:val="FindingsConclusions"/>
        <w:tabs>
          <w:tab w:val="clear" w:pos="1080"/>
          <w:tab w:val="num" w:pos="0"/>
        </w:tabs>
        <w:spacing w:after="240" w:line="288" w:lineRule="auto"/>
        <w:ind w:left="0" w:hanging="720"/>
        <w:rPr>
          <w:sz w:val="25"/>
          <w:szCs w:val="25"/>
        </w:rPr>
      </w:pPr>
      <w:r>
        <w:rPr>
          <w:sz w:val="25"/>
          <w:szCs w:val="25"/>
        </w:rPr>
        <w:t xml:space="preserve">On June </w:t>
      </w:r>
      <w:r w:rsidR="006C2449">
        <w:rPr>
          <w:sz w:val="25"/>
          <w:szCs w:val="25"/>
        </w:rPr>
        <w:t>5,</w:t>
      </w:r>
      <w:r w:rsidR="002F5C10">
        <w:rPr>
          <w:sz w:val="25"/>
          <w:szCs w:val="25"/>
        </w:rPr>
        <w:t xml:space="preserve"> 2014, </w:t>
      </w:r>
      <w:r w:rsidR="006C2449">
        <w:rPr>
          <w:sz w:val="25"/>
          <w:szCs w:val="25"/>
        </w:rPr>
        <w:t xml:space="preserve">Pacific Power filed Schedule 96 to its tariff </w:t>
      </w:r>
      <w:proofErr w:type="spellStart"/>
      <w:r w:rsidR="00CD0064">
        <w:rPr>
          <w:sz w:val="25"/>
          <w:szCs w:val="25"/>
        </w:rPr>
        <w:t>WN</w:t>
      </w:r>
      <w:proofErr w:type="spellEnd"/>
      <w:r w:rsidR="00CD0064">
        <w:rPr>
          <w:sz w:val="25"/>
          <w:szCs w:val="25"/>
        </w:rPr>
        <w:t xml:space="preserve"> U-75, which</w:t>
      </w:r>
      <w:r w:rsidR="006C2449">
        <w:rPr>
          <w:sz w:val="25"/>
          <w:szCs w:val="25"/>
        </w:rPr>
        <w:t xml:space="preserve"> implemented a </w:t>
      </w:r>
      <w:r w:rsidR="00BA6E9F">
        <w:rPr>
          <w:sz w:val="25"/>
          <w:szCs w:val="25"/>
        </w:rPr>
        <w:t>May 30, 2014, S</w:t>
      </w:r>
      <w:r w:rsidR="006C2449">
        <w:rPr>
          <w:sz w:val="25"/>
          <w:szCs w:val="25"/>
        </w:rPr>
        <w:t xml:space="preserve">ettlement </w:t>
      </w:r>
      <w:r w:rsidR="00BA6E9F">
        <w:rPr>
          <w:sz w:val="25"/>
          <w:szCs w:val="25"/>
        </w:rPr>
        <w:t xml:space="preserve">Stipulation between the Company, the Commission, and </w:t>
      </w:r>
      <w:proofErr w:type="spellStart"/>
      <w:r w:rsidR="00BA6E9F">
        <w:rPr>
          <w:sz w:val="25"/>
          <w:szCs w:val="25"/>
        </w:rPr>
        <w:t>ICNU</w:t>
      </w:r>
      <w:proofErr w:type="spellEnd"/>
      <w:r w:rsidR="00BA6E9F">
        <w:rPr>
          <w:sz w:val="25"/>
          <w:szCs w:val="25"/>
        </w:rPr>
        <w:t xml:space="preserve"> in</w:t>
      </w:r>
      <w:r w:rsidR="006C2449">
        <w:rPr>
          <w:sz w:val="25"/>
          <w:szCs w:val="25"/>
        </w:rPr>
        <w:t xml:space="preserve"> </w:t>
      </w:r>
      <w:r w:rsidR="002F5C10">
        <w:rPr>
          <w:sz w:val="25"/>
          <w:szCs w:val="25"/>
        </w:rPr>
        <w:t xml:space="preserve">Pacific Power’s </w:t>
      </w:r>
      <w:r w:rsidR="00CD0064">
        <w:rPr>
          <w:sz w:val="25"/>
          <w:szCs w:val="25"/>
        </w:rPr>
        <w:t xml:space="preserve">judicial </w:t>
      </w:r>
      <w:r w:rsidR="006C2449">
        <w:rPr>
          <w:sz w:val="25"/>
          <w:szCs w:val="25"/>
        </w:rPr>
        <w:t>appeal of Order 10</w:t>
      </w:r>
      <w:r w:rsidR="00D775FD">
        <w:rPr>
          <w:sz w:val="25"/>
          <w:szCs w:val="25"/>
        </w:rPr>
        <w:t>, which addressed disposition of REC sales proceeds prior to April 2, 2011</w:t>
      </w:r>
      <w:r w:rsidR="006C2449">
        <w:rPr>
          <w:sz w:val="25"/>
          <w:szCs w:val="25"/>
        </w:rPr>
        <w:t xml:space="preserve">.  The </w:t>
      </w:r>
      <w:r w:rsidR="002F5C10">
        <w:rPr>
          <w:sz w:val="25"/>
          <w:szCs w:val="25"/>
        </w:rPr>
        <w:t xml:space="preserve">tariff </w:t>
      </w:r>
      <w:r w:rsidR="006C2449">
        <w:rPr>
          <w:sz w:val="25"/>
          <w:szCs w:val="25"/>
        </w:rPr>
        <w:t xml:space="preserve">provided </w:t>
      </w:r>
      <w:r w:rsidR="002F5C10">
        <w:rPr>
          <w:sz w:val="25"/>
          <w:szCs w:val="25"/>
        </w:rPr>
        <w:t xml:space="preserve">a one-time credit to customers of </w:t>
      </w:r>
      <w:r w:rsidR="002A1629">
        <w:rPr>
          <w:sz w:val="25"/>
          <w:szCs w:val="25"/>
        </w:rPr>
        <w:t>$13 million</w:t>
      </w:r>
      <w:r w:rsidR="00CD0064">
        <w:rPr>
          <w:sz w:val="25"/>
          <w:szCs w:val="25"/>
        </w:rPr>
        <w:t xml:space="preserve"> </w:t>
      </w:r>
      <w:r w:rsidR="00D775FD">
        <w:rPr>
          <w:sz w:val="25"/>
          <w:szCs w:val="25"/>
        </w:rPr>
        <w:t xml:space="preserve">that </w:t>
      </w:r>
      <w:r w:rsidR="002F5C10">
        <w:rPr>
          <w:sz w:val="25"/>
          <w:szCs w:val="25"/>
        </w:rPr>
        <w:t xml:space="preserve">the Company agreed </w:t>
      </w:r>
      <w:r w:rsidR="006C2449">
        <w:rPr>
          <w:sz w:val="25"/>
          <w:szCs w:val="25"/>
        </w:rPr>
        <w:t xml:space="preserve">in the settlement </w:t>
      </w:r>
      <w:r w:rsidR="002F5C10">
        <w:rPr>
          <w:sz w:val="25"/>
          <w:szCs w:val="25"/>
        </w:rPr>
        <w:t>to p</w:t>
      </w:r>
      <w:r w:rsidR="002A1629">
        <w:rPr>
          <w:sz w:val="25"/>
          <w:szCs w:val="25"/>
        </w:rPr>
        <w:t>rovide to its customers</w:t>
      </w:r>
      <w:r w:rsidR="002F5C10">
        <w:rPr>
          <w:sz w:val="25"/>
          <w:szCs w:val="25"/>
        </w:rPr>
        <w:t>.</w:t>
      </w:r>
      <w:r w:rsidR="006C2449">
        <w:rPr>
          <w:sz w:val="25"/>
          <w:szCs w:val="25"/>
        </w:rPr>
        <w:t xml:space="preserve">  </w:t>
      </w:r>
      <w:r w:rsidR="001F30F4">
        <w:rPr>
          <w:sz w:val="25"/>
          <w:szCs w:val="25"/>
        </w:rPr>
        <w:t xml:space="preserve">Pacific Power’s filing did not address true-ups of over-credits for REC sales proceeds after April 2, 2011, or how interest should accrue on that outstanding balance.  </w:t>
      </w:r>
      <w:r w:rsidR="006C2449">
        <w:rPr>
          <w:sz w:val="25"/>
          <w:szCs w:val="25"/>
        </w:rPr>
        <w:t>On June 12, 2014, the Commission entered Order 15 permitting the tariff revision to go into effect on less than statutory notice</w:t>
      </w:r>
      <w:r w:rsidR="00CD0064">
        <w:rPr>
          <w:sz w:val="25"/>
          <w:szCs w:val="25"/>
        </w:rPr>
        <w:t xml:space="preserve"> so that customers could begin re</w:t>
      </w:r>
      <w:r w:rsidR="00A22DB7">
        <w:rPr>
          <w:sz w:val="25"/>
          <w:szCs w:val="25"/>
        </w:rPr>
        <w:t xml:space="preserve">ceiving the credit on June 20, </w:t>
      </w:r>
      <w:r w:rsidR="00CD0064">
        <w:rPr>
          <w:sz w:val="25"/>
          <w:szCs w:val="25"/>
        </w:rPr>
        <w:t>2014</w:t>
      </w:r>
      <w:r w:rsidR="006C2449">
        <w:rPr>
          <w:sz w:val="25"/>
          <w:szCs w:val="25"/>
        </w:rPr>
        <w:t>.</w:t>
      </w:r>
    </w:p>
    <w:p w14:paraId="0A7FE6B5" w14:textId="6AB5B799" w:rsidR="00C5441D" w:rsidRDefault="00BB7F6A" w:rsidP="00BC6A99">
      <w:pPr>
        <w:pStyle w:val="FindingsConclusions"/>
        <w:tabs>
          <w:tab w:val="clear" w:pos="1080"/>
          <w:tab w:val="num" w:pos="0"/>
        </w:tabs>
        <w:spacing w:after="240" w:line="288" w:lineRule="auto"/>
        <w:ind w:left="0" w:hanging="720"/>
        <w:rPr>
          <w:sz w:val="25"/>
          <w:szCs w:val="25"/>
        </w:rPr>
      </w:pPr>
      <w:r>
        <w:rPr>
          <w:sz w:val="25"/>
          <w:szCs w:val="25"/>
        </w:rPr>
        <w:t xml:space="preserve">On October 3, 2014, Pacific Power </w:t>
      </w:r>
      <w:r w:rsidR="006B5DFE">
        <w:rPr>
          <w:sz w:val="25"/>
          <w:szCs w:val="25"/>
        </w:rPr>
        <w:t>filed a revised Schedule 95 requesting a rate adjustment to recover $5.2 million in over-credits of REC sales proceeds</w:t>
      </w:r>
      <w:r w:rsidR="00D775FD">
        <w:rPr>
          <w:sz w:val="25"/>
          <w:szCs w:val="25"/>
        </w:rPr>
        <w:t xml:space="preserve"> between April 2, 2011, and December 31, 2013</w:t>
      </w:r>
      <w:r w:rsidR="006B5DFE">
        <w:rPr>
          <w:sz w:val="25"/>
          <w:szCs w:val="25"/>
        </w:rPr>
        <w:t>, plus accumulated interest, over a one-year period beginning Novemb</w:t>
      </w:r>
      <w:r w:rsidR="00F365D2">
        <w:rPr>
          <w:sz w:val="25"/>
          <w:szCs w:val="25"/>
        </w:rPr>
        <w:t>er 16</w:t>
      </w:r>
      <w:r w:rsidR="006B5DFE">
        <w:rPr>
          <w:sz w:val="25"/>
          <w:szCs w:val="25"/>
        </w:rPr>
        <w:t xml:space="preserve">, 2014.  </w:t>
      </w:r>
      <w:r w:rsidR="00CD26D6">
        <w:rPr>
          <w:sz w:val="25"/>
          <w:szCs w:val="25"/>
        </w:rPr>
        <w:t>The Company subsequently extended th</w:t>
      </w:r>
      <w:r w:rsidR="003646B3">
        <w:rPr>
          <w:sz w:val="25"/>
          <w:szCs w:val="25"/>
        </w:rPr>
        <w:t>e filing’s effective</w:t>
      </w:r>
      <w:r w:rsidR="00CD26D6">
        <w:rPr>
          <w:sz w:val="25"/>
          <w:szCs w:val="25"/>
        </w:rPr>
        <w:t xml:space="preserve"> date to December 16, 2014.</w:t>
      </w:r>
    </w:p>
    <w:p w14:paraId="70B29F23" w14:textId="54BB1D8C" w:rsidR="00CD26D6" w:rsidRDefault="00CD26D6" w:rsidP="00CD26D6">
      <w:pPr>
        <w:pStyle w:val="FindingsConclusions"/>
        <w:tabs>
          <w:tab w:val="clear" w:pos="1080"/>
          <w:tab w:val="num" w:pos="0"/>
        </w:tabs>
        <w:spacing w:after="240" w:line="288" w:lineRule="auto"/>
        <w:ind w:left="0" w:hanging="720"/>
        <w:rPr>
          <w:sz w:val="25"/>
          <w:szCs w:val="25"/>
        </w:rPr>
      </w:pPr>
      <w:r>
        <w:rPr>
          <w:sz w:val="25"/>
          <w:szCs w:val="25"/>
        </w:rPr>
        <w:t xml:space="preserve">On December </w:t>
      </w:r>
      <w:r w:rsidR="001B73E3">
        <w:rPr>
          <w:sz w:val="25"/>
          <w:szCs w:val="25"/>
        </w:rPr>
        <w:t>12</w:t>
      </w:r>
      <w:r>
        <w:rPr>
          <w:sz w:val="25"/>
          <w:szCs w:val="25"/>
        </w:rPr>
        <w:t xml:space="preserve">, 2014, the Commission entered Order 16, rejecting </w:t>
      </w:r>
      <w:r w:rsidR="001B73E3">
        <w:rPr>
          <w:sz w:val="25"/>
          <w:szCs w:val="25"/>
        </w:rPr>
        <w:t>the filing.</w:t>
      </w:r>
      <w:r w:rsidR="00D775FD">
        <w:rPr>
          <w:rStyle w:val="FootnoteReference"/>
          <w:sz w:val="25"/>
          <w:szCs w:val="25"/>
        </w:rPr>
        <w:footnoteReference w:id="1"/>
      </w:r>
      <w:r w:rsidR="001B73E3">
        <w:rPr>
          <w:sz w:val="25"/>
          <w:szCs w:val="25"/>
        </w:rPr>
        <w:t xml:space="preserve">  The Commission </w:t>
      </w:r>
      <w:r>
        <w:rPr>
          <w:sz w:val="25"/>
          <w:szCs w:val="25"/>
        </w:rPr>
        <w:t>requir</w:t>
      </w:r>
      <w:r w:rsidR="001B73E3">
        <w:rPr>
          <w:sz w:val="25"/>
          <w:szCs w:val="25"/>
        </w:rPr>
        <w:t>ed</w:t>
      </w:r>
      <w:r>
        <w:rPr>
          <w:sz w:val="25"/>
          <w:szCs w:val="25"/>
        </w:rPr>
        <w:t xml:space="preserve"> Pacific Power to refile Schedule 95 to revise its monthly rates to recover, over a period of 24 months, the outstanding balance of over-credits for the sale of renewable energy credits since April 2, 2011, plus interest at the Company’s </w:t>
      </w:r>
      <w:r>
        <w:rPr>
          <w:sz w:val="25"/>
          <w:szCs w:val="25"/>
        </w:rPr>
        <w:lastRenderedPageBreak/>
        <w:t>after-tax rate of return accrued through May 30, 2014</w:t>
      </w:r>
      <w:r w:rsidR="001B73E3">
        <w:rPr>
          <w:sz w:val="25"/>
          <w:szCs w:val="25"/>
        </w:rPr>
        <w:t>.  The revised Schedule 95 is to</w:t>
      </w:r>
      <w:r>
        <w:rPr>
          <w:sz w:val="25"/>
          <w:szCs w:val="25"/>
        </w:rPr>
        <w:t xml:space="preserve"> become effective on the same date that any changes to </w:t>
      </w:r>
      <w:r w:rsidR="001B73E3">
        <w:rPr>
          <w:sz w:val="25"/>
          <w:szCs w:val="25"/>
        </w:rPr>
        <w:t>Pacific Power</w:t>
      </w:r>
      <w:r>
        <w:rPr>
          <w:sz w:val="25"/>
          <w:szCs w:val="25"/>
        </w:rPr>
        <w:t xml:space="preserve">’s rates resulting from the final order in Docket </w:t>
      </w:r>
      <w:proofErr w:type="spellStart"/>
      <w:r>
        <w:rPr>
          <w:sz w:val="25"/>
          <w:szCs w:val="25"/>
        </w:rPr>
        <w:t>UE</w:t>
      </w:r>
      <w:proofErr w:type="spellEnd"/>
      <w:r>
        <w:rPr>
          <w:sz w:val="25"/>
          <w:szCs w:val="25"/>
        </w:rPr>
        <w:t>-140762</w:t>
      </w:r>
      <w:r w:rsidR="001B73E3">
        <w:rPr>
          <w:sz w:val="25"/>
          <w:szCs w:val="25"/>
        </w:rPr>
        <w:t>, the Company’s pending rate case,</w:t>
      </w:r>
      <w:r>
        <w:rPr>
          <w:sz w:val="25"/>
          <w:szCs w:val="25"/>
        </w:rPr>
        <w:t xml:space="preserve"> become effective.  </w:t>
      </w:r>
    </w:p>
    <w:p w14:paraId="3D1672FE" w14:textId="27894AEC" w:rsidR="00AD2A92" w:rsidRPr="00470E6F" w:rsidRDefault="001B73E3" w:rsidP="00BC6A99">
      <w:pPr>
        <w:pStyle w:val="FindingsConclusions"/>
        <w:tabs>
          <w:tab w:val="clear" w:pos="1080"/>
          <w:tab w:val="num" w:pos="0"/>
        </w:tabs>
        <w:spacing w:after="240" w:line="288" w:lineRule="auto"/>
        <w:ind w:left="0" w:hanging="720"/>
        <w:rPr>
          <w:sz w:val="25"/>
          <w:szCs w:val="25"/>
        </w:rPr>
      </w:pPr>
      <w:r>
        <w:rPr>
          <w:sz w:val="25"/>
          <w:szCs w:val="25"/>
        </w:rPr>
        <w:t xml:space="preserve">On December 22, 2014, Pacific Power filed a </w:t>
      </w:r>
      <w:r w:rsidR="003646B3">
        <w:rPr>
          <w:sz w:val="25"/>
          <w:szCs w:val="25"/>
        </w:rPr>
        <w:t>M</w:t>
      </w:r>
      <w:r>
        <w:rPr>
          <w:sz w:val="25"/>
          <w:szCs w:val="25"/>
        </w:rPr>
        <w:t xml:space="preserve">otion for </w:t>
      </w:r>
      <w:r w:rsidR="003646B3">
        <w:rPr>
          <w:sz w:val="25"/>
          <w:szCs w:val="25"/>
        </w:rPr>
        <w:t>C</w:t>
      </w:r>
      <w:r>
        <w:rPr>
          <w:sz w:val="25"/>
          <w:szCs w:val="25"/>
        </w:rPr>
        <w:t xml:space="preserve">larification </w:t>
      </w:r>
      <w:r w:rsidR="003646B3">
        <w:rPr>
          <w:sz w:val="25"/>
          <w:szCs w:val="25"/>
        </w:rPr>
        <w:t xml:space="preserve">of Order 16, </w:t>
      </w:r>
      <w:r>
        <w:rPr>
          <w:sz w:val="25"/>
          <w:szCs w:val="25"/>
        </w:rPr>
        <w:t xml:space="preserve">or </w:t>
      </w:r>
      <w:r w:rsidR="003646B3">
        <w:rPr>
          <w:sz w:val="25"/>
          <w:szCs w:val="25"/>
        </w:rPr>
        <w:t>Alternatively R</w:t>
      </w:r>
      <w:r>
        <w:rPr>
          <w:sz w:val="25"/>
          <w:szCs w:val="25"/>
        </w:rPr>
        <w:t>econsideration</w:t>
      </w:r>
      <w:r w:rsidR="00A1136F">
        <w:rPr>
          <w:sz w:val="25"/>
          <w:szCs w:val="25"/>
        </w:rPr>
        <w:t>.</w:t>
      </w:r>
      <w:r w:rsidR="00970363">
        <w:rPr>
          <w:sz w:val="25"/>
          <w:szCs w:val="25"/>
        </w:rPr>
        <w:t xml:space="preserve">  </w:t>
      </w:r>
      <w:r w:rsidR="003646B3">
        <w:rPr>
          <w:sz w:val="25"/>
          <w:szCs w:val="25"/>
        </w:rPr>
        <w:t>“</w:t>
      </w:r>
      <w:r w:rsidR="003646B3" w:rsidRPr="00470E6F">
        <w:rPr>
          <w:sz w:val="25"/>
          <w:szCs w:val="25"/>
        </w:rPr>
        <w:t>Pacific Power does not challenge the ultimate outcome in Order 16, recognizing the Commission’s discretion to craft a compromise to the parties’ competing positions in these circumstances.</w:t>
      </w:r>
      <w:r w:rsidR="00470E6F">
        <w:rPr>
          <w:sz w:val="25"/>
          <w:szCs w:val="25"/>
        </w:rPr>
        <w:t>”</w:t>
      </w:r>
      <w:r w:rsidR="00470E6F">
        <w:rPr>
          <w:rStyle w:val="FootnoteReference"/>
          <w:sz w:val="25"/>
          <w:szCs w:val="25"/>
        </w:rPr>
        <w:footnoteReference w:id="2"/>
      </w:r>
      <w:r w:rsidR="00470E6F">
        <w:rPr>
          <w:sz w:val="25"/>
          <w:szCs w:val="25"/>
        </w:rPr>
        <w:t xml:space="preserve">  Rather, the Company “</w:t>
      </w:r>
      <w:r w:rsidR="00470E6F" w:rsidRPr="00470E6F">
        <w:rPr>
          <w:sz w:val="25"/>
          <w:szCs w:val="25"/>
        </w:rPr>
        <w:t>asks the Commission to clarify or reconsider paragraphs 24, 25, and 26 of Order 16, which rely on the Settlement Stipulation to disallow interest after May 30, 2014, on the amount that Pacific Power over-credited to customers</w:t>
      </w:r>
      <w:r w:rsidR="00470E6F">
        <w:rPr>
          <w:sz w:val="25"/>
          <w:szCs w:val="25"/>
        </w:rPr>
        <w:t>.”</w:t>
      </w:r>
      <w:r w:rsidR="00470E6F">
        <w:rPr>
          <w:rStyle w:val="FootnoteReference"/>
          <w:sz w:val="25"/>
          <w:szCs w:val="25"/>
        </w:rPr>
        <w:footnoteReference w:id="3"/>
      </w:r>
      <w:r w:rsidR="003646B3" w:rsidRPr="00470E6F">
        <w:rPr>
          <w:sz w:val="25"/>
          <w:szCs w:val="25"/>
        </w:rPr>
        <w:t xml:space="preserve">  </w:t>
      </w:r>
      <w:r w:rsidR="00B27503">
        <w:rPr>
          <w:sz w:val="25"/>
          <w:szCs w:val="25"/>
        </w:rPr>
        <w:t xml:space="preserve">The Company also seeks clarification </w:t>
      </w:r>
      <w:r w:rsidR="00D775FD">
        <w:rPr>
          <w:sz w:val="25"/>
          <w:szCs w:val="25"/>
        </w:rPr>
        <w:t>that</w:t>
      </w:r>
      <w:r w:rsidR="00B27503">
        <w:rPr>
          <w:sz w:val="25"/>
          <w:szCs w:val="25"/>
        </w:rPr>
        <w:t xml:space="preserve"> Order 16 includes Commission approval of the February 2013 Agreement.</w:t>
      </w:r>
    </w:p>
    <w:p w14:paraId="0A7FE6B6" w14:textId="77777777" w:rsidR="008568F2" w:rsidRPr="008568F2" w:rsidRDefault="008568F2" w:rsidP="000F083C">
      <w:pPr>
        <w:pStyle w:val="FindingsConclusions"/>
        <w:numPr>
          <w:ilvl w:val="0"/>
          <w:numId w:val="0"/>
        </w:numPr>
        <w:spacing w:after="240"/>
        <w:ind w:left="1080" w:hanging="1080"/>
        <w:jc w:val="center"/>
        <w:rPr>
          <w:b/>
        </w:rPr>
      </w:pPr>
      <w:r w:rsidRPr="008568F2">
        <w:rPr>
          <w:b/>
        </w:rPr>
        <w:t>DISCUSSION AND DECISION</w:t>
      </w:r>
    </w:p>
    <w:p w14:paraId="0A7FE6B7" w14:textId="4B44AA64" w:rsidR="008230EE" w:rsidRDefault="005177C4" w:rsidP="003A537F">
      <w:pPr>
        <w:numPr>
          <w:ilvl w:val="0"/>
          <w:numId w:val="1"/>
        </w:numPr>
        <w:tabs>
          <w:tab w:val="clear" w:pos="1080"/>
          <w:tab w:val="num" w:pos="0"/>
        </w:tabs>
        <w:spacing w:after="240" w:line="288" w:lineRule="auto"/>
        <w:ind w:left="0" w:hanging="720"/>
        <w:rPr>
          <w:sz w:val="25"/>
          <w:szCs w:val="25"/>
        </w:rPr>
      </w:pPr>
      <w:r>
        <w:rPr>
          <w:sz w:val="25"/>
          <w:szCs w:val="25"/>
        </w:rPr>
        <w:t>We take seriously the obligations to which parties have agreed in settlements</w:t>
      </w:r>
      <w:r w:rsidR="00817249">
        <w:rPr>
          <w:sz w:val="25"/>
          <w:szCs w:val="25"/>
        </w:rPr>
        <w:t xml:space="preserve"> – </w:t>
      </w:r>
      <w:r>
        <w:rPr>
          <w:sz w:val="25"/>
          <w:szCs w:val="25"/>
        </w:rPr>
        <w:t xml:space="preserve">no less so when the Commission is one of those parties.  Accordingly, we will address Pacific Power’s concerns that Order 16 is inconsistent with the Settlement Stipulation.  </w:t>
      </w:r>
    </w:p>
    <w:p w14:paraId="524D0B42" w14:textId="22697811" w:rsidR="00702E8F" w:rsidRDefault="005177C4" w:rsidP="003A537F">
      <w:pPr>
        <w:numPr>
          <w:ilvl w:val="0"/>
          <w:numId w:val="1"/>
        </w:numPr>
        <w:tabs>
          <w:tab w:val="clear" w:pos="1080"/>
          <w:tab w:val="num" w:pos="0"/>
        </w:tabs>
        <w:spacing w:after="240" w:line="288" w:lineRule="auto"/>
        <w:ind w:left="0" w:hanging="720"/>
        <w:rPr>
          <w:sz w:val="25"/>
          <w:szCs w:val="25"/>
        </w:rPr>
      </w:pPr>
      <w:r>
        <w:rPr>
          <w:sz w:val="25"/>
          <w:szCs w:val="25"/>
        </w:rPr>
        <w:t xml:space="preserve">We start by observing that Order 16 does not state or suggest </w:t>
      </w:r>
      <w:r w:rsidR="00FD277B">
        <w:rPr>
          <w:sz w:val="25"/>
          <w:szCs w:val="25"/>
        </w:rPr>
        <w:t xml:space="preserve">that </w:t>
      </w:r>
      <w:r w:rsidR="00431D1B">
        <w:rPr>
          <w:sz w:val="25"/>
          <w:szCs w:val="25"/>
        </w:rPr>
        <w:t xml:space="preserve">Pacific Power did not comply with </w:t>
      </w:r>
      <w:r w:rsidR="00FD277B">
        <w:rPr>
          <w:sz w:val="25"/>
          <w:szCs w:val="25"/>
        </w:rPr>
        <w:t>the Settlement Stipulation</w:t>
      </w:r>
      <w:r w:rsidR="00431D1B">
        <w:rPr>
          <w:sz w:val="25"/>
          <w:szCs w:val="25"/>
        </w:rPr>
        <w:t>.  The order does not interpret th</w:t>
      </w:r>
      <w:r w:rsidR="00D775FD">
        <w:rPr>
          <w:sz w:val="25"/>
          <w:szCs w:val="25"/>
        </w:rPr>
        <w:t>e</w:t>
      </w:r>
      <w:r w:rsidR="00431D1B">
        <w:rPr>
          <w:sz w:val="25"/>
          <w:szCs w:val="25"/>
        </w:rPr>
        <w:t xml:space="preserve"> Stipulation to require</w:t>
      </w:r>
      <w:r>
        <w:rPr>
          <w:sz w:val="25"/>
          <w:szCs w:val="25"/>
        </w:rPr>
        <w:t xml:space="preserve"> simultaneous resolution of the </w:t>
      </w:r>
      <w:r w:rsidR="00EF73E8">
        <w:rPr>
          <w:sz w:val="25"/>
          <w:szCs w:val="25"/>
        </w:rPr>
        <w:t xml:space="preserve">amount of </w:t>
      </w:r>
      <w:r>
        <w:rPr>
          <w:sz w:val="25"/>
          <w:szCs w:val="25"/>
        </w:rPr>
        <w:t>historic REC sales proceeds</w:t>
      </w:r>
      <w:r w:rsidR="00EF73E8">
        <w:rPr>
          <w:sz w:val="25"/>
          <w:szCs w:val="25"/>
        </w:rPr>
        <w:t xml:space="preserve"> to be credited to customers</w:t>
      </w:r>
      <w:r>
        <w:rPr>
          <w:sz w:val="25"/>
          <w:szCs w:val="25"/>
        </w:rPr>
        <w:t xml:space="preserve"> and </w:t>
      </w:r>
      <w:r w:rsidR="00EF73E8">
        <w:rPr>
          <w:sz w:val="25"/>
          <w:szCs w:val="25"/>
        </w:rPr>
        <w:t xml:space="preserve">Pacific Power’s </w:t>
      </w:r>
      <w:r>
        <w:rPr>
          <w:sz w:val="25"/>
          <w:szCs w:val="25"/>
        </w:rPr>
        <w:t xml:space="preserve">recovery of </w:t>
      </w:r>
      <w:r w:rsidR="00EF73E8">
        <w:rPr>
          <w:sz w:val="25"/>
          <w:szCs w:val="25"/>
        </w:rPr>
        <w:t xml:space="preserve">the </w:t>
      </w:r>
      <w:r>
        <w:rPr>
          <w:sz w:val="25"/>
          <w:szCs w:val="25"/>
        </w:rPr>
        <w:t xml:space="preserve">over-credits </w:t>
      </w:r>
      <w:r w:rsidR="00EF73E8">
        <w:rPr>
          <w:sz w:val="25"/>
          <w:szCs w:val="25"/>
        </w:rPr>
        <w:t xml:space="preserve">the Company made </w:t>
      </w:r>
      <w:r>
        <w:rPr>
          <w:sz w:val="25"/>
          <w:szCs w:val="25"/>
        </w:rPr>
        <w:t>after April 2011</w:t>
      </w:r>
      <w:r w:rsidR="004458A6">
        <w:rPr>
          <w:sz w:val="25"/>
          <w:szCs w:val="25"/>
        </w:rPr>
        <w:t>.</w:t>
      </w:r>
      <w:r w:rsidR="00EF73E8">
        <w:rPr>
          <w:sz w:val="25"/>
          <w:szCs w:val="25"/>
        </w:rPr>
        <w:t xml:space="preserve">  </w:t>
      </w:r>
      <w:r w:rsidR="00FD277B">
        <w:rPr>
          <w:sz w:val="25"/>
          <w:szCs w:val="25"/>
        </w:rPr>
        <w:t xml:space="preserve">Order 16 also does not </w:t>
      </w:r>
      <w:r w:rsidR="00D775FD">
        <w:rPr>
          <w:sz w:val="25"/>
          <w:szCs w:val="25"/>
        </w:rPr>
        <w:t>find</w:t>
      </w:r>
      <w:r w:rsidR="00FD277B">
        <w:rPr>
          <w:sz w:val="25"/>
          <w:szCs w:val="25"/>
        </w:rPr>
        <w:t xml:space="preserve"> that the Settlement Stipulation determines the calculation of interest on the over-credits.  </w:t>
      </w:r>
      <w:r w:rsidR="00817249">
        <w:rPr>
          <w:sz w:val="25"/>
          <w:szCs w:val="25"/>
        </w:rPr>
        <w:t>Nor does Order 16 provide that Pacific Power should have made a distribution of historic REC sales proceeds other than according to the terms in the Settlement St</w:t>
      </w:r>
      <w:r w:rsidR="00702E8F">
        <w:rPr>
          <w:sz w:val="25"/>
          <w:szCs w:val="25"/>
        </w:rPr>
        <w:t xml:space="preserve">ipulation.  </w:t>
      </w:r>
    </w:p>
    <w:p w14:paraId="3B24823A" w14:textId="0BDE1020" w:rsidR="002C39A9" w:rsidRDefault="00702E8F" w:rsidP="003A537F">
      <w:pPr>
        <w:numPr>
          <w:ilvl w:val="0"/>
          <w:numId w:val="1"/>
        </w:numPr>
        <w:tabs>
          <w:tab w:val="clear" w:pos="1080"/>
          <w:tab w:val="num" w:pos="0"/>
        </w:tabs>
        <w:spacing w:after="240" w:line="288" w:lineRule="auto"/>
        <w:ind w:left="0" w:hanging="720"/>
        <w:rPr>
          <w:sz w:val="25"/>
          <w:szCs w:val="25"/>
        </w:rPr>
      </w:pPr>
      <w:r>
        <w:rPr>
          <w:sz w:val="25"/>
          <w:szCs w:val="25"/>
        </w:rPr>
        <w:t>Rather, we concluded in Order 16</w:t>
      </w:r>
      <w:r w:rsidR="00817249">
        <w:rPr>
          <w:sz w:val="25"/>
          <w:szCs w:val="25"/>
        </w:rPr>
        <w:t xml:space="preserve">, and continue to conclude, that Pacific Power’s failure to file a proposed true-up mechanism for the over-credits on May 1, 2014, in compliance with Order 13 resulted in an unwarranted extension of the time and </w:t>
      </w:r>
      <w:r w:rsidR="00817249">
        <w:rPr>
          <w:sz w:val="25"/>
          <w:szCs w:val="25"/>
        </w:rPr>
        <w:lastRenderedPageBreak/>
        <w:t>manner for recovery of those over-credits.</w:t>
      </w:r>
      <w:r w:rsidR="00FD277B">
        <w:rPr>
          <w:sz w:val="25"/>
          <w:szCs w:val="25"/>
        </w:rPr>
        <w:t xml:space="preserve">  Had the Company made the requisite filing, the Commission could have approved or established a recovery mechanism that coincided with the one-time credit </w:t>
      </w:r>
      <w:r w:rsidR="007A711F">
        <w:rPr>
          <w:sz w:val="25"/>
          <w:szCs w:val="25"/>
        </w:rPr>
        <w:t xml:space="preserve">for historic REC sales proceeds.  Accordingly, we determined that interest </w:t>
      </w:r>
      <w:r w:rsidR="00D775FD">
        <w:rPr>
          <w:sz w:val="25"/>
          <w:szCs w:val="25"/>
        </w:rPr>
        <w:t>d</w:t>
      </w:r>
      <w:r w:rsidR="00674504">
        <w:rPr>
          <w:sz w:val="25"/>
          <w:szCs w:val="25"/>
        </w:rPr>
        <w:t>id</w:t>
      </w:r>
      <w:r w:rsidR="00D775FD">
        <w:rPr>
          <w:sz w:val="25"/>
          <w:szCs w:val="25"/>
        </w:rPr>
        <w:t xml:space="preserve"> not accrue </w:t>
      </w:r>
      <w:r w:rsidR="007A711F">
        <w:rPr>
          <w:sz w:val="25"/>
          <w:szCs w:val="25"/>
        </w:rPr>
        <w:t>on the over-credits beyond May 30, 2014, the same date that interest stopped accruing on the historic REC sales proceeds.</w:t>
      </w:r>
    </w:p>
    <w:p w14:paraId="6F6971D4" w14:textId="0D7BA326" w:rsidR="00817249" w:rsidRDefault="007A711F" w:rsidP="003A537F">
      <w:pPr>
        <w:numPr>
          <w:ilvl w:val="0"/>
          <w:numId w:val="1"/>
        </w:numPr>
        <w:tabs>
          <w:tab w:val="clear" w:pos="1080"/>
          <w:tab w:val="num" w:pos="0"/>
        </w:tabs>
        <w:spacing w:after="240" w:line="288" w:lineRule="auto"/>
        <w:ind w:left="0" w:hanging="720"/>
        <w:rPr>
          <w:sz w:val="25"/>
          <w:szCs w:val="25"/>
        </w:rPr>
      </w:pPr>
      <w:r>
        <w:rPr>
          <w:sz w:val="25"/>
          <w:szCs w:val="25"/>
        </w:rPr>
        <w:t xml:space="preserve">Pacific Power incorrectly assumes that we contemplated a departure from the </w:t>
      </w:r>
      <w:r w:rsidR="00674504">
        <w:rPr>
          <w:sz w:val="25"/>
          <w:szCs w:val="25"/>
        </w:rPr>
        <w:t xml:space="preserve">Settlement Stipulation’s required </w:t>
      </w:r>
      <w:r>
        <w:rPr>
          <w:sz w:val="25"/>
          <w:szCs w:val="25"/>
        </w:rPr>
        <w:t>distribution of historic REC sales proceeds</w:t>
      </w:r>
      <w:r w:rsidR="00BD02C3">
        <w:rPr>
          <w:sz w:val="25"/>
          <w:szCs w:val="25"/>
        </w:rPr>
        <w:t xml:space="preserve"> </w:t>
      </w:r>
      <w:r>
        <w:rPr>
          <w:sz w:val="25"/>
          <w:szCs w:val="25"/>
        </w:rPr>
        <w:t xml:space="preserve">when we observed in paragraph 25 of Order 16 that historic and current REC sales proceeds issues could have been resolved “simultaneously by reducing the credit for the historic REC sales proceeds by the amount Pacific Power over-credited for current REC sales.”  </w:t>
      </w:r>
      <w:r w:rsidR="00F549B1">
        <w:rPr>
          <w:sz w:val="25"/>
          <w:szCs w:val="25"/>
        </w:rPr>
        <w:t xml:space="preserve">Order 13 expressly required adjustments to Schedule </w:t>
      </w:r>
      <w:r w:rsidR="00F549B1" w:rsidRPr="00CD5BD7">
        <w:rPr>
          <w:sz w:val="25"/>
          <w:szCs w:val="25"/>
        </w:rPr>
        <w:t>95</w:t>
      </w:r>
      <w:r w:rsidR="00F549B1">
        <w:rPr>
          <w:sz w:val="25"/>
          <w:szCs w:val="25"/>
        </w:rPr>
        <w:t xml:space="preserve"> to address the current REC sales proceeds.  Pacific Power filed </w:t>
      </w:r>
      <w:r w:rsidR="00674504">
        <w:rPr>
          <w:sz w:val="25"/>
          <w:szCs w:val="25"/>
        </w:rPr>
        <w:t xml:space="preserve">a different tariff revision, </w:t>
      </w:r>
      <w:r w:rsidR="00F549B1">
        <w:rPr>
          <w:sz w:val="25"/>
          <w:szCs w:val="25"/>
        </w:rPr>
        <w:t xml:space="preserve">Schedule </w:t>
      </w:r>
      <w:r w:rsidR="00F549B1" w:rsidRPr="00CD5BD7">
        <w:rPr>
          <w:sz w:val="25"/>
          <w:szCs w:val="25"/>
        </w:rPr>
        <w:t>96</w:t>
      </w:r>
      <w:r w:rsidR="00674504">
        <w:rPr>
          <w:sz w:val="25"/>
          <w:szCs w:val="25"/>
        </w:rPr>
        <w:t>,</w:t>
      </w:r>
      <w:r w:rsidR="00F549B1">
        <w:rPr>
          <w:sz w:val="25"/>
          <w:szCs w:val="25"/>
        </w:rPr>
        <w:t xml:space="preserve"> to implement the one-time credit to which the parties agreed in the Settlement Stipulation.  Schedule 95 could – and should – have been revised to allow the Company to collect a one-time charge at the same time Pacific Power provided the one-time credit under Schedule 96.  The</w:t>
      </w:r>
      <w:r w:rsidR="00E32324">
        <w:rPr>
          <w:sz w:val="25"/>
          <w:szCs w:val="25"/>
        </w:rPr>
        <w:t xml:space="preserve"> result</w:t>
      </w:r>
      <w:r w:rsidR="00F549B1">
        <w:rPr>
          <w:sz w:val="25"/>
          <w:szCs w:val="25"/>
        </w:rPr>
        <w:t xml:space="preserve"> would have been a net reduction in the credit given to customers</w:t>
      </w:r>
      <w:r w:rsidR="00E32324">
        <w:rPr>
          <w:sz w:val="25"/>
          <w:szCs w:val="25"/>
        </w:rPr>
        <w:t xml:space="preserve"> without requiring any adjustment to the distribution to which the parties agreed in the Settlement Stipulation</w:t>
      </w:r>
      <w:r w:rsidR="00F549B1">
        <w:rPr>
          <w:sz w:val="25"/>
          <w:szCs w:val="25"/>
        </w:rPr>
        <w:t>.</w:t>
      </w:r>
    </w:p>
    <w:p w14:paraId="7E42AA98" w14:textId="36B044B9" w:rsidR="009A63E5" w:rsidRDefault="00145015" w:rsidP="009A63E5">
      <w:pPr>
        <w:numPr>
          <w:ilvl w:val="0"/>
          <w:numId w:val="1"/>
        </w:numPr>
        <w:tabs>
          <w:tab w:val="clear" w:pos="1080"/>
          <w:tab w:val="num" w:pos="0"/>
        </w:tabs>
        <w:spacing w:after="240" w:line="288" w:lineRule="auto"/>
        <w:ind w:left="0" w:hanging="720"/>
        <w:rPr>
          <w:sz w:val="25"/>
          <w:szCs w:val="25"/>
        </w:rPr>
      </w:pPr>
      <w:r>
        <w:rPr>
          <w:sz w:val="25"/>
          <w:szCs w:val="25"/>
        </w:rPr>
        <w:t xml:space="preserve">Pacific Power also contends that it timely submitted its proposal for recovering the over-credits within 60 days of the date the court dismissed the Company’s appeal, just as the Commission stated was its expectation.  Again, Pacific Power misconstrues </w:t>
      </w:r>
      <w:r w:rsidR="00CF1FEB">
        <w:rPr>
          <w:sz w:val="25"/>
          <w:szCs w:val="25"/>
        </w:rPr>
        <w:t>our prior order</w:t>
      </w:r>
      <w:r>
        <w:rPr>
          <w:sz w:val="25"/>
          <w:szCs w:val="25"/>
        </w:rPr>
        <w:t xml:space="preserve">.  </w:t>
      </w:r>
      <w:r w:rsidR="00674504">
        <w:rPr>
          <w:sz w:val="25"/>
          <w:szCs w:val="25"/>
        </w:rPr>
        <w:t xml:space="preserve">We explained </w:t>
      </w:r>
      <w:r w:rsidR="004D3CB6">
        <w:rPr>
          <w:sz w:val="25"/>
          <w:szCs w:val="25"/>
        </w:rPr>
        <w:t>in paragraphs 2</w:t>
      </w:r>
      <w:r w:rsidR="003569C0">
        <w:rPr>
          <w:sz w:val="25"/>
          <w:szCs w:val="25"/>
        </w:rPr>
        <w:t>3-</w:t>
      </w:r>
      <w:r w:rsidR="004D3CB6">
        <w:rPr>
          <w:sz w:val="25"/>
          <w:szCs w:val="25"/>
        </w:rPr>
        <w:t xml:space="preserve">25 of </w:t>
      </w:r>
      <w:r w:rsidR="00CF1FEB">
        <w:rPr>
          <w:sz w:val="25"/>
          <w:szCs w:val="25"/>
        </w:rPr>
        <w:t>O</w:t>
      </w:r>
      <w:r w:rsidR="004D3CB6">
        <w:rPr>
          <w:sz w:val="25"/>
          <w:szCs w:val="25"/>
        </w:rPr>
        <w:t xml:space="preserve">rder </w:t>
      </w:r>
      <w:r w:rsidR="00CF1FEB">
        <w:rPr>
          <w:sz w:val="25"/>
          <w:szCs w:val="25"/>
        </w:rPr>
        <w:t xml:space="preserve">16 </w:t>
      </w:r>
      <w:r w:rsidR="00674504">
        <w:rPr>
          <w:sz w:val="25"/>
          <w:szCs w:val="25"/>
        </w:rPr>
        <w:t xml:space="preserve">that our focus had been on </w:t>
      </w:r>
      <w:r>
        <w:rPr>
          <w:sz w:val="25"/>
          <w:szCs w:val="25"/>
        </w:rPr>
        <w:t xml:space="preserve">when the issues in the appeal were </w:t>
      </w:r>
      <w:r w:rsidRPr="00145015">
        <w:rPr>
          <w:i/>
          <w:sz w:val="25"/>
          <w:szCs w:val="25"/>
        </w:rPr>
        <w:t>resolved</w:t>
      </w:r>
      <w:r>
        <w:rPr>
          <w:sz w:val="25"/>
          <w:szCs w:val="25"/>
        </w:rPr>
        <w:t xml:space="preserve">, not when </w:t>
      </w:r>
      <w:r w:rsidR="004D3CB6">
        <w:rPr>
          <w:sz w:val="25"/>
          <w:szCs w:val="25"/>
        </w:rPr>
        <w:t xml:space="preserve">the court </w:t>
      </w:r>
      <w:r>
        <w:rPr>
          <w:sz w:val="25"/>
          <w:szCs w:val="25"/>
        </w:rPr>
        <w:t>dismissed</w:t>
      </w:r>
      <w:r w:rsidR="004D3CB6">
        <w:rPr>
          <w:sz w:val="25"/>
          <w:szCs w:val="25"/>
        </w:rPr>
        <w:t xml:space="preserve"> the case</w:t>
      </w:r>
      <w:r>
        <w:rPr>
          <w:sz w:val="25"/>
          <w:szCs w:val="25"/>
        </w:rPr>
        <w:t xml:space="preserve">.  The Settlement Stipulation was that resolution, and the parties implemented </w:t>
      </w:r>
      <w:r w:rsidR="004D3CB6">
        <w:rPr>
          <w:sz w:val="25"/>
          <w:szCs w:val="25"/>
        </w:rPr>
        <w:t>it</w:t>
      </w:r>
      <w:r>
        <w:rPr>
          <w:sz w:val="25"/>
          <w:szCs w:val="25"/>
        </w:rPr>
        <w:t xml:space="preserve"> well before the case was </w:t>
      </w:r>
      <w:r w:rsidR="003569C0">
        <w:rPr>
          <w:sz w:val="25"/>
          <w:szCs w:val="25"/>
        </w:rPr>
        <w:t xml:space="preserve">formally </w:t>
      </w:r>
      <w:r>
        <w:rPr>
          <w:sz w:val="25"/>
          <w:szCs w:val="25"/>
        </w:rPr>
        <w:t>dismissed.  Nothing in any Commission order authorized the Company to wait until two months after the dismiss</w:t>
      </w:r>
      <w:r w:rsidR="004D3CB6">
        <w:rPr>
          <w:sz w:val="25"/>
          <w:szCs w:val="25"/>
        </w:rPr>
        <w:t>al</w:t>
      </w:r>
      <w:r>
        <w:rPr>
          <w:sz w:val="25"/>
          <w:szCs w:val="25"/>
        </w:rPr>
        <w:t xml:space="preserve"> to propose a recovery mechanism for the over-credits.  To the contrary, the Commission ordered Pacific Power to make that proposal on May 1, 2014</w:t>
      </w:r>
      <w:r w:rsidR="004D3CB6">
        <w:rPr>
          <w:sz w:val="25"/>
          <w:szCs w:val="25"/>
        </w:rPr>
        <w:t xml:space="preserve">, without regard for the </w:t>
      </w:r>
      <w:r w:rsidR="00CF1FEB">
        <w:rPr>
          <w:sz w:val="25"/>
          <w:szCs w:val="25"/>
        </w:rPr>
        <w:t xml:space="preserve">parallel </w:t>
      </w:r>
      <w:r w:rsidR="004D3CB6">
        <w:rPr>
          <w:sz w:val="25"/>
          <w:szCs w:val="25"/>
        </w:rPr>
        <w:t>appellate proceedings</w:t>
      </w:r>
      <w:r w:rsidR="009A63E5">
        <w:rPr>
          <w:sz w:val="25"/>
          <w:szCs w:val="25"/>
        </w:rPr>
        <w:t>.</w:t>
      </w:r>
      <w:r w:rsidR="004D3CB6">
        <w:rPr>
          <w:rStyle w:val="FootnoteReference"/>
          <w:sz w:val="25"/>
          <w:szCs w:val="25"/>
        </w:rPr>
        <w:footnoteReference w:id="4"/>
      </w:r>
    </w:p>
    <w:p w14:paraId="598EDC89" w14:textId="77777777" w:rsidR="003610C0" w:rsidRDefault="00F20604" w:rsidP="009A63E5">
      <w:pPr>
        <w:numPr>
          <w:ilvl w:val="0"/>
          <w:numId w:val="1"/>
        </w:numPr>
        <w:tabs>
          <w:tab w:val="clear" w:pos="1080"/>
          <w:tab w:val="num" w:pos="0"/>
        </w:tabs>
        <w:spacing w:after="240" w:line="288" w:lineRule="auto"/>
        <w:ind w:left="0" w:hanging="720"/>
        <w:rPr>
          <w:sz w:val="25"/>
          <w:szCs w:val="25"/>
        </w:rPr>
      </w:pPr>
      <w:r>
        <w:rPr>
          <w:sz w:val="25"/>
          <w:szCs w:val="25"/>
        </w:rPr>
        <w:t>Pacific Power further argues, “</w:t>
      </w:r>
      <w:r w:rsidRPr="00F20604">
        <w:rPr>
          <w:rFonts w:eastAsia="Times"/>
          <w:sz w:val="25"/>
          <w:szCs w:val="25"/>
        </w:rPr>
        <w:t xml:space="preserve">Contrary to paragraph 24 of Order 16, the Settlement Stipulation specifically states that </w:t>
      </w:r>
      <w:r>
        <w:rPr>
          <w:rFonts w:eastAsia="Times"/>
          <w:sz w:val="25"/>
          <w:szCs w:val="25"/>
        </w:rPr>
        <w:t>‘</w:t>
      </w:r>
      <w:r w:rsidRPr="00F20604">
        <w:rPr>
          <w:rFonts w:eastAsia="Times"/>
          <w:sz w:val="25"/>
          <w:szCs w:val="25"/>
        </w:rPr>
        <w:t xml:space="preserve">[t]his Stipulation does not affect REC revenues or rate credits issued to customers through Schedule 95 on or </w:t>
      </w:r>
      <w:r>
        <w:rPr>
          <w:rFonts w:eastAsia="Times"/>
          <w:sz w:val="25"/>
          <w:szCs w:val="25"/>
        </w:rPr>
        <w:t>after April 3, 2011.’</w:t>
      </w:r>
      <w:r w:rsidRPr="00F20604">
        <w:rPr>
          <w:rFonts w:eastAsia="Times"/>
          <w:sz w:val="25"/>
          <w:szCs w:val="25"/>
        </w:rPr>
        <w:t xml:space="preserve">  The Settlement Stipulation also expressly states that “the Stipulating Parties agree that this Stipulation… [is] non-precedential.</w:t>
      </w:r>
      <w:r>
        <w:rPr>
          <w:rFonts w:eastAsia="Times"/>
          <w:sz w:val="25"/>
          <w:szCs w:val="25"/>
        </w:rPr>
        <w:t>’</w:t>
      </w:r>
      <w:r w:rsidRPr="00F20604">
        <w:rPr>
          <w:rFonts w:eastAsia="Times"/>
          <w:sz w:val="25"/>
          <w:szCs w:val="25"/>
        </w:rPr>
        <w:t>”</w:t>
      </w:r>
      <w:r>
        <w:rPr>
          <w:rStyle w:val="FootnoteReference"/>
          <w:sz w:val="25"/>
          <w:szCs w:val="25"/>
        </w:rPr>
        <w:footnoteReference w:id="5"/>
      </w:r>
      <w:r>
        <w:rPr>
          <w:rFonts w:eastAsia="Times"/>
          <w:sz w:val="25"/>
          <w:szCs w:val="25"/>
        </w:rPr>
        <w:t xml:space="preserve">  Order 16 does not conclude that the Settlement Stipulation </w:t>
      </w:r>
      <w:r w:rsidR="008F122F">
        <w:rPr>
          <w:rFonts w:eastAsia="Times"/>
          <w:sz w:val="25"/>
          <w:szCs w:val="25"/>
        </w:rPr>
        <w:t xml:space="preserve">is “precedential” or otherwise </w:t>
      </w:r>
      <w:r>
        <w:rPr>
          <w:rFonts w:eastAsia="Times"/>
          <w:sz w:val="25"/>
          <w:szCs w:val="25"/>
        </w:rPr>
        <w:t xml:space="preserve">determines the amount or recovery of </w:t>
      </w:r>
      <w:r w:rsidR="008F122F">
        <w:rPr>
          <w:rFonts w:eastAsia="Times"/>
          <w:sz w:val="25"/>
          <w:szCs w:val="25"/>
        </w:rPr>
        <w:t xml:space="preserve">the </w:t>
      </w:r>
      <w:r>
        <w:rPr>
          <w:rFonts w:eastAsia="Times"/>
          <w:sz w:val="25"/>
          <w:szCs w:val="25"/>
        </w:rPr>
        <w:t>over-credits of current REC sales proceeds</w:t>
      </w:r>
      <w:r w:rsidR="00C04351" w:rsidRPr="00F20604">
        <w:rPr>
          <w:sz w:val="25"/>
          <w:szCs w:val="25"/>
        </w:rPr>
        <w:t>.</w:t>
      </w:r>
      <w:r>
        <w:rPr>
          <w:sz w:val="25"/>
          <w:szCs w:val="25"/>
        </w:rPr>
        <w:t xml:space="preserve">  Rather we found that the date of that Stipulation, in conjunction with the May 1, 2014, d</w:t>
      </w:r>
      <w:r w:rsidR="008F122F">
        <w:rPr>
          <w:sz w:val="25"/>
          <w:szCs w:val="25"/>
        </w:rPr>
        <w:t>eadline</w:t>
      </w:r>
      <w:r>
        <w:rPr>
          <w:sz w:val="25"/>
          <w:szCs w:val="25"/>
        </w:rPr>
        <w:t xml:space="preserve"> for filing the true-up, was a reasonable </w:t>
      </w:r>
      <w:r w:rsidR="008F122F">
        <w:rPr>
          <w:sz w:val="25"/>
          <w:szCs w:val="25"/>
        </w:rPr>
        <w:t>date on which interest should no longer accrue</w:t>
      </w:r>
      <w:r w:rsidR="00F937D8">
        <w:rPr>
          <w:sz w:val="25"/>
          <w:szCs w:val="25"/>
        </w:rPr>
        <w:t xml:space="preserve"> on the over-credit balance</w:t>
      </w:r>
      <w:r w:rsidR="008F122F">
        <w:rPr>
          <w:sz w:val="25"/>
          <w:szCs w:val="25"/>
        </w:rPr>
        <w:t xml:space="preserve">.  </w:t>
      </w:r>
    </w:p>
    <w:p w14:paraId="7DF1BC0B" w14:textId="58AF5121" w:rsidR="00E178E2" w:rsidRDefault="008F122F" w:rsidP="009A63E5">
      <w:pPr>
        <w:numPr>
          <w:ilvl w:val="0"/>
          <w:numId w:val="1"/>
        </w:numPr>
        <w:tabs>
          <w:tab w:val="clear" w:pos="1080"/>
          <w:tab w:val="num" w:pos="0"/>
        </w:tabs>
        <w:spacing w:after="240" w:line="288" w:lineRule="auto"/>
        <w:ind w:left="0" w:hanging="720"/>
        <w:rPr>
          <w:sz w:val="25"/>
          <w:szCs w:val="25"/>
        </w:rPr>
      </w:pPr>
      <w:r>
        <w:rPr>
          <w:sz w:val="25"/>
          <w:szCs w:val="25"/>
        </w:rPr>
        <w:t>We could have terminated interest accrual on May 1, 2014, when the Company should have filed its proposed true-up</w:t>
      </w:r>
      <w:r w:rsidR="00F937D8">
        <w:rPr>
          <w:sz w:val="25"/>
          <w:szCs w:val="25"/>
        </w:rPr>
        <w:t>.  W</w:t>
      </w:r>
      <w:r>
        <w:rPr>
          <w:sz w:val="25"/>
          <w:szCs w:val="25"/>
        </w:rPr>
        <w:t xml:space="preserve">e ultimately decided that authorizing an additional month of interest would be fairer to the Company since it was paying interest on the historic REC sales proceeds until that date.  Pacific Power, however, may calculate interest on the over-credit balance until May 1, 2014, instead of May 30, 2014, if the Company believes that any association </w:t>
      </w:r>
      <w:r w:rsidR="00F937D8">
        <w:rPr>
          <w:sz w:val="25"/>
          <w:szCs w:val="25"/>
        </w:rPr>
        <w:t xml:space="preserve">of the over-credits </w:t>
      </w:r>
      <w:r>
        <w:rPr>
          <w:sz w:val="25"/>
          <w:szCs w:val="25"/>
        </w:rPr>
        <w:t>with the Settlement Stipulation is problematic.</w:t>
      </w:r>
    </w:p>
    <w:p w14:paraId="48181262" w14:textId="537EEF05" w:rsidR="00F937D8" w:rsidRDefault="003610C0" w:rsidP="009A63E5">
      <w:pPr>
        <w:numPr>
          <w:ilvl w:val="0"/>
          <w:numId w:val="1"/>
        </w:numPr>
        <w:tabs>
          <w:tab w:val="clear" w:pos="1080"/>
          <w:tab w:val="num" w:pos="0"/>
        </w:tabs>
        <w:spacing w:after="240" w:line="288" w:lineRule="auto"/>
        <w:ind w:left="0" w:hanging="720"/>
        <w:rPr>
          <w:sz w:val="25"/>
          <w:szCs w:val="25"/>
        </w:rPr>
      </w:pPr>
      <w:r>
        <w:rPr>
          <w:sz w:val="25"/>
          <w:szCs w:val="25"/>
        </w:rPr>
        <w:t>Finally, Pacific Power maintains that no party requested that the Company address recovery of the over-credits “</w:t>
      </w:r>
      <w:r w:rsidRPr="003610C0">
        <w:rPr>
          <w:sz w:val="25"/>
          <w:szCs w:val="25"/>
        </w:rPr>
        <w:t>either as part of the Settlement Stipulation or the subsequent Commission proceeding approving Schedule 96</w:t>
      </w:r>
      <w:r w:rsidR="00F937D8" w:rsidRPr="003610C0">
        <w:rPr>
          <w:sz w:val="25"/>
          <w:szCs w:val="25"/>
        </w:rPr>
        <w:t>.</w:t>
      </w:r>
      <w:r>
        <w:rPr>
          <w:sz w:val="25"/>
          <w:szCs w:val="25"/>
        </w:rPr>
        <w:t>”</w:t>
      </w:r>
      <w:r>
        <w:rPr>
          <w:rStyle w:val="FootnoteReference"/>
          <w:sz w:val="25"/>
          <w:szCs w:val="25"/>
        </w:rPr>
        <w:footnoteReference w:id="6"/>
      </w:r>
      <w:r w:rsidR="00F438F5">
        <w:rPr>
          <w:sz w:val="25"/>
          <w:szCs w:val="25"/>
        </w:rPr>
        <w:t xml:space="preserve">  While we would have welcomed, if not expected, such a request from another party, Pacific Power had the ultimate obligation to propose a mechanism for recovering the over-credits.  The Company cannot avoid that responsibility by claiming that the other parties also failed to address this issue.</w:t>
      </w:r>
    </w:p>
    <w:p w14:paraId="2047CD2B" w14:textId="07C29534" w:rsidR="003610C0" w:rsidRPr="003610C0" w:rsidRDefault="003610C0" w:rsidP="009A63E5">
      <w:pPr>
        <w:numPr>
          <w:ilvl w:val="0"/>
          <w:numId w:val="1"/>
        </w:numPr>
        <w:tabs>
          <w:tab w:val="clear" w:pos="1080"/>
          <w:tab w:val="num" w:pos="0"/>
        </w:tabs>
        <w:spacing w:after="240" w:line="288" w:lineRule="auto"/>
        <w:ind w:left="0" w:hanging="720"/>
        <w:rPr>
          <w:sz w:val="25"/>
          <w:szCs w:val="25"/>
        </w:rPr>
      </w:pPr>
      <w:r>
        <w:rPr>
          <w:sz w:val="25"/>
          <w:szCs w:val="25"/>
        </w:rPr>
        <w:t xml:space="preserve">Pacific Power also requests that the Commission clarify </w:t>
      </w:r>
      <w:r w:rsidR="005E58B2">
        <w:rPr>
          <w:sz w:val="25"/>
          <w:szCs w:val="25"/>
        </w:rPr>
        <w:t xml:space="preserve">that </w:t>
      </w:r>
      <w:r>
        <w:rPr>
          <w:sz w:val="25"/>
          <w:szCs w:val="25"/>
        </w:rPr>
        <w:t>Order 16 approves and adopts the parties’ February 2013</w:t>
      </w:r>
      <w:r w:rsidR="00B17F87">
        <w:rPr>
          <w:sz w:val="25"/>
          <w:szCs w:val="25"/>
        </w:rPr>
        <w:t xml:space="preserve"> Agreement</w:t>
      </w:r>
      <w:r w:rsidR="005E58B2" w:rsidRPr="005E58B2">
        <w:t xml:space="preserve"> </w:t>
      </w:r>
      <w:r w:rsidR="005E58B2">
        <w:t>“</w:t>
      </w:r>
      <w:r w:rsidR="005E58B2" w:rsidRPr="005E58B2">
        <w:rPr>
          <w:sz w:val="25"/>
          <w:szCs w:val="25"/>
        </w:rPr>
        <w:t>for future compliance filings, particularly the deadline for the annual filing of reporting and true-up filings</w:t>
      </w:r>
      <w:r w:rsidR="00B17F87" w:rsidRPr="005E58B2">
        <w:rPr>
          <w:sz w:val="25"/>
          <w:szCs w:val="25"/>
        </w:rPr>
        <w:t>.</w:t>
      </w:r>
      <w:r w:rsidR="005E58B2">
        <w:rPr>
          <w:sz w:val="25"/>
          <w:szCs w:val="25"/>
        </w:rPr>
        <w:t>”</w:t>
      </w:r>
      <w:r w:rsidR="005E58B2">
        <w:rPr>
          <w:rStyle w:val="FootnoteReference"/>
          <w:sz w:val="25"/>
          <w:szCs w:val="25"/>
        </w:rPr>
        <w:footnoteReference w:id="7"/>
      </w:r>
      <w:r w:rsidR="00B17F87">
        <w:rPr>
          <w:sz w:val="25"/>
          <w:szCs w:val="25"/>
        </w:rPr>
        <w:t xml:space="preserve"> </w:t>
      </w:r>
      <w:r w:rsidR="005E58B2">
        <w:rPr>
          <w:sz w:val="25"/>
          <w:szCs w:val="25"/>
        </w:rPr>
        <w:t xml:space="preserve"> We did not, and do not, adopt that agree</w:t>
      </w:r>
      <w:r w:rsidR="00674504">
        <w:rPr>
          <w:sz w:val="25"/>
          <w:szCs w:val="25"/>
        </w:rPr>
        <w:t>d proposal</w:t>
      </w:r>
      <w:r w:rsidR="00B17F87">
        <w:rPr>
          <w:sz w:val="25"/>
          <w:szCs w:val="25"/>
        </w:rPr>
        <w:t>. Subsequent Commission orders have largely superseded or modified th</w:t>
      </w:r>
      <w:r w:rsidR="00674504">
        <w:rPr>
          <w:sz w:val="25"/>
          <w:szCs w:val="25"/>
        </w:rPr>
        <w:t>at</w:t>
      </w:r>
      <w:r w:rsidR="00B17F87">
        <w:rPr>
          <w:sz w:val="25"/>
          <w:szCs w:val="25"/>
        </w:rPr>
        <w:t xml:space="preserve"> proposal, and we believe approving and adopting </w:t>
      </w:r>
      <w:r w:rsidR="005E58B2">
        <w:rPr>
          <w:sz w:val="25"/>
          <w:szCs w:val="25"/>
        </w:rPr>
        <w:t>it</w:t>
      </w:r>
      <w:r w:rsidR="00B17F87">
        <w:rPr>
          <w:sz w:val="25"/>
          <w:szCs w:val="25"/>
        </w:rPr>
        <w:t xml:space="preserve"> now would result in more confusion than clarity.  Order 16 has already resolved the specific issue </w:t>
      </w:r>
      <w:r w:rsidR="000D4FDD">
        <w:rPr>
          <w:sz w:val="25"/>
          <w:szCs w:val="25"/>
        </w:rPr>
        <w:t>of concern the Company raises,</w:t>
      </w:r>
      <w:r w:rsidR="000D4FDD">
        <w:rPr>
          <w:rStyle w:val="FootnoteReference"/>
          <w:sz w:val="25"/>
          <w:szCs w:val="25"/>
        </w:rPr>
        <w:footnoteReference w:id="8"/>
      </w:r>
      <w:r w:rsidR="000D4FDD">
        <w:rPr>
          <w:sz w:val="25"/>
          <w:szCs w:val="25"/>
        </w:rPr>
        <w:t xml:space="preserve"> as well as disposition of the current REC sales proceeds through May 2014.  </w:t>
      </w:r>
      <w:r w:rsidR="00F438F5">
        <w:rPr>
          <w:sz w:val="25"/>
          <w:szCs w:val="25"/>
        </w:rPr>
        <w:t>Pacific Power’s reports on REC sales proceeds indicate that such sales have declined precipitously</w:t>
      </w:r>
      <w:r w:rsidR="00674504">
        <w:rPr>
          <w:sz w:val="25"/>
          <w:szCs w:val="25"/>
        </w:rPr>
        <w:t xml:space="preserve"> over the last three years</w:t>
      </w:r>
      <w:r w:rsidR="00F438F5">
        <w:rPr>
          <w:sz w:val="25"/>
          <w:szCs w:val="25"/>
        </w:rPr>
        <w:t xml:space="preserve">.  Accordingly, we will address any issues </w:t>
      </w:r>
      <w:r w:rsidR="00674504">
        <w:rPr>
          <w:sz w:val="25"/>
          <w:szCs w:val="25"/>
        </w:rPr>
        <w:t xml:space="preserve">with </w:t>
      </w:r>
      <w:r w:rsidR="00F438F5">
        <w:rPr>
          <w:sz w:val="25"/>
          <w:szCs w:val="25"/>
        </w:rPr>
        <w:t xml:space="preserve">the Company’s </w:t>
      </w:r>
      <w:r w:rsidR="00674504">
        <w:rPr>
          <w:sz w:val="25"/>
          <w:szCs w:val="25"/>
        </w:rPr>
        <w:t xml:space="preserve">REC sales and </w:t>
      </w:r>
      <w:r w:rsidR="00F438F5">
        <w:rPr>
          <w:sz w:val="25"/>
          <w:szCs w:val="25"/>
        </w:rPr>
        <w:t xml:space="preserve">future compliance filings </w:t>
      </w:r>
      <w:r w:rsidR="00674504">
        <w:rPr>
          <w:sz w:val="25"/>
          <w:szCs w:val="25"/>
        </w:rPr>
        <w:t>when and if they arise</w:t>
      </w:r>
      <w:r w:rsidR="00F438F5">
        <w:rPr>
          <w:sz w:val="25"/>
          <w:szCs w:val="25"/>
        </w:rPr>
        <w:t>.</w:t>
      </w:r>
    </w:p>
    <w:p w14:paraId="0A7FE6B8" w14:textId="77777777" w:rsidR="0005692F" w:rsidRPr="00712B8F" w:rsidRDefault="0005692F" w:rsidP="00712B8F">
      <w:pPr>
        <w:pStyle w:val="FindingsConclusions"/>
        <w:numPr>
          <w:ilvl w:val="0"/>
          <w:numId w:val="0"/>
        </w:numPr>
        <w:spacing w:after="240" w:line="288" w:lineRule="auto"/>
        <w:ind w:left="360"/>
        <w:jc w:val="center"/>
        <w:rPr>
          <w:sz w:val="25"/>
          <w:szCs w:val="25"/>
        </w:rPr>
      </w:pPr>
      <w:r w:rsidRPr="00712B8F">
        <w:rPr>
          <w:b/>
          <w:sz w:val="25"/>
          <w:szCs w:val="25"/>
        </w:rPr>
        <w:t>ORDER</w:t>
      </w:r>
    </w:p>
    <w:p w14:paraId="0A7FE6B9" w14:textId="77777777" w:rsidR="0005692F" w:rsidRPr="00EE363C" w:rsidRDefault="0005692F" w:rsidP="00712B8F">
      <w:pPr>
        <w:pStyle w:val="FindingsConclusions"/>
        <w:numPr>
          <w:ilvl w:val="0"/>
          <w:numId w:val="0"/>
        </w:numPr>
        <w:spacing w:after="240" w:line="288" w:lineRule="auto"/>
        <w:rPr>
          <w:sz w:val="25"/>
          <w:szCs w:val="25"/>
        </w:rPr>
      </w:pPr>
      <w:r w:rsidRPr="00EE363C">
        <w:rPr>
          <w:sz w:val="25"/>
          <w:szCs w:val="25"/>
        </w:rPr>
        <w:t>THE COMMISSION ORDERS</w:t>
      </w:r>
      <w:r w:rsidR="007B27DC">
        <w:rPr>
          <w:sz w:val="25"/>
          <w:szCs w:val="25"/>
        </w:rPr>
        <w:t xml:space="preserve"> that</w:t>
      </w:r>
      <w:r w:rsidRPr="00EE363C">
        <w:rPr>
          <w:sz w:val="25"/>
          <w:szCs w:val="25"/>
        </w:rPr>
        <w:t>:</w:t>
      </w:r>
    </w:p>
    <w:p w14:paraId="0A7FE6BA" w14:textId="658E7F90" w:rsidR="0005692F" w:rsidRPr="00A47C0F" w:rsidRDefault="0005692F" w:rsidP="00712B8F">
      <w:pPr>
        <w:pStyle w:val="FindingsConclusions"/>
        <w:tabs>
          <w:tab w:val="clear" w:pos="1080"/>
          <w:tab w:val="num" w:pos="0"/>
        </w:tabs>
        <w:spacing w:after="240" w:line="288" w:lineRule="auto"/>
        <w:ind w:left="720" w:hanging="1440"/>
        <w:rPr>
          <w:sz w:val="25"/>
          <w:szCs w:val="25"/>
        </w:rPr>
      </w:pPr>
      <w:r w:rsidRPr="00A47C0F">
        <w:rPr>
          <w:sz w:val="25"/>
          <w:szCs w:val="25"/>
        </w:rPr>
        <w:t>(1)</w:t>
      </w:r>
      <w:r w:rsidRPr="00A47C0F">
        <w:rPr>
          <w:sz w:val="25"/>
          <w:szCs w:val="25"/>
        </w:rPr>
        <w:tab/>
      </w:r>
      <w:r w:rsidR="00996C43">
        <w:rPr>
          <w:sz w:val="25"/>
          <w:szCs w:val="25"/>
        </w:rPr>
        <w:t xml:space="preserve">The Commission </w:t>
      </w:r>
      <w:r w:rsidR="001948D7">
        <w:rPr>
          <w:sz w:val="25"/>
          <w:szCs w:val="25"/>
        </w:rPr>
        <w:t>clarifies Order 16 as stated in this Order</w:t>
      </w:r>
      <w:r w:rsidR="00F438F5">
        <w:rPr>
          <w:sz w:val="25"/>
          <w:szCs w:val="25"/>
        </w:rPr>
        <w:t>, and Order 16 remains in full force and effect.</w:t>
      </w:r>
    </w:p>
    <w:p w14:paraId="22970C36" w14:textId="347789CB" w:rsidR="00996C43" w:rsidRDefault="00A47C0F" w:rsidP="00712B8F">
      <w:pPr>
        <w:pStyle w:val="FindingsConclusions"/>
        <w:tabs>
          <w:tab w:val="clear" w:pos="1080"/>
          <w:tab w:val="num" w:pos="0"/>
        </w:tabs>
        <w:spacing w:after="240" w:line="288" w:lineRule="auto"/>
        <w:ind w:left="720" w:hanging="1440"/>
        <w:rPr>
          <w:sz w:val="25"/>
          <w:szCs w:val="25"/>
        </w:rPr>
      </w:pPr>
      <w:r>
        <w:rPr>
          <w:sz w:val="25"/>
          <w:szCs w:val="25"/>
        </w:rPr>
        <w:t>(2</w:t>
      </w:r>
      <w:r w:rsidR="00D308A0">
        <w:rPr>
          <w:sz w:val="25"/>
          <w:szCs w:val="25"/>
        </w:rPr>
        <w:t>)</w:t>
      </w:r>
      <w:r w:rsidR="00D308A0">
        <w:rPr>
          <w:sz w:val="25"/>
          <w:szCs w:val="25"/>
        </w:rPr>
        <w:tab/>
      </w:r>
      <w:r w:rsidR="001948D7">
        <w:rPr>
          <w:sz w:val="25"/>
          <w:szCs w:val="25"/>
        </w:rPr>
        <w:t>The Commission otherwise DENIES Pacific Power &amp; Light Company’s Motion for Clarification of Order 16, or Alternatively, Reconsideration</w:t>
      </w:r>
      <w:r w:rsidR="00A530D9">
        <w:rPr>
          <w:sz w:val="25"/>
          <w:szCs w:val="25"/>
        </w:rPr>
        <w:t xml:space="preserve">. </w:t>
      </w:r>
    </w:p>
    <w:p w14:paraId="0A7FE6BD" w14:textId="0CB5C0A1" w:rsidR="0005692F" w:rsidRPr="00EE363C" w:rsidRDefault="0005692F" w:rsidP="001948D7">
      <w:pPr>
        <w:rPr>
          <w:sz w:val="25"/>
          <w:szCs w:val="25"/>
        </w:rPr>
      </w:pPr>
      <w:bookmarkStart w:id="1" w:name="OLE_LINK3"/>
      <w:bookmarkStart w:id="2" w:name="OLE_LINK4"/>
      <w:r w:rsidRPr="00EE363C">
        <w:rPr>
          <w:sz w:val="25"/>
          <w:szCs w:val="25"/>
        </w:rPr>
        <w:t xml:space="preserve">Dated at Olympia, Washington, and effective </w:t>
      </w:r>
      <w:r w:rsidR="00CD0064">
        <w:rPr>
          <w:sz w:val="25"/>
          <w:szCs w:val="25"/>
        </w:rPr>
        <w:t>December</w:t>
      </w:r>
      <w:r w:rsidR="0013524F">
        <w:rPr>
          <w:sz w:val="25"/>
          <w:szCs w:val="25"/>
        </w:rPr>
        <w:t xml:space="preserve"> </w:t>
      </w:r>
      <w:r w:rsidR="005D723A">
        <w:rPr>
          <w:sz w:val="25"/>
          <w:szCs w:val="25"/>
        </w:rPr>
        <w:t>31,</w:t>
      </w:r>
      <w:r w:rsidR="007B0463">
        <w:rPr>
          <w:sz w:val="25"/>
          <w:szCs w:val="25"/>
        </w:rPr>
        <w:t xml:space="preserve"> 201</w:t>
      </w:r>
      <w:r w:rsidR="0013524F">
        <w:rPr>
          <w:sz w:val="25"/>
          <w:szCs w:val="25"/>
        </w:rPr>
        <w:t>4</w:t>
      </w:r>
      <w:r w:rsidRPr="00EE363C">
        <w:rPr>
          <w:sz w:val="25"/>
          <w:szCs w:val="25"/>
        </w:rPr>
        <w:t>.</w:t>
      </w:r>
    </w:p>
    <w:p w14:paraId="0A7FE6BE" w14:textId="77777777" w:rsidR="0005692F" w:rsidRPr="00EE363C" w:rsidRDefault="0005692F" w:rsidP="0005692F">
      <w:pPr>
        <w:pStyle w:val="Header"/>
        <w:tabs>
          <w:tab w:val="clear" w:pos="4320"/>
          <w:tab w:val="clear" w:pos="8640"/>
        </w:tabs>
        <w:rPr>
          <w:sz w:val="25"/>
          <w:szCs w:val="25"/>
        </w:rPr>
      </w:pPr>
    </w:p>
    <w:p w14:paraId="0A7FE6BF" w14:textId="77777777" w:rsidR="0005692F" w:rsidRDefault="0005692F" w:rsidP="0005692F">
      <w:pPr>
        <w:jc w:val="center"/>
        <w:rPr>
          <w:sz w:val="25"/>
          <w:szCs w:val="25"/>
        </w:rPr>
      </w:pPr>
      <w:r w:rsidRPr="00DA5DBB">
        <w:rPr>
          <w:sz w:val="25"/>
          <w:szCs w:val="25"/>
        </w:rPr>
        <w:t>WASHINGTON UTILITIES AND TRANSPORTATION COMMISSION</w:t>
      </w:r>
    </w:p>
    <w:p w14:paraId="0A7FE6C0" w14:textId="77777777" w:rsidR="0005692F" w:rsidRDefault="0005692F" w:rsidP="0005692F">
      <w:pPr>
        <w:rPr>
          <w:sz w:val="25"/>
          <w:szCs w:val="25"/>
        </w:rPr>
      </w:pPr>
    </w:p>
    <w:p w14:paraId="0A7FE6C1" w14:textId="77777777" w:rsidR="0005692F" w:rsidRDefault="0005692F" w:rsidP="0005692F">
      <w:pPr>
        <w:rPr>
          <w:sz w:val="25"/>
          <w:szCs w:val="25"/>
        </w:rPr>
      </w:pPr>
    </w:p>
    <w:p w14:paraId="0A7FE6C2" w14:textId="77777777" w:rsidR="0005692F" w:rsidRDefault="0005692F" w:rsidP="0005692F">
      <w:pPr>
        <w:rPr>
          <w:sz w:val="25"/>
          <w:szCs w:val="25"/>
        </w:rPr>
      </w:pPr>
    </w:p>
    <w:p w14:paraId="0A7FE6C3" w14:textId="77777777" w:rsidR="0005692F" w:rsidRDefault="0005692F" w:rsidP="0005692F">
      <w:pPr>
        <w:rPr>
          <w:sz w:val="25"/>
          <w:szCs w:val="25"/>
        </w:rPr>
      </w:pPr>
    </w:p>
    <w:p w14:paraId="0A7FE6C4" w14:textId="288B7FD6" w:rsidR="0005692F" w:rsidRDefault="0005692F" w:rsidP="0005692F">
      <w:pPr>
        <w:rPr>
          <w:sz w:val="25"/>
          <w:szCs w:val="25"/>
        </w:rPr>
      </w:pPr>
      <w:r>
        <w:rPr>
          <w:sz w:val="25"/>
          <w:szCs w:val="25"/>
        </w:rPr>
        <w:tab/>
      </w:r>
      <w:r>
        <w:rPr>
          <w:sz w:val="25"/>
          <w:szCs w:val="25"/>
        </w:rPr>
        <w:tab/>
      </w:r>
      <w:r>
        <w:rPr>
          <w:sz w:val="25"/>
          <w:szCs w:val="25"/>
        </w:rPr>
        <w:tab/>
      </w:r>
      <w:r>
        <w:rPr>
          <w:sz w:val="25"/>
          <w:szCs w:val="25"/>
        </w:rPr>
        <w:tab/>
      </w:r>
      <w:r>
        <w:rPr>
          <w:sz w:val="25"/>
          <w:szCs w:val="25"/>
        </w:rPr>
        <w:tab/>
      </w:r>
      <w:r>
        <w:rPr>
          <w:sz w:val="25"/>
          <w:szCs w:val="25"/>
        </w:rPr>
        <w:tab/>
      </w:r>
      <w:r w:rsidR="0013524F">
        <w:rPr>
          <w:sz w:val="25"/>
          <w:szCs w:val="25"/>
        </w:rPr>
        <w:t>DAVID W. DANNER</w:t>
      </w:r>
      <w:r>
        <w:rPr>
          <w:sz w:val="25"/>
          <w:szCs w:val="25"/>
        </w:rPr>
        <w:t>, Chairman</w:t>
      </w:r>
    </w:p>
    <w:p w14:paraId="0A7FE6C5" w14:textId="77777777" w:rsidR="0005692F" w:rsidRDefault="0005692F" w:rsidP="0005692F">
      <w:pPr>
        <w:rPr>
          <w:sz w:val="25"/>
          <w:szCs w:val="25"/>
        </w:rPr>
      </w:pPr>
    </w:p>
    <w:p w14:paraId="0A7FE6C6" w14:textId="77777777" w:rsidR="0005692F" w:rsidRDefault="0005692F" w:rsidP="0005692F">
      <w:pPr>
        <w:rPr>
          <w:sz w:val="25"/>
          <w:szCs w:val="25"/>
        </w:rPr>
      </w:pPr>
    </w:p>
    <w:p w14:paraId="0A7FE6C7" w14:textId="77777777" w:rsidR="00BB6731" w:rsidRDefault="00BB6731" w:rsidP="0005692F">
      <w:pPr>
        <w:rPr>
          <w:sz w:val="25"/>
          <w:szCs w:val="25"/>
        </w:rPr>
      </w:pPr>
    </w:p>
    <w:p w14:paraId="0A7FE6C8" w14:textId="77777777" w:rsidR="00024F24" w:rsidRDefault="00024F24" w:rsidP="0005692F">
      <w:pPr>
        <w:rPr>
          <w:sz w:val="25"/>
          <w:szCs w:val="25"/>
        </w:rPr>
      </w:pPr>
    </w:p>
    <w:bookmarkEnd w:id="1"/>
    <w:bookmarkEnd w:id="2"/>
    <w:p w14:paraId="0A7FE6C9" w14:textId="77777777" w:rsidR="00C671BD" w:rsidRDefault="00C671BD" w:rsidP="00C671BD">
      <w:pPr>
        <w:rPr>
          <w:sz w:val="25"/>
          <w:szCs w:val="25"/>
        </w:rPr>
      </w:pPr>
      <w:r>
        <w:rPr>
          <w:sz w:val="25"/>
          <w:szCs w:val="25"/>
        </w:rPr>
        <w:tab/>
      </w:r>
      <w:r>
        <w:rPr>
          <w:sz w:val="25"/>
          <w:szCs w:val="25"/>
        </w:rPr>
        <w:tab/>
      </w:r>
      <w:r>
        <w:rPr>
          <w:sz w:val="25"/>
          <w:szCs w:val="25"/>
        </w:rPr>
        <w:tab/>
      </w:r>
      <w:r>
        <w:rPr>
          <w:sz w:val="25"/>
          <w:szCs w:val="25"/>
        </w:rPr>
        <w:tab/>
      </w:r>
      <w:r>
        <w:rPr>
          <w:sz w:val="25"/>
          <w:szCs w:val="25"/>
        </w:rPr>
        <w:tab/>
      </w:r>
      <w:r>
        <w:rPr>
          <w:sz w:val="25"/>
          <w:szCs w:val="25"/>
        </w:rPr>
        <w:tab/>
        <w:t>PHILIP B. JONES, Commissioner</w:t>
      </w:r>
    </w:p>
    <w:p w14:paraId="0AB3FD47" w14:textId="77777777" w:rsidR="0013524F" w:rsidRDefault="0013524F" w:rsidP="00C671BD">
      <w:pPr>
        <w:rPr>
          <w:sz w:val="25"/>
          <w:szCs w:val="25"/>
        </w:rPr>
      </w:pPr>
    </w:p>
    <w:p w14:paraId="360839AD" w14:textId="77777777" w:rsidR="0013524F" w:rsidRDefault="0013524F" w:rsidP="00C671BD">
      <w:pPr>
        <w:rPr>
          <w:sz w:val="25"/>
          <w:szCs w:val="25"/>
        </w:rPr>
      </w:pPr>
    </w:p>
    <w:p w14:paraId="75B8CB30" w14:textId="77777777" w:rsidR="0013524F" w:rsidRDefault="0013524F" w:rsidP="00C671BD">
      <w:pPr>
        <w:rPr>
          <w:sz w:val="25"/>
          <w:szCs w:val="25"/>
        </w:rPr>
      </w:pPr>
    </w:p>
    <w:p w14:paraId="7499741E" w14:textId="77777777" w:rsidR="0013524F" w:rsidRDefault="0013524F" w:rsidP="00C671BD">
      <w:pPr>
        <w:rPr>
          <w:sz w:val="25"/>
          <w:szCs w:val="25"/>
        </w:rPr>
      </w:pPr>
    </w:p>
    <w:p w14:paraId="0A7FE6CA" w14:textId="4EE295ED" w:rsidR="00C671BD" w:rsidRDefault="0013524F" w:rsidP="00C671BD">
      <w:pPr>
        <w:rPr>
          <w:sz w:val="25"/>
          <w:szCs w:val="25"/>
        </w:rPr>
      </w:pPr>
      <w:r>
        <w:rPr>
          <w:sz w:val="25"/>
          <w:szCs w:val="25"/>
        </w:rPr>
        <w:tab/>
      </w:r>
      <w:r>
        <w:rPr>
          <w:sz w:val="25"/>
          <w:szCs w:val="25"/>
        </w:rPr>
        <w:tab/>
      </w:r>
      <w:r>
        <w:rPr>
          <w:sz w:val="25"/>
          <w:szCs w:val="25"/>
        </w:rPr>
        <w:tab/>
      </w:r>
      <w:r>
        <w:rPr>
          <w:sz w:val="25"/>
          <w:szCs w:val="25"/>
        </w:rPr>
        <w:tab/>
      </w:r>
      <w:r>
        <w:rPr>
          <w:sz w:val="25"/>
          <w:szCs w:val="25"/>
        </w:rPr>
        <w:tab/>
      </w:r>
      <w:r>
        <w:rPr>
          <w:sz w:val="25"/>
          <w:szCs w:val="25"/>
        </w:rPr>
        <w:tab/>
        <w:t>JEFFREY D. GOLTZ, Commissioner</w:t>
      </w:r>
    </w:p>
    <w:sectPr w:rsidR="00C671BD" w:rsidSect="0005692F">
      <w:headerReference w:type="default" r:id="rId11"/>
      <w:headerReference w:type="first" r:id="rId12"/>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4DAB28" w14:textId="77777777" w:rsidR="00CE6EDE" w:rsidRDefault="00CE6EDE" w:rsidP="0005692F">
      <w:r>
        <w:separator/>
      </w:r>
    </w:p>
  </w:endnote>
  <w:endnote w:type="continuationSeparator" w:id="0">
    <w:p w14:paraId="6D96B9A9" w14:textId="77777777" w:rsidR="00CE6EDE" w:rsidRDefault="00CE6EDE" w:rsidP="00056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753143" w14:textId="77777777" w:rsidR="00CE6EDE" w:rsidRDefault="00CE6EDE" w:rsidP="0005692F">
      <w:r>
        <w:separator/>
      </w:r>
    </w:p>
  </w:footnote>
  <w:footnote w:type="continuationSeparator" w:id="0">
    <w:p w14:paraId="1F6AA60B" w14:textId="77777777" w:rsidR="00CE6EDE" w:rsidRDefault="00CE6EDE" w:rsidP="0005692F">
      <w:r>
        <w:continuationSeparator/>
      </w:r>
    </w:p>
  </w:footnote>
  <w:footnote w:id="1">
    <w:p w14:paraId="2E886BAE" w14:textId="5E1166E3" w:rsidR="00D775FD" w:rsidRPr="005004CC" w:rsidRDefault="00D775FD" w:rsidP="00D775FD">
      <w:pPr>
        <w:pStyle w:val="FootnoteText"/>
        <w:spacing w:after="120"/>
        <w:rPr>
          <w:rFonts w:ascii="Times New Roman" w:hAnsi="Times New Roman"/>
          <w:sz w:val="22"/>
          <w:szCs w:val="22"/>
        </w:rPr>
      </w:pPr>
      <w:r w:rsidRPr="005004CC">
        <w:rPr>
          <w:rStyle w:val="FootnoteReference"/>
          <w:rFonts w:ascii="Times New Roman" w:hAnsi="Times New Roman"/>
          <w:sz w:val="22"/>
          <w:szCs w:val="22"/>
        </w:rPr>
        <w:footnoteRef/>
      </w:r>
      <w:r w:rsidRPr="005004CC">
        <w:rPr>
          <w:rFonts w:ascii="Times New Roman" w:hAnsi="Times New Roman"/>
          <w:sz w:val="22"/>
          <w:szCs w:val="22"/>
        </w:rPr>
        <w:t xml:space="preserve"> </w:t>
      </w:r>
      <w:r>
        <w:rPr>
          <w:rFonts w:ascii="Times New Roman" w:hAnsi="Times New Roman"/>
          <w:sz w:val="22"/>
          <w:szCs w:val="22"/>
        </w:rPr>
        <w:t xml:space="preserve">See Order 16 ¶¶ 2-15 for a more detailed discussion of the background leading up to entry of that order. </w:t>
      </w:r>
    </w:p>
  </w:footnote>
  <w:footnote w:id="2">
    <w:p w14:paraId="295255C7" w14:textId="01E04D67" w:rsidR="00470E6F" w:rsidRPr="005004CC" w:rsidRDefault="00470E6F" w:rsidP="00470E6F">
      <w:pPr>
        <w:pStyle w:val="FootnoteText"/>
        <w:spacing w:after="120"/>
        <w:rPr>
          <w:rFonts w:ascii="Times New Roman" w:hAnsi="Times New Roman"/>
          <w:sz w:val="22"/>
          <w:szCs w:val="22"/>
        </w:rPr>
      </w:pPr>
      <w:r w:rsidRPr="005004CC">
        <w:rPr>
          <w:rStyle w:val="FootnoteReference"/>
          <w:rFonts w:ascii="Times New Roman" w:hAnsi="Times New Roman"/>
          <w:sz w:val="22"/>
          <w:szCs w:val="22"/>
        </w:rPr>
        <w:footnoteRef/>
      </w:r>
      <w:r w:rsidRPr="005004CC">
        <w:rPr>
          <w:rFonts w:ascii="Times New Roman" w:hAnsi="Times New Roman"/>
          <w:sz w:val="22"/>
          <w:szCs w:val="22"/>
        </w:rPr>
        <w:t xml:space="preserve"> </w:t>
      </w:r>
      <w:r>
        <w:rPr>
          <w:rFonts w:ascii="Times New Roman" w:hAnsi="Times New Roman"/>
          <w:sz w:val="22"/>
          <w:szCs w:val="22"/>
        </w:rPr>
        <w:t xml:space="preserve">Motion ¶ 3. </w:t>
      </w:r>
    </w:p>
  </w:footnote>
  <w:footnote w:id="3">
    <w:p w14:paraId="53EEBA23" w14:textId="0F6F739E" w:rsidR="00470E6F" w:rsidRPr="005004CC" w:rsidRDefault="00470E6F" w:rsidP="00470E6F">
      <w:pPr>
        <w:pStyle w:val="FootnoteText"/>
        <w:spacing w:after="120"/>
        <w:rPr>
          <w:rFonts w:ascii="Times New Roman" w:hAnsi="Times New Roman"/>
          <w:sz w:val="22"/>
          <w:szCs w:val="22"/>
        </w:rPr>
      </w:pPr>
      <w:r w:rsidRPr="005004CC">
        <w:rPr>
          <w:rStyle w:val="FootnoteReference"/>
          <w:rFonts w:ascii="Times New Roman" w:hAnsi="Times New Roman"/>
          <w:sz w:val="22"/>
          <w:szCs w:val="22"/>
        </w:rPr>
        <w:footnoteRef/>
      </w:r>
      <w:r w:rsidRPr="005004CC">
        <w:rPr>
          <w:rFonts w:ascii="Times New Roman" w:hAnsi="Times New Roman"/>
          <w:sz w:val="22"/>
          <w:szCs w:val="22"/>
        </w:rPr>
        <w:t xml:space="preserve"> </w:t>
      </w:r>
      <w:r w:rsidRPr="00470E6F">
        <w:rPr>
          <w:rFonts w:ascii="Times New Roman" w:hAnsi="Times New Roman"/>
          <w:i/>
          <w:sz w:val="22"/>
          <w:szCs w:val="22"/>
        </w:rPr>
        <w:t>Id</w:t>
      </w:r>
      <w:r>
        <w:rPr>
          <w:rFonts w:ascii="Times New Roman" w:hAnsi="Times New Roman"/>
          <w:sz w:val="22"/>
          <w:szCs w:val="22"/>
        </w:rPr>
        <w:t xml:space="preserve">. ¶ 2. </w:t>
      </w:r>
    </w:p>
  </w:footnote>
  <w:footnote w:id="4">
    <w:p w14:paraId="5A131618" w14:textId="739A2B69" w:rsidR="004D3CB6" w:rsidRPr="004D3CB6" w:rsidRDefault="004D3CB6" w:rsidP="004D3CB6">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 xml:space="preserve">To the extent Pacific Power claims it was awaiting the outcome of the appeal before proposing the true-up mechanism, the filing requirements in Order 06 and Order 13 were not contingent on the resolution of judicial review.  </w:t>
      </w:r>
      <w:r w:rsidR="001948D7">
        <w:rPr>
          <w:rFonts w:ascii="Times New Roman" w:hAnsi="Times New Roman"/>
          <w:sz w:val="22"/>
          <w:szCs w:val="22"/>
        </w:rPr>
        <w:t>The Company could have proposed a true-up that only became effective once the appeal was resolved to address the concern that recovering the over-credits should not precede the crediting of historic REC sales proceeds.</w:t>
      </w:r>
    </w:p>
  </w:footnote>
  <w:footnote w:id="5">
    <w:p w14:paraId="798DFFF7" w14:textId="3DCE8EA5" w:rsidR="00F20604" w:rsidRPr="005004CC" w:rsidRDefault="00F20604" w:rsidP="00F20604">
      <w:pPr>
        <w:pStyle w:val="FootnoteText"/>
        <w:spacing w:after="120"/>
        <w:rPr>
          <w:rFonts w:ascii="Times New Roman" w:hAnsi="Times New Roman"/>
          <w:sz w:val="22"/>
          <w:szCs w:val="22"/>
        </w:rPr>
      </w:pPr>
      <w:r w:rsidRPr="005004CC">
        <w:rPr>
          <w:rStyle w:val="FootnoteReference"/>
          <w:rFonts w:ascii="Times New Roman" w:hAnsi="Times New Roman"/>
          <w:sz w:val="22"/>
          <w:szCs w:val="22"/>
        </w:rPr>
        <w:footnoteRef/>
      </w:r>
      <w:r w:rsidRPr="005004CC">
        <w:rPr>
          <w:rFonts w:ascii="Times New Roman" w:hAnsi="Times New Roman"/>
          <w:sz w:val="22"/>
          <w:szCs w:val="22"/>
        </w:rPr>
        <w:t xml:space="preserve"> </w:t>
      </w:r>
      <w:r>
        <w:rPr>
          <w:rFonts w:ascii="Times New Roman" w:hAnsi="Times New Roman"/>
          <w:sz w:val="22"/>
          <w:szCs w:val="22"/>
        </w:rPr>
        <w:t xml:space="preserve">Motion ¶ 11 (footnote omitted). </w:t>
      </w:r>
    </w:p>
  </w:footnote>
  <w:footnote w:id="6">
    <w:p w14:paraId="1A959E6F" w14:textId="5B6A839C" w:rsidR="003610C0" w:rsidRPr="005004CC" w:rsidRDefault="003610C0" w:rsidP="003610C0">
      <w:pPr>
        <w:pStyle w:val="FootnoteText"/>
        <w:spacing w:after="120"/>
        <w:rPr>
          <w:rFonts w:ascii="Times New Roman" w:hAnsi="Times New Roman"/>
          <w:sz w:val="22"/>
          <w:szCs w:val="22"/>
        </w:rPr>
      </w:pPr>
      <w:r w:rsidRPr="005004CC">
        <w:rPr>
          <w:rStyle w:val="FootnoteReference"/>
          <w:rFonts w:ascii="Times New Roman" w:hAnsi="Times New Roman"/>
          <w:sz w:val="22"/>
          <w:szCs w:val="22"/>
        </w:rPr>
        <w:footnoteRef/>
      </w:r>
      <w:r w:rsidRPr="005004CC">
        <w:rPr>
          <w:rFonts w:ascii="Times New Roman" w:hAnsi="Times New Roman"/>
          <w:sz w:val="22"/>
          <w:szCs w:val="22"/>
        </w:rPr>
        <w:t xml:space="preserve"> </w:t>
      </w:r>
      <w:r w:rsidRPr="003610C0">
        <w:rPr>
          <w:rFonts w:ascii="Times New Roman" w:hAnsi="Times New Roman"/>
          <w:i/>
          <w:sz w:val="22"/>
          <w:szCs w:val="22"/>
        </w:rPr>
        <w:t>Id</w:t>
      </w:r>
      <w:r>
        <w:rPr>
          <w:rFonts w:ascii="Times New Roman" w:hAnsi="Times New Roman"/>
          <w:sz w:val="22"/>
          <w:szCs w:val="22"/>
        </w:rPr>
        <w:t xml:space="preserve">. ¶ 16. </w:t>
      </w:r>
    </w:p>
  </w:footnote>
  <w:footnote w:id="7">
    <w:p w14:paraId="7CF0A3F6" w14:textId="58B41C44" w:rsidR="005E58B2" w:rsidRPr="005004CC" w:rsidRDefault="005E58B2" w:rsidP="005E58B2">
      <w:pPr>
        <w:pStyle w:val="FootnoteText"/>
        <w:spacing w:after="120"/>
        <w:rPr>
          <w:rFonts w:ascii="Times New Roman" w:hAnsi="Times New Roman"/>
          <w:sz w:val="22"/>
          <w:szCs w:val="22"/>
        </w:rPr>
      </w:pPr>
      <w:r w:rsidRPr="005004CC">
        <w:rPr>
          <w:rStyle w:val="FootnoteReference"/>
          <w:rFonts w:ascii="Times New Roman" w:hAnsi="Times New Roman"/>
          <w:sz w:val="22"/>
          <w:szCs w:val="22"/>
        </w:rPr>
        <w:footnoteRef/>
      </w:r>
      <w:r w:rsidRPr="005004CC">
        <w:rPr>
          <w:rFonts w:ascii="Times New Roman" w:hAnsi="Times New Roman"/>
          <w:sz w:val="22"/>
          <w:szCs w:val="22"/>
        </w:rPr>
        <w:t xml:space="preserve"> </w:t>
      </w:r>
      <w:r w:rsidRPr="003610C0">
        <w:rPr>
          <w:rFonts w:ascii="Times New Roman" w:hAnsi="Times New Roman"/>
          <w:i/>
          <w:sz w:val="22"/>
          <w:szCs w:val="22"/>
        </w:rPr>
        <w:t>Id</w:t>
      </w:r>
      <w:r>
        <w:rPr>
          <w:rFonts w:ascii="Times New Roman" w:hAnsi="Times New Roman"/>
          <w:sz w:val="22"/>
          <w:szCs w:val="22"/>
        </w:rPr>
        <w:t xml:space="preserve">. ¶ 18. </w:t>
      </w:r>
    </w:p>
  </w:footnote>
  <w:footnote w:id="8">
    <w:p w14:paraId="216231FE" w14:textId="4ECBB018" w:rsidR="000D4FDD" w:rsidRPr="005004CC" w:rsidRDefault="000D4FDD" w:rsidP="000D4FDD">
      <w:pPr>
        <w:pStyle w:val="FootnoteText"/>
        <w:spacing w:after="120"/>
        <w:rPr>
          <w:rFonts w:ascii="Times New Roman" w:hAnsi="Times New Roman"/>
          <w:sz w:val="22"/>
          <w:szCs w:val="22"/>
        </w:rPr>
      </w:pPr>
      <w:r w:rsidRPr="005004CC">
        <w:rPr>
          <w:rStyle w:val="FootnoteReference"/>
          <w:rFonts w:ascii="Times New Roman" w:hAnsi="Times New Roman"/>
          <w:sz w:val="22"/>
          <w:szCs w:val="22"/>
        </w:rPr>
        <w:footnoteRef/>
      </w:r>
      <w:r w:rsidRPr="005004CC">
        <w:rPr>
          <w:rFonts w:ascii="Times New Roman" w:hAnsi="Times New Roman"/>
          <w:sz w:val="22"/>
          <w:szCs w:val="22"/>
        </w:rPr>
        <w:t xml:space="preserve"> </w:t>
      </w:r>
      <w:r>
        <w:rPr>
          <w:rFonts w:ascii="Times New Roman" w:hAnsi="Times New Roman"/>
          <w:sz w:val="22"/>
          <w:szCs w:val="22"/>
        </w:rPr>
        <w:t xml:space="preserve">Future </w:t>
      </w:r>
      <w:r w:rsidR="00F438F5">
        <w:rPr>
          <w:rFonts w:ascii="Times New Roman" w:hAnsi="Times New Roman"/>
          <w:sz w:val="22"/>
          <w:szCs w:val="22"/>
        </w:rPr>
        <w:t xml:space="preserve">reporting and true-up </w:t>
      </w:r>
      <w:r>
        <w:rPr>
          <w:rFonts w:ascii="Times New Roman" w:hAnsi="Times New Roman"/>
          <w:sz w:val="22"/>
          <w:szCs w:val="22"/>
        </w:rPr>
        <w:t xml:space="preserve">filings in compliance with Orders 06 and 13 are due on May 1 of each year.  Order 16 ¶ 31 (Order ¶ (3)).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FE6CF" w14:textId="77777777" w:rsidR="00E521D5" w:rsidRPr="009926F4" w:rsidRDefault="00E521D5">
    <w:pPr>
      <w:pStyle w:val="Header"/>
      <w:tabs>
        <w:tab w:val="left" w:pos="7500"/>
      </w:tabs>
      <w:rPr>
        <w:b/>
        <w:i/>
        <w:sz w:val="20"/>
        <w:szCs w:val="20"/>
      </w:rPr>
    </w:pPr>
    <w:r w:rsidRPr="00A3058F">
      <w:rPr>
        <w:b/>
        <w:sz w:val="20"/>
        <w:szCs w:val="20"/>
      </w:rPr>
      <w:t xml:space="preserve">DOCKET </w:t>
    </w:r>
    <w:proofErr w:type="spellStart"/>
    <w:r w:rsidRPr="00A3058F">
      <w:rPr>
        <w:b/>
        <w:sz w:val="20"/>
        <w:szCs w:val="20"/>
      </w:rPr>
      <w:t>UE</w:t>
    </w:r>
    <w:proofErr w:type="spellEnd"/>
    <w:r w:rsidRPr="00A3058F">
      <w:rPr>
        <w:b/>
        <w:sz w:val="20"/>
        <w:szCs w:val="20"/>
      </w:rPr>
      <w:t>-</w:t>
    </w:r>
    <w:r>
      <w:rPr>
        <w:b/>
        <w:sz w:val="20"/>
        <w:szCs w:val="20"/>
      </w:rPr>
      <w:t>1</w:t>
    </w:r>
    <w:r w:rsidRPr="00A3058F">
      <w:rPr>
        <w:b/>
        <w:sz w:val="20"/>
        <w:szCs w:val="20"/>
      </w:rPr>
      <w:t>0</w:t>
    </w:r>
    <w:r>
      <w:rPr>
        <w:b/>
        <w:sz w:val="20"/>
        <w:szCs w:val="20"/>
      </w:rPr>
      <w:t>0749</w:t>
    </w:r>
    <w:r w:rsidRPr="00A3058F">
      <w:rPr>
        <w:b/>
        <w:sz w:val="20"/>
        <w:szCs w:val="20"/>
      </w:rPr>
      <w:tab/>
    </w:r>
    <w:r w:rsidRPr="00A3058F">
      <w:rPr>
        <w:b/>
        <w:sz w:val="20"/>
        <w:szCs w:val="20"/>
      </w:rPr>
      <w:tab/>
    </w:r>
    <w:r w:rsidRPr="00A3058F">
      <w:rPr>
        <w:b/>
        <w:sz w:val="20"/>
        <w:szCs w:val="20"/>
      </w:rPr>
      <w:tab/>
      <w:t xml:space="preserve">PAGE </w:t>
    </w:r>
    <w:r w:rsidRPr="00A3058F">
      <w:rPr>
        <w:rStyle w:val="PageNumber"/>
        <w:b/>
        <w:sz w:val="20"/>
        <w:szCs w:val="20"/>
      </w:rPr>
      <w:fldChar w:fldCharType="begin"/>
    </w:r>
    <w:r w:rsidRPr="00A3058F">
      <w:rPr>
        <w:rStyle w:val="PageNumber"/>
        <w:b/>
        <w:sz w:val="20"/>
        <w:szCs w:val="20"/>
      </w:rPr>
      <w:instrText xml:space="preserve"> PAGE </w:instrText>
    </w:r>
    <w:r w:rsidRPr="00A3058F">
      <w:rPr>
        <w:rStyle w:val="PageNumber"/>
        <w:b/>
        <w:sz w:val="20"/>
        <w:szCs w:val="20"/>
      </w:rPr>
      <w:fldChar w:fldCharType="separate"/>
    </w:r>
    <w:r w:rsidR="00B67342">
      <w:rPr>
        <w:rStyle w:val="PageNumber"/>
        <w:b/>
        <w:noProof/>
        <w:sz w:val="20"/>
        <w:szCs w:val="20"/>
      </w:rPr>
      <w:t>6</w:t>
    </w:r>
    <w:r w:rsidRPr="00A3058F">
      <w:rPr>
        <w:rStyle w:val="PageNumber"/>
        <w:b/>
        <w:sz w:val="20"/>
        <w:szCs w:val="20"/>
      </w:rPr>
      <w:fldChar w:fldCharType="end"/>
    </w:r>
  </w:p>
  <w:p w14:paraId="0A7FE6D0" w14:textId="6B6500A4" w:rsidR="00E521D5" w:rsidRPr="00A3058F" w:rsidRDefault="00E521D5">
    <w:pPr>
      <w:pStyle w:val="Header"/>
      <w:tabs>
        <w:tab w:val="left" w:pos="7500"/>
      </w:tabs>
      <w:rPr>
        <w:b/>
        <w:sz w:val="20"/>
        <w:szCs w:val="20"/>
      </w:rPr>
    </w:pPr>
    <w:r w:rsidRPr="00A3058F">
      <w:rPr>
        <w:b/>
        <w:sz w:val="20"/>
        <w:szCs w:val="20"/>
      </w:rPr>
      <w:t xml:space="preserve">ORDER </w:t>
    </w:r>
    <w:r>
      <w:rPr>
        <w:b/>
        <w:sz w:val="20"/>
        <w:szCs w:val="20"/>
      </w:rPr>
      <w:t>1</w:t>
    </w:r>
    <w:r w:rsidR="005004CC">
      <w:rPr>
        <w:b/>
        <w:sz w:val="20"/>
        <w:szCs w:val="20"/>
        <w:lang w:val="en-US"/>
      </w:rPr>
      <w:t>7</w:t>
    </w:r>
  </w:p>
  <w:p w14:paraId="0A7FE6D1" w14:textId="77777777" w:rsidR="00E521D5" w:rsidRDefault="00E521D5">
    <w:pPr>
      <w:pStyle w:val="Header"/>
      <w:tabs>
        <w:tab w:val="left" w:pos="75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FE6D2" w14:textId="03E6419D" w:rsidR="00E521D5" w:rsidRPr="00AB3D52" w:rsidRDefault="00E521D5" w:rsidP="00A8775C">
    <w:pPr>
      <w:pStyle w:val="Header"/>
      <w:tabs>
        <w:tab w:val="clear" w:pos="4320"/>
        <w:tab w:val="clear" w:pos="8640"/>
        <w:tab w:val="right" w:pos="8500"/>
      </w:tabs>
      <w:rPr>
        <w:b/>
        <w:sz w:val="20"/>
        <w:szCs w:val="20"/>
        <w:lang w:val="en-US"/>
      </w:rPr>
    </w:pPr>
    <w:r>
      <w:rPr>
        <w:b/>
        <w:sz w:val="20"/>
        <w:szCs w:val="20"/>
      </w:rPr>
      <w:tab/>
    </w:r>
    <w:r w:rsidR="00AB3D52">
      <w:rPr>
        <w:b/>
        <w:sz w:val="20"/>
        <w:szCs w:val="20"/>
        <w:lang w:val="en-US"/>
      </w:rPr>
      <w:t>[Service Date December 31,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00465"/>
    <w:multiLevelType w:val="hybridMultilevel"/>
    <w:tmpl w:val="7A50C8C8"/>
    <w:lvl w:ilvl="0" w:tplc="04090001">
      <w:start w:val="1"/>
      <w:numFmt w:val="bullet"/>
      <w:lvlText w:val=""/>
      <w:lvlJc w:val="left"/>
      <w:pPr>
        <w:tabs>
          <w:tab w:val="num" w:pos="1080"/>
        </w:tabs>
        <w:ind w:left="1080" w:hanging="1080"/>
      </w:pPr>
      <w:rPr>
        <w:rFonts w:ascii="Symbol" w:hAnsi="Symbol" w:hint="default"/>
        <w:b w:val="0"/>
        <w:i/>
        <w:sz w:val="20"/>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F36760"/>
    <w:multiLevelType w:val="hybridMultilevel"/>
    <w:tmpl w:val="38E88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772CB0"/>
    <w:multiLevelType w:val="hybridMultilevel"/>
    <w:tmpl w:val="6E58B96C"/>
    <w:lvl w:ilvl="0" w:tplc="4444389E">
      <w:start w:val="1"/>
      <w:numFmt w:val="bullet"/>
      <w:lvlText w:val=""/>
      <w:lvlJc w:val="left"/>
      <w:pPr>
        <w:tabs>
          <w:tab w:val="num" w:pos="1080"/>
        </w:tabs>
        <w:ind w:left="1080" w:hanging="1080"/>
      </w:pPr>
      <w:rPr>
        <w:rFonts w:ascii="Symbol" w:hAnsi="Symbol" w:hint="default"/>
        <w:b w:val="0"/>
        <w:i w:val="0"/>
        <w:sz w:val="22"/>
        <w:szCs w:val="22"/>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977705"/>
    <w:multiLevelType w:val="hybridMultilevel"/>
    <w:tmpl w:val="93ACA6FC"/>
    <w:lvl w:ilvl="0" w:tplc="04090001">
      <w:start w:val="1"/>
      <w:numFmt w:val="bullet"/>
      <w:lvlText w:val=""/>
      <w:lvlJc w:val="left"/>
      <w:pPr>
        <w:tabs>
          <w:tab w:val="num" w:pos="1440"/>
        </w:tabs>
        <w:ind w:left="1440" w:hanging="1080"/>
      </w:pPr>
      <w:rPr>
        <w:rFonts w:ascii="Symbol" w:hAnsi="Symbol" w:hint="default"/>
        <w:b w:val="0"/>
        <w:i/>
        <w:sz w:val="20"/>
      </w:rPr>
    </w:lvl>
    <w:lvl w:ilvl="1" w:tplc="BC20C932">
      <w:start w:val="4"/>
      <w:numFmt w:val="decimal"/>
      <w:lvlText w:val="%2."/>
      <w:lvlJc w:val="left"/>
      <w:pPr>
        <w:tabs>
          <w:tab w:val="num" w:pos="2160"/>
        </w:tabs>
        <w:ind w:left="2160" w:hanging="720"/>
      </w:pPr>
      <w:rPr>
        <w:rFonts w:hint="default"/>
      </w:rPr>
    </w:lvl>
    <w:lvl w:ilvl="2" w:tplc="41E444FC">
      <w:start w:val="5"/>
      <w:numFmt w:val="bullet"/>
      <w:lvlText w:val=""/>
      <w:lvlJc w:val="left"/>
      <w:pPr>
        <w:tabs>
          <w:tab w:val="num" w:pos="3780"/>
        </w:tabs>
        <w:ind w:left="3780" w:hanging="360"/>
      </w:pPr>
      <w:rPr>
        <w:rFonts w:ascii="Symbol" w:eastAsia="Times New Roman" w:hAnsi="Symbol" w:cs="Times New Roman" w:hint="default"/>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nsid w:val="1E64204C"/>
    <w:multiLevelType w:val="hybridMultilevel"/>
    <w:tmpl w:val="401CF190"/>
    <w:lvl w:ilvl="0" w:tplc="A81CD388">
      <w:start w:val="1"/>
      <w:numFmt w:val="decimal"/>
      <w:pStyle w:val="FindingsConclusions"/>
      <w:lvlText w:val="%1"/>
      <w:lvlJc w:val="left"/>
      <w:pPr>
        <w:tabs>
          <w:tab w:val="num" w:pos="1080"/>
        </w:tabs>
        <w:ind w:left="1080" w:hanging="1080"/>
      </w:pPr>
      <w:rPr>
        <w:rFonts w:hint="default"/>
        <w:b w:val="0"/>
        <w:i/>
        <w:sz w:val="20"/>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2AB0963"/>
    <w:multiLevelType w:val="hybridMultilevel"/>
    <w:tmpl w:val="88BE68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405699B"/>
    <w:multiLevelType w:val="hybridMultilevel"/>
    <w:tmpl w:val="466ADF9E"/>
    <w:lvl w:ilvl="0" w:tplc="04090001">
      <w:start w:val="1"/>
      <w:numFmt w:val="bullet"/>
      <w:lvlText w:val=""/>
      <w:lvlJc w:val="left"/>
      <w:pPr>
        <w:tabs>
          <w:tab w:val="num" w:pos="0"/>
        </w:tabs>
        <w:ind w:left="0" w:hanging="1080"/>
      </w:pPr>
      <w:rPr>
        <w:rFonts w:ascii="Symbol" w:hAnsi="Symbol" w:hint="default"/>
        <w:b w:val="0"/>
        <w:i/>
        <w:sz w:val="20"/>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8182769"/>
    <w:multiLevelType w:val="hybridMultilevel"/>
    <w:tmpl w:val="60341336"/>
    <w:lvl w:ilvl="0" w:tplc="04090001">
      <w:start w:val="1"/>
      <w:numFmt w:val="bullet"/>
      <w:lvlText w:val=""/>
      <w:lvlJc w:val="left"/>
      <w:pPr>
        <w:tabs>
          <w:tab w:val="num" w:pos="1080"/>
        </w:tabs>
        <w:ind w:left="1080" w:hanging="1080"/>
      </w:pPr>
      <w:rPr>
        <w:rFonts w:ascii="Symbol" w:hAnsi="Symbol" w:hint="default"/>
        <w:b w:val="0"/>
        <w:i/>
        <w:sz w:val="20"/>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BD14F2A"/>
    <w:multiLevelType w:val="hybridMultilevel"/>
    <w:tmpl w:val="AB0A2C0A"/>
    <w:lvl w:ilvl="0" w:tplc="4444389E">
      <w:start w:val="1"/>
      <w:numFmt w:val="bullet"/>
      <w:lvlText w:val=""/>
      <w:lvlJc w:val="left"/>
      <w:pPr>
        <w:tabs>
          <w:tab w:val="num" w:pos="1080"/>
        </w:tabs>
        <w:ind w:left="1080" w:hanging="1080"/>
      </w:pPr>
      <w:rPr>
        <w:rFonts w:ascii="Symbol" w:hAnsi="Symbol" w:hint="default"/>
        <w:b w:val="0"/>
        <w:i w:val="0"/>
        <w:sz w:val="22"/>
        <w:szCs w:val="22"/>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4EA4F55"/>
    <w:multiLevelType w:val="hybridMultilevel"/>
    <w:tmpl w:val="6F360C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E3607E8"/>
    <w:multiLevelType w:val="hybridMultilevel"/>
    <w:tmpl w:val="B19E676C"/>
    <w:lvl w:ilvl="0" w:tplc="E8E06A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EE1BDB"/>
    <w:multiLevelType w:val="hybridMultilevel"/>
    <w:tmpl w:val="83109E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FC3AC6"/>
    <w:multiLevelType w:val="hybridMultilevel"/>
    <w:tmpl w:val="E11481C0"/>
    <w:lvl w:ilvl="0" w:tplc="4444389E">
      <w:start w:val="1"/>
      <w:numFmt w:val="bullet"/>
      <w:lvlText w:val=""/>
      <w:lvlJc w:val="left"/>
      <w:pPr>
        <w:tabs>
          <w:tab w:val="num" w:pos="1080"/>
        </w:tabs>
        <w:ind w:left="1080" w:hanging="1080"/>
      </w:pPr>
      <w:rPr>
        <w:rFonts w:ascii="Symbol" w:hAnsi="Symbol" w:hint="default"/>
        <w:b w:val="0"/>
        <w:i w:val="0"/>
        <w:sz w:val="22"/>
        <w:szCs w:val="22"/>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C3621A8"/>
    <w:multiLevelType w:val="hybridMultilevel"/>
    <w:tmpl w:val="BF6E74CC"/>
    <w:lvl w:ilvl="0" w:tplc="04090001">
      <w:start w:val="1"/>
      <w:numFmt w:val="bullet"/>
      <w:lvlText w:val=""/>
      <w:lvlJc w:val="left"/>
      <w:pPr>
        <w:tabs>
          <w:tab w:val="num" w:pos="1080"/>
        </w:tabs>
        <w:ind w:left="1080" w:hanging="1080"/>
      </w:pPr>
      <w:rPr>
        <w:rFonts w:ascii="Symbol" w:hAnsi="Symbol" w:hint="default"/>
        <w:b w:val="0"/>
        <w:i/>
        <w:sz w:val="20"/>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5686925"/>
    <w:multiLevelType w:val="hybridMultilevel"/>
    <w:tmpl w:val="FBF0A8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10"/>
  </w:num>
  <w:num w:numId="3">
    <w:abstractNumId w:val="14"/>
  </w:num>
  <w:num w:numId="4">
    <w:abstractNumId w:val="3"/>
  </w:num>
  <w:num w:numId="5">
    <w:abstractNumId w:val="6"/>
  </w:num>
  <w:num w:numId="6">
    <w:abstractNumId w:val="13"/>
  </w:num>
  <w:num w:numId="7">
    <w:abstractNumId w:val="0"/>
  </w:num>
  <w:num w:numId="8">
    <w:abstractNumId w:val="2"/>
  </w:num>
  <w:num w:numId="9">
    <w:abstractNumId w:val="7"/>
  </w:num>
  <w:num w:numId="10">
    <w:abstractNumId w:val="5"/>
  </w:num>
  <w:num w:numId="11">
    <w:abstractNumId w:val="12"/>
  </w:num>
  <w:num w:numId="12">
    <w:abstractNumId w:val="8"/>
  </w:num>
  <w:num w:numId="13">
    <w:abstractNumId w:val="4"/>
  </w:num>
  <w:num w:numId="14">
    <w:abstractNumId w:val="4"/>
  </w:num>
  <w:num w:numId="15">
    <w:abstractNumId w:val="4"/>
  </w:num>
  <w:num w:numId="16">
    <w:abstractNumId w:val="11"/>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92F"/>
    <w:rsid w:val="00001E2C"/>
    <w:rsid w:val="00007917"/>
    <w:rsid w:val="00010C88"/>
    <w:rsid w:val="00013292"/>
    <w:rsid w:val="00014504"/>
    <w:rsid w:val="00021D95"/>
    <w:rsid w:val="0002234C"/>
    <w:rsid w:val="00024F24"/>
    <w:rsid w:val="00030FFC"/>
    <w:rsid w:val="00040D84"/>
    <w:rsid w:val="00042255"/>
    <w:rsid w:val="00043002"/>
    <w:rsid w:val="00044BCC"/>
    <w:rsid w:val="00044E4D"/>
    <w:rsid w:val="0004727D"/>
    <w:rsid w:val="000478BF"/>
    <w:rsid w:val="0005018F"/>
    <w:rsid w:val="00050BC4"/>
    <w:rsid w:val="000524E8"/>
    <w:rsid w:val="00054C56"/>
    <w:rsid w:val="0005692F"/>
    <w:rsid w:val="00061528"/>
    <w:rsid w:val="000618D8"/>
    <w:rsid w:val="0006300E"/>
    <w:rsid w:val="00065517"/>
    <w:rsid w:val="00065A03"/>
    <w:rsid w:val="00067893"/>
    <w:rsid w:val="00071980"/>
    <w:rsid w:val="00074F29"/>
    <w:rsid w:val="00080F16"/>
    <w:rsid w:val="00082516"/>
    <w:rsid w:val="000831B7"/>
    <w:rsid w:val="000A2172"/>
    <w:rsid w:val="000A2239"/>
    <w:rsid w:val="000A4AF2"/>
    <w:rsid w:val="000B7347"/>
    <w:rsid w:val="000D0151"/>
    <w:rsid w:val="000D4FDD"/>
    <w:rsid w:val="000D6BC5"/>
    <w:rsid w:val="000E60BF"/>
    <w:rsid w:val="000E640C"/>
    <w:rsid w:val="000F0372"/>
    <w:rsid w:val="000F083C"/>
    <w:rsid w:val="000F0AFD"/>
    <w:rsid w:val="000F212B"/>
    <w:rsid w:val="000F5E26"/>
    <w:rsid w:val="00105576"/>
    <w:rsid w:val="00107338"/>
    <w:rsid w:val="001115E3"/>
    <w:rsid w:val="00112162"/>
    <w:rsid w:val="00114095"/>
    <w:rsid w:val="00116EF1"/>
    <w:rsid w:val="0011719B"/>
    <w:rsid w:val="001173FA"/>
    <w:rsid w:val="00131BEE"/>
    <w:rsid w:val="00134F30"/>
    <w:rsid w:val="00134F6E"/>
    <w:rsid w:val="0013524F"/>
    <w:rsid w:val="00135AA9"/>
    <w:rsid w:val="00137D85"/>
    <w:rsid w:val="001405E6"/>
    <w:rsid w:val="00140DBB"/>
    <w:rsid w:val="00145015"/>
    <w:rsid w:val="00146031"/>
    <w:rsid w:val="00153FFA"/>
    <w:rsid w:val="00154F53"/>
    <w:rsid w:val="00157787"/>
    <w:rsid w:val="0016119A"/>
    <w:rsid w:val="001659D9"/>
    <w:rsid w:val="0016786F"/>
    <w:rsid w:val="0017292F"/>
    <w:rsid w:val="00177B28"/>
    <w:rsid w:val="00180AA4"/>
    <w:rsid w:val="00182C16"/>
    <w:rsid w:val="001846A2"/>
    <w:rsid w:val="00186005"/>
    <w:rsid w:val="00194525"/>
    <w:rsid w:val="001948D7"/>
    <w:rsid w:val="00194FAC"/>
    <w:rsid w:val="00195DC4"/>
    <w:rsid w:val="00197538"/>
    <w:rsid w:val="001A0F44"/>
    <w:rsid w:val="001A54B4"/>
    <w:rsid w:val="001B43B8"/>
    <w:rsid w:val="001B7148"/>
    <w:rsid w:val="001B73E3"/>
    <w:rsid w:val="001C0261"/>
    <w:rsid w:val="001C5AB1"/>
    <w:rsid w:val="001D038D"/>
    <w:rsid w:val="001D0412"/>
    <w:rsid w:val="001E1D7A"/>
    <w:rsid w:val="001F30F4"/>
    <w:rsid w:val="001F578A"/>
    <w:rsid w:val="00200B33"/>
    <w:rsid w:val="002035DF"/>
    <w:rsid w:val="00204075"/>
    <w:rsid w:val="00204614"/>
    <w:rsid w:val="00211CCB"/>
    <w:rsid w:val="002149D4"/>
    <w:rsid w:val="00214A61"/>
    <w:rsid w:val="00221B85"/>
    <w:rsid w:val="0022336E"/>
    <w:rsid w:val="00231A43"/>
    <w:rsid w:val="00233FE9"/>
    <w:rsid w:val="00236EDB"/>
    <w:rsid w:val="002406C7"/>
    <w:rsid w:val="0024293A"/>
    <w:rsid w:val="00245421"/>
    <w:rsid w:val="002460DA"/>
    <w:rsid w:val="00247BCC"/>
    <w:rsid w:val="00257DD5"/>
    <w:rsid w:val="00260098"/>
    <w:rsid w:val="002610AC"/>
    <w:rsid w:val="002629D3"/>
    <w:rsid w:val="00264571"/>
    <w:rsid w:val="00264D6C"/>
    <w:rsid w:val="00270903"/>
    <w:rsid w:val="002713BF"/>
    <w:rsid w:val="00271D63"/>
    <w:rsid w:val="00274584"/>
    <w:rsid w:val="0027669D"/>
    <w:rsid w:val="00285D62"/>
    <w:rsid w:val="00293C54"/>
    <w:rsid w:val="00295087"/>
    <w:rsid w:val="0029733F"/>
    <w:rsid w:val="002A1629"/>
    <w:rsid w:val="002A1F9A"/>
    <w:rsid w:val="002A3198"/>
    <w:rsid w:val="002A524D"/>
    <w:rsid w:val="002B1FB7"/>
    <w:rsid w:val="002B53B8"/>
    <w:rsid w:val="002B5A14"/>
    <w:rsid w:val="002B6BA9"/>
    <w:rsid w:val="002B7280"/>
    <w:rsid w:val="002C039A"/>
    <w:rsid w:val="002C1E6D"/>
    <w:rsid w:val="002C39A9"/>
    <w:rsid w:val="002C7872"/>
    <w:rsid w:val="002D6992"/>
    <w:rsid w:val="002E558C"/>
    <w:rsid w:val="002E7521"/>
    <w:rsid w:val="002F046F"/>
    <w:rsid w:val="002F1F8B"/>
    <w:rsid w:val="002F21F6"/>
    <w:rsid w:val="002F256C"/>
    <w:rsid w:val="002F3E5E"/>
    <w:rsid w:val="002F4E9C"/>
    <w:rsid w:val="002F4F83"/>
    <w:rsid w:val="002F5B91"/>
    <w:rsid w:val="002F5C10"/>
    <w:rsid w:val="002F5E51"/>
    <w:rsid w:val="002F6129"/>
    <w:rsid w:val="00303859"/>
    <w:rsid w:val="00306293"/>
    <w:rsid w:val="003075A4"/>
    <w:rsid w:val="00310ACE"/>
    <w:rsid w:val="0031113F"/>
    <w:rsid w:val="00311938"/>
    <w:rsid w:val="00312B0F"/>
    <w:rsid w:val="00320EDE"/>
    <w:rsid w:val="00321B7D"/>
    <w:rsid w:val="0032385E"/>
    <w:rsid w:val="00333E5F"/>
    <w:rsid w:val="00343897"/>
    <w:rsid w:val="00343D86"/>
    <w:rsid w:val="00344442"/>
    <w:rsid w:val="0035047F"/>
    <w:rsid w:val="0035190B"/>
    <w:rsid w:val="003522C3"/>
    <w:rsid w:val="003569C0"/>
    <w:rsid w:val="003610C0"/>
    <w:rsid w:val="00362D81"/>
    <w:rsid w:val="00363604"/>
    <w:rsid w:val="00363A05"/>
    <w:rsid w:val="00363CEF"/>
    <w:rsid w:val="003646B3"/>
    <w:rsid w:val="003660F1"/>
    <w:rsid w:val="0036620D"/>
    <w:rsid w:val="00371B35"/>
    <w:rsid w:val="003731CF"/>
    <w:rsid w:val="00373212"/>
    <w:rsid w:val="00382947"/>
    <w:rsid w:val="00384B5D"/>
    <w:rsid w:val="00392531"/>
    <w:rsid w:val="00396FFA"/>
    <w:rsid w:val="003A537F"/>
    <w:rsid w:val="003A7716"/>
    <w:rsid w:val="003B26EA"/>
    <w:rsid w:val="003B327A"/>
    <w:rsid w:val="003B6486"/>
    <w:rsid w:val="003C1DF7"/>
    <w:rsid w:val="003C31CB"/>
    <w:rsid w:val="003C553B"/>
    <w:rsid w:val="003C7FA0"/>
    <w:rsid w:val="003D7326"/>
    <w:rsid w:val="003E23E8"/>
    <w:rsid w:val="003E2F11"/>
    <w:rsid w:val="003E7AC9"/>
    <w:rsid w:val="003F3DB6"/>
    <w:rsid w:val="00406CE7"/>
    <w:rsid w:val="00407CB8"/>
    <w:rsid w:val="004125D2"/>
    <w:rsid w:val="004219DC"/>
    <w:rsid w:val="00422BA2"/>
    <w:rsid w:val="004237C6"/>
    <w:rsid w:val="0042612B"/>
    <w:rsid w:val="00431D1B"/>
    <w:rsid w:val="004332FD"/>
    <w:rsid w:val="004335A4"/>
    <w:rsid w:val="00433EA4"/>
    <w:rsid w:val="0043444F"/>
    <w:rsid w:val="00434A25"/>
    <w:rsid w:val="00435973"/>
    <w:rsid w:val="00435A46"/>
    <w:rsid w:val="00435D9B"/>
    <w:rsid w:val="004419F0"/>
    <w:rsid w:val="00441AE2"/>
    <w:rsid w:val="004458A6"/>
    <w:rsid w:val="004508FD"/>
    <w:rsid w:val="00455B84"/>
    <w:rsid w:val="004564F2"/>
    <w:rsid w:val="004642E5"/>
    <w:rsid w:val="00464475"/>
    <w:rsid w:val="00470E6F"/>
    <w:rsid w:val="00471BC7"/>
    <w:rsid w:val="0047323E"/>
    <w:rsid w:val="00486C40"/>
    <w:rsid w:val="00486D5B"/>
    <w:rsid w:val="00495CDC"/>
    <w:rsid w:val="004A0307"/>
    <w:rsid w:val="004A1C07"/>
    <w:rsid w:val="004A2888"/>
    <w:rsid w:val="004B54BF"/>
    <w:rsid w:val="004B7DD0"/>
    <w:rsid w:val="004C0751"/>
    <w:rsid w:val="004C59CA"/>
    <w:rsid w:val="004D1F05"/>
    <w:rsid w:val="004D288A"/>
    <w:rsid w:val="004D3CB6"/>
    <w:rsid w:val="004E02E5"/>
    <w:rsid w:val="004E42F4"/>
    <w:rsid w:val="004E5493"/>
    <w:rsid w:val="004E7AB3"/>
    <w:rsid w:val="004F7ED3"/>
    <w:rsid w:val="005004CC"/>
    <w:rsid w:val="0050052F"/>
    <w:rsid w:val="00501ED6"/>
    <w:rsid w:val="005057C8"/>
    <w:rsid w:val="005071C4"/>
    <w:rsid w:val="00510974"/>
    <w:rsid w:val="00510CD2"/>
    <w:rsid w:val="00512E3F"/>
    <w:rsid w:val="005140C6"/>
    <w:rsid w:val="00515C05"/>
    <w:rsid w:val="005169DB"/>
    <w:rsid w:val="005177C4"/>
    <w:rsid w:val="0052029F"/>
    <w:rsid w:val="0052522C"/>
    <w:rsid w:val="005276AD"/>
    <w:rsid w:val="00527F66"/>
    <w:rsid w:val="00537C1B"/>
    <w:rsid w:val="00543D67"/>
    <w:rsid w:val="0054489F"/>
    <w:rsid w:val="00552600"/>
    <w:rsid w:val="00555A99"/>
    <w:rsid w:val="0055740E"/>
    <w:rsid w:val="005577EC"/>
    <w:rsid w:val="005615D8"/>
    <w:rsid w:val="0056687A"/>
    <w:rsid w:val="00567DBF"/>
    <w:rsid w:val="0057410C"/>
    <w:rsid w:val="00575DD1"/>
    <w:rsid w:val="005807A5"/>
    <w:rsid w:val="00581471"/>
    <w:rsid w:val="0058708B"/>
    <w:rsid w:val="0059329E"/>
    <w:rsid w:val="005A038D"/>
    <w:rsid w:val="005A1531"/>
    <w:rsid w:val="005A4120"/>
    <w:rsid w:val="005A6C74"/>
    <w:rsid w:val="005B0141"/>
    <w:rsid w:val="005B4953"/>
    <w:rsid w:val="005B4F01"/>
    <w:rsid w:val="005B745F"/>
    <w:rsid w:val="005C1DAB"/>
    <w:rsid w:val="005D723A"/>
    <w:rsid w:val="005E58B2"/>
    <w:rsid w:val="005E707A"/>
    <w:rsid w:val="005E7915"/>
    <w:rsid w:val="005E7C4A"/>
    <w:rsid w:val="005F024F"/>
    <w:rsid w:val="006003BF"/>
    <w:rsid w:val="0060343D"/>
    <w:rsid w:val="00605893"/>
    <w:rsid w:val="006111DA"/>
    <w:rsid w:val="006113B4"/>
    <w:rsid w:val="00613BF6"/>
    <w:rsid w:val="00616383"/>
    <w:rsid w:val="00630806"/>
    <w:rsid w:val="00636231"/>
    <w:rsid w:val="00643055"/>
    <w:rsid w:val="00644D3D"/>
    <w:rsid w:val="00647315"/>
    <w:rsid w:val="00651C90"/>
    <w:rsid w:val="00651D51"/>
    <w:rsid w:val="00652FC5"/>
    <w:rsid w:val="00654321"/>
    <w:rsid w:val="00654DD0"/>
    <w:rsid w:val="00655849"/>
    <w:rsid w:val="00661999"/>
    <w:rsid w:val="00670D94"/>
    <w:rsid w:val="00671D18"/>
    <w:rsid w:val="00672F7B"/>
    <w:rsid w:val="00674504"/>
    <w:rsid w:val="006830D5"/>
    <w:rsid w:val="0069006E"/>
    <w:rsid w:val="00690672"/>
    <w:rsid w:val="00693B55"/>
    <w:rsid w:val="00694048"/>
    <w:rsid w:val="00695596"/>
    <w:rsid w:val="00697DEF"/>
    <w:rsid w:val="00697F9F"/>
    <w:rsid w:val="006A40BD"/>
    <w:rsid w:val="006A41EE"/>
    <w:rsid w:val="006B2AD4"/>
    <w:rsid w:val="006B4E6F"/>
    <w:rsid w:val="006B5DFE"/>
    <w:rsid w:val="006B72EB"/>
    <w:rsid w:val="006C2449"/>
    <w:rsid w:val="006C2C6C"/>
    <w:rsid w:val="006C37A2"/>
    <w:rsid w:val="006D0375"/>
    <w:rsid w:val="006D0CC9"/>
    <w:rsid w:val="006D1566"/>
    <w:rsid w:val="006D24E2"/>
    <w:rsid w:val="006D2EA6"/>
    <w:rsid w:val="006D5B21"/>
    <w:rsid w:val="006D61DE"/>
    <w:rsid w:val="006D6344"/>
    <w:rsid w:val="006E474F"/>
    <w:rsid w:val="006E58CD"/>
    <w:rsid w:val="006E5D5B"/>
    <w:rsid w:val="00702E8F"/>
    <w:rsid w:val="00703A51"/>
    <w:rsid w:val="00705D33"/>
    <w:rsid w:val="00705DCD"/>
    <w:rsid w:val="00711CCE"/>
    <w:rsid w:val="00712B8F"/>
    <w:rsid w:val="0071742B"/>
    <w:rsid w:val="00720587"/>
    <w:rsid w:val="00720C9F"/>
    <w:rsid w:val="00721BC2"/>
    <w:rsid w:val="007236C2"/>
    <w:rsid w:val="007245CB"/>
    <w:rsid w:val="00727138"/>
    <w:rsid w:val="00727DC5"/>
    <w:rsid w:val="00733748"/>
    <w:rsid w:val="00734C03"/>
    <w:rsid w:val="00741B97"/>
    <w:rsid w:val="00741F61"/>
    <w:rsid w:val="007438DF"/>
    <w:rsid w:val="00746ED2"/>
    <w:rsid w:val="00764B1F"/>
    <w:rsid w:val="00774269"/>
    <w:rsid w:val="007756E9"/>
    <w:rsid w:val="00775D75"/>
    <w:rsid w:val="0077619D"/>
    <w:rsid w:val="0077620F"/>
    <w:rsid w:val="007771B8"/>
    <w:rsid w:val="00785BE5"/>
    <w:rsid w:val="00785D32"/>
    <w:rsid w:val="007935D1"/>
    <w:rsid w:val="007943D6"/>
    <w:rsid w:val="00794A2B"/>
    <w:rsid w:val="007A15D3"/>
    <w:rsid w:val="007A2D93"/>
    <w:rsid w:val="007A711F"/>
    <w:rsid w:val="007A7B48"/>
    <w:rsid w:val="007A7B7E"/>
    <w:rsid w:val="007B0463"/>
    <w:rsid w:val="007B27DC"/>
    <w:rsid w:val="007B4F5A"/>
    <w:rsid w:val="007B6CC2"/>
    <w:rsid w:val="007B7979"/>
    <w:rsid w:val="007C22C4"/>
    <w:rsid w:val="007C3450"/>
    <w:rsid w:val="007C4571"/>
    <w:rsid w:val="007C4A36"/>
    <w:rsid w:val="007E2D92"/>
    <w:rsid w:val="007E43D2"/>
    <w:rsid w:val="007E7467"/>
    <w:rsid w:val="007F12A2"/>
    <w:rsid w:val="007F6810"/>
    <w:rsid w:val="00806309"/>
    <w:rsid w:val="00806D68"/>
    <w:rsid w:val="00811A3B"/>
    <w:rsid w:val="00816236"/>
    <w:rsid w:val="00817249"/>
    <w:rsid w:val="00822BB7"/>
    <w:rsid w:val="008230EE"/>
    <w:rsid w:val="008304A6"/>
    <w:rsid w:val="00830E89"/>
    <w:rsid w:val="00836E88"/>
    <w:rsid w:val="00837375"/>
    <w:rsid w:val="008400DF"/>
    <w:rsid w:val="00840D32"/>
    <w:rsid w:val="00843C3E"/>
    <w:rsid w:val="00847068"/>
    <w:rsid w:val="00847312"/>
    <w:rsid w:val="008517EC"/>
    <w:rsid w:val="00855000"/>
    <w:rsid w:val="008568F2"/>
    <w:rsid w:val="00873869"/>
    <w:rsid w:val="00876299"/>
    <w:rsid w:val="00877582"/>
    <w:rsid w:val="008863F8"/>
    <w:rsid w:val="00891E46"/>
    <w:rsid w:val="00895A0D"/>
    <w:rsid w:val="008A19CD"/>
    <w:rsid w:val="008B0010"/>
    <w:rsid w:val="008B1353"/>
    <w:rsid w:val="008B5424"/>
    <w:rsid w:val="008B783B"/>
    <w:rsid w:val="008C03CB"/>
    <w:rsid w:val="008C3715"/>
    <w:rsid w:val="008C59EA"/>
    <w:rsid w:val="008D3629"/>
    <w:rsid w:val="008E2E1D"/>
    <w:rsid w:val="008E3A22"/>
    <w:rsid w:val="008E638B"/>
    <w:rsid w:val="008F122F"/>
    <w:rsid w:val="008F294E"/>
    <w:rsid w:val="008F7661"/>
    <w:rsid w:val="0090434E"/>
    <w:rsid w:val="00913BA1"/>
    <w:rsid w:val="00913FED"/>
    <w:rsid w:val="009154F6"/>
    <w:rsid w:val="009179A5"/>
    <w:rsid w:val="009202A2"/>
    <w:rsid w:val="00922452"/>
    <w:rsid w:val="00924CD0"/>
    <w:rsid w:val="00926442"/>
    <w:rsid w:val="00931ADF"/>
    <w:rsid w:val="00932C32"/>
    <w:rsid w:val="0094568F"/>
    <w:rsid w:val="009456B9"/>
    <w:rsid w:val="00945B28"/>
    <w:rsid w:val="009464EC"/>
    <w:rsid w:val="00950429"/>
    <w:rsid w:val="0095236C"/>
    <w:rsid w:val="00955437"/>
    <w:rsid w:val="00957194"/>
    <w:rsid w:val="00967EAD"/>
    <w:rsid w:val="00970363"/>
    <w:rsid w:val="009711BD"/>
    <w:rsid w:val="00973336"/>
    <w:rsid w:val="00976D14"/>
    <w:rsid w:val="00984014"/>
    <w:rsid w:val="00984BA9"/>
    <w:rsid w:val="00985BE0"/>
    <w:rsid w:val="009865E6"/>
    <w:rsid w:val="00994D30"/>
    <w:rsid w:val="00996C43"/>
    <w:rsid w:val="009A63E5"/>
    <w:rsid w:val="009B1940"/>
    <w:rsid w:val="009B3258"/>
    <w:rsid w:val="009B5AEF"/>
    <w:rsid w:val="009B6E7A"/>
    <w:rsid w:val="009C0C51"/>
    <w:rsid w:val="009C5232"/>
    <w:rsid w:val="009D4E60"/>
    <w:rsid w:val="009E1893"/>
    <w:rsid w:val="009E61D6"/>
    <w:rsid w:val="009F08C6"/>
    <w:rsid w:val="009F2520"/>
    <w:rsid w:val="009F5FD1"/>
    <w:rsid w:val="00A01836"/>
    <w:rsid w:val="00A04143"/>
    <w:rsid w:val="00A04BF0"/>
    <w:rsid w:val="00A1136F"/>
    <w:rsid w:val="00A12492"/>
    <w:rsid w:val="00A126BD"/>
    <w:rsid w:val="00A13C2A"/>
    <w:rsid w:val="00A1783B"/>
    <w:rsid w:val="00A2175C"/>
    <w:rsid w:val="00A22268"/>
    <w:rsid w:val="00A22DB7"/>
    <w:rsid w:val="00A231FA"/>
    <w:rsid w:val="00A243A9"/>
    <w:rsid w:val="00A25FC4"/>
    <w:rsid w:val="00A26076"/>
    <w:rsid w:val="00A2657C"/>
    <w:rsid w:val="00A40758"/>
    <w:rsid w:val="00A43C2A"/>
    <w:rsid w:val="00A47C0F"/>
    <w:rsid w:val="00A51562"/>
    <w:rsid w:val="00A52EBB"/>
    <w:rsid w:val="00A530D9"/>
    <w:rsid w:val="00A53ACE"/>
    <w:rsid w:val="00A60422"/>
    <w:rsid w:val="00A648CD"/>
    <w:rsid w:val="00A64A16"/>
    <w:rsid w:val="00A656DE"/>
    <w:rsid w:val="00A66627"/>
    <w:rsid w:val="00A74932"/>
    <w:rsid w:val="00A769C2"/>
    <w:rsid w:val="00A77BD1"/>
    <w:rsid w:val="00A77FE9"/>
    <w:rsid w:val="00A8017F"/>
    <w:rsid w:val="00A80D2D"/>
    <w:rsid w:val="00A8428E"/>
    <w:rsid w:val="00A84C2A"/>
    <w:rsid w:val="00A8775C"/>
    <w:rsid w:val="00A87831"/>
    <w:rsid w:val="00A924B5"/>
    <w:rsid w:val="00A97DBC"/>
    <w:rsid w:val="00AA10DB"/>
    <w:rsid w:val="00AA1B9F"/>
    <w:rsid w:val="00AA2AD9"/>
    <w:rsid w:val="00AA5C45"/>
    <w:rsid w:val="00AA6F4F"/>
    <w:rsid w:val="00AB129A"/>
    <w:rsid w:val="00AB3184"/>
    <w:rsid w:val="00AB3D52"/>
    <w:rsid w:val="00AC0910"/>
    <w:rsid w:val="00AC3A20"/>
    <w:rsid w:val="00AD1DD9"/>
    <w:rsid w:val="00AD2A92"/>
    <w:rsid w:val="00AD3312"/>
    <w:rsid w:val="00AE273E"/>
    <w:rsid w:val="00AE34D5"/>
    <w:rsid w:val="00AE39BB"/>
    <w:rsid w:val="00AF3735"/>
    <w:rsid w:val="00AF482B"/>
    <w:rsid w:val="00B01519"/>
    <w:rsid w:val="00B02A47"/>
    <w:rsid w:val="00B06771"/>
    <w:rsid w:val="00B12B58"/>
    <w:rsid w:val="00B13041"/>
    <w:rsid w:val="00B136A4"/>
    <w:rsid w:val="00B16077"/>
    <w:rsid w:val="00B16D03"/>
    <w:rsid w:val="00B17F87"/>
    <w:rsid w:val="00B23EF5"/>
    <w:rsid w:val="00B27503"/>
    <w:rsid w:val="00B36031"/>
    <w:rsid w:val="00B365D3"/>
    <w:rsid w:val="00B37F33"/>
    <w:rsid w:val="00B42525"/>
    <w:rsid w:val="00B43B4D"/>
    <w:rsid w:val="00B44A8B"/>
    <w:rsid w:val="00B50592"/>
    <w:rsid w:val="00B50D2C"/>
    <w:rsid w:val="00B52085"/>
    <w:rsid w:val="00B54F0A"/>
    <w:rsid w:val="00B60216"/>
    <w:rsid w:val="00B64280"/>
    <w:rsid w:val="00B67342"/>
    <w:rsid w:val="00B723B8"/>
    <w:rsid w:val="00B72DF6"/>
    <w:rsid w:val="00B81592"/>
    <w:rsid w:val="00B91C42"/>
    <w:rsid w:val="00B93C16"/>
    <w:rsid w:val="00B9635E"/>
    <w:rsid w:val="00BA2629"/>
    <w:rsid w:val="00BA304A"/>
    <w:rsid w:val="00BA4D07"/>
    <w:rsid w:val="00BA6E9F"/>
    <w:rsid w:val="00BB0528"/>
    <w:rsid w:val="00BB1BA0"/>
    <w:rsid w:val="00BB6731"/>
    <w:rsid w:val="00BB7F6A"/>
    <w:rsid w:val="00BC247E"/>
    <w:rsid w:val="00BC68CF"/>
    <w:rsid w:val="00BC6A99"/>
    <w:rsid w:val="00BD02C3"/>
    <w:rsid w:val="00BD0596"/>
    <w:rsid w:val="00BE032F"/>
    <w:rsid w:val="00BE0432"/>
    <w:rsid w:val="00BE3C17"/>
    <w:rsid w:val="00BE64D2"/>
    <w:rsid w:val="00C0414C"/>
    <w:rsid w:val="00C04351"/>
    <w:rsid w:val="00C07D16"/>
    <w:rsid w:val="00C102BA"/>
    <w:rsid w:val="00C14790"/>
    <w:rsid w:val="00C14E67"/>
    <w:rsid w:val="00C169E4"/>
    <w:rsid w:val="00C309B4"/>
    <w:rsid w:val="00C404FB"/>
    <w:rsid w:val="00C42E6E"/>
    <w:rsid w:val="00C4635A"/>
    <w:rsid w:val="00C50347"/>
    <w:rsid w:val="00C5441D"/>
    <w:rsid w:val="00C64B3F"/>
    <w:rsid w:val="00C66775"/>
    <w:rsid w:val="00C671BD"/>
    <w:rsid w:val="00C709E3"/>
    <w:rsid w:val="00C8030D"/>
    <w:rsid w:val="00C82B3B"/>
    <w:rsid w:val="00C841D2"/>
    <w:rsid w:val="00C86389"/>
    <w:rsid w:val="00C87643"/>
    <w:rsid w:val="00C90124"/>
    <w:rsid w:val="00C928E7"/>
    <w:rsid w:val="00C9341F"/>
    <w:rsid w:val="00C97843"/>
    <w:rsid w:val="00CA28CD"/>
    <w:rsid w:val="00CA5BAF"/>
    <w:rsid w:val="00CA73AD"/>
    <w:rsid w:val="00CA7A70"/>
    <w:rsid w:val="00CB305E"/>
    <w:rsid w:val="00CB5CD5"/>
    <w:rsid w:val="00CB63C8"/>
    <w:rsid w:val="00CC0604"/>
    <w:rsid w:val="00CC670F"/>
    <w:rsid w:val="00CC7ADD"/>
    <w:rsid w:val="00CD0064"/>
    <w:rsid w:val="00CD26D6"/>
    <w:rsid w:val="00CD2718"/>
    <w:rsid w:val="00CD3318"/>
    <w:rsid w:val="00CD4872"/>
    <w:rsid w:val="00CD4A98"/>
    <w:rsid w:val="00CD5BD7"/>
    <w:rsid w:val="00CD7B41"/>
    <w:rsid w:val="00CE3CBA"/>
    <w:rsid w:val="00CE3F75"/>
    <w:rsid w:val="00CE4B94"/>
    <w:rsid w:val="00CE67E6"/>
    <w:rsid w:val="00CE6EDE"/>
    <w:rsid w:val="00CF1FEB"/>
    <w:rsid w:val="00CF2823"/>
    <w:rsid w:val="00CF3111"/>
    <w:rsid w:val="00D04693"/>
    <w:rsid w:val="00D05889"/>
    <w:rsid w:val="00D133FE"/>
    <w:rsid w:val="00D14866"/>
    <w:rsid w:val="00D1520A"/>
    <w:rsid w:val="00D204A3"/>
    <w:rsid w:val="00D217EB"/>
    <w:rsid w:val="00D30516"/>
    <w:rsid w:val="00D308A0"/>
    <w:rsid w:val="00D33559"/>
    <w:rsid w:val="00D35C97"/>
    <w:rsid w:val="00D37422"/>
    <w:rsid w:val="00D376AC"/>
    <w:rsid w:val="00D40EA4"/>
    <w:rsid w:val="00D50554"/>
    <w:rsid w:val="00D54AB2"/>
    <w:rsid w:val="00D56BD4"/>
    <w:rsid w:val="00D62258"/>
    <w:rsid w:val="00D72E39"/>
    <w:rsid w:val="00D73221"/>
    <w:rsid w:val="00D73656"/>
    <w:rsid w:val="00D775FD"/>
    <w:rsid w:val="00DA1B86"/>
    <w:rsid w:val="00DA4060"/>
    <w:rsid w:val="00DA505D"/>
    <w:rsid w:val="00DB3817"/>
    <w:rsid w:val="00DB3BE0"/>
    <w:rsid w:val="00DB65FA"/>
    <w:rsid w:val="00DB7B06"/>
    <w:rsid w:val="00DC287F"/>
    <w:rsid w:val="00DC441A"/>
    <w:rsid w:val="00DC54D2"/>
    <w:rsid w:val="00DD04B3"/>
    <w:rsid w:val="00DD0D7A"/>
    <w:rsid w:val="00DD2A47"/>
    <w:rsid w:val="00DD2B30"/>
    <w:rsid w:val="00DD3640"/>
    <w:rsid w:val="00DE1454"/>
    <w:rsid w:val="00DE26AC"/>
    <w:rsid w:val="00DE3168"/>
    <w:rsid w:val="00DE7D2F"/>
    <w:rsid w:val="00DF32DA"/>
    <w:rsid w:val="00DF382E"/>
    <w:rsid w:val="00DF672B"/>
    <w:rsid w:val="00E0129B"/>
    <w:rsid w:val="00E07A9D"/>
    <w:rsid w:val="00E13299"/>
    <w:rsid w:val="00E13A07"/>
    <w:rsid w:val="00E146C3"/>
    <w:rsid w:val="00E14AEB"/>
    <w:rsid w:val="00E178E2"/>
    <w:rsid w:val="00E207E3"/>
    <w:rsid w:val="00E32324"/>
    <w:rsid w:val="00E32359"/>
    <w:rsid w:val="00E33D8F"/>
    <w:rsid w:val="00E35128"/>
    <w:rsid w:val="00E35CF5"/>
    <w:rsid w:val="00E40DA7"/>
    <w:rsid w:val="00E521D5"/>
    <w:rsid w:val="00E53C24"/>
    <w:rsid w:val="00E55788"/>
    <w:rsid w:val="00E60FCF"/>
    <w:rsid w:val="00E61EA2"/>
    <w:rsid w:val="00E64725"/>
    <w:rsid w:val="00E651A8"/>
    <w:rsid w:val="00E70C9C"/>
    <w:rsid w:val="00E81216"/>
    <w:rsid w:val="00E92F40"/>
    <w:rsid w:val="00E96B6A"/>
    <w:rsid w:val="00E97F7A"/>
    <w:rsid w:val="00EA14DB"/>
    <w:rsid w:val="00EA1B72"/>
    <w:rsid w:val="00EA3346"/>
    <w:rsid w:val="00EA3D2C"/>
    <w:rsid w:val="00EC0CBE"/>
    <w:rsid w:val="00ED13FA"/>
    <w:rsid w:val="00ED26C9"/>
    <w:rsid w:val="00EE1F08"/>
    <w:rsid w:val="00EE363C"/>
    <w:rsid w:val="00EE6ABA"/>
    <w:rsid w:val="00EF573E"/>
    <w:rsid w:val="00EF73E8"/>
    <w:rsid w:val="00F03895"/>
    <w:rsid w:val="00F0693F"/>
    <w:rsid w:val="00F07BFF"/>
    <w:rsid w:val="00F10418"/>
    <w:rsid w:val="00F143DB"/>
    <w:rsid w:val="00F171FC"/>
    <w:rsid w:val="00F20604"/>
    <w:rsid w:val="00F2090A"/>
    <w:rsid w:val="00F21B68"/>
    <w:rsid w:val="00F21C81"/>
    <w:rsid w:val="00F25867"/>
    <w:rsid w:val="00F26576"/>
    <w:rsid w:val="00F27A00"/>
    <w:rsid w:val="00F303E2"/>
    <w:rsid w:val="00F310BF"/>
    <w:rsid w:val="00F3415B"/>
    <w:rsid w:val="00F34B0D"/>
    <w:rsid w:val="00F363C3"/>
    <w:rsid w:val="00F363DF"/>
    <w:rsid w:val="00F365D2"/>
    <w:rsid w:val="00F37718"/>
    <w:rsid w:val="00F377BF"/>
    <w:rsid w:val="00F41B7E"/>
    <w:rsid w:val="00F438F5"/>
    <w:rsid w:val="00F46455"/>
    <w:rsid w:val="00F4718E"/>
    <w:rsid w:val="00F4794D"/>
    <w:rsid w:val="00F51A2A"/>
    <w:rsid w:val="00F51C28"/>
    <w:rsid w:val="00F5246F"/>
    <w:rsid w:val="00F549B1"/>
    <w:rsid w:val="00F60FC5"/>
    <w:rsid w:val="00F620D3"/>
    <w:rsid w:val="00F66AB2"/>
    <w:rsid w:val="00F673E6"/>
    <w:rsid w:val="00F67987"/>
    <w:rsid w:val="00F7277B"/>
    <w:rsid w:val="00F73072"/>
    <w:rsid w:val="00F74F7C"/>
    <w:rsid w:val="00F801BE"/>
    <w:rsid w:val="00F862A6"/>
    <w:rsid w:val="00F87C9A"/>
    <w:rsid w:val="00F937D8"/>
    <w:rsid w:val="00F95BAB"/>
    <w:rsid w:val="00F976AD"/>
    <w:rsid w:val="00F97724"/>
    <w:rsid w:val="00FA4AD9"/>
    <w:rsid w:val="00FA5F39"/>
    <w:rsid w:val="00FB0385"/>
    <w:rsid w:val="00FB22CA"/>
    <w:rsid w:val="00FB3306"/>
    <w:rsid w:val="00FC19A4"/>
    <w:rsid w:val="00FC2A48"/>
    <w:rsid w:val="00FD093F"/>
    <w:rsid w:val="00FD277B"/>
    <w:rsid w:val="00FD56D9"/>
    <w:rsid w:val="00FD5E27"/>
    <w:rsid w:val="00FE3850"/>
    <w:rsid w:val="00FE3891"/>
    <w:rsid w:val="00FE437D"/>
    <w:rsid w:val="00FE5117"/>
    <w:rsid w:val="00FE5488"/>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14:docId w14:val="0A7FE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92F"/>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rsid w:val="0005692F"/>
    <w:pPr>
      <w:tabs>
        <w:tab w:val="center" w:pos="4320"/>
        <w:tab w:val="right" w:pos="8640"/>
      </w:tabs>
    </w:pPr>
    <w:rPr>
      <w:lang w:val="x-none" w:eastAsia="x-none"/>
    </w:rPr>
  </w:style>
  <w:style w:type="character" w:customStyle="1" w:styleId="HeaderChar">
    <w:name w:val="Header Char"/>
    <w:basedOn w:val="DefaultParagraphFont"/>
    <w:link w:val="Header"/>
    <w:uiPriority w:val="99"/>
    <w:rsid w:val="0005692F"/>
    <w:rPr>
      <w:rFonts w:ascii="Times New Roman" w:eastAsia="Times New Roman" w:hAnsi="Times New Roman" w:cs="Times New Roman"/>
      <w:sz w:val="24"/>
      <w:szCs w:val="24"/>
      <w:lang w:val="x-none" w:eastAsia="x-none"/>
    </w:rPr>
  </w:style>
  <w:style w:type="character" w:styleId="PageNumber">
    <w:name w:val="page number"/>
    <w:basedOn w:val="DefaultParagraphFont"/>
    <w:rsid w:val="0005692F"/>
  </w:style>
  <w:style w:type="paragraph" w:styleId="BodyText">
    <w:name w:val="Body Text"/>
    <w:basedOn w:val="Normal"/>
    <w:link w:val="BodyTextChar"/>
    <w:rsid w:val="0005692F"/>
    <w:pPr>
      <w:jc w:val="center"/>
    </w:pPr>
  </w:style>
  <w:style w:type="character" w:customStyle="1" w:styleId="BodyTextChar">
    <w:name w:val="Body Text Char"/>
    <w:basedOn w:val="DefaultParagraphFont"/>
    <w:link w:val="BodyText"/>
    <w:rsid w:val="0005692F"/>
    <w:rPr>
      <w:rFonts w:ascii="Times New Roman" w:eastAsia="Times New Roman" w:hAnsi="Times New Roman" w:cs="Times New Roman"/>
      <w:sz w:val="24"/>
      <w:szCs w:val="24"/>
    </w:rPr>
  </w:style>
  <w:style w:type="paragraph" w:customStyle="1" w:styleId="FindingsConclusions">
    <w:name w:val="Findings &amp; Conclusions"/>
    <w:basedOn w:val="Normal"/>
    <w:rsid w:val="0005692F"/>
    <w:pPr>
      <w:numPr>
        <w:numId w:val="1"/>
      </w:numPr>
    </w:p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rsid w:val="0005692F"/>
    <w:rPr>
      <w:rFonts w:ascii="Palatino Linotype" w:hAnsi="Palatino Linotype"/>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05692F"/>
    <w:rPr>
      <w:rFonts w:ascii="Palatino Linotype" w:eastAsia="Times New Roman" w:hAnsi="Palatino Linotype" w:cs="Times New Roman"/>
      <w:sz w:val="20"/>
      <w:szCs w:val="20"/>
    </w:rPr>
  </w:style>
  <w:style w:type="character" w:styleId="FootnoteReference">
    <w:name w:val="footnote reference"/>
    <w:uiPriority w:val="99"/>
    <w:rsid w:val="0005692F"/>
    <w:rPr>
      <w:vertAlign w:val="superscript"/>
    </w:rPr>
  </w:style>
  <w:style w:type="paragraph" w:styleId="ListParagraph">
    <w:name w:val="List Paragraph"/>
    <w:basedOn w:val="Normal"/>
    <w:uiPriority w:val="34"/>
    <w:qFormat/>
    <w:rsid w:val="0005692F"/>
    <w:pPr>
      <w:ind w:left="720"/>
    </w:pPr>
  </w:style>
  <w:style w:type="paragraph" w:styleId="NoSpacing">
    <w:name w:val="No Spacing"/>
    <w:uiPriority w:val="1"/>
    <w:qFormat/>
    <w:rsid w:val="0005692F"/>
    <w:rPr>
      <w:rFonts w:ascii="Calibri" w:eastAsia="Calibri" w:hAnsi="Calibri" w:cs="Times New Roman"/>
    </w:rPr>
  </w:style>
  <w:style w:type="character" w:styleId="CommentReference">
    <w:name w:val="annotation reference"/>
    <w:basedOn w:val="DefaultParagraphFont"/>
    <w:uiPriority w:val="99"/>
    <w:semiHidden/>
    <w:unhideWhenUsed/>
    <w:rsid w:val="00A60422"/>
    <w:rPr>
      <w:sz w:val="16"/>
      <w:szCs w:val="16"/>
    </w:rPr>
  </w:style>
  <w:style w:type="paragraph" w:styleId="CommentText">
    <w:name w:val="annotation text"/>
    <w:basedOn w:val="Normal"/>
    <w:link w:val="CommentTextChar"/>
    <w:uiPriority w:val="99"/>
    <w:semiHidden/>
    <w:unhideWhenUsed/>
    <w:rsid w:val="00A60422"/>
    <w:rPr>
      <w:sz w:val="20"/>
      <w:szCs w:val="20"/>
    </w:rPr>
  </w:style>
  <w:style w:type="character" w:customStyle="1" w:styleId="CommentTextChar">
    <w:name w:val="Comment Text Char"/>
    <w:basedOn w:val="DefaultParagraphFont"/>
    <w:link w:val="CommentText"/>
    <w:uiPriority w:val="99"/>
    <w:semiHidden/>
    <w:rsid w:val="00A6042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60422"/>
    <w:rPr>
      <w:b/>
      <w:bCs/>
    </w:rPr>
  </w:style>
  <w:style w:type="character" w:customStyle="1" w:styleId="CommentSubjectChar">
    <w:name w:val="Comment Subject Char"/>
    <w:basedOn w:val="CommentTextChar"/>
    <w:link w:val="CommentSubject"/>
    <w:uiPriority w:val="99"/>
    <w:semiHidden/>
    <w:rsid w:val="00A6042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60422"/>
    <w:rPr>
      <w:rFonts w:ascii="Tahoma" w:hAnsi="Tahoma" w:cs="Tahoma"/>
      <w:sz w:val="16"/>
      <w:szCs w:val="16"/>
    </w:rPr>
  </w:style>
  <w:style w:type="character" w:customStyle="1" w:styleId="BalloonTextChar">
    <w:name w:val="Balloon Text Char"/>
    <w:basedOn w:val="DefaultParagraphFont"/>
    <w:link w:val="BalloonText"/>
    <w:uiPriority w:val="99"/>
    <w:semiHidden/>
    <w:rsid w:val="00A60422"/>
    <w:rPr>
      <w:rFonts w:ascii="Tahoma" w:eastAsia="Times New Roman" w:hAnsi="Tahoma" w:cs="Tahoma"/>
      <w:sz w:val="16"/>
      <w:szCs w:val="16"/>
    </w:rPr>
  </w:style>
  <w:style w:type="character" w:styleId="Hyperlink">
    <w:name w:val="Hyperlink"/>
    <w:basedOn w:val="DefaultParagraphFont"/>
    <w:uiPriority w:val="99"/>
    <w:unhideWhenUsed/>
    <w:rsid w:val="00245421"/>
    <w:rPr>
      <w:color w:val="0000FF" w:themeColor="hyperlink"/>
      <w:u w:val="single"/>
    </w:rPr>
  </w:style>
  <w:style w:type="paragraph" w:styleId="Footer">
    <w:name w:val="footer"/>
    <w:basedOn w:val="Normal"/>
    <w:link w:val="FooterChar"/>
    <w:uiPriority w:val="99"/>
    <w:unhideWhenUsed/>
    <w:rsid w:val="00F87C9A"/>
    <w:pPr>
      <w:tabs>
        <w:tab w:val="center" w:pos="4680"/>
        <w:tab w:val="right" w:pos="9360"/>
      </w:tabs>
    </w:pPr>
  </w:style>
  <w:style w:type="character" w:customStyle="1" w:styleId="FooterChar">
    <w:name w:val="Footer Char"/>
    <w:basedOn w:val="DefaultParagraphFont"/>
    <w:link w:val="Footer"/>
    <w:uiPriority w:val="99"/>
    <w:rsid w:val="00F87C9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Other</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2014-12-31T08:00:00+00:00</Date1>
    <IsDocumentOrder xmlns="dc463f71-b30c-4ab2-9473-d307f9d35888">true</IsDocumentOrder>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7FDD8F-C641-4262-AC61-1EB6BF6655A9}"/>
</file>

<file path=customXml/itemProps2.xml><?xml version="1.0" encoding="utf-8"?>
<ds:datastoreItem xmlns:ds="http://schemas.openxmlformats.org/officeDocument/2006/customXml" ds:itemID="{77B87A7D-1C98-4EA1-A503-382E41B40D1A}"/>
</file>

<file path=customXml/itemProps3.xml><?xml version="1.0" encoding="utf-8"?>
<ds:datastoreItem xmlns:ds="http://schemas.openxmlformats.org/officeDocument/2006/customXml" ds:itemID="{DA94747E-14CF-48DE-A9B9-437A1ECC367D}"/>
</file>

<file path=customXml/itemProps4.xml><?xml version="1.0" encoding="utf-8"?>
<ds:datastoreItem xmlns:ds="http://schemas.openxmlformats.org/officeDocument/2006/customXml" ds:itemID="{96FF7F1B-1300-4064-BF07-74FD428E2C3E}"/>
</file>

<file path=customXml/itemProps5.xml><?xml version="1.0" encoding="utf-8"?>
<ds:datastoreItem xmlns:ds="http://schemas.openxmlformats.org/officeDocument/2006/customXml" ds:itemID="{8B7CF3BB-CAB1-4D02-A18D-46DC7DC843E2}"/>
</file>

<file path=docProps/app.xml><?xml version="1.0" encoding="utf-8"?>
<Properties xmlns="http://schemas.openxmlformats.org/officeDocument/2006/extended-properties" xmlns:vt="http://schemas.openxmlformats.org/officeDocument/2006/docPropsVTypes">
  <Template>Normal</Template>
  <TotalTime>0</TotalTime>
  <Pages>6</Pages>
  <Words>1760</Words>
  <Characters>10035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2014-12-31T18:52:00Z</dcterms:created>
  <dcterms:modified xsi:type="dcterms:W3CDTF">2014-12-31T18:52:00Z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0x0101006E56B4D1795A2E4DB2F0B01679ED314A0096E45178E737B2439E5D7C497507581C</vt:lpwstr>
  </property>
  <property fmtid="{D5CDD505-2E9C-101B-9397-08002B2CF9AE}" pid="3" name="_docset_NoMedatataSyncRequired">
    <vt:lpwstr>False</vt:lpwstr>
  </property>
</Properties>
</file>