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A3C7F" w14:textId="464AA8BD" w:rsidR="00866755" w:rsidRPr="00135E9A" w:rsidRDefault="000835A2" w:rsidP="00866755">
      <w:pPr>
        <w:jc w:val="center"/>
        <w:rPr>
          <w:b/>
          <w:sz w:val="22"/>
          <w:szCs w:val="22"/>
        </w:rPr>
      </w:pPr>
      <w:bookmarkStart w:id="0" w:name="_GoBack"/>
      <w:bookmarkEnd w:id="0"/>
      <w:r w:rsidRPr="00BD3B42">
        <w:rPr>
          <w:b/>
          <w:sz w:val="22"/>
          <w:szCs w:val="22"/>
        </w:rPr>
        <w:t>3/</w:t>
      </w:r>
      <w:r w:rsidR="00DE14DA" w:rsidRPr="00BD3B42">
        <w:rPr>
          <w:b/>
          <w:sz w:val="22"/>
          <w:szCs w:val="22"/>
        </w:rPr>
        <w:t>9</w:t>
      </w:r>
      <w:r w:rsidR="00866755" w:rsidRPr="00BD3B42">
        <w:rPr>
          <w:b/>
          <w:sz w:val="22"/>
          <w:szCs w:val="22"/>
        </w:rPr>
        <w:t>/17</w:t>
      </w:r>
      <w:r w:rsidR="00866755" w:rsidRPr="00135E9A">
        <w:rPr>
          <w:b/>
          <w:sz w:val="22"/>
          <w:szCs w:val="22"/>
        </w:rPr>
        <w:t xml:space="preserve"> </w:t>
      </w:r>
    </w:p>
    <w:p w14:paraId="52F0318D" w14:textId="566B6AA6" w:rsidR="00866755" w:rsidRPr="00135E9A" w:rsidRDefault="00DA3D0A" w:rsidP="00866755">
      <w:pPr>
        <w:jc w:val="center"/>
        <w:rPr>
          <w:b/>
          <w:sz w:val="22"/>
          <w:szCs w:val="22"/>
        </w:rPr>
      </w:pPr>
      <w:r w:rsidRPr="00135E9A">
        <w:rPr>
          <w:b/>
          <w:sz w:val="22"/>
          <w:szCs w:val="22"/>
          <w:u w:val="single"/>
        </w:rPr>
        <w:t xml:space="preserve">ADDENDUM TO </w:t>
      </w:r>
      <w:r w:rsidR="00866755" w:rsidRPr="00135E9A">
        <w:rPr>
          <w:b/>
          <w:sz w:val="22"/>
          <w:szCs w:val="22"/>
          <w:u w:val="single"/>
        </w:rPr>
        <w:t xml:space="preserve">2016 </w:t>
      </w:r>
      <w:r w:rsidR="00B4215D" w:rsidRPr="00135E9A">
        <w:rPr>
          <w:b/>
          <w:sz w:val="22"/>
          <w:szCs w:val="22"/>
          <w:u w:val="single"/>
        </w:rPr>
        <w:t xml:space="preserve">IRP ACTION PLAN </w:t>
      </w:r>
    </w:p>
    <w:p w14:paraId="5E1666D1" w14:textId="6CF37584" w:rsidR="00B4215D" w:rsidRPr="00135E9A" w:rsidRDefault="00B4215D" w:rsidP="00B4215D">
      <w:pPr>
        <w:jc w:val="center"/>
        <w:rPr>
          <w:b/>
          <w:sz w:val="22"/>
          <w:szCs w:val="22"/>
          <w:u w:val="single"/>
        </w:rPr>
      </w:pPr>
    </w:p>
    <w:p w14:paraId="1C734FB9" w14:textId="54C7D382" w:rsidR="000F2C85" w:rsidRPr="00135E9A" w:rsidRDefault="002E7404" w:rsidP="000F2C85">
      <w:pPr>
        <w:rPr>
          <w:sz w:val="22"/>
          <w:szCs w:val="22"/>
        </w:rPr>
      </w:pPr>
      <w:r w:rsidRPr="00135E9A">
        <w:rPr>
          <w:sz w:val="22"/>
          <w:szCs w:val="22"/>
        </w:rPr>
        <w:t>On February 8,</w:t>
      </w:r>
      <w:r w:rsidR="003230B0" w:rsidRPr="00135E9A">
        <w:rPr>
          <w:sz w:val="22"/>
          <w:szCs w:val="22"/>
        </w:rPr>
        <w:t xml:space="preserve"> 2017, Cascade representat</w:t>
      </w:r>
      <w:r w:rsidR="00DE561E">
        <w:rPr>
          <w:sz w:val="22"/>
          <w:szCs w:val="22"/>
        </w:rPr>
        <w:t>ives discussed with Commission s</w:t>
      </w:r>
      <w:r w:rsidR="002E2E24" w:rsidRPr="00135E9A">
        <w:rPr>
          <w:sz w:val="22"/>
          <w:szCs w:val="22"/>
        </w:rPr>
        <w:t>taff</w:t>
      </w:r>
      <w:r w:rsidR="003230B0" w:rsidRPr="00135E9A">
        <w:rPr>
          <w:sz w:val="22"/>
          <w:szCs w:val="22"/>
        </w:rPr>
        <w:t xml:space="preserve"> </w:t>
      </w:r>
      <w:r w:rsidR="0022193F">
        <w:rPr>
          <w:sz w:val="22"/>
          <w:szCs w:val="22"/>
        </w:rPr>
        <w:t>the annual conservation p</w:t>
      </w:r>
      <w:r w:rsidR="00FD2ED9" w:rsidRPr="00135E9A">
        <w:rPr>
          <w:sz w:val="22"/>
          <w:szCs w:val="22"/>
        </w:rPr>
        <w:t xml:space="preserve">lan (ACP) as well as </w:t>
      </w:r>
      <w:r w:rsidR="003230B0" w:rsidRPr="00135E9A">
        <w:rPr>
          <w:sz w:val="22"/>
          <w:szCs w:val="22"/>
        </w:rPr>
        <w:t xml:space="preserve">a proposal to file </w:t>
      </w:r>
      <w:r w:rsidR="00E101C0" w:rsidRPr="00135E9A">
        <w:rPr>
          <w:sz w:val="22"/>
          <w:szCs w:val="22"/>
        </w:rPr>
        <w:t>an</w:t>
      </w:r>
      <w:r w:rsidR="000F2C85" w:rsidRPr="00135E9A">
        <w:rPr>
          <w:sz w:val="22"/>
          <w:szCs w:val="22"/>
        </w:rPr>
        <w:t xml:space="preserve"> updated action plan in the 2016</w:t>
      </w:r>
      <w:r w:rsidR="00977137" w:rsidRPr="00135E9A">
        <w:rPr>
          <w:sz w:val="22"/>
          <w:szCs w:val="22"/>
        </w:rPr>
        <w:t xml:space="preserve"> Integrated Resource Plan (IRP)</w:t>
      </w:r>
      <w:r w:rsidR="000F2C85" w:rsidRPr="00135E9A">
        <w:rPr>
          <w:sz w:val="22"/>
          <w:szCs w:val="22"/>
        </w:rPr>
        <w:t xml:space="preserve">, detailing </w:t>
      </w:r>
      <w:r w:rsidR="00EE3EA2" w:rsidRPr="00135E9A">
        <w:rPr>
          <w:sz w:val="22"/>
          <w:szCs w:val="22"/>
        </w:rPr>
        <w:t xml:space="preserve">intended </w:t>
      </w:r>
      <w:r w:rsidR="000F2C85" w:rsidRPr="00135E9A">
        <w:rPr>
          <w:sz w:val="22"/>
          <w:szCs w:val="22"/>
        </w:rPr>
        <w:t xml:space="preserve">changes to its </w:t>
      </w:r>
      <w:r w:rsidR="00CE1195" w:rsidRPr="00135E9A">
        <w:rPr>
          <w:sz w:val="22"/>
          <w:szCs w:val="22"/>
        </w:rPr>
        <w:t xml:space="preserve">conservation </w:t>
      </w:r>
      <w:r w:rsidR="000F2C85" w:rsidRPr="00135E9A">
        <w:rPr>
          <w:sz w:val="22"/>
          <w:szCs w:val="22"/>
        </w:rPr>
        <w:t>assessment methodology</w:t>
      </w:r>
      <w:r w:rsidR="00EE3EA2" w:rsidRPr="00135E9A">
        <w:rPr>
          <w:sz w:val="22"/>
          <w:szCs w:val="22"/>
        </w:rPr>
        <w:t xml:space="preserve"> in the 2018 IRP. </w:t>
      </w:r>
      <w:r w:rsidR="008A35EA" w:rsidRPr="00135E9A">
        <w:rPr>
          <w:sz w:val="22"/>
          <w:szCs w:val="22"/>
        </w:rPr>
        <w:t xml:space="preserve">Cascade’s last potential assessment was performed in 2013. </w:t>
      </w:r>
      <w:r w:rsidRPr="00135E9A">
        <w:rPr>
          <w:sz w:val="22"/>
          <w:szCs w:val="22"/>
        </w:rPr>
        <w:t xml:space="preserve">It is the understanding of Commission </w:t>
      </w:r>
      <w:r w:rsidR="008F7F9F">
        <w:rPr>
          <w:sz w:val="22"/>
          <w:szCs w:val="22"/>
        </w:rPr>
        <w:t>s</w:t>
      </w:r>
      <w:r w:rsidR="002E2E24" w:rsidRPr="00135E9A">
        <w:rPr>
          <w:sz w:val="22"/>
          <w:szCs w:val="22"/>
        </w:rPr>
        <w:t>taff</w:t>
      </w:r>
      <w:r w:rsidRPr="00135E9A">
        <w:rPr>
          <w:sz w:val="22"/>
          <w:szCs w:val="22"/>
        </w:rPr>
        <w:t xml:space="preserve"> that t</w:t>
      </w:r>
      <w:r w:rsidR="00EE3EA2" w:rsidRPr="00135E9A">
        <w:rPr>
          <w:sz w:val="22"/>
          <w:szCs w:val="22"/>
        </w:rPr>
        <w:t xml:space="preserve">he company has agreed </w:t>
      </w:r>
      <w:r w:rsidR="008314A6" w:rsidRPr="00135E9A">
        <w:rPr>
          <w:sz w:val="22"/>
          <w:szCs w:val="22"/>
        </w:rPr>
        <w:t xml:space="preserve">to </w:t>
      </w:r>
      <w:r w:rsidR="000F2C85" w:rsidRPr="00135E9A">
        <w:rPr>
          <w:sz w:val="22"/>
          <w:szCs w:val="22"/>
        </w:rPr>
        <w:t>the following</w:t>
      </w:r>
      <w:r w:rsidRPr="00135E9A">
        <w:rPr>
          <w:sz w:val="22"/>
          <w:szCs w:val="22"/>
        </w:rPr>
        <w:t xml:space="preserve"> </w:t>
      </w:r>
      <w:r w:rsidR="00F0750A">
        <w:rPr>
          <w:sz w:val="22"/>
          <w:szCs w:val="22"/>
        </w:rPr>
        <w:t>proposal</w:t>
      </w:r>
      <w:r w:rsidR="00FD2ED9" w:rsidRPr="00135E9A">
        <w:rPr>
          <w:sz w:val="22"/>
          <w:szCs w:val="22"/>
        </w:rPr>
        <w:t xml:space="preserve">. </w:t>
      </w:r>
    </w:p>
    <w:p w14:paraId="7BA3FAF8" w14:textId="77777777" w:rsidR="00866755" w:rsidRDefault="00866755" w:rsidP="000F2C85"/>
    <w:tbl>
      <w:tblPr>
        <w:tblStyle w:val="TableGrid"/>
        <w:tblW w:w="0" w:type="auto"/>
        <w:tblLook w:val="04A0" w:firstRow="1" w:lastRow="0" w:firstColumn="1" w:lastColumn="0" w:noHBand="0" w:noVBand="1"/>
      </w:tblPr>
      <w:tblGrid>
        <w:gridCol w:w="1310"/>
        <w:gridCol w:w="1496"/>
        <w:gridCol w:w="6544"/>
      </w:tblGrid>
      <w:tr w:rsidR="000F2C85" w:rsidRPr="00933E77" w14:paraId="36B6F30C" w14:textId="77777777" w:rsidTr="009D4563">
        <w:tc>
          <w:tcPr>
            <w:tcW w:w="1310" w:type="dxa"/>
          </w:tcPr>
          <w:p w14:paraId="61C5CDBA" w14:textId="77777777" w:rsidR="000F2C85" w:rsidRPr="00933E77" w:rsidRDefault="000F2C85" w:rsidP="009D4563">
            <w:pPr>
              <w:rPr>
                <w:b/>
                <w:sz w:val="20"/>
                <w:szCs w:val="20"/>
              </w:rPr>
            </w:pPr>
            <w:r w:rsidRPr="00933E77">
              <w:rPr>
                <w:b/>
                <w:sz w:val="20"/>
                <w:szCs w:val="20"/>
              </w:rPr>
              <w:t>Date</w:t>
            </w:r>
          </w:p>
        </w:tc>
        <w:tc>
          <w:tcPr>
            <w:tcW w:w="1496" w:type="dxa"/>
          </w:tcPr>
          <w:p w14:paraId="7C7247D6" w14:textId="77777777" w:rsidR="000F2C85" w:rsidRPr="00933E77" w:rsidRDefault="000F2C85" w:rsidP="009D4563">
            <w:pPr>
              <w:rPr>
                <w:b/>
                <w:sz w:val="20"/>
                <w:szCs w:val="20"/>
              </w:rPr>
            </w:pPr>
            <w:r w:rsidRPr="00933E77">
              <w:rPr>
                <w:b/>
                <w:sz w:val="20"/>
                <w:szCs w:val="20"/>
              </w:rPr>
              <w:t>Deliverable</w:t>
            </w:r>
          </w:p>
        </w:tc>
        <w:tc>
          <w:tcPr>
            <w:tcW w:w="6544" w:type="dxa"/>
          </w:tcPr>
          <w:p w14:paraId="473AD2D4" w14:textId="77777777" w:rsidR="000F2C85" w:rsidRPr="00933E77" w:rsidRDefault="000F2C85" w:rsidP="009D4563">
            <w:pPr>
              <w:rPr>
                <w:b/>
                <w:sz w:val="20"/>
                <w:szCs w:val="20"/>
              </w:rPr>
            </w:pPr>
            <w:r w:rsidRPr="00933E77">
              <w:rPr>
                <w:b/>
                <w:sz w:val="20"/>
                <w:szCs w:val="20"/>
              </w:rPr>
              <w:t>Description</w:t>
            </w:r>
          </w:p>
        </w:tc>
      </w:tr>
      <w:tr w:rsidR="000F2C85" w:rsidRPr="00933E77" w14:paraId="29A679A8" w14:textId="77777777" w:rsidTr="009D4563">
        <w:tc>
          <w:tcPr>
            <w:tcW w:w="1310" w:type="dxa"/>
          </w:tcPr>
          <w:p w14:paraId="2396D9A5" w14:textId="77777777" w:rsidR="000F2C85" w:rsidRPr="00933E77" w:rsidRDefault="00EB3E41" w:rsidP="009D4563">
            <w:pPr>
              <w:rPr>
                <w:sz w:val="20"/>
                <w:szCs w:val="20"/>
              </w:rPr>
            </w:pPr>
            <w:r w:rsidRPr="00933E77">
              <w:rPr>
                <w:sz w:val="20"/>
                <w:szCs w:val="20"/>
              </w:rPr>
              <w:t>Q2</w:t>
            </w:r>
            <w:r w:rsidR="000F2C85" w:rsidRPr="00933E77">
              <w:rPr>
                <w:sz w:val="20"/>
                <w:szCs w:val="20"/>
              </w:rPr>
              <w:t>-2017</w:t>
            </w:r>
          </w:p>
        </w:tc>
        <w:tc>
          <w:tcPr>
            <w:tcW w:w="1496" w:type="dxa"/>
          </w:tcPr>
          <w:p w14:paraId="6D2850F3" w14:textId="24EDA0E7" w:rsidR="000F2C85" w:rsidRPr="00933E77" w:rsidRDefault="000F2C85" w:rsidP="00CE3B71">
            <w:pPr>
              <w:rPr>
                <w:sz w:val="20"/>
                <w:szCs w:val="20"/>
              </w:rPr>
            </w:pPr>
            <w:r w:rsidRPr="00933E77">
              <w:rPr>
                <w:sz w:val="20"/>
                <w:szCs w:val="20"/>
              </w:rPr>
              <w:t>RFP for Conservation Potential Assessment</w:t>
            </w:r>
            <w:r w:rsidR="008A233C" w:rsidRPr="00933E77">
              <w:rPr>
                <w:sz w:val="20"/>
                <w:szCs w:val="20"/>
              </w:rPr>
              <w:t xml:space="preserve"> </w:t>
            </w:r>
          </w:p>
        </w:tc>
        <w:tc>
          <w:tcPr>
            <w:tcW w:w="6544" w:type="dxa"/>
          </w:tcPr>
          <w:p w14:paraId="3EB67B74" w14:textId="5463B14A" w:rsidR="00DE3133" w:rsidRPr="00933E77" w:rsidRDefault="00273248" w:rsidP="00DE3133">
            <w:pPr>
              <w:rPr>
                <w:sz w:val="20"/>
                <w:szCs w:val="20"/>
              </w:rPr>
            </w:pPr>
            <w:r w:rsidRPr="00933E77">
              <w:rPr>
                <w:sz w:val="20"/>
                <w:szCs w:val="20"/>
              </w:rPr>
              <w:t>In consultation with the Conservation Advisory Group and</w:t>
            </w:r>
            <w:r w:rsidR="00A72428" w:rsidRPr="00933E77">
              <w:rPr>
                <w:sz w:val="20"/>
                <w:szCs w:val="20"/>
              </w:rPr>
              <w:t xml:space="preserve"> Commission </w:t>
            </w:r>
            <w:r w:rsidR="002E2E24" w:rsidRPr="00933E77">
              <w:rPr>
                <w:sz w:val="20"/>
                <w:szCs w:val="20"/>
              </w:rPr>
              <w:t>Staff</w:t>
            </w:r>
            <w:r w:rsidR="00A72428" w:rsidRPr="00933E77">
              <w:rPr>
                <w:sz w:val="20"/>
                <w:szCs w:val="20"/>
              </w:rPr>
              <w:t xml:space="preserve">, finalize the </w:t>
            </w:r>
            <w:r w:rsidR="000F2C85" w:rsidRPr="00933E77">
              <w:rPr>
                <w:sz w:val="20"/>
                <w:szCs w:val="20"/>
              </w:rPr>
              <w:t>Request for Proposal (RFP)</w:t>
            </w:r>
            <w:r w:rsidR="00977137" w:rsidRPr="00933E77">
              <w:rPr>
                <w:sz w:val="20"/>
                <w:szCs w:val="20"/>
              </w:rPr>
              <w:t xml:space="preserve"> for a new </w:t>
            </w:r>
            <w:r w:rsidR="008A233C" w:rsidRPr="00933E77">
              <w:rPr>
                <w:sz w:val="20"/>
                <w:szCs w:val="20"/>
              </w:rPr>
              <w:t>CPA</w:t>
            </w:r>
            <w:r w:rsidR="000F2C85" w:rsidRPr="00933E77">
              <w:rPr>
                <w:sz w:val="20"/>
                <w:szCs w:val="20"/>
              </w:rPr>
              <w:t xml:space="preserve">. </w:t>
            </w:r>
            <w:r w:rsidR="00977137" w:rsidRPr="00933E77">
              <w:rPr>
                <w:sz w:val="20"/>
                <w:szCs w:val="20"/>
              </w:rPr>
              <w:t>The Company has agreed t</w:t>
            </w:r>
            <w:r w:rsidR="0070132E" w:rsidRPr="00933E77">
              <w:rPr>
                <w:sz w:val="20"/>
                <w:szCs w:val="20"/>
              </w:rPr>
              <w:t>o</w:t>
            </w:r>
            <w:r w:rsidR="00121346" w:rsidRPr="00933E77">
              <w:rPr>
                <w:sz w:val="20"/>
                <w:szCs w:val="20"/>
              </w:rPr>
              <w:t xml:space="preserve"> develop a new </w:t>
            </w:r>
            <w:r w:rsidR="000F2C85" w:rsidRPr="00933E77">
              <w:rPr>
                <w:sz w:val="20"/>
                <w:szCs w:val="20"/>
              </w:rPr>
              <w:t xml:space="preserve">RFP for a conservation potential assessment </w:t>
            </w:r>
            <w:r w:rsidR="008B35FB" w:rsidRPr="00933E77">
              <w:rPr>
                <w:sz w:val="20"/>
                <w:szCs w:val="20"/>
              </w:rPr>
              <w:t xml:space="preserve">and new (or modified) model </w:t>
            </w:r>
            <w:r w:rsidR="000F2C85" w:rsidRPr="00933E77">
              <w:rPr>
                <w:sz w:val="20"/>
                <w:szCs w:val="20"/>
              </w:rPr>
              <w:t>using the Northwest P</w:t>
            </w:r>
            <w:r w:rsidR="00977137" w:rsidRPr="00933E77">
              <w:rPr>
                <w:sz w:val="20"/>
                <w:szCs w:val="20"/>
              </w:rPr>
              <w:t xml:space="preserve">ower and Conservation Council’s </w:t>
            </w:r>
            <w:r w:rsidR="002E2E24" w:rsidRPr="00933E77">
              <w:rPr>
                <w:sz w:val="20"/>
                <w:szCs w:val="20"/>
              </w:rPr>
              <w:t xml:space="preserve">(NWPCC) </w:t>
            </w:r>
            <w:r w:rsidR="00A71584" w:rsidRPr="00933E77">
              <w:rPr>
                <w:sz w:val="20"/>
                <w:szCs w:val="20"/>
              </w:rPr>
              <w:t>four</w:t>
            </w:r>
            <w:r w:rsidR="000F2C85" w:rsidRPr="00933E77">
              <w:rPr>
                <w:sz w:val="20"/>
                <w:szCs w:val="20"/>
              </w:rPr>
              <w:t xml:space="preserve">-step methodology for calculating </w:t>
            </w:r>
            <w:r w:rsidR="00E22151" w:rsidRPr="00933E77">
              <w:rPr>
                <w:sz w:val="20"/>
                <w:szCs w:val="20"/>
              </w:rPr>
              <w:t xml:space="preserve">conservation </w:t>
            </w:r>
            <w:r w:rsidR="000F2C85" w:rsidRPr="00933E77">
              <w:rPr>
                <w:sz w:val="20"/>
                <w:szCs w:val="20"/>
              </w:rPr>
              <w:t>potential</w:t>
            </w:r>
            <w:r w:rsidR="00DE3133" w:rsidRPr="00933E77">
              <w:rPr>
                <w:sz w:val="20"/>
                <w:szCs w:val="20"/>
              </w:rPr>
              <w:t>:</w:t>
            </w:r>
          </w:p>
          <w:p w14:paraId="79AAF0AC" w14:textId="77777777" w:rsidR="00A839AD" w:rsidRPr="00933E77" w:rsidRDefault="00A839AD" w:rsidP="00A839AD">
            <w:pPr>
              <w:pStyle w:val="ListParagraph"/>
              <w:numPr>
                <w:ilvl w:val="0"/>
                <w:numId w:val="4"/>
              </w:numPr>
              <w:rPr>
                <w:sz w:val="20"/>
                <w:szCs w:val="20"/>
              </w:rPr>
            </w:pPr>
            <w:r w:rsidRPr="00933E77">
              <w:rPr>
                <w:b/>
                <w:sz w:val="20"/>
                <w:szCs w:val="20"/>
              </w:rPr>
              <w:t>Technical potential.</w:t>
            </w:r>
            <w:r w:rsidRPr="00933E77">
              <w:rPr>
                <w:sz w:val="20"/>
                <w:szCs w:val="20"/>
              </w:rPr>
              <w:t xml:space="preserve"> Determine the amount of conservation that is technically feasible, considering the measures and number of these measures that could physically be installed or implemented, without regard to achievability or cost.</w:t>
            </w:r>
          </w:p>
          <w:p w14:paraId="721B2370" w14:textId="393826B7" w:rsidR="002E2E24" w:rsidRPr="00933E77" w:rsidRDefault="00A839AD" w:rsidP="002E2E24">
            <w:pPr>
              <w:pStyle w:val="ListParagraph"/>
              <w:numPr>
                <w:ilvl w:val="0"/>
                <w:numId w:val="4"/>
              </w:numPr>
              <w:rPr>
                <w:i/>
                <w:sz w:val="20"/>
                <w:szCs w:val="20"/>
              </w:rPr>
            </w:pPr>
            <w:r w:rsidRPr="00933E77">
              <w:rPr>
                <w:b/>
                <w:sz w:val="20"/>
                <w:szCs w:val="20"/>
              </w:rPr>
              <w:t>Achievable technical potential (use adoption curves).</w:t>
            </w:r>
            <w:r w:rsidRPr="00933E77">
              <w:rPr>
                <w:sz w:val="20"/>
                <w:szCs w:val="20"/>
              </w:rPr>
              <w:t xml:space="preserve"> Determine the amount of conservation technical potential that is available within the planning period.</w:t>
            </w:r>
            <w:r w:rsidR="002E2E24" w:rsidRPr="00933E77">
              <w:rPr>
                <w:sz w:val="20"/>
                <w:szCs w:val="20"/>
              </w:rPr>
              <w:t xml:space="preserve"> This screen will consider barriers to market penetration and the rate at which conservation savings could be acquired. Where appropriate</w:t>
            </w:r>
            <w:r w:rsidR="00F84140">
              <w:rPr>
                <w:sz w:val="20"/>
                <w:szCs w:val="20"/>
              </w:rPr>
              <w:t xml:space="preserve"> and available</w:t>
            </w:r>
            <w:r w:rsidR="002E2E24" w:rsidRPr="00933E77">
              <w:rPr>
                <w:sz w:val="20"/>
                <w:szCs w:val="20"/>
              </w:rPr>
              <w:t xml:space="preserve">, </w:t>
            </w:r>
            <w:r w:rsidRPr="00933E77">
              <w:rPr>
                <w:sz w:val="20"/>
                <w:szCs w:val="20"/>
              </w:rPr>
              <w:t>C</w:t>
            </w:r>
            <w:r w:rsidR="002E2E24" w:rsidRPr="00933E77">
              <w:rPr>
                <w:sz w:val="20"/>
                <w:szCs w:val="20"/>
              </w:rPr>
              <w:t xml:space="preserve">ascade </w:t>
            </w:r>
            <w:r w:rsidR="00F84140">
              <w:rPr>
                <w:sz w:val="20"/>
                <w:szCs w:val="20"/>
              </w:rPr>
              <w:t>will</w:t>
            </w:r>
            <w:r w:rsidR="00F84140" w:rsidRPr="00933E77">
              <w:rPr>
                <w:sz w:val="20"/>
                <w:szCs w:val="20"/>
              </w:rPr>
              <w:t xml:space="preserve"> </w:t>
            </w:r>
            <w:r w:rsidR="002E2E24" w:rsidRPr="00933E77">
              <w:rPr>
                <w:sz w:val="20"/>
                <w:szCs w:val="20"/>
              </w:rPr>
              <w:t xml:space="preserve">apply NWPCC’s adoption curves. </w:t>
            </w:r>
          </w:p>
          <w:p w14:paraId="01AECACB" w14:textId="162B64D8" w:rsidR="00DE3133" w:rsidRPr="00933E77" w:rsidRDefault="00DE3133" w:rsidP="002E2E24">
            <w:pPr>
              <w:rPr>
                <w:i/>
                <w:sz w:val="20"/>
                <w:szCs w:val="20"/>
              </w:rPr>
            </w:pPr>
            <w:r w:rsidRPr="00933E77">
              <w:rPr>
                <w:i/>
                <w:sz w:val="20"/>
                <w:szCs w:val="20"/>
              </w:rPr>
              <w:t>Note: Step</w:t>
            </w:r>
            <w:r w:rsidR="00030EED" w:rsidRPr="00933E77">
              <w:rPr>
                <w:i/>
                <w:sz w:val="20"/>
                <w:szCs w:val="20"/>
              </w:rPr>
              <w:t>s</w:t>
            </w:r>
            <w:r w:rsidRPr="00933E77">
              <w:rPr>
                <w:i/>
                <w:sz w:val="20"/>
                <w:szCs w:val="20"/>
              </w:rPr>
              <w:t xml:space="preserve"> 3</w:t>
            </w:r>
            <w:r w:rsidR="00030EED" w:rsidRPr="00933E77">
              <w:rPr>
                <w:i/>
                <w:sz w:val="20"/>
                <w:szCs w:val="20"/>
              </w:rPr>
              <w:t>-4</w:t>
            </w:r>
            <w:r w:rsidRPr="00933E77">
              <w:rPr>
                <w:i/>
                <w:sz w:val="20"/>
                <w:szCs w:val="20"/>
              </w:rPr>
              <w:t xml:space="preserve"> (Economic Potential) will occur in Q2-2018.</w:t>
            </w:r>
          </w:p>
        </w:tc>
      </w:tr>
      <w:tr w:rsidR="000F03D4" w:rsidRPr="00933E77" w14:paraId="5BE0A158" w14:textId="77777777" w:rsidTr="00AD5109">
        <w:tc>
          <w:tcPr>
            <w:tcW w:w="1310" w:type="dxa"/>
          </w:tcPr>
          <w:p w14:paraId="7295E671" w14:textId="77777777" w:rsidR="000F03D4" w:rsidRPr="00933E77" w:rsidRDefault="000F03D4" w:rsidP="00AD5109">
            <w:pPr>
              <w:rPr>
                <w:sz w:val="20"/>
                <w:szCs w:val="20"/>
              </w:rPr>
            </w:pPr>
            <w:r w:rsidRPr="00933E77">
              <w:rPr>
                <w:sz w:val="20"/>
                <w:szCs w:val="20"/>
              </w:rPr>
              <w:t>Q4-2017</w:t>
            </w:r>
          </w:p>
        </w:tc>
        <w:tc>
          <w:tcPr>
            <w:tcW w:w="1496" w:type="dxa"/>
          </w:tcPr>
          <w:p w14:paraId="7BB667AC" w14:textId="77777777" w:rsidR="000F03D4" w:rsidRPr="00933E77" w:rsidRDefault="000F03D4" w:rsidP="00AD5109">
            <w:pPr>
              <w:rPr>
                <w:sz w:val="20"/>
                <w:szCs w:val="20"/>
              </w:rPr>
            </w:pPr>
            <w:r w:rsidRPr="00933E77">
              <w:rPr>
                <w:sz w:val="20"/>
                <w:szCs w:val="20"/>
              </w:rPr>
              <w:t>2018 IRP Work Plan</w:t>
            </w:r>
          </w:p>
        </w:tc>
        <w:tc>
          <w:tcPr>
            <w:tcW w:w="6544" w:type="dxa"/>
          </w:tcPr>
          <w:p w14:paraId="1FB41D9C" w14:textId="77777777" w:rsidR="000F03D4" w:rsidRPr="00933E77" w:rsidRDefault="000F03D4" w:rsidP="00A6555F">
            <w:pPr>
              <w:rPr>
                <w:sz w:val="20"/>
                <w:szCs w:val="20"/>
              </w:rPr>
            </w:pPr>
            <w:r w:rsidRPr="00933E77">
              <w:rPr>
                <w:sz w:val="20"/>
                <w:szCs w:val="20"/>
              </w:rPr>
              <w:t xml:space="preserve">The Commission will review the 2018 IRP work plan. The work plan must outline the content of the integrated resource plan to be developed by the utility and the method for assessing potential resources, including conservation. </w:t>
            </w:r>
          </w:p>
        </w:tc>
      </w:tr>
      <w:tr w:rsidR="00A6555F" w:rsidRPr="00933E77" w14:paraId="3CDE0163" w14:textId="77777777" w:rsidTr="00AD5109">
        <w:tc>
          <w:tcPr>
            <w:tcW w:w="1310" w:type="dxa"/>
          </w:tcPr>
          <w:p w14:paraId="539A853C" w14:textId="77777777" w:rsidR="00A6555F" w:rsidRPr="00933E77" w:rsidRDefault="00A6555F" w:rsidP="00AD5109">
            <w:pPr>
              <w:rPr>
                <w:sz w:val="20"/>
                <w:szCs w:val="20"/>
              </w:rPr>
            </w:pPr>
            <w:r w:rsidRPr="00933E77">
              <w:rPr>
                <w:sz w:val="20"/>
                <w:szCs w:val="20"/>
              </w:rPr>
              <w:t>Q1-2018</w:t>
            </w:r>
          </w:p>
        </w:tc>
        <w:tc>
          <w:tcPr>
            <w:tcW w:w="1496" w:type="dxa"/>
          </w:tcPr>
          <w:p w14:paraId="69F62796" w14:textId="77777777" w:rsidR="00A6555F" w:rsidRPr="00933E77" w:rsidRDefault="00A6555F" w:rsidP="00AD5109">
            <w:pPr>
              <w:rPr>
                <w:sz w:val="20"/>
                <w:szCs w:val="20"/>
              </w:rPr>
            </w:pPr>
            <w:r w:rsidRPr="00933E77">
              <w:rPr>
                <w:sz w:val="20"/>
                <w:szCs w:val="20"/>
              </w:rPr>
              <w:t>Conservation Potential Assessment</w:t>
            </w:r>
          </w:p>
        </w:tc>
        <w:tc>
          <w:tcPr>
            <w:tcW w:w="6544" w:type="dxa"/>
          </w:tcPr>
          <w:p w14:paraId="235988B3" w14:textId="2D2D0230" w:rsidR="00A6555F" w:rsidRPr="00933E77" w:rsidRDefault="00A6555F" w:rsidP="00F84140">
            <w:pPr>
              <w:rPr>
                <w:bCs/>
                <w:sz w:val="20"/>
                <w:szCs w:val="20"/>
              </w:rPr>
            </w:pPr>
            <w:r w:rsidRPr="00933E77">
              <w:rPr>
                <w:bCs/>
                <w:sz w:val="20"/>
                <w:szCs w:val="20"/>
              </w:rPr>
              <w:t>The consultant will finalize CPA, which will be included as part of the 2018 IRP.</w:t>
            </w:r>
          </w:p>
        </w:tc>
      </w:tr>
      <w:tr w:rsidR="00756F3C" w:rsidRPr="00933E77" w14:paraId="4CBA49C4" w14:textId="77777777" w:rsidTr="00756F3C">
        <w:tc>
          <w:tcPr>
            <w:tcW w:w="1310" w:type="dxa"/>
            <w:hideMark/>
          </w:tcPr>
          <w:p w14:paraId="2BE7FBF2" w14:textId="7826CD25" w:rsidR="00756F3C" w:rsidRPr="00933E77" w:rsidRDefault="00A8598F">
            <w:pPr>
              <w:rPr>
                <w:sz w:val="20"/>
                <w:szCs w:val="20"/>
              </w:rPr>
            </w:pPr>
            <w:r w:rsidRPr="00933E77">
              <w:rPr>
                <w:sz w:val="20"/>
                <w:szCs w:val="20"/>
              </w:rPr>
              <w:t>Q2</w:t>
            </w:r>
            <w:r w:rsidR="00756F3C" w:rsidRPr="00933E77">
              <w:rPr>
                <w:sz w:val="20"/>
                <w:szCs w:val="20"/>
              </w:rPr>
              <w:t>-2018</w:t>
            </w:r>
          </w:p>
        </w:tc>
        <w:tc>
          <w:tcPr>
            <w:tcW w:w="1496" w:type="dxa"/>
            <w:hideMark/>
          </w:tcPr>
          <w:p w14:paraId="7DB9499A" w14:textId="77777777" w:rsidR="00756F3C" w:rsidRPr="00933E77" w:rsidRDefault="00756F3C">
            <w:pPr>
              <w:rPr>
                <w:sz w:val="20"/>
                <w:szCs w:val="20"/>
              </w:rPr>
            </w:pPr>
            <w:r w:rsidRPr="00933E77">
              <w:rPr>
                <w:sz w:val="20"/>
                <w:szCs w:val="20"/>
              </w:rPr>
              <w:t>Calculate Economic Potential in 2018 IRP</w:t>
            </w:r>
          </w:p>
        </w:tc>
        <w:tc>
          <w:tcPr>
            <w:tcW w:w="6544" w:type="dxa"/>
            <w:hideMark/>
          </w:tcPr>
          <w:p w14:paraId="48499F37" w14:textId="14045820" w:rsidR="000F03D4" w:rsidRPr="00933E77" w:rsidRDefault="000F03D4" w:rsidP="000F03D4">
            <w:pPr>
              <w:rPr>
                <w:sz w:val="20"/>
                <w:szCs w:val="20"/>
              </w:rPr>
            </w:pPr>
            <w:r w:rsidRPr="00933E77">
              <w:rPr>
                <w:sz w:val="20"/>
                <w:szCs w:val="20"/>
              </w:rPr>
              <w:t xml:space="preserve">Using the Northwest Power and </w:t>
            </w:r>
            <w:r w:rsidR="00E64B0E" w:rsidRPr="00933E77">
              <w:rPr>
                <w:sz w:val="20"/>
                <w:szCs w:val="20"/>
              </w:rPr>
              <w:t>Conservation Council’s four</w:t>
            </w:r>
            <w:r w:rsidRPr="00933E77">
              <w:rPr>
                <w:sz w:val="20"/>
                <w:szCs w:val="20"/>
              </w:rPr>
              <w:t xml:space="preserve">-step methodology for calculating conservation potential, Cascade </w:t>
            </w:r>
            <w:r w:rsidR="00945548" w:rsidRPr="00933E77">
              <w:rPr>
                <w:sz w:val="20"/>
                <w:szCs w:val="20"/>
              </w:rPr>
              <w:t xml:space="preserve">should </w:t>
            </w:r>
            <w:r w:rsidRPr="00933E77">
              <w:rPr>
                <w:sz w:val="20"/>
                <w:szCs w:val="20"/>
              </w:rPr>
              <w:t>calculate the economic potential within the IRP, but outside of the CPA:</w:t>
            </w:r>
          </w:p>
          <w:p w14:paraId="4B6DEE00" w14:textId="2A9C297E" w:rsidR="00030EED" w:rsidRPr="00933E77" w:rsidRDefault="00030EED" w:rsidP="00A839AD">
            <w:pPr>
              <w:pStyle w:val="ListParagraph"/>
              <w:numPr>
                <w:ilvl w:val="0"/>
                <w:numId w:val="4"/>
              </w:numPr>
              <w:rPr>
                <w:sz w:val="20"/>
                <w:szCs w:val="20"/>
              </w:rPr>
            </w:pPr>
            <w:r w:rsidRPr="00933E77">
              <w:rPr>
                <w:b/>
                <w:sz w:val="20"/>
                <w:szCs w:val="20"/>
              </w:rPr>
              <w:t>Economic achievable potential.</w:t>
            </w:r>
            <w:r w:rsidRPr="00933E77">
              <w:rPr>
                <w:sz w:val="20"/>
                <w:szCs w:val="20"/>
              </w:rPr>
              <w:t xml:space="preserve"> </w:t>
            </w:r>
            <w:r w:rsidR="00835119" w:rsidRPr="00BD3B42">
              <w:rPr>
                <w:sz w:val="20"/>
                <w:szCs w:val="20"/>
              </w:rPr>
              <w:t>Remodel Cascade’s existing modeling methodology</w:t>
            </w:r>
            <w:r w:rsidR="001818A2" w:rsidRPr="00BD3B42">
              <w:rPr>
                <w:sz w:val="20"/>
                <w:szCs w:val="20"/>
              </w:rPr>
              <w:t xml:space="preserve"> from</w:t>
            </w:r>
            <w:r w:rsidR="00835119" w:rsidRPr="00BD3B42">
              <w:rPr>
                <w:sz w:val="20"/>
                <w:szCs w:val="20"/>
              </w:rPr>
              <w:t xml:space="preserve"> </w:t>
            </w:r>
            <w:r w:rsidR="00BC52D9" w:rsidRPr="00BD3B42">
              <w:rPr>
                <w:sz w:val="20"/>
                <w:szCs w:val="20"/>
              </w:rPr>
              <w:t xml:space="preserve">the </w:t>
            </w:r>
            <w:r w:rsidR="00835119" w:rsidRPr="00BD3B42">
              <w:rPr>
                <w:sz w:val="20"/>
                <w:szCs w:val="20"/>
              </w:rPr>
              <w:t xml:space="preserve">Technical, Economic, Achievable, Potential </w:t>
            </w:r>
            <w:r w:rsidR="00BC52D9" w:rsidRPr="00BD3B42">
              <w:rPr>
                <w:sz w:val="20"/>
                <w:szCs w:val="20"/>
              </w:rPr>
              <w:t xml:space="preserve">format </w:t>
            </w:r>
            <w:r w:rsidR="001C2A5A" w:rsidRPr="00BD3B42">
              <w:rPr>
                <w:sz w:val="20"/>
                <w:szCs w:val="20"/>
              </w:rPr>
              <w:t>currently used to calculate</w:t>
            </w:r>
            <w:r w:rsidR="001818A2" w:rsidRPr="00BD3B42">
              <w:rPr>
                <w:sz w:val="20"/>
                <w:szCs w:val="20"/>
              </w:rPr>
              <w:t xml:space="preserve"> the cost-benefit ratio to e</w:t>
            </w:r>
            <w:r w:rsidRPr="00BC52D9">
              <w:rPr>
                <w:sz w:val="20"/>
                <w:szCs w:val="20"/>
              </w:rPr>
              <w:t>stablish</w:t>
            </w:r>
            <w:r w:rsidR="001818A2" w:rsidRPr="00BC52D9">
              <w:rPr>
                <w:sz w:val="20"/>
                <w:szCs w:val="20"/>
              </w:rPr>
              <w:t>ing</w:t>
            </w:r>
            <w:r w:rsidRPr="00BC52D9">
              <w:rPr>
                <w:sz w:val="20"/>
                <w:szCs w:val="20"/>
              </w:rPr>
              <w:t xml:space="preserve"> </w:t>
            </w:r>
            <w:r w:rsidRPr="00933E77">
              <w:rPr>
                <w:sz w:val="20"/>
                <w:szCs w:val="20"/>
              </w:rPr>
              <w:t>the economic achievable potential</w:t>
            </w:r>
            <w:r w:rsidR="001818A2">
              <w:rPr>
                <w:sz w:val="20"/>
                <w:szCs w:val="20"/>
              </w:rPr>
              <w:t>. This</w:t>
            </w:r>
            <w:r w:rsidRPr="00933E77">
              <w:rPr>
                <w:sz w:val="20"/>
                <w:szCs w:val="20"/>
              </w:rPr>
              <w:t xml:space="preserve"> is the conservation potential that is cost-effective, reliable, and feasible, by comparing the total cost of the conservation measures to the cost of other resources available to meet expected demand, using an integrated portfolio approach or the benefit-cost ratio approach.</w:t>
            </w:r>
          </w:p>
          <w:p w14:paraId="672638BC" w14:textId="6179CEDD" w:rsidR="00DE14DA" w:rsidRPr="00BD3B42" w:rsidRDefault="00DE14DA" w:rsidP="00BD3B42">
            <w:pPr>
              <w:pStyle w:val="ListParagraph"/>
              <w:numPr>
                <w:ilvl w:val="0"/>
                <w:numId w:val="4"/>
              </w:numPr>
              <w:rPr>
                <w:sz w:val="20"/>
                <w:szCs w:val="20"/>
              </w:rPr>
            </w:pPr>
            <w:r w:rsidRPr="00BD3B42">
              <w:rPr>
                <w:b/>
                <w:bCs/>
                <w:sz w:val="20"/>
                <w:szCs w:val="20"/>
              </w:rPr>
              <w:t>Cost-effectiveness tests.</w:t>
            </w:r>
          </w:p>
          <w:p w14:paraId="46F20730" w14:textId="53B01C2A" w:rsidR="00DE14DA" w:rsidRPr="00BD3B42" w:rsidRDefault="00DE14DA" w:rsidP="00BD3B42">
            <w:pPr>
              <w:pStyle w:val="ListParagraph"/>
              <w:numPr>
                <w:ilvl w:val="1"/>
                <w:numId w:val="4"/>
              </w:numPr>
              <w:rPr>
                <w:sz w:val="20"/>
                <w:szCs w:val="20"/>
              </w:rPr>
            </w:pPr>
            <w:r w:rsidRPr="00BD3B42">
              <w:rPr>
                <w:sz w:val="14"/>
                <w:szCs w:val="14"/>
              </w:rPr>
              <w:t xml:space="preserve">  </w:t>
            </w:r>
            <w:r w:rsidRPr="00BD3B42">
              <w:rPr>
                <w:b/>
                <w:bCs/>
                <w:sz w:val="20"/>
                <w:szCs w:val="20"/>
              </w:rPr>
              <w:t xml:space="preserve">Total Resource Cost (TRC): </w:t>
            </w:r>
            <w:r w:rsidRPr="00BD3B42">
              <w:rPr>
                <w:sz w:val="20"/>
                <w:szCs w:val="20"/>
              </w:rPr>
              <w:t> </w:t>
            </w:r>
            <w:r w:rsidR="002B7140" w:rsidRPr="00BD3B42">
              <w:rPr>
                <w:sz w:val="20"/>
                <w:szCs w:val="20"/>
              </w:rPr>
              <w:t xml:space="preserve">In collaboration with the advisory group, the company will evaluate moving towards using the </w:t>
            </w:r>
            <w:r w:rsidR="002B7140" w:rsidRPr="00BD3B42">
              <w:rPr>
                <w:b/>
                <w:bCs/>
                <w:sz w:val="20"/>
                <w:szCs w:val="20"/>
              </w:rPr>
              <w:t>TRC</w:t>
            </w:r>
            <w:r w:rsidR="002B7140" w:rsidRPr="00BD3B42">
              <w:rPr>
                <w:sz w:val="20"/>
                <w:szCs w:val="20"/>
              </w:rPr>
              <w:t xml:space="preserve"> in its annual conservation plan and report. The company will incorporate the </w:t>
            </w:r>
            <w:r w:rsidR="002B7140" w:rsidRPr="00BD3B42">
              <w:rPr>
                <w:b/>
                <w:bCs/>
                <w:sz w:val="20"/>
                <w:szCs w:val="20"/>
              </w:rPr>
              <w:t>TRC</w:t>
            </w:r>
            <w:r w:rsidR="002B7140" w:rsidRPr="00BD3B42">
              <w:rPr>
                <w:sz w:val="20"/>
                <w:szCs w:val="20"/>
              </w:rPr>
              <w:t xml:space="preserve"> in its revised or new model and analyze the impacts of the program on both the utility and its ratepayers. The analysis will include, but is not limited to: expected carbon policies, capacity (supply and distribution), monetized non-energy benefits (NEBs), and conservation credit adder.</w:t>
            </w:r>
          </w:p>
          <w:p w14:paraId="53505ADA" w14:textId="3553A6C2" w:rsidR="00756F3C" w:rsidRPr="00BD3B42" w:rsidRDefault="00DE14DA" w:rsidP="00BD3B42">
            <w:pPr>
              <w:pStyle w:val="ListParagraph"/>
              <w:numPr>
                <w:ilvl w:val="1"/>
                <w:numId w:val="4"/>
              </w:numPr>
              <w:rPr>
                <w:sz w:val="20"/>
                <w:szCs w:val="20"/>
              </w:rPr>
            </w:pPr>
            <w:r w:rsidRPr="00DE14DA">
              <w:rPr>
                <w:sz w:val="14"/>
                <w:szCs w:val="14"/>
              </w:rPr>
              <w:lastRenderedPageBreak/>
              <w:t xml:space="preserve"> </w:t>
            </w:r>
            <w:r w:rsidRPr="00BD3B42">
              <w:rPr>
                <w:b/>
                <w:bCs/>
                <w:sz w:val="20"/>
                <w:szCs w:val="20"/>
              </w:rPr>
              <w:t xml:space="preserve">Utility Cost Test (UCT):  </w:t>
            </w:r>
            <w:r w:rsidRPr="00BD3B42">
              <w:rPr>
                <w:sz w:val="20"/>
                <w:szCs w:val="20"/>
              </w:rPr>
              <w:t xml:space="preserve">As allowed by the Commission’s Policy Statement on Gas Conservation Programs in Docket UG- 121207, and in collaboration with the advisory group, the Company will also use the </w:t>
            </w:r>
            <w:r w:rsidRPr="00BD3B42">
              <w:rPr>
                <w:b/>
                <w:bCs/>
                <w:sz w:val="20"/>
                <w:szCs w:val="20"/>
              </w:rPr>
              <w:t>UCT</w:t>
            </w:r>
            <w:r w:rsidRPr="00BD3B42">
              <w:rPr>
                <w:sz w:val="20"/>
                <w:szCs w:val="20"/>
              </w:rPr>
              <w:t xml:space="preserve"> to adjust economic achievable potential through the revised or new model.</w:t>
            </w:r>
          </w:p>
        </w:tc>
      </w:tr>
    </w:tbl>
    <w:p w14:paraId="289E8FB7" w14:textId="77777777" w:rsidR="00E2500C" w:rsidRDefault="00E2500C" w:rsidP="00866755"/>
    <w:sectPr w:rsidR="00E2500C" w:rsidSect="008667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8793D" w14:textId="77777777" w:rsidR="00332933" w:rsidRDefault="00332933" w:rsidP="00E2500C">
      <w:r>
        <w:separator/>
      </w:r>
    </w:p>
  </w:endnote>
  <w:endnote w:type="continuationSeparator" w:id="0">
    <w:p w14:paraId="4E1CC2A1" w14:textId="77777777" w:rsidR="00332933" w:rsidRDefault="00332933" w:rsidP="00E25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6818A" w14:textId="77777777" w:rsidR="00332933" w:rsidRDefault="00332933" w:rsidP="00E2500C">
      <w:r>
        <w:separator/>
      </w:r>
    </w:p>
  </w:footnote>
  <w:footnote w:type="continuationSeparator" w:id="0">
    <w:p w14:paraId="41778DFB" w14:textId="77777777" w:rsidR="00332933" w:rsidRDefault="00332933" w:rsidP="00E250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E1B4C"/>
    <w:multiLevelType w:val="hybridMultilevel"/>
    <w:tmpl w:val="D5884E4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1E0BEC"/>
    <w:multiLevelType w:val="hybridMultilevel"/>
    <w:tmpl w:val="004CBEA0"/>
    <w:lvl w:ilvl="0" w:tplc="AD3E9B6A">
      <w:start w:val="1"/>
      <w:numFmt w:val="decimal"/>
      <w:lvlText w:val="%1."/>
      <w:lvlJc w:val="left"/>
      <w:pPr>
        <w:tabs>
          <w:tab w:val="num" w:pos="720"/>
        </w:tabs>
        <w:ind w:left="720" w:hanging="360"/>
      </w:pPr>
    </w:lvl>
    <w:lvl w:ilvl="1" w:tplc="C79C22BA" w:tentative="1">
      <w:start w:val="1"/>
      <w:numFmt w:val="decimal"/>
      <w:lvlText w:val="%2."/>
      <w:lvlJc w:val="left"/>
      <w:pPr>
        <w:tabs>
          <w:tab w:val="num" w:pos="1440"/>
        </w:tabs>
        <w:ind w:left="1440" w:hanging="360"/>
      </w:pPr>
    </w:lvl>
    <w:lvl w:ilvl="2" w:tplc="A8EAA754" w:tentative="1">
      <w:start w:val="1"/>
      <w:numFmt w:val="decimal"/>
      <w:lvlText w:val="%3."/>
      <w:lvlJc w:val="left"/>
      <w:pPr>
        <w:tabs>
          <w:tab w:val="num" w:pos="2160"/>
        </w:tabs>
        <w:ind w:left="2160" w:hanging="360"/>
      </w:pPr>
    </w:lvl>
    <w:lvl w:ilvl="3" w:tplc="F516EAC0" w:tentative="1">
      <w:start w:val="1"/>
      <w:numFmt w:val="decimal"/>
      <w:lvlText w:val="%4."/>
      <w:lvlJc w:val="left"/>
      <w:pPr>
        <w:tabs>
          <w:tab w:val="num" w:pos="2880"/>
        </w:tabs>
        <w:ind w:left="2880" w:hanging="360"/>
      </w:pPr>
    </w:lvl>
    <w:lvl w:ilvl="4" w:tplc="448639A8" w:tentative="1">
      <w:start w:val="1"/>
      <w:numFmt w:val="decimal"/>
      <w:lvlText w:val="%5."/>
      <w:lvlJc w:val="left"/>
      <w:pPr>
        <w:tabs>
          <w:tab w:val="num" w:pos="3600"/>
        </w:tabs>
        <w:ind w:left="3600" w:hanging="360"/>
      </w:pPr>
    </w:lvl>
    <w:lvl w:ilvl="5" w:tplc="4CB05E86" w:tentative="1">
      <w:start w:val="1"/>
      <w:numFmt w:val="decimal"/>
      <w:lvlText w:val="%6."/>
      <w:lvlJc w:val="left"/>
      <w:pPr>
        <w:tabs>
          <w:tab w:val="num" w:pos="4320"/>
        </w:tabs>
        <w:ind w:left="4320" w:hanging="360"/>
      </w:pPr>
    </w:lvl>
    <w:lvl w:ilvl="6" w:tplc="A7C01E72" w:tentative="1">
      <w:start w:val="1"/>
      <w:numFmt w:val="decimal"/>
      <w:lvlText w:val="%7."/>
      <w:lvlJc w:val="left"/>
      <w:pPr>
        <w:tabs>
          <w:tab w:val="num" w:pos="5040"/>
        </w:tabs>
        <w:ind w:left="5040" w:hanging="360"/>
      </w:pPr>
    </w:lvl>
    <w:lvl w:ilvl="7" w:tplc="539C0F0E" w:tentative="1">
      <w:start w:val="1"/>
      <w:numFmt w:val="decimal"/>
      <w:lvlText w:val="%8."/>
      <w:lvlJc w:val="left"/>
      <w:pPr>
        <w:tabs>
          <w:tab w:val="num" w:pos="5760"/>
        </w:tabs>
        <w:ind w:left="5760" w:hanging="360"/>
      </w:pPr>
    </w:lvl>
    <w:lvl w:ilvl="8" w:tplc="087248C6" w:tentative="1">
      <w:start w:val="1"/>
      <w:numFmt w:val="decimal"/>
      <w:lvlText w:val="%9."/>
      <w:lvlJc w:val="left"/>
      <w:pPr>
        <w:tabs>
          <w:tab w:val="num" w:pos="6480"/>
        </w:tabs>
        <w:ind w:left="6480" w:hanging="360"/>
      </w:pPr>
    </w:lvl>
  </w:abstractNum>
  <w:abstractNum w:abstractNumId="2" w15:restartNumberingAfterBreak="0">
    <w:nsid w:val="48EE0E1D"/>
    <w:multiLevelType w:val="hybridMultilevel"/>
    <w:tmpl w:val="5C0A8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C85"/>
    <w:rsid w:val="00002090"/>
    <w:rsid w:val="000112F2"/>
    <w:rsid w:val="00030EED"/>
    <w:rsid w:val="00031856"/>
    <w:rsid w:val="00037A13"/>
    <w:rsid w:val="0005122F"/>
    <w:rsid w:val="00056B87"/>
    <w:rsid w:val="00082866"/>
    <w:rsid w:val="000835A2"/>
    <w:rsid w:val="0009493F"/>
    <w:rsid w:val="000F03D4"/>
    <w:rsid w:val="000F2C85"/>
    <w:rsid w:val="00121346"/>
    <w:rsid w:val="00125A40"/>
    <w:rsid w:val="00135E9A"/>
    <w:rsid w:val="00152230"/>
    <w:rsid w:val="0016084C"/>
    <w:rsid w:val="001818A2"/>
    <w:rsid w:val="00181AFE"/>
    <w:rsid w:val="001A1A3E"/>
    <w:rsid w:val="001A3E62"/>
    <w:rsid w:val="001B75CF"/>
    <w:rsid w:val="001C2A5A"/>
    <w:rsid w:val="001F5F8E"/>
    <w:rsid w:val="00210342"/>
    <w:rsid w:val="002204DE"/>
    <w:rsid w:val="0022193F"/>
    <w:rsid w:val="00231F3C"/>
    <w:rsid w:val="0024663F"/>
    <w:rsid w:val="00262E46"/>
    <w:rsid w:val="00273248"/>
    <w:rsid w:val="002A2E06"/>
    <w:rsid w:val="002B7140"/>
    <w:rsid w:val="002C2EAD"/>
    <w:rsid w:val="002D5FB4"/>
    <w:rsid w:val="002E2E24"/>
    <w:rsid w:val="002E4CC4"/>
    <w:rsid w:val="002E7404"/>
    <w:rsid w:val="003037CB"/>
    <w:rsid w:val="003230B0"/>
    <w:rsid w:val="00332933"/>
    <w:rsid w:val="00405A58"/>
    <w:rsid w:val="004103B6"/>
    <w:rsid w:val="00416DDF"/>
    <w:rsid w:val="004367C2"/>
    <w:rsid w:val="0044449F"/>
    <w:rsid w:val="00470991"/>
    <w:rsid w:val="00483BB0"/>
    <w:rsid w:val="004B0DEB"/>
    <w:rsid w:val="004C7C01"/>
    <w:rsid w:val="004D3D2D"/>
    <w:rsid w:val="00502C23"/>
    <w:rsid w:val="00507F05"/>
    <w:rsid w:val="00512DCC"/>
    <w:rsid w:val="00512EB6"/>
    <w:rsid w:val="00526DA5"/>
    <w:rsid w:val="00560BB3"/>
    <w:rsid w:val="00583ECC"/>
    <w:rsid w:val="00586D66"/>
    <w:rsid w:val="005B7520"/>
    <w:rsid w:val="005C5F18"/>
    <w:rsid w:val="005D77DD"/>
    <w:rsid w:val="005E7E3B"/>
    <w:rsid w:val="005F4EBE"/>
    <w:rsid w:val="005F72FD"/>
    <w:rsid w:val="00636FDF"/>
    <w:rsid w:val="0068048A"/>
    <w:rsid w:val="006C3D6E"/>
    <w:rsid w:val="006E4140"/>
    <w:rsid w:val="0070132E"/>
    <w:rsid w:val="00712246"/>
    <w:rsid w:val="0075216A"/>
    <w:rsid w:val="007521B0"/>
    <w:rsid w:val="007521DC"/>
    <w:rsid w:val="0075304F"/>
    <w:rsid w:val="00756F3C"/>
    <w:rsid w:val="00766C37"/>
    <w:rsid w:val="00782313"/>
    <w:rsid w:val="007A6658"/>
    <w:rsid w:val="007C2775"/>
    <w:rsid w:val="007E5BC0"/>
    <w:rsid w:val="008314A6"/>
    <w:rsid w:val="00835119"/>
    <w:rsid w:val="00851FD6"/>
    <w:rsid w:val="00852BEE"/>
    <w:rsid w:val="00866755"/>
    <w:rsid w:val="00866F2E"/>
    <w:rsid w:val="00880C7E"/>
    <w:rsid w:val="00886B04"/>
    <w:rsid w:val="00892F82"/>
    <w:rsid w:val="00894AA9"/>
    <w:rsid w:val="008A233C"/>
    <w:rsid w:val="008A35EA"/>
    <w:rsid w:val="008B35FB"/>
    <w:rsid w:val="008B7A1D"/>
    <w:rsid w:val="008B7AF6"/>
    <w:rsid w:val="008F7F9F"/>
    <w:rsid w:val="00933E77"/>
    <w:rsid w:val="00936057"/>
    <w:rsid w:val="0094175D"/>
    <w:rsid w:val="00945548"/>
    <w:rsid w:val="00977137"/>
    <w:rsid w:val="0099263B"/>
    <w:rsid w:val="00A228D7"/>
    <w:rsid w:val="00A25627"/>
    <w:rsid w:val="00A37506"/>
    <w:rsid w:val="00A6555F"/>
    <w:rsid w:val="00A666E2"/>
    <w:rsid w:val="00A708BE"/>
    <w:rsid w:val="00A71584"/>
    <w:rsid w:val="00A72428"/>
    <w:rsid w:val="00A839AD"/>
    <w:rsid w:val="00A8598F"/>
    <w:rsid w:val="00AC6664"/>
    <w:rsid w:val="00AD76C5"/>
    <w:rsid w:val="00AE4FE5"/>
    <w:rsid w:val="00AF06C9"/>
    <w:rsid w:val="00B4215D"/>
    <w:rsid w:val="00B7753C"/>
    <w:rsid w:val="00B84F3B"/>
    <w:rsid w:val="00B9103C"/>
    <w:rsid w:val="00BB6DA6"/>
    <w:rsid w:val="00BC52D9"/>
    <w:rsid w:val="00BD3B42"/>
    <w:rsid w:val="00C06A13"/>
    <w:rsid w:val="00C31A84"/>
    <w:rsid w:val="00C5343E"/>
    <w:rsid w:val="00C75772"/>
    <w:rsid w:val="00C76161"/>
    <w:rsid w:val="00C81D2B"/>
    <w:rsid w:val="00CD0359"/>
    <w:rsid w:val="00CD7E82"/>
    <w:rsid w:val="00CE1195"/>
    <w:rsid w:val="00CE3B71"/>
    <w:rsid w:val="00D0671A"/>
    <w:rsid w:val="00DA3D0A"/>
    <w:rsid w:val="00DB3014"/>
    <w:rsid w:val="00DB64D3"/>
    <w:rsid w:val="00DC588C"/>
    <w:rsid w:val="00DE14DA"/>
    <w:rsid w:val="00DE3133"/>
    <w:rsid w:val="00DE561E"/>
    <w:rsid w:val="00E0114E"/>
    <w:rsid w:val="00E101C0"/>
    <w:rsid w:val="00E14C92"/>
    <w:rsid w:val="00E17351"/>
    <w:rsid w:val="00E215F2"/>
    <w:rsid w:val="00E22151"/>
    <w:rsid w:val="00E2500C"/>
    <w:rsid w:val="00E32A95"/>
    <w:rsid w:val="00E464BF"/>
    <w:rsid w:val="00E64B0E"/>
    <w:rsid w:val="00EA4014"/>
    <w:rsid w:val="00EB0501"/>
    <w:rsid w:val="00EB3E41"/>
    <w:rsid w:val="00EB670B"/>
    <w:rsid w:val="00EB7736"/>
    <w:rsid w:val="00ED2082"/>
    <w:rsid w:val="00ED24C9"/>
    <w:rsid w:val="00EE3EA2"/>
    <w:rsid w:val="00EE6F83"/>
    <w:rsid w:val="00F0750A"/>
    <w:rsid w:val="00F743A0"/>
    <w:rsid w:val="00F84140"/>
    <w:rsid w:val="00FB6F6D"/>
    <w:rsid w:val="00FD2ED9"/>
    <w:rsid w:val="00FF5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FE551"/>
  <w15:docId w15:val="{74F156B6-6FFD-43B7-8930-3BDEF0412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C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C85"/>
    <w:pPr>
      <w:ind w:left="720"/>
      <w:contextualSpacing/>
    </w:pPr>
  </w:style>
  <w:style w:type="table" w:styleId="TableGrid">
    <w:name w:val="Table Grid"/>
    <w:basedOn w:val="TableNormal"/>
    <w:uiPriority w:val="39"/>
    <w:rsid w:val="000F2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7A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A13"/>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E2500C"/>
    <w:rPr>
      <w:rFonts w:eastAsiaTheme="minorHAnsi"/>
      <w:sz w:val="20"/>
      <w:szCs w:val="20"/>
    </w:rPr>
  </w:style>
  <w:style w:type="character" w:customStyle="1" w:styleId="FootnoteTextChar">
    <w:name w:val="Footnote Text Char"/>
    <w:basedOn w:val="DefaultParagraphFont"/>
    <w:link w:val="FootnoteText"/>
    <w:uiPriority w:val="99"/>
    <w:semiHidden/>
    <w:rsid w:val="00E2500C"/>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E2500C"/>
    <w:rPr>
      <w:vertAlign w:val="superscript"/>
    </w:rPr>
  </w:style>
  <w:style w:type="character" w:styleId="CommentReference">
    <w:name w:val="annotation reference"/>
    <w:basedOn w:val="DefaultParagraphFont"/>
    <w:uiPriority w:val="99"/>
    <w:semiHidden/>
    <w:unhideWhenUsed/>
    <w:rsid w:val="00E0114E"/>
    <w:rPr>
      <w:sz w:val="16"/>
      <w:szCs w:val="16"/>
    </w:rPr>
  </w:style>
  <w:style w:type="paragraph" w:styleId="CommentText">
    <w:name w:val="annotation text"/>
    <w:basedOn w:val="Normal"/>
    <w:link w:val="CommentTextChar"/>
    <w:uiPriority w:val="99"/>
    <w:semiHidden/>
    <w:unhideWhenUsed/>
    <w:rsid w:val="00E0114E"/>
    <w:rPr>
      <w:sz w:val="20"/>
      <w:szCs w:val="20"/>
    </w:rPr>
  </w:style>
  <w:style w:type="character" w:customStyle="1" w:styleId="CommentTextChar">
    <w:name w:val="Comment Text Char"/>
    <w:basedOn w:val="DefaultParagraphFont"/>
    <w:link w:val="CommentText"/>
    <w:uiPriority w:val="99"/>
    <w:semiHidden/>
    <w:rsid w:val="00E011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114E"/>
    <w:rPr>
      <w:b/>
      <w:bCs/>
    </w:rPr>
  </w:style>
  <w:style w:type="character" w:customStyle="1" w:styleId="CommentSubjectChar">
    <w:name w:val="Comment Subject Char"/>
    <w:basedOn w:val="CommentTextChar"/>
    <w:link w:val="CommentSubject"/>
    <w:uiPriority w:val="99"/>
    <w:semiHidden/>
    <w:rsid w:val="00E0114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03561">
      <w:bodyDiv w:val="1"/>
      <w:marLeft w:val="0"/>
      <w:marRight w:val="0"/>
      <w:marTop w:val="0"/>
      <w:marBottom w:val="0"/>
      <w:divBdr>
        <w:top w:val="none" w:sz="0" w:space="0" w:color="auto"/>
        <w:left w:val="none" w:sz="0" w:space="0" w:color="auto"/>
        <w:bottom w:val="none" w:sz="0" w:space="0" w:color="auto"/>
        <w:right w:val="none" w:sz="0" w:space="0" w:color="auto"/>
      </w:divBdr>
      <w:divsChild>
        <w:div w:id="2069985543">
          <w:marLeft w:val="547"/>
          <w:marRight w:val="0"/>
          <w:marTop w:val="0"/>
          <w:marBottom w:val="0"/>
          <w:divBdr>
            <w:top w:val="none" w:sz="0" w:space="0" w:color="auto"/>
            <w:left w:val="none" w:sz="0" w:space="0" w:color="auto"/>
            <w:bottom w:val="none" w:sz="0" w:space="0" w:color="auto"/>
            <w:right w:val="none" w:sz="0" w:space="0" w:color="auto"/>
          </w:divBdr>
        </w:div>
        <w:div w:id="761030373">
          <w:marLeft w:val="547"/>
          <w:marRight w:val="0"/>
          <w:marTop w:val="0"/>
          <w:marBottom w:val="0"/>
          <w:divBdr>
            <w:top w:val="none" w:sz="0" w:space="0" w:color="auto"/>
            <w:left w:val="none" w:sz="0" w:space="0" w:color="auto"/>
            <w:bottom w:val="none" w:sz="0" w:space="0" w:color="auto"/>
            <w:right w:val="none" w:sz="0" w:space="0" w:color="auto"/>
          </w:divBdr>
        </w:div>
      </w:divsChild>
    </w:div>
    <w:div w:id="1109005229">
      <w:bodyDiv w:val="1"/>
      <w:marLeft w:val="0"/>
      <w:marRight w:val="0"/>
      <w:marTop w:val="0"/>
      <w:marBottom w:val="0"/>
      <w:divBdr>
        <w:top w:val="none" w:sz="0" w:space="0" w:color="auto"/>
        <w:left w:val="none" w:sz="0" w:space="0" w:color="auto"/>
        <w:bottom w:val="none" w:sz="0" w:space="0" w:color="auto"/>
        <w:right w:val="none" w:sz="0" w:space="0" w:color="auto"/>
      </w:divBdr>
    </w:div>
    <w:div w:id="1948810083">
      <w:bodyDiv w:val="1"/>
      <w:marLeft w:val="0"/>
      <w:marRight w:val="0"/>
      <w:marTop w:val="0"/>
      <w:marBottom w:val="0"/>
      <w:divBdr>
        <w:top w:val="none" w:sz="0" w:space="0" w:color="auto"/>
        <w:left w:val="none" w:sz="0" w:space="0" w:color="auto"/>
        <w:bottom w:val="none" w:sz="0" w:space="0" w:color="auto"/>
        <w:right w:val="none" w:sz="0" w:space="0" w:color="auto"/>
      </w:divBdr>
    </w:div>
    <w:div w:id="214068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60FB7A06EC0A4287672D91D8331009" ma:contentTypeVersion="104" ma:contentTypeDescription="" ma:contentTypeScope="" ma:versionID="4fc58195969815c35114c24e48bb6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Document</DocumentSetType>
    <Visibility xmlns="dc463f71-b30c-4ab2-9473-d307f9d35888" xsi:nil="tru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2016-04-29T07:00:00+00:00</OpenedDate>
    <Date1 xmlns="dc463f71-b30c-4ab2-9473-d307f9d35888">2017-03-10T08:00:00+00:00</Date1>
    <IsDocumentOrder xmlns="dc463f71-b30c-4ab2-9473-d307f9d35888" xsi:nil="true"/>
    <IsHighlyConfidential xmlns="dc463f71-b30c-4ab2-9473-d307f9d35888">false</IsHighlyConfidential>
    <CaseCompanyNames xmlns="dc463f71-b30c-4ab2-9473-d307f9d35888">Cascade Natural Gas Corporation</CaseCompanyNames>
    <Nickname xmlns="http://schemas.microsoft.com/sharepoint/v3" xsi:nil="true"/>
    <DocketNumber xmlns="dc463f71-b30c-4ab2-9473-d307f9d35888">160453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19BC44B7-1B0D-4471-82AC-CE8EFF679B0E}">
  <ds:schemaRefs>
    <ds:schemaRef ds:uri="http://schemas.openxmlformats.org/officeDocument/2006/bibliography"/>
  </ds:schemaRefs>
</ds:datastoreItem>
</file>

<file path=customXml/itemProps2.xml><?xml version="1.0" encoding="utf-8"?>
<ds:datastoreItem xmlns:ds="http://schemas.openxmlformats.org/officeDocument/2006/customXml" ds:itemID="{C7121047-728C-4C30-A136-A010B1C5CFDE}"/>
</file>

<file path=customXml/itemProps3.xml><?xml version="1.0" encoding="utf-8"?>
<ds:datastoreItem xmlns:ds="http://schemas.openxmlformats.org/officeDocument/2006/customXml" ds:itemID="{321CB80A-CE1A-45BC-9D37-E31AFDC2AF1E}"/>
</file>

<file path=customXml/itemProps4.xml><?xml version="1.0" encoding="utf-8"?>
<ds:datastoreItem xmlns:ds="http://schemas.openxmlformats.org/officeDocument/2006/customXml" ds:itemID="{6C82B4EE-D1C2-40C1-9757-8FE54DCE5BA2}"/>
</file>

<file path=customXml/itemProps5.xml><?xml version="1.0" encoding="utf-8"?>
<ds:datastoreItem xmlns:ds="http://schemas.openxmlformats.org/officeDocument/2006/customXml" ds:itemID="{DFEF5312-A76E-4DD5-B7F4-87EC14E433B3}"/>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Scanlan, Kathi (UTC)</dc:creator>
  <cp:lastModifiedBy>Robertson, Brian</cp:lastModifiedBy>
  <cp:revision>2</cp:revision>
  <cp:lastPrinted>2017-02-08T21:01:00Z</cp:lastPrinted>
  <dcterms:created xsi:type="dcterms:W3CDTF">2017-03-10T16:38:00Z</dcterms:created>
  <dcterms:modified xsi:type="dcterms:W3CDTF">2017-03-10T16:38:00Z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0x0101006E56B4D1795A2E4DB2F0B01679ED314A009E60FB7A06EC0A4287672D91D8331009</vt:lpwstr>
  </property>
  <property fmtid="{D5CDD505-2E9C-101B-9397-08002B2CF9AE}" pid="3" name="_docset_NoMedatataSyncRequired">
    <vt:lpwstr>False</vt:lpwstr>
  </property>
  <property fmtid="{D5CDD505-2E9C-101B-9397-08002B2CF9AE}" pid="4" name="IsEFSEC">
    <vt:bool>false</vt:bool>
  </property>
</Properties>
</file>