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46" w:rsidRDefault="00883A2E" w:rsidP="00BC2646">
      <w:pPr>
        <w:tabs>
          <w:tab w:val="center" w:pos="4680"/>
        </w:tabs>
        <w:ind w:right="-252" w:hanging="360"/>
        <w:jc w:val="right"/>
        <w:rPr>
          <w:b/>
          <w:bCs/>
        </w:rPr>
      </w:pPr>
      <w:r w:rsidRPr="003A2606">
        <w:rPr>
          <w:b/>
          <w:bCs/>
        </w:rPr>
        <w:tab/>
      </w:r>
      <w:r w:rsidRPr="003A2606">
        <w:rPr>
          <w:b/>
          <w:bCs/>
        </w:rPr>
        <w:tab/>
        <w:t xml:space="preserve">Exhibit No. ___ </w:t>
      </w:r>
      <w:r w:rsidR="00B63CCF">
        <w:rPr>
          <w:b/>
          <w:bCs/>
        </w:rPr>
        <w:t xml:space="preserve">T </w:t>
      </w:r>
      <w:r w:rsidRPr="003A2606">
        <w:rPr>
          <w:b/>
          <w:bCs/>
        </w:rPr>
        <w:t xml:space="preserve">(TES-1T) </w:t>
      </w:r>
    </w:p>
    <w:p w:rsidR="00BC2646" w:rsidRPr="003A2606" w:rsidRDefault="00BC2646" w:rsidP="00BC2646">
      <w:pPr>
        <w:tabs>
          <w:tab w:val="center" w:pos="4680"/>
        </w:tabs>
        <w:ind w:right="-252" w:hanging="360"/>
        <w:jc w:val="right"/>
        <w:rPr>
          <w:b/>
          <w:bCs/>
        </w:rPr>
      </w:pPr>
      <w:r>
        <w:rPr>
          <w:b/>
          <w:bCs/>
        </w:rPr>
        <w:t>DOCKET UE-121373</w:t>
      </w:r>
    </w:p>
    <w:p w:rsidR="00883A2E" w:rsidRDefault="00883A2E" w:rsidP="00BC2646">
      <w:pPr>
        <w:tabs>
          <w:tab w:val="center" w:pos="4680"/>
        </w:tabs>
        <w:ind w:right="-252" w:hanging="360"/>
        <w:jc w:val="right"/>
        <w:rPr>
          <w:b/>
          <w:bCs/>
        </w:rPr>
      </w:pPr>
      <w:r w:rsidRPr="003A2606">
        <w:rPr>
          <w:b/>
          <w:bCs/>
        </w:rPr>
        <w:t>D</w:t>
      </w:r>
      <w:r w:rsidR="00BC2646">
        <w:rPr>
          <w:b/>
          <w:bCs/>
        </w:rPr>
        <w:t>OCKETS</w:t>
      </w:r>
      <w:r w:rsidRPr="003A2606">
        <w:rPr>
          <w:b/>
          <w:bCs/>
        </w:rPr>
        <w:t xml:space="preserve"> UE-</w:t>
      </w:r>
      <w:r w:rsidR="00920EB2">
        <w:rPr>
          <w:b/>
          <w:bCs/>
        </w:rPr>
        <w:t>121697</w:t>
      </w:r>
      <w:r w:rsidRPr="003A2606">
        <w:rPr>
          <w:b/>
          <w:bCs/>
        </w:rPr>
        <w:t>/UG-</w:t>
      </w:r>
      <w:r w:rsidR="00920EB2">
        <w:rPr>
          <w:b/>
          <w:bCs/>
        </w:rPr>
        <w:t>121705</w:t>
      </w:r>
    </w:p>
    <w:p w:rsidR="00920EB2" w:rsidRPr="003A2606" w:rsidRDefault="00BC2646" w:rsidP="00BC2646">
      <w:pPr>
        <w:tabs>
          <w:tab w:val="center" w:pos="4680"/>
        </w:tabs>
        <w:ind w:right="-252" w:hanging="360"/>
        <w:jc w:val="right"/>
        <w:rPr>
          <w:b/>
          <w:bCs/>
        </w:rPr>
      </w:pPr>
      <w:r>
        <w:rPr>
          <w:b/>
          <w:bCs/>
        </w:rPr>
        <w:t>DOCKETS UE-130137/UG-130138</w:t>
      </w:r>
    </w:p>
    <w:p w:rsidR="00883A2E" w:rsidRPr="003A2606" w:rsidRDefault="00883A2E" w:rsidP="00BC2646">
      <w:pPr>
        <w:tabs>
          <w:tab w:val="center" w:pos="4680"/>
        </w:tabs>
        <w:ind w:right="-252" w:hanging="360"/>
        <w:jc w:val="right"/>
        <w:rPr>
          <w:b/>
          <w:bCs/>
        </w:rPr>
      </w:pPr>
      <w:r w:rsidRPr="003A2606">
        <w:rPr>
          <w:b/>
          <w:bCs/>
        </w:rPr>
        <w:t xml:space="preserve">Witness: Thomas E. Schooley </w:t>
      </w: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2B2F2E" w:rsidP="002B2F2E">
      <w:pPr>
        <w:ind w:right="-612" w:hanging="540"/>
        <w:jc w:val="center"/>
        <w:rPr>
          <w:b/>
        </w:rPr>
      </w:pPr>
      <w:r w:rsidRPr="003A2606">
        <w:rPr>
          <w:b/>
        </w:rPr>
        <w:t>BEFORE THE WASHINGTON STATE</w:t>
      </w:r>
      <w:r>
        <w:rPr>
          <w:b/>
        </w:rPr>
        <w:t xml:space="preserve"> </w:t>
      </w:r>
      <w:r w:rsidRPr="003A2606">
        <w:rPr>
          <w:b/>
        </w:rPr>
        <w:t>UTILITIES AND TRANSPORTATION COMMISSION</w:t>
      </w:r>
    </w:p>
    <w:p w:rsidR="00883A2E" w:rsidRPr="003A2606" w:rsidRDefault="00883A2E" w:rsidP="00883A2E">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83A2E" w:rsidRPr="003A2606" w:rsidTr="002F0348">
        <w:tc>
          <w:tcPr>
            <w:tcW w:w="4590" w:type="dxa"/>
            <w:tcBorders>
              <w:top w:val="single" w:sz="6" w:space="0" w:color="FFFFFF"/>
              <w:left w:val="single" w:sz="6" w:space="0" w:color="FFFFFF"/>
              <w:bottom w:val="single" w:sz="7" w:space="0" w:color="000000"/>
              <w:right w:val="single" w:sz="6" w:space="0" w:color="FFFFFF"/>
            </w:tcBorders>
          </w:tcPr>
          <w:p w:rsidR="00883A2E" w:rsidRPr="003A2606" w:rsidRDefault="00883A2E" w:rsidP="002F0348">
            <w:pPr>
              <w:rPr>
                <w:b/>
              </w:rPr>
            </w:pPr>
            <w:r w:rsidRPr="003A2606">
              <w:rPr>
                <w:b/>
              </w:rPr>
              <w:t xml:space="preserve">WASHINGTON UTILITIES AND TRANSPORTATION COMMISSION, </w:t>
            </w:r>
          </w:p>
          <w:p w:rsidR="00883A2E" w:rsidRPr="003A2606" w:rsidRDefault="00883A2E" w:rsidP="002F0348">
            <w:pPr>
              <w:rPr>
                <w:b/>
              </w:rPr>
            </w:pPr>
          </w:p>
          <w:p w:rsidR="00883A2E" w:rsidRPr="003A2606" w:rsidRDefault="00883A2E" w:rsidP="002F0348">
            <w:pPr>
              <w:rPr>
                <w:b/>
              </w:rPr>
            </w:pPr>
            <w:r w:rsidRPr="003A2606">
              <w:rPr>
                <w:b/>
              </w:rPr>
              <w:tab/>
            </w:r>
            <w:r w:rsidRPr="003A2606">
              <w:rPr>
                <w:b/>
              </w:rPr>
              <w:tab/>
              <w:t>Complainant,</w:t>
            </w:r>
          </w:p>
          <w:p w:rsidR="00883A2E" w:rsidRPr="003A2606" w:rsidRDefault="00883A2E" w:rsidP="002F0348">
            <w:pPr>
              <w:rPr>
                <w:b/>
              </w:rPr>
            </w:pPr>
          </w:p>
          <w:p w:rsidR="00883A2E" w:rsidRPr="003A2606" w:rsidRDefault="00883A2E" w:rsidP="002F0348">
            <w:pPr>
              <w:rPr>
                <w:b/>
              </w:rPr>
            </w:pPr>
            <w:r w:rsidRPr="003A2606">
              <w:rPr>
                <w:b/>
              </w:rPr>
              <w:tab/>
              <w:t>v.</w:t>
            </w:r>
          </w:p>
          <w:p w:rsidR="00883A2E" w:rsidRPr="003A2606" w:rsidRDefault="00883A2E" w:rsidP="002F0348">
            <w:pPr>
              <w:rPr>
                <w:b/>
              </w:rPr>
            </w:pPr>
          </w:p>
          <w:p w:rsidR="00883A2E" w:rsidRPr="003A2606" w:rsidRDefault="00883A2E" w:rsidP="002F0348">
            <w:pPr>
              <w:rPr>
                <w:b/>
              </w:rPr>
            </w:pPr>
            <w:r w:rsidRPr="003A2606">
              <w:rPr>
                <w:b/>
              </w:rPr>
              <w:t xml:space="preserve">PUGET SOUND ENERGY, </w:t>
            </w:r>
            <w:r w:rsidR="00020587">
              <w:rPr>
                <w:b/>
              </w:rPr>
              <w:t>INC.</w:t>
            </w:r>
          </w:p>
          <w:p w:rsidR="00883A2E" w:rsidRPr="003A2606" w:rsidRDefault="00883A2E" w:rsidP="002F0348">
            <w:pPr>
              <w:rPr>
                <w:b/>
              </w:rPr>
            </w:pPr>
          </w:p>
          <w:p w:rsidR="00883A2E" w:rsidRPr="003A2606" w:rsidRDefault="00883A2E" w:rsidP="002F0348">
            <w:pPr>
              <w:spacing w:after="19"/>
              <w:rPr>
                <w:b/>
              </w:rPr>
            </w:pPr>
            <w:r w:rsidRPr="003A2606">
              <w:rPr>
                <w:b/>
              </w:rPr>
              <w:tab/>
            </w:r>
            <w:r w:rsidRPr="003A2606">
              <w:rPr>
                <w:b/>
              </w:rPr>
              <w:tab/>
              <w:t>Respondent.</w:t>
            </w:r>
          </w:p>
          <w:p w:rsidR="00883A2E" w:rsidRPr="003A2606" w:rsidRDefault="00883A2E" w:rsidP="002F0348">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BC2646" w:rsidRPr="003A2606" w:rsidRDefault="00BC2646" w:rsidP="006756E0">
            <w:pPr>
              <w:tabs>
                <w:tab w:val="center" w:pos="4680"/>
              </w:tabs>
              <w:ind w:left="416" w:right="-252"/>
              <w:rPr>
                <w:b/>
                <w:bCs/>
              </w:rPr>
            </w:pPr>
            <w:r>
              <w:rPr>
                <w:b/>
                <w:bCs/>
              </w:rPr>
              <w:t>DOCKET UE-121373</w:t>
            </w:r>
          </w:p>
          <w:p w:rsidR="00BC2646" w:rsidRDefault="00BC2646" w:rsidP="006756E0">
            <w:pPr>
              <w:tabs>
                <w:tab w:val="center" w:pos="4680"/>
              </w:tabs>
              <w:ind w:left="416" w:right="-252"/>
              <w:rPr>
                <w:b/>
                <w:bCs/>
              </w:rPr>
            </w:pPr>
            <w:r w:rsidRPr="003A2606">
              <w:rPr>
                <w:b/>
                <w:bCs/>
              </w:rPr>
              <w:t>D</w:t>
            </w:r>
            <w:r>
              <w:rPr>
                <w:b/>
                <w:bCs/>
              </w:rPr>
              <w:t>OCKETS</w:t>
            </w:r>
            <w:r w:rsidRPr="003A2606">
              <w:rPr>
                <w:b/>
                <w:bCs/>
              </w:rPr>
              <w:t xml:space="preserve"> UE-</w:t>
            </w:r>
            <w:r>
              <w:rPr>
                <w:b/>
                <w:bCs/>
              </w:rPr>
              <w:t>121697</w:t>
            </w:r>
            <w:r w:rsidRPr="003A2606">
              <w:rPr>
                <w:b/>
                <w:bCs/>
              </w:rPr>
              <w:t>/UG-</w:t>
            </w:r>
            <w:r>
              <w:rPr>
                <w:b/>
                <w:bCs/>
              </w:rPr>
              <w:t>121705</w:t>
            </w:r>
          </w:p>
          <w:p w:rsidR="00BC2646" w:rsidRPr="003A2606" w:rsidRDefault="00BC2646" w:rsidP="006756E0">
            <w:pPr>
              <w:tabs>
                <w:tab w:val="center" w:pos="4680"/>
              </w:tabs>
              <w:ind w:left="416" w:right="-252"/>
              <w:rPr>
                <w:b/>
                <w:bCs/>
              </w:rPr>
            </w:pPr>
            <w:r>
              <w:rPr>
                <w:b/>
                <w:bCs/>
              </w:rPr>
              <w:t>DOCKETS UE-130137/UG-130138</w:t>
            </w:r>
          </w:p>
          <w:p w:rsidR="002B2F2E" w:rsidRPr="002B2F2E" w:rsidRDefault="002B2F2E" w:rsidP="006756E0">
            <w:pPr>
              <w:spacing w:after="19"/>
              <w:ind w:left="416"/>
              <w:rPr>
                <w:b/>
              </w:rPr>
            </w:pPr>
          </w:p>
        </w:tc>
      </w:tr>
    </w:tbl>
    <w:p w:rsidR="00883A2E" w:rsidRPr="003A2606" w:rsidRDefault="00883A2E" w:rsidP="00883A2E">
      <w:pPr>
        <w:rPr>
          <w:b/>
          <w:bCs/>
        </w:rPr>
      </w:pPr>
    </w:p>
    <w:p w:rsidR="00883A2E" w:rsidRPr="003A2606" w:rsidRDefault="00883A2E" w:rsidP="00883A2E">
      <w:pPr>
        <w:rPr>
          <w:b/>
          <w:bCs/>
        </w:rPr>
      </w:pPr>
    </w:p>
    <w:p w:rsidR="00883A2E" w:rsidRPr="003A2606" w:rsidRDefault="00883A2E" w:rsidP="00883A2E">
      <w:pPr>
        <w:tabs>
          <w:tab w:val="center" w:pos="4680"/>
        </w:tabs>
        <w:jc w:val="center"/>
        <w:rPr>
          <w:b/>
          <w:bCs/>
        </w:rPr>
      </w:pPr>
      <w:r w:rsidRPr="003A2606">
        <w:rPr>
          <w:b/>
          <w:bCs/>
        </w:rPr>
        <w:t>TESTIMONY OF</w:t>
      </w:r>
    </w:p>
    <w:p w:rsidR="00883A2E" w:rsidRPr="003A2606" w:rsidRDefault="00883A2E" w:rsidP="00883A2E">
      <w:pPr>
        <w:jc w:val="center"/>
        <w:rPr>
          <w:b/>
          <w:bCs/>
        </w:rPr>
      </w:pPr>
    </w:p>
    <w:p w:rsidR="00883A2E" w:rsidRPr="003A2606" w:rsidRDefault="002B2F2E" w:rsidP="00883A2E">
      <w:pPr>
        <w:tabs>
          <w:tab w:val="center" w:pos="4680"/>
        </w:tabs>
        <w:jc w:val="center"/>
        <w:rPr>
          <w:b/>
          <w:bCs/>
        </w:rPr>
      </w:pPr>
      <w:r w:rsidRPr="003A2606">
        <w:rPr>
          <w:b/>
          <w:bCs/>
        </w:rPr>
        <w:t>THOMAS E. SCHOOLEY</w:t>
      </w:r>
    </w:p>
    <w:p w:rsidR="00883A2E" w:rsidRPr="003A2606" w:rsidRDefault="00883A2E" w:rsidP="00883A2E">
      <w:pPr>
        <w:tabs>
          <w:tab w:val="center" w:pos="4680"/>
        </w:tabs>
        <w:jc w:val="center"/>
        <w:rPr>
          <w:b/>
          <w:bCs/>
        </w:rPr>
      </w:pPr>
    </w:p>
    <w:p w:rsidR="00883A2E" w:rsidRPr="003A2606" w:rsidRDefault="00883A2E" w:rsidP="00883A2E">
      <w:pPr>
        <w:tabs>
          <w:tab w:val="center" w:pos="4680"/>
        </w:tabs>
        <w:jc w:val="center"/>
        <w:rPr>
          <w:b/>
          <w:bCs/>
        </w:rPr>
      </w:pPr>
      <w:r w:rsidRPr="003A2606">
        <w:rPr>
          <w:b/>
          <w:bCs/>
        </w:rPr>
        <w:t>STAFF OF</w:t>
      </w:r>
    </w:p>
    <w:p w:rsidR="00883A2E" w:rsidRPr="003A2606" w:rsidRDefault="00883A2E" w:rsidP="00883A2E">
      <w:pPr>
        <w:tabs>
          <w:tab w:val="center" w:pos="4680"/>
        </w:tabs>
        <w:jc w:val="center"/>
        <w:rPr>
          <w:b/>
          <w:bCs/>
        </w:rPr>
      </w:pPr>
      <w:r w:rsidRPr="003A2606">
        <w:rPr>
          <w:b/>
          <w:bCs/>
        </w:rPr>
        <w:t>WASHINGTON UTILITIES AND</w:t>
      </w:r>
    </w:p>
    <w:p w:rsidR="00883A2E" w:rsidRPr="003A2606" w:rsidRDefault="00883A2E" w:rsidP="00883A2E">
      <w:pPr>
        <w:tabs>
          <w:tab w:val="center" w:pos="4680"/>
        </w:tabs>
        <w:jc w:val="center"/>
        <w:rPr>
          <w:b/>
          <w:bCs/>
        </w:rPr>
      </w:pPr>
      <w:r w:rsidRPr="003A2606">
        <w:rPr>
          <w:b/>
          <w:bCs/>
        </w:rPr>
        <w:t>TRANSPORTATION COMMISSION</w:t>
      </w:r>
    </w:p>
    <w:p w:rsidR="00883A2E" w:rsidRPr="003A2606" w:rsidRDefault="00883A2E" w:rsidP="00883A2E">
      <w:pPr>
        <w:jc w:val="center"/>
        <w:rPr>
          <w:b/>
          <w:bCs/>
        </w:rPr>
      </w:pPr>
    </w:p>
    <w:p w:rsidR="00883A2E" w:rsidRPr="003A2606" w:rsidRDefault="00883A2E" w:rsidP="00883A2E">
      <w:pPr>
        <w:rPr>
          <w:b/>
          <w:bCs/>
        </w:rPr>
      </w:pPr>
    </w:p>
    <w:p w:rsidR="001A1C3B" w:rsidRPr="001A1C3B" w:rsidRDefault="00920EB2" w:rsidP="00883A2E">
      <w:pPr>
        <w:jc w:val="center"/>
        <w:rPr>
          <w:b/>
          <w:bCs/>
          <w:i/>
        </w:rPr>
      </w:pPr>
      <w:r w:rsidRPr="001A1C3B">
        <w:rPr>
          <w:b/>
          <w:bCs/>
          <w:i/>
        </w:rPr>
        <w:t xml:space="preserve">In Support of </w:t>
      </w:r>
      <w:r w:rsidR="001A1C3B" w:rsidRPr="001A1C3B">
        <w:rPr>
          <w:b/>
          <w:bCs/>
          <w:i/>
        </w:rPr>
        <w:t xml:space="preserve">Multiparty Settlement Re:  </w:t>
      </w:r>
    </w:p>
    <w:p w:rsidR="00883A2E" w:rsidRPr="003A2606" w:rsidRDefault="001A1C3B" w:rsidP="00883A2E">
      <w:pPr>
        <w:jc w:val="center"/>
        <w:rPr>
          <w:b/>
          <w:bCs/>
          <w:i/>
        </w:rPr>
      </w:pPr>
      <w:r w:rsidRPr="001A1C3B">
        <w:rPr>
          <w:b/>
          <w:bCs/>
          <w:i/>
        </w:rPr>
        <w:t>Coal Transition Power Purchase Agreement and Other Pending Dockets</w:t>
      </w:r>
    </w:p>
    <w:p w:rsidR="00883A2E" w:rsidRPr="003A2606" w:rsidRDefault="00883A2E" w:rsidP="00883A2E">
      <w:pPr>
        <w:rPr>
          <w:b/>
          <w:bCs/>
        </w:rPr>
      </w:pPr>
    </w:p>
    <w:p w:rsidR="00883A2E" w:rsidRPr="003A2606" w:rsidRDefault="00883A2E" w:rsidP="00883A2E">
      <w:pPr>
        <w:rPr>
          <w:b/>
          <w:bCs/>
        </w:rPr>
      </w:pPr>
    </w:p>
    <w:p w:rsidR="00883A2E" w:rsidRPr="003A2606" w:rsidRDefault="00920EB2" w:rsidP="00883A2E">
      <w:pPr>
        <w:tabs>
          <w:tab w:val="center" w:pos="4680"/>
        </w:tabs>
        <w:jc w:val="center"/>
        <w:rPr>
          <w:b/>
          <w:bCs/>
        </w:rPr>
      </w:pPr>
      <w:r>
        <w:rPr>
          <w:b/>
          <w:bCs/>
        </w:rPr>
        <w:t>March</w:t>
      </w:r>
      <w:r w:rsidR="00883A2E" w:rsidRPr="003A2606">
        <w:rPr>
          <w:b/>
          <w:bCs/>
        </w:rPr>
        <w:t xml:space="preserve"> </w:t>
      </w:r>
      <w:r w:rsidR="001A1C3B">
        <w:rPr>
          <w:b/>
          <w:bCs/>
        </w:rPr>
        <w:t>27</w:t>
      </w:r>
      <w:r w:rsidR="00883A2E" w:rsidRPr="003A2606">
        <w:rPr>
          <w:b/>
          <w:bCs/>
        </w:rPr>
        <w:t>, 201</w:t>
      </w:r>
      <w:r>
        <w:rPr>
          <w:b/>
          <w:bCs/>
        </w:rPr>
        <w:t>3</w:t>
      </w:r>
    </w:p>
    <w:p w:rsidR="00883A2E" w:rsidRPr="003A2606" w:rsidRDefault="00883A2E" w:rsidP="00883A2E">
      <w:pPr>
        <w:tabs>
          <w:tab w:val="center" w:pos="4680"/>
        </w:tabs>
        <w:jc w:val="center"/>
        <w:rPr>
          <w:b/>
          <w:bCs/>
        </w:rPr>
      </w:pPr>
    </w:p>
    <w:p w:rsidR="00883A2E" w:rsidRPr="003A2606" w:rsidRDefault="00883A2E" w:rsidP="00883A2E">
      <w:pPr>
        <w:tabs>
          <w:tab w:val="center" w:pos="4680"/>
        </w:tabs>
        <w:rPr>
          <w:b/>
          <w:bCs/>
        </w:rPr>
      </w:pPr>
    </w:p>
    <w:p w:rsidR="00883A2E" w:rsidRPr="003A2606" w:rsidRDefault="00883A2E" w:rsidP="00883A2E">
      <w:pPr>
        <w:tabs>
          <w:tab w:val="center" w:pos="4680"/>
        </w:tabs>
        <w:sectPr w:rsidR="00883A2E" w:rsidRPr="003A2606" w:rsidSect="00D96440">
          <w:footerReference w:type="default" r:id="rId9"/>
          <w:pgSz w:w="12240" w:h="15840" w:code="1"/>
          <w:pgMar w:top="1440" w:right="1440" w:bottom="1440" w:left="1872" w:header="720" w:footer="720" w:gutter="0"/>
          <w:cols w:space="720"/>
          <w:titlePg/>
          <w:docGrid w:linePitch="360"/>
        </w:sectPr>
      </w:pPr>
    </w:p>
    <w:p w:rsidR="00BB2779" w:rsidRDefault="00BB2779" w:rsidP="00883A2E">
      <w:pPr>
        <w:pStyle w:val="Heading3"/>
        <w:keepNext w:val="0"/>
        <w:widowControl w:val="0"/>
      </w:pPr>
    </w:p>
    <w:p w:rsidR="00883A2E" w:rsidRPr="003A2606" w:rsidRDefault="00883A2E" w:rsidP="00883A2E">
      <w:pPr>
        <w:pStyle w:val="Heading3"/>
        <w:keepNext w:val="0"/>
        <w:widowControl w:val="0"/>
      </w:pPr>
      <w:r w:rsidRPr="003A2606">
        <w:t>TABLE OF CONTENTS</w:t>
      </w:r>
    </w:p>
    <w:p w:rsidR="00883A2E" w:rsidRPr="003A2606" w:rsidRDefault="00883A2E" w:rsidP="00883A2E"/>
    <w:p w:rsidR="00883A2E" w:rsidRPr="003A2606" w:rsidRDefault="00883A2E" w:rsidP="00883A2E">
      <w:pPr>
        <w:tabs>
          <w:tab w:val="left" w:pos="720"/>
          <w:tab w:val="left" w:pos="1440"/>
          <w:tab w:val="left" w:pos="2160"/>
          <w:tab w:val="right" w:leader="dot" w:pos="9000"/>
        </w:tabs>
      </w:pPr>
      <w:r w:rsidRPr="003A2606">
        <w:t>I.</w:t>
      </w:r>
      <w:r w:rsidRPr="003A2606">
        <w:tab/>
        <w:t xml:space="preserve">INTRODUCTION </w:t>
      </w:r>
      <w:r w:rsidRPr="003A2606">
        <w:tab/>
        <w:t>1</w:t>
      </w:r>
    </w:p>
    <w:p w:rsidR="00883A2E" w:rsidRPr="003A2606" w:rsidRDefault="00883A2E" w:rsidP="00883A2E">
      <w:pPr>
        <w:tabs>
          <w:tab w:val="left" w:pos="720"/>
          <w:tab w:val="left" w:pos="1440"/>
          <w:tab w:val="left" w:pos="2160"/>
          <w:tab w:val="right" w:leader="dot" w:pos="9000"/>
        </w:tabs>
      </w:pPr>
    </w:p>
    <w:p w:rsidR="00883A2E" w:rsidRPr="003A2606" w:rsidRDefault="00883A2E" w:rsidP="00883A2E">
      <w:pPr>
        <w:tabs>
          <w:tab w:val="left" w:pos="720"/>
          <w:tab w:val="left" w:pos="1440"/>
          <w:tab w:val="left" w:pos="2160"/>
          <w:tab w:val="right" w:leader="dot" w:pos="9000"/>
        </w:tabs>
      </w:pPr>
      <w:r w:rsidRPr="003A2606">
        <w:t>II.</w:t>
      </w:r>
      <w:r w:rsidRPr="003A2606">
        <w:tab/>
        <w:t>S</w:t>
      </w:r>
      <w:r w:rsidR="00E44B28">
        <w:t xml:space="preserve">COPE AND SUMMARY OF TESTIMONY </w:t>
      </w:r>
      <w:r w:rsidR="00E44B28">
        <w:tab/>
        <w:t>3</w:t>
      </w:r>
    </w:p>
    <w:p w:rsidR="00883A2E" w:rsidRPr="003A2606" w:rsidRDefault="00883A2E" w:rsidP="00883A2E"/>
    <w:p w:rsidR="00883A2E" w:rsidRPr="003A2606" w:rsidRDefault="00883A2E" w:rsidP="00E44B28">
      <w:pPr>
        <w:tabs>
          <w:tab w:val="left" w:pos="720"/>
          <w:tab w:val="left" w:pos="1440"/>
          <w:tab w:val="left" w:pos="2160"/>
          <w:tab w:val="right" w:leader="dot" w:pos="9000"/>
        </w:tabs>
      </w:pPr>
      <w:r w:rsidRPr="003A2606">
        <w:t>III.</w:t>
      </w:r>
      <w:r w:rsidRPr="003A2606">
        <w:tab/>
      </w:r>
      <w:r w:rsidR="00E44B28">
        <w:t xml:space="preserve">DISCUSSION </w:t>
      </w:r>
      <w:r w:rsidR="00E44B28">
        <w:tab/>
        <w:t>3</w:t>
      </w:r>
    </w:p>
    <w:p w:rsidR="00883A2E" w:rsidRPr="003A2606" w:rsidRDefault="00883A2E" w:rsidP="00883A2E"/>
    <w:p w:rsidR="00883A2E" w:rsidRDefault="00883A2E" w:rsidP="00883A2E"/>
    <w:p w:rsidR="00BB2779" w:rsidRPr="003A2606" w:rsidRDefault="00BB2779" w:rsidP="00883A2E"/>
    <w:p w:rsidR="00883A2E" w:rsidRPr="003A2606" w:rsidRDefault="00883A2E" w:rsidP="00883A2E">
      <w:pPr>
        <w:jc w:val="center"/>
      </w:pPr>
      <w:r w:rsidRPr="003A2606">
        <w:rPr>
          <w:b/>
        </w:rPr>
        <w:t>LIST OF EXHIBITS</w:t>
      </w:r>
    </w:p>
    <w:p w:rsidR="00883A2E" w:rsidRPr="003A2606" w:rsidRDefault="00883A2E" w:rsidP="00883A2E"/>
    <w:p w:rsidR="00A74ABD" w:rsidRDefault="00883A2E" w:rsidP="00BB2779">
      <w:pPr>
        <w:ind w:left="2520" w:hanging="2520"/>
      </w:pPr>
      <w:r w:rsidRPr="003A2606">
        <w:t>Exhibit No. ___ (TES-2)</w:t>
      </w:r>
      <w:r w:rsidR="00410954">
        <w:t>,</w:t>
      </w:r>
      <w:r w:rsidR="00BC2646">
        <w:t xml:space="preserve"> </w:t>
      </w:r>
      <w:r w:rsidR="00410954">
        <w:t>Letters between Governor and Commission Chairman</w:t>
      </w:r>
      <w:r w:rsidR="001267A9">
        <w:t xml:space="preserve">, dated January 4 and January 15, 2013 </w:t>
      </w:r>
      <w:r w:rsidR="00A74ABD">
        <w:t xml:space="preserve"> </w:t>
      </w:r>
    </w:p>
    <w:p w:rsidR="00BC2646" w:rsidRDefault="00BC2646" w:rsidP="00BC2646">
      <w:r w:rsidRPr="003A2606">
        <w:t>Exhibit No. ___ (TES-</w:t>
      </w:r>
      <w:r>
        <w:t>3</w:t>
      </w:r>
      <w:r w:rsidRPr="003A2606">
        <w:t>)</w:t>
      </w:r>
      <w:r w:rsidR="00410954">
        <w:t>,</w:t>
      </w:r>
      <w:r>
        <w:t xml:space="preserve"> </w:t>
      </w:r>
      <w:r w:rsidR="00410954">
        <w:t>Rates of return in Commission-basis Reports</w:t>
      </w:r>
    </w:p>
    <w:p w:rsidR="00883A2E" w:rsidRPr="003A2606" w:rsidRDefault="00883A2E" w:rsidP="00883A2E">
      <w:r w:rsidRPr="003A2606">
        <w:t xml:space="preserve"> </w:t>
      </w:r>
    </w:p>
    <w:p w:rsidR="00883A2E" w:rsidRPr="003A2606" w:rsidRDefault="00883A2E" w:rsidP="00883A2E">
      <w:pPr>
        <w:ind w:left="2880" w:hanging="2880"/>
      </w:pPr>
    </w:p>
    <w:p w:rsidR="00883A2E" w:rsidRPr="003A2606" w:rsidRDefault="00883A2E" w:rsidP="00883A2E"/>
    <w:p w:rsidR="00883A2E" w:rsidRPr="003A2606" w:rsidRDefault="00883A2E" w:rsidP="00883A2E"/>
    <w:p w:rsidR="00883A2E" w:rsidRPr="003A2606" w:rsidRDefault="00883A2E" w:rsidP="00883A2E">
      <w:pPr>
        <w:pStyle w:val="Heading3"/>
        <w:keepNext w:val="0"/>
        <w:widowControl w:val="0"/>
        <w:jc w:val="left"/>
      </w:pPr>
    </w:p>
    <w:p w:rsidR="00883A2E" w:rsidRPr="003A2606" w:rsidRDefault="00883A2E" w:rsidP="00883A2E">
      <w:pPr>
        <w:pStyle w:val="Heading3"/>
        <w:jc w:val="left"/>
        <w:sectPr w:rsidR="00883A2E" w:rsidRPr="003A2606" w:rsidSect="00D96440">
          <w:footerReference w:type="default" r:id="rId10"/>
          <w:pgSz w:w="12240" w:h="15840" w:code="1"/>
          <w:pgMar w:top="1440" w:right="1440" w:bottom="1440" w:left="1872" w:header="720" w:footer="720" w:gutter="0"/>
          <w:pgNumType w:fmt="lowerRoman" w:start="1"/>
          <w:cols w:space="720"/>
          <w:docGrid w:linePitch="360"/>
        </w:sectPr>
      </w:pPr>
    </w:p>
    <w:p w:rsidR="00883A2E" w:rsidRPr="003A2606" w:rsidRDefault="00883A2E" w:rsidP="00D96440">
      <w:pPr>
        <w:pStyle w:val="Heading3"/>
      </w:pPr>
      <w:r w:rsidRPr="003A2606">
        <w:lastRenderedPageBreak/>
        <w:t>I.</w:t>
      </w:r>
      <w:r w:rsidRPr="003A2606">
        <w:tab/>
        <w:t>INTRODUCTION</w:t>
      </w:r>
    </w:p>
    <w:p w:rsidR="00883A2E" w:rsidRPr="003A2606" w:rsidRDefault="00883A2E" w:rsidP="00D96440">
      <w:pPr>
        <w:pStyle w:val="Heading3"/>
        <w:jc w:val="left"/>
      </w:pPr>
    </w:p>
    <w:p w:rsidR="00883A2E" w:rsidRPr="003A2606" w:rsidRDefault="00883A2E" w:rsidP="00D96440">
      <w:pPr>
        <w:pStyle w:val="Heading3"/>
        <w:jc w:val="left"/>
        <w:rPr>
          <w:b w:val="0"/>
          <w:bCs w:val="0"/>
        </w:rPr>
      </w:pPr>
      <w:r w:rsidRPr="003A2606">
        <w:t>Q.</w:t>
      </w:r>
      <w:r w:rsidRPr="003A2606">
        <w:tab/>
        <w:t>Please state your name and business address.</w:t>
      </w:r>
      <w:r w:rsidRPr="003A2606">
        <w:rPr>
          <w:b w:val="0"/>
          <w:bCs w:val="0"/>
        </w:rPr>
        <w:t xml:space="preserve">  </w:t>
      </w:r>
    </w:p>
    <w:p w:rsidR="00883A2E" w:rsidRPr="003A2606" w:rsidRDefault="00883A2E" w:rsidP="00D96440">
      <w:pPr>
        <w:pStyle w:val="BodyTextIndent"/>
      </w:pPr>
      <w:r w:rsidRPr="003A2606">
        <w:t>A.</w:t>
      </w:r>
      <w:r w:rsidRPr="003A2606">
        <w:tab/>
        <w:t>My name is Thomas E. Schooley.  My business address is The Richard Hemstad Building, 1300 S. Evergreen Park Drive S.W., P.O. Box 47250, Olympia, WA  98504.  My email address is tschoole@utc.wa.gov.</w:t>
      </w:r>
    </w:p>
    <w:p w:rsidR="00883A2E" w:rsidRPr="003A2606" w:rsidRDefault="00883A2E" w:rsidP="00D96440">
      <w:pPr>
        <w:spacing w:line="480" w:lineRule="auto"/>
        <w:ind w:left="720" w:hanging="720"/>
      </w:pPr>
    </w:p>
    <w:p w:rsidR="00883A2E" w:rsidRDefault="00883A2E" w:rsidP="00D96440">
      <w:pPr>
        <w:pStyle w:val="Heading1"/>
        <w:tabs>
          <w:tab w:val="left" w:pos="720"/>
          <w:tab w:val="left" w:pos="1440"/>
          <w:tab w:val="left" w:pos="2160"/>
          <w:tab w:val="left" w:pos="2880"/>
          <w:tab w:val="left" w:pos="3600"/>
          <w:tab w:val="left" w:pos="4320"/>
          <w:tab w:val="left" w:pos="5040"/>
          <w:tab w:val="left" w:pos="5760"/>
          <w:tab w:val="left" w:pos="6540"/>
        </w:tabs>
        <w:spacing w:before="0" w:line="480" w:lineRule="auto"/>
        <w:rPr>
          <w:rFonts w:ascii="Times New Roman" w:hAnsi="Times New Roman" w:cs="Times New Roman"/>
          <w:color w:val="auto"/>
          <w:sz w:val="24"/>
          <w:szCs w:val="24"/>
        </w:rPr>
      </w:pPr>
      <w:r w:rsidRPr="003A2606">
        <w:rPr>
          <w:rFonts w:ascii="Times New Roman" w:hAnsi="Times New Roman" w:cs="Times New Roman"/>
          <w:color w:val="auto"/>
          <w:sz w:val="24"/>
          <w:szCs w:val="24"/>
        </w:rPr>
        <w:t>Q.</w:t>
      </w:r>
      <w:r w:rsidRPr="003A2606">
        <w:rPr>
          <w:rFonts w:ascii="Times New Roman" w:hAnsi="Times New Roman" w:cs="Times New Roman"/>
          <w:color w:val="auto"/>
          <w:sz w:val="24"/>
          <w:szCs w:val="24"/>
        </w:rPr>
        <w:tab/>
        <w:t xml:space="preserve">By whom are you employed and in what capacity?  </w:t>
      </w:r>
    </w:p>
    <w:p w:rsidR="00883A2E" w:rsidRPr="003A2606" w:rsidRDefault="00883A2E" w:rsidP="00D96440">
      <w:pPr>
        <w:spacing w:line="480" w:lineRule="auto"/>
        <w:ind w:left="720" w:hanging="720"/>
      </w:pPr>
      <w:r w:rsidRPr="003A2606">
        <w:t>A.</w:t>
      </w:r>
      <w:r w:rsidRPr="003A2606">
        <w:tab/>
        <w:t xml:space="preserve">I am employed by the Washington Utilities and Transportation Commission (“Commission”) as the </w:t>
      </w:r>
      <w:r w:rsidR="007F5895">
        <w:t>Assistant Director</w:t>
      </w:r>
      <w:r w:rsidRPr="003A2606">
        <w:t xml:space="preserve"> </w:t>
      </w:r>
      <w:r w:rsidR="00920EB2">
        <w:t xml:space="preserve">- </w:t>
      </w:r>
      <w:r w:rsidRPr="003A2606">
        <w:t xml:space="preserve">Energy </w:t>
      </w:r>
      <w:r w:rsidR="00920EB2">
        <w:t>Regulation,</w:t>
      </w:r>
      <w:r w:rsidR="00E31C9B">
        <w:t xml:space="preserve"> Regulatory Services Division</w:t>
      </w:r>
      <w:r w:rsidRPr="003A2606">
        <w:t xml:space="preserve">.  </w:t>
      </w:r>
      <w:r w:rsidR="00E31C9B">
        <w:t>My responsibilities include direct supervision of the Commission’s Regulatory Analysts</w:t>
      </w:r>
      <w:r w:rsidR="00A57C7D">
        <w:t xml:space="preserve"> </w:t>
      </w:r>
      <w:r w:rsidR="0003409F">
        <w:t xml:space="preserve">who review </w:t>
      </w:r>
      <w:r w:rsidR="00E31C9B">
        <w:t>tariff filings and other applications of regulated electric</w:t>
      </w:r>
      <w:r w:rsidR="001D0F6C">
        <w:t>ity</w:t>
      </w:r>
      <w:r w:rsidR="00E31C9B">
        <w:t xml:space="preserve"> and natural gas companies</w:t>
      </w:r>
      <w:r w:rsidR="00A57C7D">
        <w:t>, and make recommendations for Commission decision on those filings and application</w:t>
      </w:r>
      <w:r w:rsidR="007F5895">
        <w:t>s</w:t>
      </w:r>
      <w:r w:rsidR="00E31C9B">
        <w:t xml:space="preserve">.  </w:t>
      </w:r>
    </w:p>
    <w:p w:rsidR="00883A2E" w:rsidRPr="003A2606" w:rsidRDefault="00883A2E" w:rsidP="00D96440">
      <w:pPr>
        <w:spacing w:line="480" w:lineRule="auto"/>
        <w:ind w:left="720" w:hanging="720"/>
      </w:pPr>
    </w:p>
    <w:p w:rsidR="00883A2E" w:rsidRPr="003A2606" w:rsidRDefault="00883A2E" w:rsidP="00D96440">
      <w:pPr>
        <w:tabs>
          <w:tab w:val="left" w:pos="-1440"/>
        </w:tabs>
        <w:spacing w:line="480" w:lineRule="auto"/>
        <w:ind w:left="720" w:hanging="720"/>
      </w:pPr>
      <w:r w:rsidRPr="003A2606">
        <w:rPr>
          <w:b/>
          <w:bCs/>
        </w:rPr>
        <w:t>Q.</w:t>
      </w:r>
      <w:r w:rsidRPr="003A2606">
        <w:rPr>
          <w:b/>
          <w:bCs/>
        </w:rPr>
        <w:tab/>
        <w:t>How long have you been employed by the Commission?</w:t>
      </w:r>
    </w:p>
    <w:p w:rsidR="00883A2E" w:rsidRPr="003A2606" w:rsidRDefault="00883A2E" w:rsidP="00D96440">
      <w:pPr>
        <w:tabs>
          <w:tab w:val="left" w:pos="-1440"/>
        </w:tabs>
        <w:spacing w:line="480" w:lineRule="auto"/>
      </w:pPr>
      <w:r w:rsidRPr="003A2606">
        <w:t>A.</w:t>
      </w:r>
      <w:r w:rsidRPr="003A2606">
        <w:tab/>
        <w:t xml:space="preserve">I have been employed </w:t>
      </w:r>
      <w:r w:rsidR="00E31C9B">
        <w:t>with the Commission</w:t>
      </w:r>
      <w:r w:rsidRPr="003A2606">
        <w:t xml:space="preserve"> since September 1991.</w:t>
      </w:r>
    </w:p>
    <w:p w:rsidR="00883A2E" w:rsidRPr="003A2606" w:rsidRDefault="00883A2E" w:rsidP="00D96440">
      <w:pPr>
        <w:tabs>
          <w:tab w:val="left" w:pos="-1440"/>
        </w:tabs>
        <w:spacing w:line="480" w:lineRule="auto"/>
      </w:pPr>
    </w:p>
    <w:p w:rsidR="00883A2E" w:rsidRPr="003A2606" w:rsidRDefault="00883A2E" w:rsidP="00D96440">
      <w:pPr>
        <w:tabs>
          <w:tab w:val="left" w:pos="-1440"/>
        </w:tabs>
        <w:spacing w:line="480" w:lineRule="auto"/>
        <w:ind w:left="720" w:hanging="720"/>
        <w:rPr>
          <w:b/>
          <w:bCs/>
        </w:rPr>
      </w:pPr>
      <w:r w:rsidRPr="003A2606">
        <w:rPr>
          <w:b/>
          <w:bCs/>
        </w:rPr>
        <w:t>Q.</w:t>
      </w:r>
      <w:r w:rsidRPr="003A2606">
        <w:rPr>
          <w:b/>
          <w:bCs/>
        </w:rPr>
        <w:tab/>
      </w:r>
      <w:r w:rsidR="00B63CCF">
        <w:rPr>
          <w:b/>
          <w:bCs/>
        </w:rPr>
        <w:t>P</w:t>
      </w:r>
      <w:r w:rsidRPr="003A2606">
        <w:rPr>
          <w:b/>
          <w:bCs/>
        </w:rPr>
        <w:t>lease state your educational and professional background</w:t>
      </w:r>
      <w:r w:rsidR="00B63CCF">
        <w:rPr>
          <w:b/>
          <w:bCs/>
        </w:rPr>
        <w:t>.</w:t>
      </w:r>
    </w:p>
    <w:p w:rsidR="00883A2E" w:rsidRDefault="00883A2E" w:rsidP="00D96440">
      <w:pPr>
        <w:pStyle w:val="BodyTextIndent"/>
        <w:tabs>
          <w:tab w:val="left" w:pos="-1440"/>
        </w:tabs>
      </w:pPr>
      <w:r w:rsidRPr="002F647C">
        <w:t>A.</w:t>
      </w:r>
      <w:r w:rsidRPr="002F647C">
        <w:tab/>
        <w:t>I received a Bachelor of Science degree from Central Washington University in 1986.  I met the requirements for a double major in Accounting and Business Administration-Finance.  I also have a Bachelor of Science degree in geology from the University of</w:t>
      </w:r>
      <w:r w:rsidRPr="003A2606">
        <w:t xml:space="preserve"> Michigan.  I passed the Certified Public Accountant exam in May </w:t>
      </w:r>
      <w:r w:rsidRPr="003A2606">
        <w:lastRenderedPageBreak/>
        <w:t>1989.  Since joining the Commission, I have attended several regulatory accounting courses, including the summer session of the Institute of Public Utilities.</w:t>
      </w:r>
    </w:p>
    <w:p w:rsidR="00883A2E" w:rsidRPr="003A2606" w:rsidRDefault="00E31C9B" w:rsidP="00D96440">
      <w:pPr>
        <w:pStyle w:val="BodyTextIndent"/>
        <w:tabs>
          <w:tab w:val="left" w:pos="-1440"/>
        </w:tabs>
      </w:pPr>
      <w:r>
        <w:tab/>
      </w:r>
      <w:r>
        <w:tab/>
        <w:t xml:space="preserve">Before obtaining my current position, I held several </w:t>
      </w:r>
      <w:r w:rsidR="0003409F">
        <w:t xml:space="preserve">other </w:t>
      </w:r>
      <w:r>
        <w:t xml:space="preserve">positions including </w:t>
      </w:r>
      <w:r w:rsidR="007F5895">
        <w:t>Accountin</w:t>
      </w:r>
      <w:r w:rsidR="00CE4474">
        <w:t xml:space="preserve">g Manager of the Energy Section and </w:t>
      </w:r>
      <w:r w:rsidR="007F5895">
        <w:t>Regulatory Analyst</w:t>
      </w:r>
      <w:r>
        <w:t xml:space="preserve">.  </w:t>
      </w:r>
      <w:r w:rsidR="00883A2E" w:rsidRPr="003A2606">
        <w:t>I testified in Docket UE-960195 involving the merger between Washington Natural Gas Company and Puget Sound Power &amp; Light Company</w:t>
      </w:r>
      <w:r>
        <w:t xml:space="preserve"> (“Puget”)</w:t>
      </w:r>
      <w:r w:rsidR="00883A2E" w:rsidRPr="003A2606">
        <w:t>.  I was the lead Staff analyst in several applications for accounting treatment, including Puget Sound Energy, Inc. Dockets UE-971619 and UE-991918.  I testified in the Avista general rate case, Docket UE-991606, and Avista’s energy recovery mechanism, Dockets UE-000972, UE-010395, UE-011595, and UE-030751.</w:t>
      </w:r>
      <w:r w:rsidR="00883A2E" w:rsidRPr="003A2606">
        <w:rPr>
          <w:bCs/>
        </w:rPr>
        <w:t xml:space="preserve"> </w:t>
      </w:r>
      <w:r w:rsidR="00883A2E" w:rsidRPr="003A2606">
        <w:t xml:space="preserve"> I also assisted in the development of Staff testimony in Puget’s “PRAM 2” case, Docket UE-920630, and I presented the Staff recommendation on environmental remediation in Puget Docket UE-911476.  </w:t>
      </w:r>
    </w:p>
    <w:p w:rsidR="00883A2E" w:rsidRPr="003A2606" w:rsidRDefault="00883A2E" w:rsidP="00D96440">
      <w:pPr>
        <w:spacing w:line="480" w:lineRule="auto"/>
        <w:ind w:left="720"/>
      </w:pPr>
      <w:r w:rsidRPr="003A2606">
        <w:tab/>
        <w:t xml:space="preserve">I analyzed PacifiCorp’s proposed accounting treatment of Clean Air Act allowances in Docket UE-940947, and participated in meetings of PacifiCorp’s inter-jurisdictional task force on allocations.  I testified in </w:t>
      </w:r>
      <w:r w:rsidR="00E31C9B">
        <w:t>PSE’s</w:t>
      </w:r>
      <w:r w:rsidRPr="003A2606">
        <w:t xml:space="preserve"> power cost only rate case, Docket UE-031725</w:t>
      </w:r>
      <w:r w:rsidR="00B63CCF">
        <w:t>;</w:t>
      </w:r>
      <w:r w:rsidRPr="003A2606">
        <w:t xml:space="preserve"> </w:t>
      </w:r>
      <w:r w:rsidR="00B63CCF">
        <w:t xml:space="preserve">PSE’s general rate cases, Dockets UE-072300/UG-072301 and UE-090704/UG-090705; </w:t>
      </w:r>
      <w:r w:rsidRPr="003A2606">
        <w:t xml:space="preserve">and PacifiCorp’s general rate cases, Dockets UE-032065, UE-050684, UE-061546, </w:t>
      </w:r>
      <w:r w:rsidRPr="007F5895">
        <w:rPr>
          <w:i/>
        </w:rPr>
        <w:t>et al</w:t>
      </w:r>
      <w:r w:rsidRPr="003A2606">
        <w:t>.</w:t>
      </w:r>
      <w:r w:rsidR="00B63CCF">
        <w:t>, and UE-100749.</w:t>
      </w:r>
    </w:p>
    <w:p w:rsidR="00883A2E" w:rsidRPr="003A2606" w:rsidRDefault="00883A2E" w:rsidP="00D96440">
      <w:pPr>
        <w:spacing w:line="480" w:lineRule="auto"/>
        <w:ind w:left="720"/>
      </w:pPr>
      <w:r w:rsidRPr="003A2606">
        <w:tab/>
        <w:t xml:space="preserve">I have prepared detailed statistical studies for use by </w:t>
      </w:r>
      <w:r w:rsidR="00E31C9B">
        <w:t>c</w:t>
      </w:r>
      <w:r w:rsidRPr="003A2606">
        <w:t xml:space="preserve">ommissioners and other Commission employees, and have interpreted utility company reports to determine </w:t>
      </w:r>
      <w:r w:rsidR="00A74ABD">
        <w:t xml:space="preserve">their </w:t>
      </w:r>
      <w:r w:rsidRPr="003A2606">
        <w:t>compliance with Commission regulations.</w:t>
      </w:r>
      <w:r w:rsidR="00E31C9B">
        <w:t xml:space="preserve">  I have also presented Staff recommendations to the Commission in numerous open public meetings</w:t>
      </w:r>
      <w:r w:rsidR="0003409F">
        <w:t>.</w:t>
      </w:r>
    </w:p>
    <w:p w:rsidR="00883A2E" w:rsidRPr="003A2606" w:rsidRDefault="00883A2E" w:rsidP="00D96440">
      <w:pPr>
        <w:pStyle w:val="BodyTextIndent"/>
      </w:pPr>
    </w:p>
    <w:p w:rsidR="00883A2E" w:rsidRPr="003A2606" w:rsidRDefault="00883A2E" w:rsidP="00D96440">
      <w:pPr>
        <w:pStyle w:val="BodyTextIndent"/>
        <w:keepNext/>
        <w:jc w:val="center"/>
      </w:pPr>
      <w:r w:rsidRPr="003A2606">
        <w:rPr>
          <w:b/>
        </w:rPr>
        <w:t>II.</w:t>
      </w:r>
      <w:r w:rsidRPr="003A2606">
        <w:rPr>
          <w:b/>
        </w:rPr>
        <w:tab/>
        <w:t>SCOPE AND SUMMARY OF TESTIMONY</w:t>
      </w:r>
    </w:p>
    <w:p w:rsidR="00C675C8" w:rsidRPr="003A2606" w:rsidRDefault="00C675C8" w:rsidP="00D96440">
      <w:pPr>
        <w:spacing w:line="480" w:lineRule="auto"/>
        <w:ind w:left="360"/>
      </w:pPr>
    </w:p>
    <w:p w:rsidR="00C675C8" w:rsidRPr="003A2606" w:rsidRDefault="00C675C8" w:rsidP="00D96440">
      <w:pPr>
        <w:widowControl w:val="0"/>
        <w:numPr>
          <w:ilvl w:val="0"/>
          <w:numId w:val="1"/>
        </w:numPr>
        <w:autoSpaceDE w:val="0"/>
        <w:autoSpaceDN w:val="0"/>
        <w:adjustRightInd w:val="0"/>
        <w:spacing w:line="480" w:lineRule="auto"/>
        <w:ind w:hanging="720"/>
      </w:pPr>
      <w:r w:rsidRPr="003A2606">
        <w:rPr>
          <w:b/>
        </w:rPr>
        <w:t>What is the purpose of your testimony in this proceeding?</w:t>
      </w:r>
    </w:p>
    <w:p w:rsidR="001978F3" w:rsidRDefault="001978F3" w:rsidP="001267A9">
      <w:pPr>
        <w:spacing w:line="480" w:lineRule="auto"/>
        <w:ind w:left="720" w:hanging="720"/>
      </w:pPr>
      <w:r>
        <w:t>A.</w:t>
      </w:r>
      <w:r>
        <w:tab/>
      </w:r>
      <w:r w:rsidR="0003409F">
        <w:t>I</w:t>
      </w:r>
      <w:r w:rsidR="00920EB2">
        <w:t xml:space="preserve"> present</w:t>
      </w:r>
      <w:r w:rsidR="00123FDC">
        <w:t xml:space="preserve"> Staff’s support for the global settlement of </w:t>
      </w:r>
      <w:r w:rsidR="00382AFC">
        <w:t>five dockets co</w:t>
      </w:r>
      <w:r w:rsidR="006C3ECD">
        <w:t>vering three major issues.</w:t>
      </w:r>
      <w:r>
        <w:t xml:space="preserve">  Those five dockets are:  Docket UE-121373, Coal Transition Power Purchase Agreement; Dockets UE-121697</w:t>
      </w:r>
      <w:r w:rsidR="007B2204">
        <w:t>/</w:t>
      </w:r>
      <w:r>
        <w:t>UG-121705</w:t>
      </w:r>
      <w:r w:rsidR="001267A9">
        <w:t xml:space="preserve"> </w:t>
      </w:r>
      <w:r w:rsidR="007B2204">
        <w:t>(</w:t>
      </w:r>
      <w:r w:rsidR="007B2204" w:rsidRPr="007B2204">
        <w:rPr>
          <w:i/>
        </w:rPr>
        <w:t>consolidated</w:t>
      </w:r>
      <w:r w:rsidR="007B2204">
        <w:t>)</w:t>
      </w:r>
      <w:r>
        <w:t>, Decoupling Plan; and Dockets UE-130137</w:t>
      </w:r>
      <w:r w:rsidR="007B2204">
        <w:t>/</w:t>
      </w:r>
      <w:r>
        <w:t>UG-130138</w:t>
      </w:r>
      <w:r w:rsidR="001267A9">
        <w:t xml:space="preserve"> </w:t>
      </w:r>
      <w:r w:rsidR="007B2204">
        <w:t>(</w:t>
      </w:r>
      <w:r w:rsidR="007B2204" w:rsidRPr="007B2204">
        <w:rPr>
          <w:i/>
        </w:rPr>
        <w:t>consolidated</w:t>
      </w:r>
      <w:r w:rsidR="007B2204">
        <w:t>)</w:t>
      </w:r>
      <w:r>
        <w:t xml:space="preserve">, Expedited Rate </w:t>
      </w:r>
      <w:r w:rsidR="007710CB">
        <w:t>F</w:t>
      </w:r>
      <w:r w:rsidR="001267A9">
        <w:t xml:space="preserve">iling </w:t>
      </w:r>
      <w:r w:rsidR="006541A3">
        <w:t>(</w:t>
      </w:r>
      <w:r>
        <w:t>collective</w:t>
      </w:r>
      <w:r w:rsidR="006541A3">
        <w:t xml:space="preserve"> dockets, or</w:t>
      </w:r>
      <w:r>
        <w:t xml:space="preserve"> Global Settlement.</w:t>
      </w:r>
      <w:r w:rsidR="006541A3">
        <w:t>)</w:t>
      </w:r>
      <w:r>
        <w:t xml:space="preserve">  </w:t>
      </w:r>
    </w:p>
    <w:p w:rsidR="001978F3" w:rsidRDefault="001978F3" w:rsidP="001978F3">
      <w:pPr>
        <w:spacing w:line="480" w:lineRule="auto"/>
      </w:pPr>
    </w:p>
    <w:p w:rsidR="00011120" w:rsidRPr="007F5895" w:rsidRDefault="00011120" w:rsidP="00D96440">
      <w:pPr>
        <w:spacing w:line="480" w:lineRule="auto"/>
        <w:ind w:left="720" w:hanging="720"/>
        <w:rPr>
          <w:b/>
        </w:rPr>
      </w:pPr>
      <w:r w:rsidRPr="007F5895">
        <w:rPr>
          <w:b/>
        </w:rPr>
        <w:t>Q.</w:t>
      </w:r>
      <w:r w:rsidRPr="007F5895">
        <w:rPr>
          <w:b/>
        </w:rPr>
        <w:tab/>
        <w:t>Have you prepared any exhibits in support of your testimony?</w:t>
      </w:r>
    </w:p>
    <w:p w:rsidR="00011120" w:rsidRDefault="00011120" w:rsidP="00D96440">
      <w:pPr>
        <w:spacing w:line="480" w:lineRule="auto"/>
        <w:ind w:left="720" w:hanging="720"/>
      </w:pPr>
      <w:r>
        <w:t>A.</w:t>
      </w:r>
      <w:r>
        <w:tab/>
        <w:t>Yes,</w:t>
      </w:r>
      <w:r w:rsidR="00920EB2">
        <w:t xml:space="preserve"> </w:t>
      </w:r>
      <w:r w:rsidR="001978F3">
        <w:t>I have two additional exhibits</w:t>
      </w:r>
      <w:r>
        <w:t>:</w:t>
      </w:r>
    </w:p>
    <w:p w:rsidR="00011120" w:rsidRDefault="00011120" w:rsidP="00011120">
      <w:pPr>
        <w:pStyle w:val="ListParagraph"/>
        <w:numPr>
          <w:ilvl w:val="0"/>
          <w:numId w:val="6"/>
        </w:numPr>
      </w:pPr>
      <w:r w:rsidRPr="003A2606">
        <w:t>Exhibit No. ___ (TES-2)</w:t>
      </w:r>
      <w:r>
        <w:t xml:space="preserve">, </w:t>
      </w:r>
      <w:r w:rsidR="00920EB2">
        <w:t>Letter</w:t>
      </w:r>
      <w:r w:rsidR="00410954">
        <w:t xml:space="preserve">s between </w:t>
      </w:r>
      <w:r w:rsidR="00920EB2">
        <w:t>Governor</w:t>
      </w:r>
      <w:r w:rsidR="00410954">
        <w:t xml:space="preserve"> and Commission Chairman</w:t>
      </w:r>
      <w:r w:rsidR="001267A9">
        <w:t>, dated January 4 and January 15, 2013</w:t>
      </w:r>
      <w:r w:rsidR="00746F62" w:rsidDel="00746F62">
        <w:t xml:space="preserve"> </w:t>
      </w:r>
    </w:p>
    <w:p w:rsidR="006C3ECD" w:rsidRDefault="006C3ECD" w:rsidP="00011120">
      <w:pPr>
        <w:pStyle w:val="ListParagraph"/>
        <w:numPr>
          <w:ilvl w:val="0"/>
          <w:numId w:val="6"/>
        </w:numPr>
      </w:pPr>
      <w:r>
        <w:t>Exhibit No. ___ (TES-3), Rates of return in Commission-basis Reports</w:t>
      </w:r>
    </w:p>
    <w:p w:rsidR="00011120" w:rsidRPr="003A2606" w:rsidRDefault="00011120" w:rsidP="00D96440"/>
    <w:p w:rsidR="002C039A" w:rsidRDefault="002C039A" w:rsidP="007F5895">
      <w:pPr>
        <w:spacing w:line="480" w:lineRule="auto"/>
        <w:ind w:left="720" w:hanging="720"/>
        <w:rPr>
          <w:b/>
        </w:rPr>
      </w:pPr>
    </w:p>
    <w:p w:rsidR="004A77ED" w:rsidRDefault="0003409F" w:rsidP="00D96440">
      <w:pPr>
        <w:spacing w:line="480" w:lineRule="auto"/>
        <w:jc w:val="center"/>
        <w:rPr>
          <w:b/>
        </w:rPr>
      </w:pPr>
      <w:r w:rsidRPr="007F5895">
        <w:rPr>
          <w:b/>
        </w:rPr>
        <w:t>III.</w:t>
      </w:r>
      <w:r w:rsidRPr="007F5895">
        <w:rPr>
          <w:b/>
        </w:rPr>
        <w:tab/>
        <w:t>DISCUSSION</w:t>
      </w:r>
    </w:p>
    <w:p w:rsidR="0003409F" w:rsidRDefault="00513624" w:rsidP="00250757">
      <w:pPr>
        <w:spacing w:line="480" w:lineRule="auto"/>
        <w:rPr>
          <w:b/>
        </w:rPr>
      </w:pPr>
      <w:r>
        <w:rPr>
          <w:b/>
        </w:rPr>
        <w:t>A.</w:t>
      </w:r>
      <w:r w:rsidR="007B2204">
        <w:rPr>
          <w:b/>
        </w:rPr>
        <w:t xml:space="preserve"> </w:t>
      </w:r>
      <w:r w:rsidR="00250757">
        <w:rPr>
          <w:b/>
        </w:rPr>
        <w:tab/>
      </w:r>
      <w:r w:rsidR="007B2204">
        <w:rPr>
          <w:b/>
        </w:rPr>
        <w:t>Summary</w:t>
      </w:r>
      <w:r w:rsidR="00724D55">
        <w:rPr>
          <w:b/>
        </w:rPr>
        <w:t xml:space="preserve"> of Global Settlement</w:t>
      </w:r>
    </w:p>
    <w:p w:rsidR="00250757" w:rsidRDefault="00250757" w:rsidP="00250757">
      <w:pPr>
        <w:spacing w:line="480" w:lineRule="auto"/>
        <w:rPr>
          <w:b/>
        </w:rPr>
      </w:pPr>
    </w:p>
    <w:p w:rsidR="006D3C21" w:rsidRDefault="0003409F" w:rsidP="00D96440">
      <w:pPr>
        <w:spacing w:line="480" w:lineRule="auto"/>
        <w:ind w:left="720" w:hanging="720"/>
        <w:rPr>
          <w:b/>
        </w:rPr>
      </w:pPr>
      <w:r>
        <w:rPr>
          <w:b/>
        </w:rPr>
        <w:t>Q.</w:t>
      </w:r>
      <w:r>
        <w:rPr>
          <w:b/>
        </w:rPr>
        <w:tab/>
      </w:r>
      <w:r w:rsidR="006D3C21">
        <w:rPr>
          <w:b/>
        </w:rPr>
        <w:t>Please give a brief description of the Global Settlement</w:t>
      </w:r>
      <w:r w:rsidR="00513624">
        <w:rPr>
          <w:b/>
        </w:rPr>
        <w:t>.</w:t>
      </w:r>
    </w:p>
    <w:p w:rsidR="00B534EA" w:rsidRDefault="006D3C21" w:rsidP="00D96440">
      <w:pPr>
        <w:spacing w:line="480" w:lineRule="auto"/>
        <w:ind w:left="720" w:hanging="720"/>
      </w:pPr>
      <w:r w:rsidRPr="00B534EA">
        <w:t>A.</w:t>
      </w:r>
      <w:r w:rsidRPr="00B534EA">
        <w:tab/>
        <w:t xml:space="preserve">The Global Settlement </w:t>
      </w:r>
      <w:r w:rsidR="00B534EA">
        <w:t xml:space="preserve">covers four basic components </w:t>
      </w:r>
      <w:r w:rsidR="001267A9">
        <w:t xml:space="preserve">of </w:t>
      </w:r>
      <w:r w:rsidR="00B534EA">
        <w:t>the collective dockets</w:t>
      </w:r>
      <w:r w:rsidR="00513624">
        <w:t xml:space="preserve">: </w:t>
      </w:r>
      <w:r w:rsidR="00DB54A4">
        <w:t xml:space="preserve"> (1) </w:t>
      </w:r>
      <w:r w:rsidR="00B534EA">
        <w:t xml:space="preserve">an </w:t>
      </w:r>
      <w:r w:rsidR="009B0CCB">
        <w:t xml:space="preserve">expedited rate filing to </w:t>
      </w:r>
      <w:r w:rsidR="00B534EA">
        <w:t>update</w:t>
      </w:r>
      <w:r w:rsidR="009B0CCB">
        <w:t xml:space="preserve"> revenue requirements</w:t>
      </w:r>
      <w:r w:rsidR="00B534EA">
        <w:t xml:space="preserve"> to June 2012</w:t>
      </w:r>
      <w:r w:rsidR="00F90078">
        <w:t xml:space="preserve">; (2) </w:t>
      </w:r>
      <w:r w:rsidR="00B534EA">
        <w:t>a rate plan</w:t>
      </w:r>
      <w:r w:rsidR="00513624">
        <w:t xml:space="preserve"> (3)</w:t>
      </w:r>
      <w:r w:rsidR="00F90078">
        <w:t> </w:t>
      </w:r>
      <w:r w:rsidR="00B534EA">
        <w:t>a decoupling plan</w:t>
      </w:r>
      <w:r w:rsidR="00F90078">
        <w:t>;</w:t>
      </w:r>
      <w:r w:rsidR="00B534EA">
        <w:t xml:space="preserve"> and </w:t>
      </w:r>
      <w:r w:rsidR="00513624">
        <w:t xml:space="preserve">(4) </w:t>
      </w:r>
      <w:r w:rsidR="00B534EA">
        <w:t xml:space="preserve">resolving areas of uncertainty in the coal transition power purchase agreement </w:t>
      </w:r>
      <w:r w:rsidR="001267A9">
        <w:t>O</w:t>
      </w:r>
      <w:r w:rsidR="00B534EA">
        <w:t xml:space="preserve">rder.  Given approval of these components, </w:t>
      </w:r>
      <w:r w:rsidR="00B534EA">
        <w:lastRenderedPageBreak/>
        <w:t>PSE will not file a general rate case before April 2015, but must file one before April 2016.  PSE also agrees to drop its request for the Commission to reconsider the level of the equity adder in the coal transition power purchase agreement</w:t>
      </w:r>
      <w:r w:rsidR="006541A3">
        <w:t xml:space="preserve"> </w:t>
      </w:r>
      <w:r w:rsidR="001267A9">
        <w:t xml:space="preserve">Order </w:t>
      </w:r>
      <w:r w:rsidR="006541A3">
        <w:t>if the Global S</w:t>
      </w:r>
      <w:r w:rsidR="00B534EA">
        <w:t>ettlement is accepted</w:t>
      </w:r>
      <w:r w:rsidR="001267A9">
        <w:t xml:space="preserve"> by the Commission</w:t>
      </w:r>
      <w:r w:rsidR="00B534EA">
        <w:t>.</w:t>
      </w:r>
    </w:p>
    <w:p w:rsidR="006D3C21" w:rsidRDefault="006541A3" w:rsidP="00D96440">
      <w:pPr>
        <w:spacing w:line="480" w:lineRule="auto"/>
        <w:ind w:left="720" w:hanging="720"/>
      </w:pPr>
      <w:r>
        <w:tab/>
      </w:r>
      <w:r>
        <w:tab/>
        <w:t xml:space="preserve">The Global Settlement </w:t>
      </w:r>
      <w:r w:rsidR="006D3C21" w:rsidRPr="00B534EA">
        <w:t>begins with an update to PSE’s last general rate case,</w:t>
      </w:r>
      <w:r w:rsidR="006D3C21">
        <w:rPr>
          <w:b/>
        </w:rPr>
        <w:t xml:space="preserve"> </w:t>
      </w:r>
      <w:r w:rsidR="001E63A6">
        <w:t>Dockets UE-111048/UG-111049 which set rates effective in May 2012 (</w:t>
      </w:r>
      <w:r w:rsidR="001267A9">
        <w:t>2012 GRC</w:t>
      </w:r>
      <w:r w:rsidR="001E63A6">
        <w:t xml:space="preserve">).  This update is the Expedited Rate Filing (ERF) filed in Dockets UE-130137 and UG-130138.  PSE developed a </w:t>
      </w:r>
      <w:r w:rsidR="00513624">
        <w:t>C</w:t>
      </w:r>
      <w:r w:rsidR="001E63A6">
        <w:t xml:space="preserve">ommission-basis </w:t>
      </w:r>
      <w:r w:rsidR="001267A9">
        <w:t>R</w:t>
      </w:r>
      <w:r w:rsidR="001E63A6">
        <w:t>eport (CBR) for the period ending June 30, 2012.  From this basis the power cost and property tax components were removed</w:t>
      </w:r>
      <w:r w:rsidR="00513624">
        <w:t>,</w:t>
      </w:r>
      <w:r w:rsidR="001E63A6">
        <w:t xml:space="preserve"> leaving delivery charges.  The result shows PSE </w:t>
      </w:r>
      <w:r w:rsidR="001267A9">
        <w:t xml:space="preserve">has </w:t>
      </w:r>
      <w:r w:rsidR="00ED64BD">
        <w:t xml:space="preserve">a </w:t>
      </w:r>
      <w:r w:rsidR="001267A9">
        <w:t xml:space="preserve">demonstrated </w:t>
      </w:r>
      <w:r w:rsidR="001E63A6">
        <w:t xml:space="preserve">need </w:t>
      </w:r>
      <w:r w:rsidR="001267A9">
        <w:t xml:space="preserve">for </w:t>
      </w:r>
      <w:r w:rsidR="001E63A6">
        <w:t xml:space="preserve">about </w:t>
      </w:r>
      <w:r w:rsidR="00513624">
        <w:t xml:space="preserve">a </w:t>
      </w:r>
      <w:r w:rsidR="001E63A6">
        <w:t xml:space="preserve">$32 million increase to recover its investments and costs in electric delivery activities, but a small decrease of $1.2 million for natural gas delivery.  </w:t>
      </w:r>
      <w:r w:rsidR="00513624">
        <w:t>Overall, rates would increase by 1.6%.</w:t>
      </w:r>
    </w:p>
    <w:p w:rsidR="00B534EA" w:rsidRDefault="00B534EA" w:rsidP="00D96440">
      <w:pPr>
        <w:spacing w:line="480" w:lineRule="auto"/>
        <w:ind w:left="720" w:hanging="720"/>
      </w:pPr>
      <w:r>
        <w:tab/>
      </w:r>
      <w:r w:rsidR="006541A3">
        <w:tab/>
      </w:r>
      <w:r>
        <w:t xml:space="preserve">The second component of the global settlement is the </w:t>
      </w:r>
      <w:r w:rsidR="006541A3">
        <w:t>rate plan.  From the ERF the delivery revenues are divided by the number of customers to derive revenues per customer (RPC).  The rate plan calls for three percent increases</w:t>
      </w:r>
      <w:r w:rsidR="006541A3" w:rsidRPr="006541A3">
        <w:t xml:space="preserve"> </w:t>
      </w:r>
      <w:r w:rsidR="006541A3">
        <w:t xml:space="preserve">per year to the electric </w:t>
      </w:r>
      <w:r w:rsidR="003E4D83">
        <w:t xml:space="preserve">delivery </w:t>
      </w:r>
      <w:r w:rsidR="006541A3">
        <w:t>RPC, and 2.2 percent increases to the gas</w:t>
      </w:r>
      <w:r w:rsidR="003E4D83">
        <w:t xml:space="preserve"> delivery</w:t>
      </w:r>
      <w:r w:rsidR="006541A3">
        <w:t xml:space="preserve"> RPC.  The initial rate plan increases are applied to the ERF RPC.  This initial rate plan increase brings the </w:t>
      </w:r>
      <w:r w:rsidR="008D5966">
        <w:t xml:space="preserve">delivery </w:t>
      </w:r>
      <w:r w:rsidR="006541A3">
        <w:t>revenue level from June 2012, up to the present time.</w:t>
      </w:r>
      <w:r w:rsidR="00513624">
        <w:t xml:space="preserve"> </w:t>
      </w:r>
      <w:r w:rsidR="007710CB">
        <w:t xml:space="preserve"> </w:t>
      </w:r>
      <w:r w:rsidR="00410954">
        <w:t xml:space="preserve">The combined effect on a residential bill of the ERF and rate plan increases is about $3.28 (3.3%) in electricity and </w:t>
      </w:r>
      <w:r w:rsidR="005B548F">
        <w:t xml:space="preserve">for natural gas an increase of about $1.33 </w:t>
      </w:r>
      <w:r w:rsidR="005B548F" w:rsidRPr="00303006">
        <w:t>(1.</w:t>
      </w:r>
      <w:r w:rsidR="00303006" w:rsidRPr="00303006">
        <w:t>7</w:t>
      </w:r>
      <w:r w:rsidR="0022779B" w:rsidRPr="00303006">
        <w:t>%).</w:t>
      </w:r>
      <w:r w:rsidR="00513624">
        <w:t xml:space="preserve"> </w:t>
      </w:r>
    </w:p>
    <w:p w:rsidR="009928A9" w:rsidRDefault="008D5966" w:rsidP="00D96440">
      <w:pPr>
        <w:spacing w:line="480" w:lineRule="auto"/>
        <w:ind w:left="720" w:hanging="720"/>
      </w:pPr>
      <w:r>
        <w:tab/>
      </w:r>
      <w:r>
        <w:tab/>
        <w:t xml:space="preserve">The third component is the decoupling plan. </w:t>
      </w:r>
      <w:r w:rsidR="001267A9">
        <w:t xml:space="preserve"> </w:t>
      </w:r>
      <w:r>
        <w:t xml:space="preserve">The delivery RPC, as calculated above, </w:t>
      </w:r>
      <w:r w:rsidR="00513624">
        <w:t>multiplied by</w:t>
      </w:r>
      <w:r>
        <w:t xml:space="preserve"> the actual customers in a given year derives the financial </w:t>
      </w:r>
      <w:r>
        <w:lastRenderedPageBreak/>
        <w:t xml:space="preserve">revenues for PSE.  Those financial revenues are collected from customers on the usual cents per kWh basis.  The </w:t>
      </w:r>
      <w:r w:rsidR="0034319E">
        <w:t xml:space="preserve">inevitable </w:t>
      </w:r>
      <w:r>
        <w:t xml:space="preserve">difference between the two methods is deferred and passed through to customers in the subsequent year’s rate filing.  </w:t>
      </w:r>
    </w:p>
    <w:p w:rsidR="008D5966" w:rsidRDefault="009928A9" w:rsidP="00D96440">
      <w:pPr>
        <w:spacing w:line="480" w:lineRule="auto"/>
        <w:ind w:left="720" w:hanging="720"/>
      </w:pPr>
      <w:r>
        <w:tab/>
      </w:r>
      <w:r>
        <w:tab/>
        <w:t>A</w:t>
      </w:r>
      <w:r w:rsidR="008D5966">
        <w:t>dditional customer protections</w:t>
      </w:r>
      <w:r>
        <w:t xml:space="preserve"> in the ERF-</w:t>
      </w:r>
      <w:r w:rsidR="000D3B02">
        <w:t>-</w:t>
      </w:r>
      <w:r>
        <w:t>rate plan</w:t>
      </w:r>
      <w:r w:rsidR="000D3B02">
        <w:t>-</w:t>
      </w:r>
      <w:r>
        <w:t xml:space="preserve">-decoupling proposal include </w:t>
      </w:r>
      <w:r w:rsidR="003E4D83">
        <w:t xml:space="preserve">an annual earnings review in April of each year, </w:t>
      </w:r>
      <w:r>
        <w:t xml:space="preserve">a soft cap of no more than a three percent increase </w:t>
      </w:r>
      <w:r w:rsidR="008D30D4">
        <w:t>in</w:t>
      </w:r>
      <w:r>
        <w:t xml:space="preserve"> total rates, and refunds if PSE shows it is earning more than the rate of return allowed in the </w:t>
      </w:r>
      <w:r w:rsidR="001267A9">
        <w:t xml:space="preserve">2012 </w:t>
      </w:r>
      <w:r w:rsidR="0037620B">
        <w:t>GRC</w:t>
      </w:r>
      <w:r>
        <w:t>.</w:t>
      </w:r>
    </w:p>
    <w:p w:rsidR="009928A9" w:rsidRDefault="009928A9" w:rsidP="00D96440">
      <w:pPr>
        <w:spacing w:line="480" w:lineRule="auto"/>
        <w:ind w:left="720" w:hanging="720"/>
        <w:rPr>
          <w:b/>
        </w:rPr>
      </w:pPr>
      <w:r>
        <w:tab/>
      </w:r>
      <w:r>
        <w:tab/>
        <w:t>The final component of the Global Settlement addresses aspects of PSE’s motion for reconsideration in the coal transition power purchase agreement</w:t>
      </w:r>
      <w:r w:rsidR="00357157">
        <w:t xml:space="preserve"> (PPA)</w:t>
      </w:r>
      <w:r w:rsidR="002B335E">
        <w:t xml:space="preserve"> case</w:t>
      </w:r>
      <w:r>
        <w:t xml:space="preserve">.  </w:t>
      </w:r>
      <w:r w:rsidR="00357157">
        <w:t xml:space="preserve">There are two basic areas where PSE </w:t>
      </w:r>
      <w:r w:rsidR="008D30D4">
        <w:t xml:space="preserve">states that it </w:t>
      </w:r>
      <w:r w:rsidR="00357157">
        <w:t xml:space="preserve">finds unacceptable uncertainty in the recovery of the costs of the PPA.  </w:t>
      </w:r>
      <w:r w:rsidR="008D30D4">
        <w:t>First</w:t>
      </w:r>
      <w:r w:rsidR="00357157">
        <w:t xml:space="preserve">, Order </w:t>
      </w:r>
      <w:r w:rsidR="0034319E">
        <w:t>03</w:t>
      </w:r>
      <w:r w:rsidR="008D30D4">
        <w:t xml:space="preserve"> in Docket UE-121373 </w:t>
      </w:r>
      <w:r w:rsidR="00357157">
        <w:t xml:space="preserve">leaves open the possibility that the PPA could be deemed imprudent at some future date with potential disallowances.  </w:t>
      </w:r>
      <w:r w:rsidR="008D30D4">
        <w:t>Second</w:t>
      </w:r>
      <w:r w:rsidR="00357157">
        <w:t xml:space="preserve">, the Order specifically leaves to the future a plan for recovering the costs of the PPA.  The proposals </w:t>
      </w:r>
      <w:r w:rsidR="008D30D4">
        <w:t xml:space="preserve">in the Global Settlement </w:t>
      </w:r>
      <w:r w:rsidR="00357157">
        <w:t>to cure th</w:t>
      </w:r>
      <w:r w:rsidR="002D6809">
        <w:t>e</w:t>
      </w:r>
      <w:r w:rsidR="00357157">
        <w:t>s</w:t>
      </w:r>
      <w:r w:rsidR="002D6809">
        <w:t>e</w:t>
      </w:r>
      <w:r w:rsidR="00357157">
        <w:t xml:space="preserve"> uncertaint</w:t>
      </w:r>
      <w:r w:rsidR="002D6809">
        <w:t>ies</w:t>
      </w:r>
      <w:r w:rsidR="00357157">
        <w:t>, as explained below, do not contradict the Commission’s decisions</w:t>
      </w:r>
      <w:r w:rsidR="008D30D4">
        <w:t>, but rather</w:t>
      </w:r>
      <w:r w:rsidR="00357157">
        <w:t xml:space="preserve"> simply </w:t>
      </w:r>
      <w:r w:rsidR="008D30D4">
        <w:t xml:space="preserve">serve to </w:t>
      </w:r>
      <w:r w:rsidR="00267114">
        <w:t>resolve the</w:t>
      </w:r>
      <w:r w:rsidR="008D30D4">
        <w:t>se</w:t>
      </w:r>
      <w:r w:rsidR="00267114">
        <w:t xml:space="preserve"> matters now</w:t>
      </w:r>
      <w:r w:rsidR="00357157">
        <w:t>.</w:t>
      </w:r>
    </w:p>
    <w:p w:rsidR="006D3C21" w:rsidRDefault="006D3C21" w:rsidP="00D96440">
      <w:pPr>
        <w:spacing w:line="480" w:lineRule="auto"/>
        <w:ind w:left="720" w:hanging="720"/>
        <w:rPr>
          <w:b/>
        </w:rPr>
      </w:pPr>
    </w:p>
    <w:p w:rsidR="006D3C21" w:rsidRDefault="006D3C21" w:rsidP="00D96440">
      <w:pPr>
        <w:spacing w:line="480" w:lineRule="auto"/>
        <w:ind w:left="720" w:hanging="720"/>
        <w:rPr>
          <w:b/>
        </w:rPr>
      </w:pPr>
      <w:r>
        <w:rPr>
          <w:b/>
        </w:rPr>
        <w:t>Q.</w:t>
      </w:r>
      <w:r>
        <w:rPr>
          <w:b/>
        </w:rPr>
        <w:tab/>
      </w:r>
      <w:r w:rsidR="008D30D4">
        <w:rPr>
          <w:b/>
        </w:rPr>
        <w:t xml:space="preserve">Does </w:t>
      </w:r>
      <w:r>
        <w:rPr>
          <w:b/>
        </w:rPr>
        <w:t>the Global Settlement</w:t>
      </w:r>
      <w:r w:rsidR="008D30D4">
        <w:rPr>
          <w:b/>
        </w:rPr>
        <w:t xml:space="preserve"> achieve policy goals stated by the Commission</w:t>
      </w:r>
      <w:r>
        <w:rPr>
          <w:b/>
        </w:rPr>
        <w:t>?</w:t>
      </w:r>
    </w:p>
    <w:p w:rsidR="002D6809" w:rsidRDefault="002D6809" w:rsidP="00D96440">
      <w:pPr>
        <w:spacing w:line="480" w:lineRule="auto"/>
        <w:ind w:left="720" w:hanging="720"/>
      </w:pPr>
      <w:r w:rsidRPr="00F17BC5">
        <w:t>A.</w:t>
      </w:r>
      <w:r w:rsidRPr="00F17BC5">
        <w:tab/>
        <w:t xml:space="preserve">Yes. </w:t>
      </w:r>
      <w:r w:rsidR="001267A9">
        <w:t xml:space="preserve"> </w:t>
      </w:r>
      <w:r w:rsidR="00267114">
        <w:t xml:space="preserve">In Order 08 of the </w:t>
      </w:r>
      <w:r w:rsidR="001267A9">
        <w:t>2012 GRC</w:t>
      </w:r>
      <w:r w:rsidR="00267114">
        <w:t xml:space="preserve"> the Commission opine</w:t>
      </w:r>
      <w:r w:rsidR="000A26B4">
        <w:t>d</w:t>
      </w:r>
      <w:r w:rsidR="00267114">
        <w:t xml:space="preserve"> on Staff’s ideas for reducing regulatory lag. </w:t>
      </w:r>
      <w:r w:rsidR="001267A9">
        <w:t xml:space="preserve"> </w:t>
      </w:r>
      <w:r w:rsidR="00267114">
        <w:t>Staff had suggested an expedited rate filing to reduce the regulatory time</w:t>
      </w:r>
      <w:r w:rsidR="002B335E">
        <w:t xml:space="preserve"> </w:t>
      </w:r>
      <w:r w:rsidR="00267114">
        <w:t>frame</w:t>
      </w:r>
      <w:r w:rsidR="008F6FC9">
        <w:t xml:space="preserve">.  The Commission </w:t>
      </w:r>
      <w:r w:rsidR="001A27C9">
        <w:t xml:space="preserve">said </w:t>
      </w:r>
      <w:r w:rsidR="008F6FC9">
        <w:t>it will give fair consideration to a proposal either presented on the Company’s own initia</w:t>
      </w:r>
      <w:r w:rsidR="001A27C9">
        <w:t xml:space="preserve">tive, or after having met with </w:t>
      </w:r>
      <w:r w:rsidR="001A27C9">
        <w:lastRenderedPageBreak/>
        <w:t>S</w:t>
      </w:r>
      <w:r w:rsidR="008F6FC9">
        <w:t>taff to confirm mutual expectations.</w:t>
      </w:r>
      <w:r w:rsidR="001A27C9">
        <w:rPr>
          <w:rStyle w:val="FootnoteReference"/>
        </w:rPr>
        <w:footnoteReference w:id="1"/>
      </w:r>
      <w:r w:rsidR="008F6FC9">
        <w:t xml:space="preserve"> </w:t>
      </w:r>
      <w:r w:rsidR="001267A9">
        <w:t xml:space="preserve"> </w:t>
      </w:r>
      <w:r w:rsidR="008F6FC9">
        <w:t>The filings in Dockets UE-130137/UG-130138 are the r</w:t>
      </w:r>
      <w:r w:rsidR="001267A9">
        <w:t xml:space="preserve">esult of just such meetings.  </w:t>
      </w:r>
      <w:r w:rsidR="008F6FC9">
        <w:t>These expectations also include the incorporation of end of period rate base, and new regulatory processes as noted in the Synopsis of Order 08.</w:t>
      </w:r>
      <w:r w:rsidR="008F6FC9">
        <w:rPr>
          <w:rStyle w:val="FootnoteReference"/>
        </w:rPr>
        <w:footnoteReference w:id="2"/>
      </w:r>
    </w:p>
    <w:p w:rsidR="008F6FC9" w:rsidRDefault="00042D0C" w:rsidP="00D96440">
      <w:pPr>
        <w:spacing w:line="480" w:lineRule="auto"/>
        <w:ind w:left="720" w:hanging="720"/>
      </w:pPr>
      <w:r>
        <w:tab/>
      </w:r>
      <w:r w:rsidR="00250757">
        <w:tab/>
      </w:r>
      <w:r w:rsidR="008F6FC9">
        <w:t xml:space="preserve">The rate plan/decoupling dockets are the result of a lengthy process covering many years and many dockets; the </w:t>
      </w:r>
      <w:r w:rsidR="001267A9">
        <w:t>2012 GRC</w:t>
      </w:r>
      <w:r w:rsidR="008F6FC9">
        <w:t xml:space="preserve"> being the most recent.  Here again</w:t>
      </w:r>
      <w:r w:rsidR="008D30D4">
        <w:t>,</w:t>
      </w:r>
      <w:r w:rsidR="008F6FC9">
        <w:t xml:space="preserve"> the Commission invite</w:t>
      </w:r>
      <w:r w:rsidR="000A26B4">
        <w:t>d</w:t>
      </w:r>
      <w:r w:rsidR="008F6FC9">
        <w:t xml:space="preserve"> proposals for full decoupling mechanisms.  </w:t>
      </w:r>
      <w:r w:rsidR="00DD4401">
        <w:t>Staff’s acceptance of t</w:t>
      </w:r>
      <w:r w:rsidR="008F6FC9">
        <w:t xml:space="preserve">he plan before us today is fully </w:t>
      </w:r>
      <w:r w:rsidR="00DD4401">
        <w:t>explained in Ms. Reynolds testimony.</w:t>
      </w:r>
      <w:r w:rsidR="001A27C9">
        <w:rPr>
          <w:rStyle w:val="FootnoteReference"/>
        </w:rPr>
        <w:footnoteReference w:id="3"/>
      </w:r>
    </w:p>
    <w:p w:rsidR="00042D0C" w:rsidRDefault="00042D0C" w:rsidP="00D96440">
      <w:pPr>
        <w:spacing w:line="480" w:lineRule="auto"/>
        <w:ind w:left="720" w:hanging="720"/>
      </w:pPr>
    </w:p>
    <w:p w:rsidR="001E19F2" w:rsidRPr="001E19F2" w:rsidRDefault="001E19F2" w:rsidP="00D96440">
      <w:pPr>
        <w:spacing w:line="480" w:lineRule="auto"/>
        <w:ind w:left="720" w:hanging="720"/>
        <w:rPr>
          <w:b/>
        </w:rPr>
      </w:pPr>
      <w:r w:rsidRPr="001E19F2">
        <w:rPr>
          <w:b/>
        </w:rPr>
        <w:t>Q.</w:t>
      </w:r>
      <w:r w:rsidRPr="001E19F2">
        <w:rPr>
          <w:b/>
        </w:rPr>
        <w:tab/>
        <w:t>What other entities have expressed in</w:t>
      </w:r>
      <w:r w:rsidR="001267A9">
        <w:rPr>
          <w:b/>
        </w:rPr>
        <w:t>terest in the Commission’s rate</w:t>
      </w:r>
      <w:r w:rsidRPr="001E19F2">
        <w:rPr>
          <w:b/>
        </w:rPr>
        <w:t>making processes?</w:t>
      </w:r>
    </w:p>
    <w:p w:rsidR="00DD4401" w:rsidRPr="00F17BC5" w:rsidRDefault="001E19F2" w:rsidP="00D96440">
      <w:pPr>
        <w:spacing w:line="480" w:lineRule="auto"/>
        <w:ind w:left="720" w:hanging="720"/>
      </w:pPr>
      <w:r>
        <w:t>A.</w:t>
      </w:r>
      <w:r>
        <w:tab/>
      </w:r>
      <w:r w:rsidR="00DD4401">
        <w:t xml:space="preserve">The Global Settlement also addresses ratemaking concerns discussed </w:t>
      </w:r>
      <w:r>
        <w:t>by various stakeholders and</w:t>
      </w:r>
      <w:r w:rsidR="00DD4401">
        <w:t xml:space="preserve"> the </w:t>
      </w:r>
      <w:r>
        <w:t>Governor</w:t>
      </w:r>
      <w:r w:rsidR="00DD4401">
        <w:t xml:space="preserve">.  A letter from the </w:t>
      </w:r>
      <w:r w:rsidR="00042D0C">
        <w:t>Governor’s</w:t>
      </w:r>
      <w:r w:rsidR="00DD4401">
        <w:t xml:space="preserve"> office and the response by then Chairman </w:t>
      </w:r>
      <w:r w:rsidR="001267A9">
        <w:t xml:space="preserve">and current Commissioner </w:t>
      </w:r>
      <w:r w:rsidR="00DD4401">
        <w:t xml:space="preserve">Goltz is presented as Exhibit No. ___ (TES-2). </w:t>
      </w:r>
      <w:r w:rsidR="001267A9">
        <w:t xml:space="preserve"> </w:t>
      </w:r>
      <w:r>
        <w:t>Recommendations by the Governor include “provisions for expedited rate proceedings</w:t>
      </w:r>
      <w:r w:rsidR="001267A9">
        <w:t>,</w:t>
      </w:r>
      <w:r w:rsidR="00F15B40">
        <w:t>” and “policies [</w:t>
      </w:r>
      <w:r>
        <w:t>to</w:t>
      </w:r>
      <w:r w:rsidR="00F15B40">
        <w:t>]</w:t>
      </w:r>
      <w:r>
        <w:t xml:space="preserve"> increase the efficiency, predictability and consistency of the regulatory system</w:t>
      </w:r>
      <w:r w:rsidR="00016C74">
        <w:t>.</w:t>
      </w:r>
      <w:r>
        <w:t>”  The Global Settlement accomplishes those recommendations.</w:t>
      </w:r>
    </w:p>
    <w:p w:rsidR="006D3C21" w:rsidRPr="00F17BC5" w:rsidRDefault="006D3C21" w:rsidP="00D96440">
      <w:pPr>
        <w:spacing w:line="480" w:lineRule="auto"/>
        <w:ind w:left="720" w:hanging="720"/>
      </w:pPr>
    </w:p>
    <w:p w:rsidR="0003409F" w:rsidRDefault="006D3C21" w:rsidP="00D96440">
      <w:pPr>
        <w:spacing w:line="480" w:lineRule="auto"/>
        <w:ind w:left="720" w:hanging="720"/>
        <w:rPr>
          <w:b/>
        </w:rPr>
      </w:pPr>
      <w:r>
        <w:rPr>
          <w:b/>
        </w:rPr>
        <w:t>Q.</w:t>
      </w:r>
      <w:r>
        <w:rPr>
          <w:b/>
        </w:rPr>
        <w:tab/>
      </w:r>
      <w:r w:rsidR="0003409F" w:rsidRPr="0003409F">
        <w:rPr>
          <w:b/>
        </w:rPr>
        <w:t xml:space="preserve">Please summarize </w:t>
      </w:r>
      <w:r w:rsidR="00C12FF9">
        <w:rPr>
          <w:b/>
        </w:rPr>
        <w:t>Staff</w:t>
      </w:r>
      <w:r w:rsidR="001978F3">
        <w:rPr>
          <w:b/>
        </w:rPr>
        <w:t>’s</w:t>
      </w:r>
      <w:r w:rsidR="00C12FF9">
        <w:rPr>
          <w:b/>
        </w:rPr>
        <w:t xml:space="preserve"> </w:t>
      </w:r>
      <w:r w:rsidR="001978F3">
        <w:rPr>
          <w:b/>
        </w:rPr>
        <w:t xml:space="preserve">acceptance of the Global Settlement </w:t>
      </w:r>
      <w:r w:rsidR="0003409F" w:rsidRPr="00D22FEE">
        <w:rPr>
          <w:b/>
        </w:rPr>
        <w:t>for the Company’</w:t>
      </w:r>
      <w:r w:rsidR="001D0F6C">
        <w:rPr>
          <w:b/>
        </w:rPr>
        <w:t xml:space="preserve">s electricity </w:t>
      </w:r>
      <w:r w:rsidR="0003409F" w:rsidRPr="00D22FEE">
        <w:rPr>
          <w:b/>
        </w:rPr>
        <w:t xml:space="preserve">and natural gas </w:t>
      </w:r>
      <w:r w:rsidR="00C12FF9">
        <w:rPr>
          <w:b/>
        </w:rPr>
        <w:t>operations</w:t>
      </w:r>
      <w:r w:rsidR="001D0F6C">
        <w:rPr>
          <w:b/>
        </w:rPr>
        <w:t>.</w:t>
      </w:r>
      <w:r w:rsidR="0003409F" w:rsidRPr="00D22FEE">
        <w:rPr>
          <w:b/>
        </w:rPr>
        <w:t xml:space="preserve">  </w:t>
      </w:r>
    </w:p>
    <w:p w:rsidR="001E19F2" w:rsidRDefault="0003409F" w:rsidP="00D96440">
      <w:pPr>
        <w:spacing w:line="480" w:lineRule="auto"/>
        <w:ind w:left="720" w:hanging="720"/>
      </w:pPr>
      <w:r>
        <w:lastRenderedPageBreak/>
        <w:t>A.</w:t>
      </w:r>
      <w:r>
        <w:tab/>
        <w:t xml:space="preserve">Staff </w:t>
      </w:r>
      <w:r w:rsidR="001978F3">
        <w:t xml:space="preserve">accepts the </w:t>
      </w:r>
      <w:r w:rsidR="005C724A">
        <w:t xml:space="preserve">expedited rate filing in the </w:t>
      </w:r>
      <w:r w:rsidR="001978F3">
        <w:t xml:space="preserve">Global Settlement as a fair and reasonable plan for minor rate increases over the next two to three years.  The </w:t>
      </w:r>
      <w:r w:rsidR="005C724A">
        <w:t>ERF</w:t>
      </w:r>
      <w:r w:rsidR="001978F3">
        <w:t xml:space="preserve"> is a</w:t>
      </w:r>
      <w:r w:rsidR="00FA4C44">
        <w:t>n easy to understand update to the last general rate case</w:t>
      </w:r>
      <w:r w:rsidR="001267A9">
        <w:t>,</w:t>
      </w:r>
      <w:r w:rsidR="00FA4C44">
        <w:t xml:space="preserve"> which set rates effective May 2012.  The specific rate increases in the </w:t>
      </w:r>
      <w:r w:rsidR="005C724A">
        <w:t>ERF</w:t>
      </w:r>
      <w:r w:rsidR="00FA4C44">
        <w:t xml:space="preserve"> apply only to delivery costs and revenues.  Power costs are excluded and will be addressed in separate filings.  Property taxes are also removed from the</w:t>
      </w:r>
      <w:r w:rsidR="005C724A">
        <w:t xml:space="preserve"> ERF and the</w:t>
      </w:r>
      <w:r w:rsidR="00FA4C44">
        <w:t xml:space="preserve"> rate plan </w:t>
      </w:r>
      <w:r w:rsidR="005C724A">
        <w:t>to be recovered in</w:t>
      </w:r>
      <w:r w:rsidR="001E19F2">
        <w:t xml:space="preserve"> a separate tariff </w:t>
      </w:r>
      <w:r w:rsidR="00FA4C44">
        <w:t xml:space="preserve">as requested by the Commission in </w:t>
      </w:r>
      <w:r w:rsidR="001267A9">
        <w:t>2012 GRC</w:t>
      </w:r>
      <w:r w:rsidR="005C724A">
        <w:t>.</w:t>
      </w:r>
      <w:r w:rsidR="00FA4C44">
        <w:rPr>
          <w:rStyle w:val="FootnoteReference"/>
        </w:rPr>
        <w:footnoteReference w:id="4"/>
      </w:r>
      <w:r w:rsidR="00FA4C44">
        <w:t xml:space="preserve">  </w:t>
      </w:r>
    </w:p>
    <w:p w:rsidR="0037620B" w:rsidRDefault="001E19F2" w:rsidP="00D96440">
      <w:pPr>
        <w:spacing w:line="480" w:lineRule="auto"/>
        <w:ind w:left="720" w:hanging="720"/>
      </w:pPr>
      <w:r>
        <w:tab/>
      </w:r>
      <w:r>
        <w:tab/>
      </w:r>
      <w:r w:rsidR="00FA4C44">
        <w:t xml:space="preserve">The Global Settlement </w:t>
      </w:r>
      <w:r w:rsidR="005C724A">
        <w:t>establishes</w:t>
      </w:r>
      <w:r w:rsidR="00FA4C44">
        <w:t xml:space="preserve"> a rate plan for delivery revenues</w:t>
      </w:r>
      <w:r w:rsidR="006D7D17">
        <w:t xml:space="preserve">.  The rate plan gives a measure of certainty to PSE of some increase in revenues, but the increases are insufficient to guarantee </w:t>
      </w:r>
      <w:r w:rsidR="0037620B">
        <w:t xml:space="preserve">that </w:t>
      </w:r>
      <w:r w:rsidR="006D7D17">
        <w:t xml:space="preserve">PSE will achieve the rate of return set in the </w:t>
      </w:r>
      <w:r w:rsidR="001267A9">
        <w:t>2012 GRC</w:t>
      </w:r>
      <w:r w:rsidR="006D7D17">
        <w:t>.</w:t>
      </w:r>
      <w:r w:rsidR="0037620B">
        <w:t xml:space="preserve"> </w:t>
      </w:r>
      <w:r w:rsidR="00B70AE0">
        <w:t xml:space="preserve"> </w:t>
      </w:r>
      <w:r w:rsidR="0037620B">
        <w:t>To do so will require PSE to manage its expenses.</w:t>
      </w:r>
      <w:r w:rsidR="006D7D17">
        <w:t xml:space="preserve">  </w:t>
      </w:r>
    </w:p>
    <w:p w:rsidR="006666BF" w:rsidRDefault="0037620B" w:rsidP="00B03844">
      <w:pPr>
        <w:spacing w:line="480" w:lineRule="auto"/>
        <w:ind w:left="720" w:hanging="720"/>
      </w:pPr>
      <w:r>
        <w:tab/>
      </w:r>
      <w:r>
        <w:tab/>
      </w:r>
      <w:r w:rsidR="006D7D17">
        <w:t xml:space="preserve">The </w:t>
      </w:r>
      <w:r w:rsidR="005C724A">
        <w:t xml:space="preserve">Global Settlement also establishes a </w:t>
      </w:r>
      <w:r w:rsidR="006D7D17">
        <w:t xml:space="preserve">decoupling </w:t>
      </w:r>
      <w:r w:rsidR="005C724A">
        <w:t>mechanism</w:t>
      </w:r>
      <w:r w:rsidR="006D7D17">
        <w:t xml:space="preserve"> </w:t>
      </w:r>
      <w:r w:rsidR="000465E8">
        <w:t>which</w:t>
      </w:r>
      <w:r w:rsidR="006D7D17">
        <w:t xml:space="preserve"> applies only to the delivery revenues.  Financial revenues will be determined by the “delivery revenue per customer” while customers still pay their bills as cents per kilowatt-hour</w:t>
      </w:r>
      <w:r>
        <w:t xml:space="preserve"> </w:t>
      </w:r>
      <w:r w:rsidR="006D3C21">
        <w:t>(k</w:t>
      </w:r>
      <w:r w:rsidR="005C724A">
        <w:t>W</w:t>
      </w:r>
      <w:r w:rsidR="006D3C21">
        <w:t>h)</w:t>
      </w:r>
      <w:r w:rsidR="006D7D17">
        <w:t xml:space="preserve">. This </w:t>
      </w:r>
      <w:r w:rsidR="006D3C21">
        <w:t>direct</w:t>
      </w:r>
      <w:r w:rsidR="006D7D17">
        <w:t xml:space="preserve">ly </w:t>
      </w:r>
      <w:r w:rsidR="006D3C21">
        <w:t>removes</w:t>
      </w:r>
      <w:r w:rsidR="006D7D17">
        <w:t xml:space="preserve"> the incentive to sell more k</w:t>
      </w:r>
      <w:r w:rsidR="005C724A">
        <w:t>W</w:t>
      </w:r>
      <w:r w:rsidR="006D3C21">
        <w:t>h</w:t>
      </w:r>
      <w:r w:rsidR="001267A9">
        <w:t>, a long-</w:t>
      </w:r>
      <w:r>
        <w:t>stated goal of the Commission.</w:t>
      </w:r>
    </w:p>
    <w:p w:rsidR="009D1865" w:rsidRDefault="00B03844" w:rsidP="00B03844">
      <w:pPr>
        <w:spacing w:line="480" w:lineRule="auto"/>
        <w:ind w:left="720" w:hanging="720"/>
      </w:pPr>
      <w:r>
        <w:tab/>
      </w:r>
      <w:r>
        <w:tab/>
      </w:r>
      <w:r w:rsidRPr="00724D55">
        <w:t xml:space="preserve">The resolution of two issues in the Coal Transition PPA is </w:t>
      </w:r>
      <w:r w:rsidR="000A26B4">
        <w:t xml:space="preserve">both </w:t>
      </w:r>
      <w:r w:rsidRPr="00724D55">
        <w:t xml:space="preserve">fair and timely.  </w:t>
      </w:r>
      <w:r w:rsidR="009D1865" w:rsidRPr="00724D55">
        <w:t xml:space="preserve">First, </w:t>
      </w:r>
      <w:r w:rsidRPr="00724D55">
        <w:t>Order 03 leave</w:t>
      </w:r>
      <w:r w:rsidR="000A26B4">
        <w:t>s</w:t>
      </w:r>
      <w:r w:rsidRPr="00724D55">
        <w:t xml:space="preserve"> the Commission with “ongoing approval authority” over the prudence of the PPA.  </w:t>
      </w:r>
      <w:r w:rsidR="000A26B4">
        <w:t>S</w:t>
      </w:r>
      <w:r w:rsidR="009D1865" w:rsidRPr="00724D55">
        <w:t xml:space="preserve">econd, the issue of recovering the costs and equity adder are left to a future time. </w:t>
      </w:r>
      <w:r w:rsidR="009B0CCB">
        <w:t xml:space="preserve"> The Global Settlement’s proposed solutions </w:t>
      </w:r>
      <w:r w:rsidR="005C724A">
        <w:t>address</w:t>
      </w:r>
      <w:r w:rsidR="009B0CCB">
        <w:t xml:space="preserve"> those issues now rather than postponing the matters</w:t>
      </w:r>
      <w:r w:rsidR="001267A9">
        <w:t xml:space="preserve"> for later determination</w:t>
      </w:r>
      <w:r w:rsidR="009B0CCB">
        <w:t>.</w:t>
      </w:r>
    </w:p>
    <w:p w:rsidR="009B0CCB" w:rsidRDefault="009B0CCB" w:rsidP="00B03844">
      <w:pPr>
        <w:spacing w:line="480" w:lineRule="auto"/>
        <w:ind w:left="720" w:hanging="720"/>
      </w:pPr>
    </w:p>
    <w:p w:rsidR="009B0CCB" w:rsidRDefault="000A26B4" w:rsidP="00250757">
      <w:pPr>
        <w:keepNext/>
        <w:spacing w:line="480" w:lineRule="auto"/>
        <w:rPr>
          <w:b/>
        </w:rPr>
      </w:pPr>
      <w:r>
        <w:rPr>
          <w:b/>
        </w:rPr>
        <w:lastRenderedPageBreak/>
        <w:t>B</w:t>
      </w:r>
      <w:r w:rsidR="007B2204">
        <w:rPr>
          <w:b/>
        </w:rPr>
        <w:t xml:space="preserve">. </w:t>
      </w:r>
      <w:r w:rsidR="00250757">
        <w:rPr>
          <w:b/>
        </w:rPr>
        <w:tab/>
      </w:r>
      <w:r w:rsidR="009B0CCB">
        <w:rPr>
          <w:b/>
        </w:rPr>
        <w:t>Expedited Rate Filings</w:t>
      </w:r>
    </w:p>
    <w:p w:rsidR="00250757" w:rsidRDefault="00250757" w:rsidP="00250757">
      <w:pPr>
        <w:keepNext/>
        <w:spacing w:line="480" w:lineRule="auto"/>
        <w:rPr>
          <w:b/>
        </w:rPr>
      </w:pPr>
    </w:p>
    <w:p w:rsidR="009B0CCB" w:rsidRPr="00A03670" w:rsidRDefault="009B0CCB" w:rsidP="009B0CCB">
      <w:pPr>
        <w:spacing w:line="480" w:lineRule="auto"/>
      </w:pPr>
      <w:r w:rsidRPr="0070138A">
        <w:rPr>
          <w:b/>
        </w:rPr>
        <w:t>Q.</w:t>
      </w:r>
      <w:r w:rsidRPr="0070138A">
        <w:rPr>
          <w:b/>
        </w:rPr>
        <w:tab/>
      </w:r>
      <w:r w:rsidRPr="00AE0A24">
        <w:rPr>
          <w:b/>
        </w:rPr>
        <w:t xml:space="preserve">Please explain the </w:t>
      </w:r>
      <w:r>
        <w:rPr>
          <w:b/>
        </w:rPr>
        <w:t xml:space="preserve">electric </w:t>
      </w:r>
      <w:r w:rsidRPr="00AE0A24">
        <w:rPr>
          <w:b/>
        </w:rPr>
        <w:t>expedited rate filing in greater detail</w:t>
      </w:r>
      <w:r>
        <w:rPr>
          <w:b/>
        </w:rPr>
        <w:t>.</w:t>
      </w:r>
      <w:r>
        <w:t xml:space="preserve"> </w:t>
      </w:r>
    </w:p>
    <w:p w:rsidR="009B0CCB" w:rsidRDefault="009B0CCB" w:rsidP="009B0CCB">
      <w:pPr>
        <w:spacing w:line="480" w:lineRule="auto"/>
        <w:ind w:left="720" w:hanging="720"/>
      </w:pPr>
      <w:r>
        <w:t>A.</w:t>
      </w:r>
      <w:r>
        <w:tab/>
        <w:t xml:space="preserve">The electric ERF is based on a test period for the 12 months ending June 30, 2012.  The ERF is filed following the rules for </w:t>
      </w:r>
      <w:r w:rsidR="000A26B4">
        <w:t>C</w:t>
      </w:r>
      <w:r w:rsidR="00B75F28">
        <w:t>ommission-</w:t>
      </w:r>
      <w:r>
        <w:t xml:space="preserve">basis reports where adjustments to the per books results may include </w:t>
      </w:r>
      <w:r w:rsidRPr="00AE0A24">
        <w:t xml:space="preserve">only the necessary adjustments as accepted by the </w:t>
      </w:r>
      <w:r w:rsidR="000A26B4">
        <w:t>C</w:t>
      </w:r>
      <w:r w:rsidR="00B75F28">
        <w:t>ommission in the utility’</w:t>
      </w:r>
      <w:r w:rsidRPr="00AE0A24">
        <w:t>s most recent general rate case</w:t>
      </w:r>
      <w:r>
        <w:t>;</w:t>
      </w:r>
      <w:r w:rsidRPr="00AE0A24">
        <w:t xml:space="preserve"> adjust</w:t>
      </w:r>
      <w:r>
        <w:t xml:space="preserve">ments </w:t>
      </w:r>
      <w:r w:rsidRPr="00AE0A24">
        <w:t>for any material out-of-period, non</w:t>
      </w:r>
      <w:r w:rsidR="000465E8">
        <w:t>-</w:t>
      </w:r>
      <w:r w:rsidRPr="00AE0A24">
        <w:t>operating, nonrecurring, and extraordinary items</w:t>
      </w:r>
      <w:r>
        <w:t>;</w:t>
      </w:r>
      <w:r w:rsidRPr="00AE0A24">
        <w:t xml:space="preserve"> </w:t>
      </w:r>
      <w:r>
        <w:t>and adjustments</w:t>
      </w:r>
      <w:r w:rsidRPr="00AE0A24">
        <w:t xml:space="preserve"> to reflect operations under normal temperature and power supply conditions</w:t>
      </w:r>
      <w:r w:rsidR="00B75F28">
        <w:t>.  Commission-</w:t>
      </w:r>
      <w:r>
        <w:t>basis reports may</w:t>
      </w:r>
      <w:r w:rsidRPr="00AE0A24">
        <w:t xml:space="preserve"> not include adjustments that annualize price, wage, or other cost changes during a reporting period, nor new theories or approaches that have not been previously addressed</w:t>
      </w:r>
      <w:r>
        <w:t>.</w:t>
      </w:r>
      <w:r w:rsidRPr="00AE0A24">
        <w:rPr>
          <w:rStyle w:val="FootnoteReference"/>
        </w:rPr>
        <w:footnoteReference w:id="5"/>
      </w:r>
      <w:r>
        <w:t xml:space="preserve">  Exhibit Nos. ___ (KJB-3) and (KJB-5) present the electric ERF revenue requirement results.</w:t>
      </w:r>
    </w:p>
    <w:p w:rsidR="009B0CCB" w:rsidRDefault="009B0CCB" w:rsidP="009B0CCB">
      <w:pPr>
        <w:spacing w:line="480" w:lineRule="auto"/>
        <w:rPr>
          <w:b/>
        </w:rPr>
      </w:pPr>
    </w:p>
    <w:p w:rsidR="009B0CCB" w:rsidRDefault="009B0CCB" w:rsidP="009B0CCB">
      <w:pPr>
        <w:spacing w:line="480" w:lineRule="auto"/>
        <w:ind w:left="720" w:hanging="720"/>
        <w:rPr>
          <w:b/>
        </w:rPr>
      </w:pPr>
      <w:r w:rsidRPr="009B4629">
        <w:rPr>
          <w:b/>
        </w:rPr>
        <w:t xml:space="preserve">Q. </w:t>
      </w:r>
      <w:r w:rsidRPr="009B4629">
        <w:rPr>
          <w:b/>
        </w:rPr>
        <w:tab/>
      </w:r>
      <w:r>
        <w:rPr>
          <w:b/>
        </w:rPr>
        <w:t>Does the electric ERF meet the constraints of the CBR</w:t>
      </w:r>
      <w:r w:rsidRPr="009B4629">
        <w:rPr>
          <w:b/>
        </w:rPr>
        <w:t>?</w:t>
      </w:r>
    </w:p>
    <w:p w:rsidR="009B0CCB" w:rsidRDefault="009B0CCB" w:rsidP="009B0CCB">
      <w:pPr>
        <w:spacing w:line="480" w:lineRule="auto"/>
        <w:ind w:left="720" w:hanging="720"/>
      </w:pPr>
      <w:r>
        <w:t>A.</w:t>
      </w:r>
      <w:r>
        <w:tab/>
        <w:t>Mostly yes</w:t>
      </w:r>
      <w:r w:rsidR="000465E8">
        <w:t>,</w:t>
      </w:r>
      <w:r>
        <w:t xml:space="preserve"> with some exceptions.  The intent of the ERF is to derive a baseline for non-production electric operations, which </w:t>
      </w:r>
      <w:r w:rsidR="000A26B4">
        <w:t>I</w:t>
      </w:r>
      <w:r>
        <w:t xml:space="preserve"> will call the “delivery” portion of the business.  PSE followed the 2011 CBR, but excluded certain adjustments.  Power costs were not updated because there are excluded anyway.  Certain minor adjustments were excluded in the </w:t>
      </w:r>
      <w:r w:rsidR="00B75F28">
        <w:t>interests</w:t>
      </w:r>
      <w:r>
        <w:t xml:space="preserve"> of expediency, but collectively these </w:t>
      </w:r>
      <w:r>
        <w:lastRenderedPageBreak/>
        <w:t>would only increase revenue requirements.</w:t>
      </w:r>
      <w:r>
        <w:rPr>
          <w:rStyle w:val="FootnoteReference"/>
        </w:rPr>
        <w:footnoteReference w:id="6"/>
      </w:r>
      <w:r>
        <w:t xml:space="preserve">  The other major adjustment is to remove property taxes from the ERF.  Property taxes are </w:t>
      </w:r>
      <w:r w:rsidRPr="00B7329A">
        <w:t>proposed</w:t>
      </w:r>
      <w:r>
        <w:t xml:space="preserve"> to be recovered in a separate tariff filed as </w:t>
      </w:r>
      <w:r w:rsidRPr="000465E8">
        <w:t>Schedule 140.</w:t>
      </w:r>
    </w:p>
    <w:p w:rsidR="009B0CCB" w:rsidRDefault="009B0CCB" w:rsidP="009B0CCB">
      <w:pPr>
        <w:pStyle w:val="BodyTextIndent"/>
      </w:pPr>
    </w:p>
    <w:p w:rsidR="009B0CCB" w:rsidRPr="00A03670" w:rsidRDefault="009B0CCB" w:rsidP="009B0CCB">
      <w:pPr>
        <w:pStyle w:val="BodyTextIndent"/>
        <w:rPr>
          <w:b/>
        </w:rPr>
      </w:pPr>
      <w:r w:rsidRPr="00A03670">
        <w:rPr>
          <w:b/>
        </w:rPr>
        <w:t>Q.</w:t>
      </w:r>
      <w:r w:rsidRPr="00A03670">
        <w:rPr>
          <w:b/>
        </w:rPr>
        <w:tab/>
      </w:r>
      <w:r>
        <w:rPr>
          <w:b/>
        </w:rPr>
        <w:t>Are there any other deviations from the CBR rule</w:t>
      </w:r>
      <w:r w:rsidRPr="00A03670">
        <w:rPr>
          <w:b/>
        </w:rPr>
        <w:t xml:space="preserve">? </w:t>
      </w:r>
    </w:p>
    <w:p w:rsidR="009B0CCB" w:rsidRDefault="009B0CCB" w:rsidP="009B0CCB">
      <w:pPr>
        <w:pStyle w:val="BodyTextIndent"/>
      </w:pPr>
      <w:r>
        <w:t>A.</w:t>
      </w:r>
      <w:r>
        <w:tab/>
        <w:t xml:space="preserve">Yes.  PSE used rate base values as of the end of the test period, June 30, 2012.   This partially alleviates another cause of regulatory lag. </w:t>
      </w:r>
      <w:r w:rsidR="00B75F28">
        <w:t xml:space="preserve"> </w:t>
      </w:r>
      <w:r>
        <w:t xml:space="preserve">Staff proposed such a move in </w:t>
      </w:r>
      <w:r w:rsidR="001267A9">
        <w:t>2012 GRC</w:t>
      </w:r>
      <w:r>
        <w:t xml:space="preserve"> and the Commission gave positive reviews to that possibility in Order 08 as noted by Ms. Barnard</w:t>
      </w:r>
      <w:r w:rsidR="00B75F28">
        <w:t xml:space="preserve"> in her testimony in the dockets at hand</w:t>
      </w:r>
      <w:r>
        <w:t>.</w:t>
      </w:r>
      <w:r>
        <w:rPr>
          <w:rStyle w:val="FootnoteReference"/>
        </w:rPr>
        <w:footnoteReference w:id="7"/>
      </w:r>
    </w:p>
    <w:p w:rsidR="009B0CCB" w:rsidRDefault="009B0CCB" w:rsidP="009B0CCB">
      <w:pPr>
        <w:pStyle w:val="BodyTextIndent"/>
      </w:pPr>
    </w:p>
    <w:p w:rsidR="009B0CCB" w:rsidRPr="00970328" w:rsidRDefault="009B0CCB" w:rsidP="009B0CCB">
      <w:pPr>
        <w:pStyle w:val="BodyTextIndent"/>
        <w:rPr>
          <w:b/>
        </w:rPr>
      </w:pPr>
      <w:r w:rsidRPr="00970328">
        <w:rPr>
          <w:b/>
        </w:rPr>
        <w:t>Q.</w:t>
      </w:r>
      <w:r w:rsidRPr="00970328">
        <w:rPr>
          <w:b/>
        </w:rPr>
        <w:tab/>
        <w:t>What final adjustment was made to the ERF base?</w:t>
      </w:r>
    </w:p>
    <w:p w:rsidR="009B0CCB" w:rsidRDefault="009B0CCB" w:rsidP="009B0CCB">
      <w:pPr>
        <w:pStyle w:val="BodyTextIndent"/>
      </w:pPr>
      <w:r>
        <w:t>A.</w:t>
      </w:r>
      <w:r>
        <w:tab/>
        <w:t xml:space="preserve">PSE received a rate increase in May 2012.  The revenues from this increase were recognized by applying the increase to the kWh sales in the </w:t>
      </w:r>
      <w:r w:rsidR="00B75F28">
        <w:t xml:space="preserve">10 </w:t>
      </w:r>
      <w:r>
        <w:t>months prior to May.</w:t>
      </w:r>
    </w:p>
    <w:p w:rsidR="009B0CCB" w:rsidRDefault="009B0CCB" w:rsidP="009B0CCB">
      <w:pPr>
        <w:spacing w:line="480" w:lineRule="auto"/>
        <w:ind w:left="720" w:hanging="720"/>
      </w:pPr>
    </w:p>
    <w:p w:rsidR="009B0CCB" w:rsidRPr="00B82CE2" w:rsidRDefault="009B0CCB" w:rsidP="009B0CCB">
      <w:pPr>
        <w:keepNext/>
        <w:widowControl w:val="0"/>
        <w:spacing w:line="480" w:lineRule="auto"/>
        <w:ind w:left="720" w:hanging="720"/>
        <w:rPr>
          <w:b/>
        </w:rPr>
      </w:pPr>
      <w:r w:rsidRPr="00B82CE2">
        <w:rPr>
          <w:b/>
        </w:rPr>
        <w:t>Q.</w:t>
      </w:r>
      <w:r w:rsidRPr="00B82CE2">
        <w:rPr>
          <w:b/>
        </w:rPr>
        <w:tab/>
      </w:r>
      <w:r>
        <w:rPr>
          <w:b/>
        </w:rPr>
        <w:t>Did Staff review the adjustments to the per books accounts in the electric ERF</w:t>
      </w:r>
      <w:r w:rsidRPr="00B82CE2">
        <w:rPr>
          <w:b/>
        </w:rPr>
        <w:t>?</w:t>
      </w:r>
    </w:p>
    <w:p w:rsidR="009B0CCB" w:rsidRDefault="009B0CCB" w:rsidP="009B0CCB">
      <w:pPr>
        <w:spacing w:line="480" w:lineRule="auto"/>
        <w:ind w:left="720" w:hanging="720"/>
      </w:pPr>
      <w:r>
        <w:t>A.</w:t>
      </w:r>
      <w:r>
        <w:tab/>
        <w:t xml:space="preserve">Yes, Staff reviewed the ERF filing and </w:t>
      </w:r>
      <w:r w:rsidR="00B75F28">
        <w:t xml:space="preserve">believes </w:t>
      </w:r>
      <w:r>
        <w:t>the adjustments are proper and reasonable.</w:t>
      </w:r>
    </w:p>
    <w:p w:rsidR="009B0CCB" w:rsidRDefault="009B0CCB" w:rsidP="009B0CCB">
      <w:pPr>
        <w:spacing w:line="480" w:lineRule="auto"/>
        <w:ind w:left="720" w:hanging="720"/>
      </w:pPr>
    </w:p>
    <w:p w:rsidR="009B0CCB" w:rsidRPr="00AD2375" w:rsidRDefault="009B0CCB" w:rsidP="00B75F28">
      <w:pPr>
        <w:keepNext/>
        <w:spacing w:line="480" w:lineRule="auto"/>
        <w:ind w:left="720" w:hanging="720"/>
        <w:rPr>
          <w:b/>
        </w:rPr>
      </w:pPr>
      <w:r w:rsidRPr="00AD2375">
        <w:rPr>
          <w:b/>
        </w:rPr>
        <w:lastRenderedPageBreak/>
        <w:t>Q.</w:t>
      </w:r>
      <w:r w:rsidRPr="00AD2375">
        <w:rPr>
          <w:b/>
        </w:rPr>
        <w:tab/>
        <w:t xml:space="preserve">How is the </w:t>
      </w:r>
      <w:r>
        <w:rPr>
          <w:b/>
        </w:rPr>
        <w:t>increase</w:t>
      </w:r>
      <w:r w:rsidRPr="00AD2375">
        <w:rPr>
          <w:b/>
        </w:rPr>
        <w:t xml:space="preserve"> for </w:t>
      </w:r>
      <w:r>
        <w:rPr>
          <w:b/>
        </w:rPr>
        <w:t xml:space="preserve">electric </w:t>
      </w:r>
      <w:r w:rsidRPr="00AD2375">
        <w:rPr>
          <w:b/>
        </w:rPr>
        <w:t>revenues spread to the rate classes?</w:t>
      </w:r>
    </w:p>
    <w:p w:rsidR="009B0CCB" w:rsidRDefault="009B0CCB" w:rsidP="009B0CCB">
      <w:pPr>
        <w:spacing w:line="480" w:lineRule="auto"/>
        <w:ind w:left="720" w:hanging="720"/>
      </w:pPr>
      <w:r>
        <w:t>A.</w:t>
      </w:r>
      <w:r>
        <w:tab/>
        <w:t xml:space="preserve">The revenue increase is allocated to all rate schedules on </w:t>
      </w:r>
      <w:r w:rsidR="000465E8">
        <w:t xml:space="preserve">the same basis that delivery cost </w:t>
      </w:r>
      <w:r w:rsidR="005969D5">
        <w:t>was</w:t>
      </w:r>
      <w:r w:rsidR="000465E8">
        <w:t xml:space="preserve"> assigned to each schedule</w:t>
      </w:r>
      <w:r w:rsidR="005969D5">
        <w:t xml:space="preserve"> in </w:t>
      </w:r>
      <w:r w:rsidR="001267A9">
        <w:t>2012 GRC</w:t>
      </w:r>
      <w:r w:rsidR="000465E8">
        <w:t>.</w:t>
      </w:r>
      <w:r>
        <w:t xml:space="preserve">  </w:t>
      </w:r>
      <w:r w:rsidR="000465E8">
        <w:t>Although t</w:t>
      </w:r>
      <w:r>
        <w:t>he overall rate change is a</w:t>
      </w:r>
      <w:r w:rsidR="000465E8">
        <w:t>n</w:t>
      </w:r>
      <w:r>
        <w:t xml:space="preserve"> </w:t>
      </w:r>
      <w:r w:rsidR="000465E8">
        <w:t>increase</w:t>
      </w:r>
      <w:r>
        <w:t xml:space="preserve"> of </w:t>
      </w:r>
      <w:r w:rsidR="000465E8" w:rsidRPr="000465E8">
        <w:t xml:space="preserve">1.6 </w:t>
      </w:r>
      <w:r w:rsidRPr="000465E8">
        <w:t>percent</w:t>
      </w:r>
      <w:r w:rsidR="000465E8">
        <w:t xml:space="preserve"> overall, the increases to the schedules range from 0.6 percent</w:t>
      </w:r>
      <w:r w:rsidR="005969D5">
        <w:t xml:space="preserve"> (high voltage)</w:t>
      </w:r>
      <w:r w:rsidR="000465E8">
        <w:t xml:space="preserve"> to over 3.0 percent</w:t>
      </w:r>
      <w:r w:rsidR="005969D5">
        <w:t xml:space="preserve"> (retail wheeling and lighting)</w:t>
      </w:r>
      <w:r>
        <w:t>.</w:t>
      </w:r>
      <w:r w:rsidR="000465E8">
        <w:t xml:space="preserve">  The two classes that would </w:t>
      </w:r>
      <w:r w:rsidR="00B75F28">
        <w:t xml:space="preserve">otherwise </w:t>
      </w:r>
      <w:r w:rsidR="000465E8">
        <w:t xml:space="preserve">incur greater than three percent increases will be held at 2.9 percent.  The shortfall (about $262,000) is </w:t>
      </w:r>
      <w:r w:rsidR="000465E8" w:rsidRPr="005969D5">
        <w:rPr>
          <w:u w:val="single"/>
        </w:rPr>
        <w:t>not</w:t>
      </w:r>
      <w:r w:rsidR="000465E8">
        <w:t xml:space="preserve"> recovered by other classes.</w:t>
      </w:r>
    </w:p>
    <w:p w:rsidR="009B0CCB" w:rsidRDefault="009B0CCB" w:rsidP="009B0CCB">
      <w:pPr>
        <w:spacing w:line="480" w:lineRule="auto"/>
      </w:pPr>
    </w:p>
    <w:p w:rsidR="009B0CCB" w:rsidRDefault="009B0CCB" w:rsidP="009B0CCB">
      <w:pPr>
        <w:spacing w:line="480" w:lineRule="auto"/>
        <w:ind w:left="720" w:hanging="720"/>
        <w:rPr>
          <w:b/>
        </w:rPr>
      </w:pPr>
      <w:r w:rsidRPr="00AD2375">
        <w:rPr>
          <w:b/>
        </w:rPr>
        <w:t>Q.</w:t>
      </w:r>
      <w:r w:rsidRPr="00AD2375">
        <w:rPr>
          <w:b/>
        </w:rPr>
        <w:tab/>
      </w:r>
      <w:r>
        <w:rPr>
          <w:b/>
        </w:rPr>
        <w:t xml:space="preserve">What </w:t>
      </w:r>
      <w:r w:rsidRPr="00AD2375">
        <w:rPr>
          <w:b/>
        </w:rPr>
        <w:t xml:space="preserve">is the </w:t>
      </w:r>
      <w:r>
        <w:rPr>
          <w:b/>
        </w:rPr>
        <w:t>proposed rate design for this increase to</w:t>
      </w:r>
      <w:r w:rsidRPr="00AD2375">
        <w:rPr>
          <w:b/>
        </w:rPr>
        <w:t xml:space="preserve"> </w:t>
      </w:r>
      <w:r>
        <w:rPr>
          <w:b/>
        </w:rPr>
        <w:t>electric</w:t>
      </w:r>
      <w:r w:rsidRPr="00AD2375">
        <w:rPr>
          <w:b/>
        </w:rPr>
        <w:t xml:space="preserve"> revenues?</w:t>
      </w:r>
    </w:p>
    <w:p w:rsidR="009B0CCB" w:rsidRDefault="009B0CCB" w:rsidP="009B0CCB">
      <w:pPr>
        <w:spacing w:line="480" w:lineRule="auto"/>
        <w:ind w:left="720" w:hanging="720"/>
      </w:pPr>
      <w:r w:rsidRPr="00AD2375">
        <w:t>A.</w:t>
      </w:r>
      <w:r w:rsidRPr="00AD2375">
        <w:tab/>
      </w:r>
      <w:r w:rsidR="005969D5">
        <w:t xml:space="preserve">The ERF increase is related to delivery cost only so the increase was spread across basic, energy, demand, and reactive power charge components in proportion to </w:t>
      </w:r>
      <w:r w:rsidR="00F84364">
        <w:t>each component’s contribution to delivery costs as a whole</w:t>
      </w:r>
      <w:r>
        <w:t xml:space="preserve">. </w:t>
      </w:r>
      <w:r w:rsidR="00B75F28">
        <w:t xml:space="preserve"> </w:t>
      </w:r>
      <w:r w:rsidR="00F84364">
        <w:t>The ERF rates are proposed as incremental rates to be collected through Schedule 141.</w:t>
      </w:r>
    </w:p>
    <w:p w:rsidR="009B0CCB" w:rsidRPr="005E25A5" w:rsidRDefault="009B0CCB" w:rsidP="009B0CCB">
      <w:pPr>
        <w:spacing w:line="480" w:lineRule="auto"/>
        <w:ind w:left="720" w:hanging="720"/>
      </w:pPr>
    </w:p>
    <w:p w:rsidR="009B0CCB" w:rsidRPr="003A2606" w:rsidRDefault="009B0CCB" w:rsidP="009B0CCB">
      <w:pPr>
        <w:spacing w:line="480" w:lineRule="auto"/>
        <w:rPr>
          <w:b/>
        </w:rPr>
      </w:pPr>
      <w:r w:rsidRPr="003A2606">
        <w:rPr>
          <w:b/>
        </w:rPr>
        <w:t>Q.</w:t>
      </w:r>
      <w:r w:rsidRPr="003A2606">
        <w:rPr>
          <w:b/>
        </w:rPr>
        <w:tab/>
      </w:r>
      <w:r w:rsidRPr="006C0038">
        <w:rPr>
          <w:b/>
        </w:rPr>
        <w:t xml:space="preserve">Please explain the natural gas ERF in </w:t>
      </w:r>
      <w:r w:rsidR="00B75F28">
        <w:rPr>
          <w:b/>
        </w:rPr>
        <w:t>greater</w:t>
      </w:r>
      <w:r w:rsidRPr="006C0038">
        <w:rPr>
          <w:b/>
        </w:rPr>
        <w:t xml:space="preserve"> detail.</w:t>
      </w:r>
    </w:p>
    <w:p w:rsidR="009B0CCB" w:rsidRDefault="009B0CCB" w:rsidP="00250757">
      <w:pPr>
        <w:spacing w:line="480" w:lineRule="auto"/>
        <w:ind w:left="720" w:hanging="720"/>
      </w:pPr>
      <w:r w:rsidRPr="003A2606">
        <w:t>A.</w:t>
      </w:r>
      <w:r w:rsidRPr="003A2606">
        <w:tab/>
      </w:r>
      <w:r>
        <w:t xml:space="preserve">The natural gas ERF is quite similar to the electric filing.  The test period is the 12 months ending June 30, 2012.  And the gas ERF is filed following the rules for </w:t>
      </w:r>
      <w:r w:rsidR="000A26B4">
        <w:t>C</w:t>
      </w:r>
      <w:r w:rsidR="00B75F28">
        <w:t>ommission-</w:t>
      </w:r>
      <w:r>
        <w:t>basis reports</w:t>
      </w:r>
      <w:r w:rsidR="00B75F28">
        <w:t>, as well</w:t>
      </w:r>
      <w:r>
        <w:t>.</w:t>
      </w:r>
      <w:r>
        <w:rPr>
          <w:rStyle w:val="FootnoteReference"/>
        </w:rPr>
        <w:footnoteReference w:id="8"/>
      </w:r>
      <w:r>
        <w:t xml:space="preserve">  Exhibit Nos. ___ (KJB-4) and (KJB-6) present the natural gas ERF revenue requirement results.</w:t>
      </w:r>
    </w:p>
    <w:p w:rsidR="00250757" w:rsidRDefault="00250757" w:rsidP="009B0CCB">
      <w:pPr>
        <w:spacing w:line="480" w:lineRule="auto"/>
      </w:pPr>
    </w:p>
    <w:p w:rsidR="009B0CCB" w:rsidRDefault="009B0CCB" w:rsidP="009B0CCB">
      <w:pPr>
        <w:spacing w:line="480" w:lineRule="auto"/>
        <w:ind w:left="720" w:hanging="720"/>
        <w:rPr>
          <w:b/>
        </w:rPr>
      </w:pPr>
      <w:r w:rsidRPr="009B4629">
        <w:rPr>
          <w:b/>
        </w:rPr>
        <w:t xml:space="preserve">Q. </w:t>
      </w:r>
      <w:r w:rsidRPr="009B4629">
        <w:rPr>
          <w:b/>
        </w:rPr>
        <w:tab/>
      </w:r>
      <w:r>
        <w:rPr>
          <w:b/>
        </w:rPr>
        <w:t>Does the natural gas ERF meet the constraints of the CBR</w:t>
      </w:r>
      <w:r w:rsidRPr="009B4629">
        <w:rPr>
          <w:b/>
        </w:rPr>
        <w:t>?</w:t>
      </w:r>
    </w:p>
    <w:p w:rsidR="009B0CCB" w:rsidRDefault="009B0CCB" w:rsidP="009B0CCB">
      <w:pPr>
        <w:spacing w:line="480" w:lineRule="auto"/>
        <w:ind w:left="720" w:hanging="720"/>
      </w:pPr>
      <w:r>
        <w:t>A.</w:t>
      </w:r>
      <w:r>
        <w:tab/>
        <w:t>Mostly yes</w:t>
      </w:r>
      <w:r w:rsidR="000A26B4">
        <w:t>,</w:t>
      </w:r>
      <w:r>
        <w:t xml:space="preserve"> with some exceptions.  The intent of the ERF is to derive a baseline for </w:t>
      </w:r>
      <w:r w:rsidR="00B75F28">
        <w:t xml:space="preserve">a </w:t>
      </w:r>
      <w:r>
        <w:t xml:space="preserve">portion of rates called “margin.”  PSE followed the 2011 CBR, but excluded certain </w:t>
      </w:r>
      <w:r>
        <w:lastRenderedPageBreak/>
        <w:t>minor adjustments i</w:t>
      </w:r>
      <w:r w:rsidR="00250757">
        <w:t xml:space="preserve">n the </w:t>
      </w:r>
      <w:r w:rsidR="00B75F28">
        <w:t>interests</w:t>
      </w:r>
      <w:r w:rsidR="00250757">
        <w:t xml:space="preserve"> of expediency.  In </w:t>
      </w:r>
      <w:r>
        <w:t>2011</w:t>
      </w:r>
      <w:r w:rsidR="00B75F28">
        <w:t>,</w:t>
      </w:r>
      <w:r>
        <w:t xml:space="preserve"> these adjustments collectivel</w:t>
      </w:r>
      <w:r w:rsidR="00B75F28">
        <w:t>y decreased revenue requirement</w:t>
      </w:r>
      <w:r>
        <w:t xml:space="preserve"> by about $157,000.</w:t>
      </w:r>
      <w:r>
        <w:rPr>
          <w:rStyle w:val="FootnoteReference"/>
        </w:rPr>
        <w:footnoteReference w:id="9"/>
      </w:r>
      <w:r>
        <w:t xml:space="preserve">  The other major adjustment is to remove property taxes from the ERF.  Property taxes are </w:t>
      </w:r>
      <w:r w:rsidRPr="00B7329A">
        <w:t>proposed</w:t>
      </w:r>
      <w:r>
        <w:t xml:space="preserve"> to be recovered in a separate tariff filed as </w:t>
      </w:r>
      <w:r w:rsidRPr="00F84364">
        <w:t>Schedule 140</w:t>
      </w:r>
      <w:r>
        <w:t>.</w:t>
      </w:r>
    </w:p>
    <w:p w:rsidR="009B0CCB" w:rsidRDefault="009B0CCB" w:rsidP="009B0CCB">
      <w:pPr>
        <w:spacing w:line="480" w:lineRule="auto"/>
        <w:ind w:left="720" w:hanging="720"/>
      </w:pPr>
    </w:p>
    <w:p w:rsidR="009B0CCB" w:rsidRPr="00A03670" w:rsidRDefault="009B0CCB" w:rsidP="009B0CCB">
      <w:pPr>
        <w:pStyle w:val="BodyTextIndent"/>
        <w:rPr>
          <w:b/>
        </w:rPr>
      </w:pPr>
      <w:r>
        <w:rPr>
          <w:b/>
        </w:rPr>
        <w:t>Q.</w:t>
      </w:r>
      <w:r>
        <w:rPr>
          <w:b/>
        </w:rPr>
        <w:tab/>
        <w:t>Are there any other deviations from the CBR rule</w:t>
      </w:r>
      <w:r w:rsidRPr="00A03670">
        <w:rPr>
          <w:b/>
        </w:rPr>
        <w:t xml:space="preserve">? </w:t>
      </w:r>
    </w:p>
    <w:p w:rsidR="009B0CCB" w:rsidRDefault="009B0CCB" w:rsidP="009B0CCB">
      <w:pPr>
        <w:spacing w:line="480" w:lineRule="auto"/>
        <w:ind w:left="720" w:hanging="720"/>
      </w:pPr>
      <w:r>
        <w:t>A.</w:t>
      </w:r>
      <w:r>
        <w:tab/>
        <w:t xml:space="preserve">Yes.  As in electric operations, PSE filed rate base at the account balances for the end of the test period, June 30, 2012.  As noted above, this option was </w:t>
      </w:r>
      <w:r w:rsidR="00B75F28">
        <w:t xml:space="preserve">identified in </w:t>
      </w:r>
      <w:r>
        <w:t xml:space="preserve">Order 08 </w:t>
      </w:r>
      <w:r w:rsidR="00B75F28">
        <w:t>as partially alleviating</w:t>
      </w:r>
      <w:r>
        <w:t xml:space="preserve"> regulatory lag.</w:t>
      </w:r>
    </w:p>
    <w:p w:rsidR="009B0CCB" w:rsidRDefault="009B0CCB" w:rsidP="009B0CCB">
      <w:pPr>
        <w:spacing w:line="480" w:lineRule="auto"/>
        <w:ind w:left="720" w:hanging="720"/>
      </w:pPr>
    </w:p>
    <w:p w:rsidR="009B0CCB" w:rsidRPr="00B82CE2" w:rsidRDefault="009B0CCB" w:rsidP="009B0CCB">
      <w:pPr>
        <w:keepNext/>
        <w:widowControl w:val="0"/>
        <w:spacing w:line="480" w:lineRule="auto"/>
        <w:ind w:left="720" w:hanging="720"/>
        <w:rPr>
          <w:b/>
        </w:rPr>
      </w:pPr>
      <w:r w:rsidRPr="00B82CE2">
        <w:rPr>
          <w:b/>
        </w:rPr>
        <w:t>Q.</w:t>
      </w:r>
      <w:r w:rsidRPr="00B82CE2">
        <w:rPr>
          <w:b/>
        </w:rPr>
        <w:tab/>
      </w:r>
      <w:r>
        <w:rPr>
          <w:b/>
        </w:rPr>
        <w:t>Did Staff review the adjustments to the per books accounts in the gas ERF</w:t>
      </w:r>
      <w:r w:rsidRPr="00B82CE2">
        <w:rPr>
          <w:b/>
        </w:rPr>
        <w:t>?</w:t>
      </w:r>
    </w:p>
    <w:p w:rsidR="009B0CCB" w:rsidRDefault="009B0CCB" w:rsidP="009B0CCB">
      <w:pPr>
        <w:spacing w:line="480" w:lineRule="auto"/>
        <w:ind w:left="720" w:hanging="720"/>
      </w:pPr>
      <w:r>
        <w:t>A.</w:t>
      </w:r>
      <w:r>
        <w:tab/>
        <w:t xml:space="preserve">Yes, Staff reviewed the gas ERF filing and </w:t>
      </w:r>
      <w:r w:rsidR="00B75F28">
        <w:t xml:space="preserve">believes </w:t>
      </w:r>
      <w:r>
        <w:t>the adjustments are proper and reasonable.</w:t>
      </w:r>
    </w:p>
    <w:p w:rsidR="009B0CCB" w:rsidRDefault="009B0CCB" w:rsidP="009B0CCB">
      <w:pPr>
        <w:spacing w:line="480" w:lineRule="auto"/>
        <w:ind w:left="720" w:hanging="720"/>
      </w:pPr>
    </w:p>
    <w:p w:rsidR="009B0CCB" w:rsidRPr="00AD2375" w:rsidRDefault="009B0CCB" w:rsidP="009B0CCB">
      <w:pPr>
        <w:spacing w:line="480" w:lineRule="auto"/>
        <w:ind w:left="720" w:hanging="720"/>
        <w:rPr>
          <w:b/>
        </w:rPr>
      </w:pPr>
      <w:r w:rsidRPr="00AD2375">
        <w:rPr>
          <w:b/>
        </w:rPr>
        <w:t>Q.</w:t>
      </w:r>
      <w:r w:rsidRPr="00AD2375">
        <w:rPr>
          <w:b/>
        </w:rPr>
        <w:tab/>
        <w:t xml:space="preserve">How is the reduction </w:t>
      </w:r>
      <w:r>
        <w:rPr>
          <w:b/>
        </w:rPr>
        <w:t>to</w:t>
      </w:r>
      <w:r w:rsidRPr="00AD2375">
        <w:rPr>
          <w:b/>
        </w:rPr>
        <w:t xml:space="preserve"> gas revenues spread </w:t>
      </w:r>
      <w:r>
        <w:rPr>
          <w:b/>
        </w:rPr>
        <w:t>between</w:t>
      </w:r>
      <w:r w:rsidRPr="00AD2375">
        <w:rPr>
          <w:b/>
        </w:rPr>
        <w:t xml:space="preserve"> the rate classes?</w:t>
      </w:r>
    </w:p>
    <w:p w:rsidR="009B0CCB" w:rsidRDefault="009B0CCB" w:rsidP="009B0CCB">
      <w:pPr>
        <w:spacing w:line="480" w:lineRule="auto"/>
        <w:ind w:left="720" w:hanging="720"/>
      </w:pPr>
      <w:r>
        <w:t>A.</w:t>
      </w:r>
      <w:r>
        <w:tab/>
        <w:t>The small revenue reduction is allocated to all rate schedules on an equal percentage</w:t>
      </w:r>
      <w:r w:rsidR="00B75F28">
        <w:t xml:space="preserve"> basis</w:t>
      </w:r>
      <w:r>
        <w:t>.  The overall rate change is a reduction of 0.3 percent of margin.</w:t>
      </w:r>
    </w:p>
    <w:p w:rsidR="009B0CCB" w:rsidRDefault="009B0CCB" w:rsidP="009B0CCB">
      <w:pPr>
        <w:spacing w:line="480" w:lineRule="auto"/>
      </w:pPr>
    </w:p>
    <w:p w:rsidR="009B0CCB" w:rsidRDefault="009B0CCB" w:rsidP="00B75F28">
      <w:pPr>
        <w:keepNext/>
        <w:spacing w:line="480" w:lineRule="auto"/>
        <w:ind w:left="720" w:hanging="720"/>
        <w:rPr>
          <w:b/>
        </w:rPr>
      </w:pPr>
      <w:r w:rsidRPr="00AD2375">
        <w:rPr>
          <w:b/>
        </w:rPr>
        <w:lastRenderedPageBreak/>
        <w:t>Q.</w:t>
      </w:r>
      <w:r w:rsidRPr="00AD2375">
        <w:rPr>
          <w:b/>
        </w:rPr>
        <w:tab/>
      </w:r>
      <w:r>
        <w:rPr>
          <w:b/>
        </w:rPr>
        <w:t xml:space="preserve">What </w:t>
      </w:r>
      <w:r w:rsidRPr="00AD2375">
        <w:rPr>
          <w:b/>
        </w:rPr>
        <w:t xml:space="preserve">is the </w:t>
      </w:r>
      <w:r>
        <w:rPr>
          <w:b/>
        </w:rPr>
        <w:t xml:space="preserve">proposed rate design for this </w:t>
      </w:r>
      <w:r w:rsidRPr="00AD2375">
        <w:rPr>
          <w:b/>
        </w:rPr>
        <w:t>reduction</w:t>
      </w:r>
      <w:r>
        <w:rPr>
          <w:b/>
        </w:rPr>
        <w:t xml:space="preserve"> to</w:t>
      </w:r>
      <w:r w:rsidRPr="00AD2375">
        <w:rPr>
          <w:b/>
        </w:rPr>
        <w:t xml:space="preserve"> gas revenues?</w:t>
      </w:r>
    </w:p>
    <w:p w:rsidR="009B0CCB" w:rsidRDefault="009B0CCB" w:rsidP="009B0CCB">
      <w:pPr>
        <w:spacing w:line="480" w:lineRule="auto"/>
        <w:ind w:left="720" w:hanging="720"/>
      </w:pPr>
      <w:r w:rsidRPr="00AD2375">
        <w:t>A.</w:t>
      </w:r>
      <w:r w:rsidRPr="00AD2375">
        <w:tab/>
        <w:t>All elements of rates are</w:t>
      </w:r>
      <w:r>
        <w:t xml:space="preserve"> reduced by an equal percentage</w:t>
      </w:r>
      <w:r w:rsidR="00B75F28">
        <w:t>,</w:t>
      </w:r>
      <w:r>
        <w:t xml:space="preserve"> with minor exceptions.  As agreed in the 2012 GRC, the demand charge is reduced, but </w:t>
      </w:r>
      <w:r w:rsidR="00B75F28">
        <w:t xml:space="preserve">the </w:t>
      </w:r>
      <w:r>
        <w:t>demand charge is kept the same for the affected schedules.</w:t>
      </w:r>
    </w:p>
    <w:p w:rsidR="009B0CCB" w:rsidRPr="00232A3B" w:rsidRDefault="009B0CCB" w:rsidP="00250757">
      <w:pPr>
        <w:spacing w:line="480" w:lineRule="auto"/>
        <w:ind w:left="720" w:hanging="720"/>
        <w:rPr>
          <w:b/>
        </w:rPr>
      </w:pPr>
    </w:p>
    <w:p w:rsidR="009B0CCB" w:rsidRPr="00232A3B" w:rsidRDefault="009B0CCB" w:rsidP="00250757">
      <w:pPr>
        <w:keepNext/>
        <w:spacing w:line="480" w:lineRule="auto"/>
        <w:ind w:left="720" w:hanging="720"/>
        <w:rPr>
          <w:b/>
        </w:rPr>
      </w:pPr>
      <w:r w:rsidRPr="00232A3B">
        <w:rPr>
          <w:b/>
        </w:rPr>
        <w:t>Q.</w:t>
      </w:r>
      <w:r w:rsidRPr="00232A3B">
        <w:rPr>
          <w:b/>
        </w:rPr>
        <w:tab/>
      </w:r>
      <w:r w:rsidRPr="00F84364">
        <w:rPr>
          <w:b/>
        </w:rPr>
        <w:t>Please address the property tax issue.</w:t>
      </w:r>
    </w:p>
    <w:p w:rsidR="009B0CCB" w:rsidRDefault="009B0CCB" w:rsidP="009B0CCB">
      <w:pPr>
        <w:spacing w:line="480" w:lineRule="auto"/>
        <w:ind w:left="720" w:hanging="720"/>
      </w:pPr>
      <w:r>
        <w:t>A.</w:t>
      </w:r>
      <w:r>
        <w:tab/>
        <w:t>PSE proposes a separate mechanism to collect property taxes.  Therefore, property taxes are carved out of the revenue requirement calculations to set up a new tariff, Schedule 140, Property Tax Tracker.  The Commission required such a proposal in Order 08.</w:t>
      </w:r>
      <w:r>
        <w:rPr>
          <w:rStyle w:val="FootnoteReference"/>
        </w:rPr>
        <w:footnoteReference w:id="10"/>
      </w:r>
      <w:r>
        <w:t xml:space="preserve">  PSE intends this tracker to accomplish the goal of charging customers the actual property taxes—no more and no less.  Staff supports this goal, but as Schedule 140 is proposed, but not yet filed, we have not </w:t>
      </w:r>
      <w:r w:rsidR="00B75F28">
        <w:t xml:space="preserve">yet </w:t>
      </w:r>
      <w:r>
        <w:t>confirmed the goal is met.  We will do so by the time a compliance filing is needed in the collective filings.</w:t>
      </w:r>
    </w:p>
    <w:p w:rsidR="009B0CCB" w:rsidRDefault="009B0CCB" w:rsidP="00B03844">
      <w:pPr>
        <w:spacing w:line="480" w:lineRule="auto"/>
        <w:ind w:left="720" w:hanging="720"/>
        <w:rPr>
          <w:highlight w:val="yellow"/>
        </w:rPr>
      </w:pPr>
    </w:p>
    <w:p w:rsidR="0070138A" w:rsidRDefault="000A26B4" w:rsidP="00250757">
      <w:pPr>
        <w:spacing w:line="480" w:lineRule="auto"/>
        <w:rPr>
          <w:b/>
        </w:rPr>
      </w:pPr>
      <w:r>
        <w:rPr>
          <w:b/>
        </w:rPr>
        <w:t>C</w:t>
      </w:r>
      <w:r w:rsidR="007B2204">
        <w:rPr>
          <w:b/>
        </w:rPr>
        <w:t xml:space="preserve">. </w:t>
      </w:r>
      <w:r w:rsidR="00250757">
        <w:rPr>
          <w:b/>
        </w:rPr>
        <w:tab/>
      </w:r>
      <w:r w:rsidR="00724D55">
        <w:rPr>
          <w:b/>
        </w:rPr>
        <w:t>Rate Plan</w:t>
      </w:r>
    </w:p>
    <w:p w:rsidR="00250757" w:rsidRDefault="00250757" w:rsidP="00250757">
      <w:pPr>
        <w:spacing w:line="480" w:lineRule="auto"/>
        <w:rPr>
          <w:b/>
        </w:rPr>
      </w:pPr>
    </w:p>
    <w:p w:rsidR="00FF3760" w:rsidRDefault="00FF3760" w:rsidP="00D96440">
      <w:pPr>
        <w:spacing w:line="480" w:lineRule="auto"/>
        <w:ind w:left="720" w:hanging="720"/>
        <w:rPr>
          <w:b/>
        </w:rPr>
      </w:pPr>
      <w:r>
        <w:rPr>
          <w:b/>
        </w:rPr>
        <w:t>Q.</w:t>
      </w:r>
      <w:r>
        <w:rPr>
          <w:b/>
        </w:rPr>
        <w:tab/>
        <w:t xml:space="preserve">Does PSE </w:t>
      </w:r>
      <w:r w:rsidR="00920EB2">
        <w:rPr>
          <w:b/>
        </w:rPr>
        <w:t>show</w:t>
      </w:r>
      <w:r>
        <w:rPr>
          <w:b/>
        </w:rPr>
        <w:t xml:space="preserve"> an inability to earn a sufficient return on its </w:t>
      </w:r>
      <w:r w:rsidR="004762BA">
        <w:rPr>
          <w:b/>
        </w:rPr>
        <w:t xml:space="preserve">growing </w:t>
      </w:r>
      <w:r>
        <w:rPr>
          <w:b/>
        </w:rPr>
        <w:t>utility investments?</w:t>
      </w:r>
    </w:p>
    <w:p w:rsidR="00FF3760" w:rsidRDefault="00E1635C" w:rsidP="00D96440">
      <w:pPr>
        <w:pStyle w:val="BodyTextIndent"/>
        <w:rPr>
          <w:b/>
        </w:rPr>
      </w:pPr>
      <w:r>
        <w:t>A.</w:t>
      </w:r>
      <w:r>
        <w:tab/>
        <w:t xml:space="preserve">Yes.  </w:t>
      </w:r>
      <w:r w:rsidR="002C4B6E">
        <w:t>My Exhibit No. ___ (TES-3) depicts PSE’s CBR rate of return results over the past several years.  It shows PSE as earning less than its authorized rate of return by upwards of 250 basis points.  Even in years following meaningful rate increases</w:t>
      </w:r>
      <w:r w:rsidR="00B75F28">
        <w:t>,</w:t>
      </w:r>
      <w:r w:rsidR="002C4B6E">
        <w:t xml:space="preserve"> PSE is unable to narrow the earnings gap.</w:t>
      </w:r>
      <w:r w:rsidR="00630024">
        <w:t xml:space="preserve">  For instance, PSE received an electric rate </w:t>
      </w:r>
      <w:r w:rsidR="00630024">
        <w:lastRenderedPageBreak/>
        <w:t>increase of 7.1 percent in November 2008</w:t>
      </w:r>
      <w:r w:rsidR="00D53CB8">
        <w:t xml:space="preserve"> based on a rate of return of 8.25 percent and a return on equity of 10.15 percent</w:t>
      </w:r>
      <w:r w:rsidR="00630024">
        <w:t>.  Yet the 2009 results show</w:t>
      </w:r>
      <w:r w:rsidR="00D53CB8">
        <w:t xml:space="preserve"> that PSE earned 6.11 percent overall and 5.63 percent on equity.  Many factors enter into why actual r</w:t>
      </w:r>
      <w:r w:rsidR="00B75F28">
        <w:t>esults vary from the Commission-</w:t>
      </w:r>
      <w:r w:rsidR="00076EFE">
        <w:t>allowed</w:t>
      </w:r>
      <w:r w:rsidR="00D53CB8">
        <w:t xml:space="preserve"> results</w:t>
      </w:r>
      <w:r w:rsidR="00076EFE">
        <w:t>, but the variances are striking</w:t>
      </w:r>
      <w:r w:rsidR="00B75F28">
        <w:t>, nonetheless</w:t>
      </w:r>
      <w:r w:rsidR="00076EFE">
        <w:t>.</w:t>
      </w:r>
    </w:p>
    <w:p w:rsidR="00FF3760" w:rsidRDefault="00FF3760" w:rsidP="00D96440">
      <w:pPr>
        <w:spacing w:line="480" w:lineRule="auto"/>
        <w:ind w:left="720" w:hanging="720"/>
        <w:rPr>
          <w:b/>
        </w:rPr>
      </w:pPr>
    </w:p>
    <w:p w:rsidR="002C4B6E" w:rsidRPr="00D22FEE" w:rsidRDefault="002C4B6E" w:rsidP="002C4B6E">
      <w:pPr>
        <w:spacing w:line="480" w:lineRule="auto"/>
        <w:ind w:left="720" w:hanging="720"/>
        <w:rPr>
          <w:b/>
        </w:rPr>
      </w:pPr>
      <w:r w:rsidRPr="00D22FEE">
        <w:rPr>
          <w:b/>
        </w:rPr>
        <w:t>Q.</w:t>
      </w:r>
      <w:r w:rsidRPr="00D22FEE">
        <w:rPr>
          <w:b/>
        </w:rPr>
        <w:tab/>
      </w:r>
      <w:r w:rsidR="00CC7C19">
        <w:rPr>
          <w:b/>
        </w:rPr>
        <w:t xml:space="preserve">Does the Global Settlement offer PSE a full expectation of earning </w:t>
      </w:r>
      <w:r w:rsidR="00B75F28">
        <w:rPr>
          <w:b/>
        </w:rPr>
        <w:t>its authorized</w:t>
      </w:r>
      <w:r w:rsidR="00CC7C19">
        <w:rPr>
          <w:b/>
        </w:rPr>
        <w:t xml:space="preserve"> rate of return</w:t>
      </w:r>
      <w:r w:rsidRPr="00D22FEE">
        <w:rPr>
          <w:b/>
        </w:rPr>
        <w:t>?</w:t>
      </w:r>
    </w:p>
    <w:p w:rsidR="002C4B6E" w:rsidRPr="00902113" w:rsidRDefault="00CC7C19" w:rsidP="002C4B6E">
      <w:pPr>
        <w:spacing w:line="480" w:lineRule="auto"/>
        <w:ind w:left="720" w:hanging="720"/>
      </w:pPr>
      <w:r>
        <w:t>A.</w:t>
      </w:r>
      <w:r>
        <w:tab/>
        <w:t>No.  The ERF and rate plan increases will improve PSE’s opportunity to earn the rate of return set in Dockets UE-111048/</w:t>
      </w:r>
      <w:r w:rsidR="00865BA2">
        <w:t>UG-111049</w:t>
      </w:r>
      <w:r w:rsidR="00B75F28">
        <w:t>,</w:t>
      </w:r>
      <w:r w:rsidR="0002343F">
        <w:t xml:space="preserve"> which is 7.8 percent.  B</w:t>
      </w:r>
      <w:r>
        <w:t xml:space="preserve">ut Staff does not believe PSE will fully achieve that earnings </w:t>
      </w:r>
      <w:r w:rsidR="000A26B4">
        <w:t>level</w:t>
      </w:r>
      <w:r>
        <w:t>.  PSE will need to manage its expenses</w:t>
      </w:r>
      <w:r w:rsidR="000A26B4">
        <w:t>,</w:t>
      </w:r>
      <w:r w:rsidR="00B75F28">
        <w:t xml:space="preserve"> and to the extent it</w:t>
      </w:r>
      <w:r>
        <w:t xml:space="preserve"> succeeds it will keep those savings</w:t>
      </w:r>
      <w:r w:rsidR="000A26B4">
        <w:t>,</w:t>
      </w:r>
      <w:r>
        <w:t xml:space="preserve"> up to a point.  </w:t>
      </w:r>
      <w:r w:rsidR="00311368" w:rsidRPr="00E64611">
        <w:t>Staff considers this a reasonable plan to encourage PSE to manage its expenses over the next three years.</w:t>
      </w:r>
      <w:r w:rsidR="0002343F" w:rsidRPr="00E64611">
        <w:t xml:space="preserve"> </w:t>
      </w:r>
    </w:p>
    <w:p w:rsidR="002C4B6E" w:rsidRPr="0003409F" w:rsidRDefault="002C4B6E" w:rsidP="002C4B6E">
      <w:pPr>
        <w:spacing w:line="480" w:lineRule="auto"/>
        <w:ind w:left="720" w:hanging="720"/>
      </w:pPr>
    </w:p>
    <w:p w:rsidR="002C4B6E" w:rsidRPr="003A2606" w:rsidRDefault="002C4B6E" w:rsidP="002C4B6E">
      <w:pPr>
        <w:keepNext/>
        <w:spacing w:line="480" w:lineRule="auto"/>
        <w:rPr>
          <w:b/>
        </w:rPr>
      </w:pPr>
      <w:r w:rsidRPr="003A2606">
        <w:rPr>
          <w:b/>
        </w:rPr>
        <w:t>Q.</w:t>
      </w:r>
      <w:r w:rsidRPr="003A2606">
        <w:rPr>
          <w:b/>
        </w:rPr>
        <w:tab/>
      </w:r>
      <w:r w:rsidR="00100329">
        <w:rPr>
          <w:b/>
        </w:rPr>
        <w:t>What is PSE’s justification for the annual delivery charge increases?</w:t>
      </w:r>
    </w:p>
    <w:p w:rsidR="00DE6B91" w:rsidRDefault="002C4B6E" w:rsidP="00486249">
      <w:pPr>
        <w:spacing w:line="480" w:lineRule="auto"/>
        <w:ind w:left="720" w:hanging="720"/>
      </w:pPr>
      <w:r w:rsidRPr="003A2606">
        <w:t>A.</w:t>
      </w:r>
      <w:r w:rsidRPr="003A2606">
        <w:tab/>
      </w:r>
      <w:r w:rsidR="00FF306B">
        <w:t>PSE presents its growth in delivery rate base and expenses over the past several years and its delivery capital budgets for the next three years as evidence</w:t>
      </w:r>
      <w:r w:rsidR="00B75F28">
        <w:t xml:space="preserve"> supporting the delivery charge increases</w:t>
      </w:r>
      <w:r w:rsidR="00FF306B">
        <w:t>.</w:t>
      </w:r>
      <w:r w:rsidR="00B17393">
        <w:rPr>
          <w:rStyle w:val="FootnoteReference"/>
        </w:rPr>
        <w:footnoteReference w:id="11"/>
      </w:r>
      <w:r w:rsidR="00FF306B">
        <w:t xml:space="preserve">  T</w:t>
      </w:r>
      <w:r w:rsidR="00B17393">
        <w:t xml:space="preserve">he historical growth in plant for </w:t>
      </w:r>
      <w:r w:rsidR="00BF6980">
        <w:t>transmission, distribution</w:t>
      </w:r>
      <w:r w:rsidR="00B17393">
        <w:t xml:space="preserve"> and general plant is a trend that continues into the near future.  The basis for the exhibit is the </w:t>
      </w:r>
      <w:r w:rsidR="00B75F28">
        <w:t xml:space="preserve">Company’s </w:t>
      </w:r>
      <w:r w:rsidR="00B17393">
        <w:t>compliance filings in general rate cases</w:t>
      </w:r>
      <w:r w:rsidR="00B75F28">
        <w:t xml:space="preserve"> in the recent past</w:t>
      </w:r>
      <w:r w:rsidR="00B17393">
        <w:t xml:space="preserve">.  </w:t>
      </w:r>
    </w:p>
    <w:p w:rsidR="00DE6B91" w:rsidRDefault="00DE6B91" w:rsidP="00486249">
      <w:pPr>
        <w:spacing w:line="480" w:lineRule="auto"/>
        <w:ind w:left="720" w:hanging="720"/>
      </w:pPr>
      <w:r>
        <w:lastRenderedPageBreak/>
        <w:tab/>
      </w:r>
      <w:r>
        <w:tab/>
      </w:r>
      <w:r w:rsidR="00B17393">
        <w:t>Electric transmission</w:t>
      </w:r>
      <w:r>
        <w:t xml:space="preserve"> and</w:t>
      </w:r>
      <w:r w:rsidR="00B17393">
        <w:t xml:space="preserve"> distribution</w:t>
      </w:r>
      <w:r>
        <w:t xml:space="preserve"> (T&amp;D)</w:t>
      </w:r>
      <w:r w:rsidR="00B17393">
        <w:t xml:space="preserve"> and general plant has grown at an annual rate of six percent </w:t>
      </w:r>
      <w:r>
        <w:t xml:space="preserve">over the five plus years from the 2006 GRC through the 2011 GRC.  Electric depreciation expense for the same accounts has grown at an annual rate of 6.7 percent.  Electric expenses for T&amp;D and customer accounts have annual growth rates of 6.8 percent and 5.2 percent, respectively.  </w:t>
      </w:r>
    </w:p>
    <w:p w:rsidR="002C4B6E" w:rsidRDefault="00DE6B91" w:rsidP="00486249">
      <w:pPr>
        <w:spacing w:line="480" w:lineRule="auto"/>
        <w:ind w:left="720" w:hanging="720"/>
      </w:pPr>
      <w:r>
        <w:tab/>
      </w:r>
      <w:r>
        <w:tab/>
        <w:t xml:space="preserve">Natural gas plant has grown by 5.5 percent annually in the same period.  Gas depreciation expense has grown by 7.8 percent. </w:t>
      </w:r>
      <w:r w:rsidR="00B75F28">
        <w:t xml:space="preserve"> Finally,</w:t>
      </w:r>
      <w:r>
        <w:t xml:space="preserve"> gas transmission and distribution expenses grew at 7.2 percent, while customer account expenses grew at 4.6 percent annually</w:t>
      </w:r>
      <w:r w:rsidR="00B75F28">
        <w:t xml:space="preserve"> over the past 5 plus years</w:t>
      </w:r>
      <w:r>
        <w:t>.</w:t>
      </w:r>
    </w:p>
    <w:p w:rsidR="00DE6B91" w:rsidRDefault="00DE6B91" w:rsidP="00486249">
      <w:pPr>
        <w:spacing w:line="480" w:lineRule="auto"/>
        <w:ind w:left="720" w:hanging="720"/>
      </w:pPr>
    </w:p>
    <w:p w:rsidR="002C4B6E" w:rsidRDefault="00B21A7E" w:rsidP="00D96440">
      <w:pPr>
        <w:spacing w:line="480" w:lineRule="auto"/>
        <w:ind w:left="720" w:hanging="720"/>
        <w:rPr>
          <w:b/>
        </w:rPr>
      </w:pPr>
      <w:r>
        <w:rPr>
          <w:b/>
        </w:rPr>
        <w:t>Q.</w:t>
      </w:r>
      <w:r>
        <w:rPr>
          <w:b/>
        </w:rPr>
        <w:tab/>
        <w:t>Are the past levels of investments in T&amp;D and general plant representative of PSE’s future investments?</w:t>
      </w:r>
    </w:p>
    <w:p w:rsidR="00B21A7E" w:rsidRPr="00B21A7E" w:rsidRDefault="00B21A7E" w:rsidP="00D96440">
      <w:pPr>
        <w:spacing w:line="480" w:lineRule="auto"/>
        <w:ind w:left="720" w:hanging="720"/>
      </w:pPr>
      <w:r w:rsidRPr="00B21A7E">
        <w:t>A.</w:t>
      </w:r>
      <w:r w:rsidRPr="00B21A7E">
        <w:tab/>
        <w:t xml:space="preserve">Yes, Staff believes </w:t>
      </w:r>
      <w:r w:rsidR="00B75F28">
        <w:t>they are</w:t>
      </w:r>
      <w:r w:rsidRPr="00B21A7E">
        <w:t xml:space="preserve">.  </w:t>
      </w:r>
      <w:r w:rsidR="00BF6980">
        <w:t xml:space="preserve">PSE shows capital budgets for non-generation plant growing at rates similar to </w:t>
      </w:r>
      <w:r w:rsidR="00B75F28">
        <w:t xml:space="preserve">those in </w:t>
      </w:r>
      <w:r w:rsidR="00BF6980">
        <w:t>the recent past.</w:t>
      </w:r>
      <w:r w:rsidR="00BF6980">
        <w:rPr>
          <w:rStyle w:val="FootnoteReference"/>
        </w:rPr>
        <w:footnoteReference w:id="12"/>
      </w:r>
    </w:p>
    <w:p w:rsidR="00B21A7E" w:rsidRDefault="00B21A7E" w:rsidP="00D96440">
      <w:pPr>
        <w:spacing w:line="480" w:lineRule="auto"/>
        <w:ind w:left="720" w:hanging="720"/>
        <w:rPr>
          <w:b/>
        </w:rPr>
      </w:pPr>
    </w:p>
    <w:p w:rsidR="0064724A" w:rsidRDefault="0064724A" w:rsidP="00D96440">
      <w:pPr>
        <w:spacing w:line="480" w:lineRule="auto"/>
        <w:ind w:left="720" w:hanging="720"/>
        <w:rPr>
          <w:b/>
        </w:rPr>
      </w:pPr>
      <w:r w:rsidRPr="003A2606">
        <w:rPr>
          <w:b/>
        </w:rPr>
        <w:t>Q.</w:t>
      </w:r>
      <w:r w:rsidRPr="003A2606">
        <w:rPr>
          <w:b/>
        </w:rPr>
        <w:tab/>
      </w:r>
      <w:r w:rsidR="00D32BFA">
        <w:rPr>
          <w:b/>
        </w:rPr>
        <w:t>Does PSE</w:t>
      </w:r>
      <w:r w:rsidR="0019158E">
        <w:rPr>
          <w:b/>
        </w:rPr>
        <w:t xml:space="preserve"> </w:t>
      </w:r>
      <w:r w:rsidR="0070138A">
        <w:rPr>
          <w:b/>
        </w:rPr>
        <w:t>b</w:t>
      </w:r>
      <w:r w:rsidR="003A2606">
        <w:rPr>
          <w:b/>
        </w:rPr>
        <w:t>ase</w:t>
      </w:r>
      <w:r w:rsidR="00D32BFA">
        <w:rPr>
          <w:b/>
        </w:rPr>
        <w:t xml:space="preserve"> its “K-factor” on the delivery plant and expense growth rates</w:t>
      </w:r>
      <w:r w:rsidR="003A2606">
        <w:rPr>
          <w:b/>
        </w:rPr>
        <w:t>?</w:t>
      </w:r>
    </w:p>
    <w:p w:rsidR="00D377E1" w:rsidRDefault="003A2606" w:rsidP="00516F6B">
      <w:pPr>
        <w:spacing w:line="480" w:lineRule="auto"/>
        <w:ind w:left="720" w:hanging="720"/>
      </w:pPr>
      <w:r w:rsidRPr="003A2606">
        <w:t>A.</w:t>
      </w:r>
      <w:r w:rsidRPr="003A2606">
        <w:tab/>
      </w:r>
      <w:r w:rsidR="00D32BFA">
        <w:t>In a rough sense, yes, but the K-factor is substantially less tha</w:t>
      </w:r>
      <w:r w:rsidR="00B75F28">
        <w:t>n</w:t>
      </w:r>
      <w:r w:rsidR="00D32BFA">
        <w:t xml:space="preserve"> the indicated plant or expense growth rates of the past several years. </w:t>
      </w:r>
      <w:r w:rsidR="0094156D">
        <w:t xml:space="preserve"> </w:t>
      </w:r>
      <w:r w:rsidR="000A26B4">
        <w:t>PSE developed a</w:t>
      </w:r>
      <w:r w:rsidR="0094156D">
        <w:t xml:space="preserve"> weighted average of the growth rates for delivery rate base, depreciation expense</w:t>
      </w:r>
      <w:r w:rsidR="00B75F28">
        <w:t>,</w:t>
      </w:r>
      <w:r w:rsidR="0094156D">
        <w:t xml:space="preserve"> and expenses.  </w:t>
      </w:r>
      <w:r w:rsidR="00D32BFA">
        <w:t>For</w:t>
      </w:r>
      <w:r w:rsidR="0094156D">
        <w:t xml:space="preserve"> this purpose</w:t>
      </w:r>
      <w:r w:rsidR="00D32BFA">
        <w:t xml:space="preserve">, PSE </w:t>
      </w:r>
      <w:r w:rsidR="0094156D">
        <w:t xml:space="preserve">did not use its historical expense growth rate, but </w:t>
      </w:r>
      <w:r w:rsidR="00B75F28">
        <w:t xml:space="preserve">rather </w:t>
      </w:r>
      <w:r w:rsidR="0094156D">
        <w:t>substituted</w:t>
      </w:r>
      <w:r w:rsidR="00D32BFA">
        <w:t xml:space="preserve"> a forecasted Consumer Price Index (CPI) </w:t>
      </w:r>
      <w:r w:rsidR="0094156D">
        <w:t xml:space="preserve">rate </w:t>
      </w:r>
      <w:r w:rsidR="00D32BFA">
        <w:t>less one-half percent</w:t>
      </w:r>
      <w:r w:rsidR="0094156D">
        <w:t xml:space="preserve">.  The adjusted CPI rate of 1.9% is less than the indicated growth rates for the delivery and general expenses.  The weighted average basis for the K-factor is 4.06 percent for electricity </w:t>
      </w:r>
      <w:r w:rsidR="0094156D">
        <w:lastRenderedPageBreak/>
        <w:t xml:space="preserve">and 3.80 percent for gas.  </w:t>
      </w:r>
      <w:r w:rsidR="00F84364">
        <w:t>However, t</w:t>
      </w:r>
      <w:r w:rsidR="0094156D">
        <w:t xml:space="preserve">he proposed K-factors are </w:t>
      </w:r>
      <w:r w:rsidR="00516F6B">
        <w:t>3</w:t>
      </w:r>
      <w:r w:rsidR="00F84364">
        <w:t>.0</w:t>
      </w:r>
      <w:r w:rsidR="00516F6B">
        <w:t xml:space="preserve"> percent and 2.2 percent, respectively, </w:t>
      </w:r>
      <w:r w:rsidR="003538FD">
        <w:t xml:space="preserve">which are </w:t>
      </w:r>
      <w:r w:rsidR="00516F6B">
        <w:t>about 25 to 40 percent</w:t>
      </w:r>
      <w:r w:rsidR="00D32BFA">
        <w:t xml:space="preserve"> </w:t>
      </w:r>
      <w:r w:rsidR="00516F6B">
        <w:t>less than potential plant and expense growth rates.</w:t>
      </w:r>
      <w:r w:rsidR="00516F6B">
        <w:rPr>
          <w:rStyle w:val="FootnoteReference"/>
        </w:rPr>
        <w:footnoteReference w:id="13"/>
      </w:r>
      <w:r w:rsidR="00474F6A">
        <w:t xml:space="preserve"> </w:t>
      </w:r>
    </w:p>
    <w:p w:rsidR="002F0348" w:rsidRDefault="002F0348" w:rsidP="00D96440">
      <w:pPr>
        <w:spacing w:line="480" w:lineRule="auto"/>
        <w:ind w:left="720" w:hanging="720"/>
        <w:rPr>
          <w:b/>
        </w:rPr>
      </w:pPr>
    </w:p>
    <w:p w:rsidR="00516F6B" w:rsidRDefault="00516F6B" w:rsidP="00D96440">
      <w:pPr>
        <w:spacing w:line="480" w:lineRule="auto"/>
        <w:ind w:left="720" w:hanging="720"/>
        <w:rPr>
          <w:b/>
        </w:rPr>
      </w:pPr>
      <w:r>
        <w:rPr>
          <w:b/>
        </w:rPr>
        <w:t>Q.</w:t>
      </w:r>
      <w:r>
        <w:rPr>
          <w:b/>
        </w:rPr>
        <w:tab/>
      </w:r>
      <w:r w:rsidR="00072716">
        <w:rPr>
          <w:b/>
        </w:rPr>
        <w:t xml:space="preserve">Is PSE likely to earn more than its authorized return from </w:t>
      </w:r>
      <w:r>
        <w:rPr>
          <w:b/>
        </w:rPr>
        <w:t>the rate plan increases?</w:t>
      </w:r>
    </w:p>
    <w:p w:rsidR="00516F6B" w:rsidRDefault="00516F6B" w:rsidP="00D96440">
      <w:pPr>
        <w:spacing w:line="480" w:lineRule="auto"/>
        <w:ind w:left="720" w:hanging="720"/>
      </w:pPr>
      <w:r w:rsidRPr="00547A83">
        <w:t>A.</w:t>
      </w:r>
      <w:r w:rsidRPr="00547A83">
        <w:tab/>
      </w:r>
      <w:r w:rsidR="00072716">
        <w:t xml:space="preserve">No, in </w:t>
      </w:r>
      <w:r w:rsidR="00547A83">
        <w:t>Staff</w:t>
      </w:r>
      <w:r w:rsidR="00072716">
        <w:t xml:space="preserve">’s opinion that </w:t>
      </w:r>
      <w:r w:rsidR="00B75F28">
        <w:t xml:space="preserve">outcome </w:t>
      </w:r>
      <w:r w:rsidR="00072716">
        <w:t xml:space="preserve">is highly unlikely. </w:t>
      </w:r>
      <w:r w:rsidR="00B75F28">
        <w:t xml:space="preserve"> </w:t>
      </w:r>
      <w:r w:rsidR="00072716">
        <w:t>Given a</w:t>
      </w:r>
      <w:r w:rsidR="00547A83">
        <w:t xml:space="preserve"> K-factor that is less than plant or expense growth rates</w:t>
      </w:r>
      <w:r w:rsidR="00B75F28">
        <w:t>,</w:t>
      </w:r>
      <w:r w:rsidR="00547A83">
        <w:t xml:space="preserve"> </w:t>
      </w:r>
      <w:r w:rsidR="00072716">
        <w:t>coupled with</w:t>
      </w:r>
      <w:r w:rsidR="00547A83">
        <w:t xml:space="preserve"> PSE’s chronic under-earning</w:t>
      </w:r>
      <w:r w:rsidR="00072716">
        <w:t>, there</w:t>
      </w:r>
      <w:r w:rsidR="00547A83">
        <w:t xml:space="preserve"> is ample evidence that the proposed rate plan increases </w:t>
      </w:r>
      <w:r w:rsidR="00072716">
        <w:t>are</w:t>
      </w:r>
      <w:r w:rsidR="00547A83">
        <w:t xml:space="preserve"> not l</w:t>
      </w:r>
      <w:r w:rsidR="00072716">
        <w:t>ikely</w:t>
      </w:r>
      <w:r w:rsidR="00547A83">
        <w:t xml:space="preserve"> </w:t>
      </w:r>
      <w:r w:rsidR="00072716">
        <w:t>to lead to overearning</w:t>
      </w:r>
      <w:r w:rsidR="00547A83">
        <w:t xml:space="preserve">.  PSE </w:t>
      </w:r>
      <w:r w:rsidR="00072716">
        <w:t>must manage its expenses to generate earnings sufficient to earn its authorized return.</w:t>
      </w:r>
    </w:p>
    <w:p w:rsidR="000D3B02" w:rsidRDefault="000D3B02" w:rsidP="00D96440">
      <w:pPr>
        <w:spacing w:line="480" w:lineRule="auto"/>
        <w:ind w:left="720" w:hanging="720"/>
      </w:pPr>
    </w:p>
    <w:p w:rsidR="000D3B02" w:rsidRDefault="00FE7B3D" w:rsidP="00250757">
      <w:pPr>
        <w:spacing w:line="480" w:lineRule="auto"/>
        <w:ind w:left="720" w:hanging="720"/>
        <w:rPr>
          <w:b/>
        </w:rPr>
      </w:pPr>
      <w:r>
        <w:rPr>
          <w:b/>
        </w:rPr>
        <w:t>D</w:t>
      </w:r>
      <w:r w:rsidR="007B2204">
        <w:rPr>
          <w:b/>
        </w:rPr>
        <w:t xml:space="preserve">. </w:t>
      </w:r>
      <w:r w:rsidR="00250757">
        <w:rPr>
          <w:b/>
        </w:rPr>
        <w:tab/>
      </w:r>
      <w:r w:rsidR="000D3B02" w:rsidRPr="000D3B02">
        <w:rPr>
          <w:b/>
        </w:rPr>
        <w:t>Decoupling</w:t>
      </w:r>
      <w:r w:rsidR="00CC00BC">
        <w:rPr>
          <w:rStyle w:val="FootnoteReference"/>
          <w:b/>
        </w:rPr>
        <w:footnoteReference w:id="14"/>
      </w:r>
    </w:p>
    <w:p w:rsidR="00250757" w:rsidRPr="000D3B02" w:rsidRDefault="00250757" w:rsidP="00250757">
      <w:pPr>
        <w:spacing w:line="480" w:lineRule="auto"/>
        <w:ind w:left="720" w:hanging="720"/>
        <w:rPr>
          <w:b/>
        </w:rPr>
      </w:pPr>
    </w:p>
    <w:p w:rsidR="009B0CCB" w:rsidRPr="002457A8" w:rsidRDefault="000D3B02" w:rsidP="00AD2375">
      <w:pPr>
        <w:spacing w:line="480" w:lineRule="auto"/>
        <w:ind w:left="720" w:hanging="720"/>
        <w:rPr>
          <w:b/>
        </w:rPr>
      </w:pPr>
      <w:r w:rsidRPr="002457A8">
        <w:rPr>
          <w:b/>
        </w:rPr>
        <w:t>Q.</w:t>
      </w:r>
      <w:r w:rsidRPr="002457A8">
        <w:rPr>
          <w:b/>
        </w:rPr>
        <w:tab/>
      </w:r>
      <w:r w:rsidR="002457A8" w:rsidRPr="002457A8">
        <w:rPr>
          <w:b/>
        </w:rPr>
        <w:t>Please review the mechanics of the decoupling proposal.</w:t>
      </w:r>
    </w:p>
    <w:p w:rsidR="003A6D93" w:rsidRDefault="002457A8" w:rsidP="00AD2375">
      <w:pPr>
        <w:spacing w:line="480" w:lineRule="auto"/>
        <w:ind w:left="720" w:hanging="720"/>
      </w:pPr>
      <w:r>
        <w:t>A.</w:t>
      </w:r>
      <w:r>
        <w:tab/>
        <w:t xml:space="preserve">In Year One (at the conclusion of these proceedings in mid-2013) the decoupling mechanism begins with the revenue per customer </w:t>
      </w:r>
      <w:r w:rsidR="00B75F28">
        <w:t xml:space="preserve">(RPC) </w:t>
      </w:r>
      <w:r>
        <w:t xml:space="preserve">determined by the ERF times the initial K-factor.  </w:t>
      </w:r>
    </w:p>
    <w:p w:rsidR="003A6D93" w:rsidRDefault="003A6D93" w:rsidP="00AD2375">
      <w:pPr>
        <w:spacing w:line="480" w:lineRule="auto"/>
        <w:ind w:left="720" w:hanging="720"/>
      </w:pPr>
      <w:r>
        <w:tab/>
      </w:r>
      <w:r>
        <w:tab/>
      </w:r>
      <w:r w:rsidR="002457A8">
        <w:t xml:space="preserve">This RPC, approximately $400 per </w:t>
      </w:r>
      <w:r w:rsidR="00033D68">
        <w:t xml:space="preserve">electric </w:t>
      </w:r>
      <w:r w:rsidR="002457A8">
        <w:t>residential customer annually</w:t>
      </w:r>
      <w:r w:rsidR="003C5310">
        <w:t>,</w:t>
      </w:r>
      <w:r w:rsidR="00033D68">
        <w:rPr>
          <w:rStyle w:val="FootnoteReference"/>
        </w:rPr>
        <w:footnoteReference w:id="15"/>
      </w:r>
      <w:r w:rsidR="002457A8">
        <w:t xml:space="preserve"> will be multiplied by the number of customers in each month.  Customers, however, will pay bills on the </w:t>
      </w:r>
      <w:r>
        <w:t>standard</w:t>
      </w:r>
      <w:r w:rsidR="002457A8">
        <w:t xml:space="preserve"> method of a small basic charge plus the monthly </w:t>
      </w:r>
      <w:r w:rsidR="002457A8">
        <w:lastRenderedPageBreak/>
        <w:t>kilowatt-hours</w:t>
      </w:r>
      <w:r>
        <w:t xml:space="preserve"> (kWh) consumed</w:t>
      </w:r>
      <w:r w:rsidR="002457A8">
        <w:t xml:space="preserve"> times</w:t>
      </w:r>
      <w:r>
        <w:t xml:space="preserve"> the</w:t>
      </w:r>
      <w:r w:rsidR="002457A8">
        <w:t xml:space="preserve"> cents per </w:t>
      </w:r>
      <w:r>
        <w:t xml:space="preserve">kWh.  Financial revenues are determined by the RPC calculation.  The customer billings determine the cash collections of the revenue.  The difference between the RPC revenues and the cents per kWh cash collection is deferred for later true-up.  </w:t>
      </w:r>
    </w:p>
    <w:p w:rsidR="000D3B02" w:rsidRDefault="003A6D93" w:rsidP="00AD2375">
      <w:pPr>
        <w:spacing w:line="480" w:lineRule="auto"/>
        <w:ind w:left="720" w:hanging="720"/>
      </w:pPr>
      <w:r>
        <w:tab/>
      </w:r>
      <w:r>
        <w:tab/>
      </w:r>
      <w:r w:rsidR="002457A8">
        <w:t>If the annual RPC were divided evenly over 12 months</w:t>
      </w:r>
      <w:r>
        <w:t>, large over</w:t>
      </w:r>
      <w:r w:rsidR="003538FD">
        <w:t>-</w:t>
      </w:r>
      <w:r>
        <w:t>collection balances would accumulate in winter months to be offset by similarly large under</w:t>
      </w:r>
      <w:r w:rsidR="003538FD">
        <w:t>-</w:t>
      </w:r>
      <w:r>
        <w:t>collection balances in summer months.  To reduce the volatility of the deferral balances, the RPC is shaped to approximate the kWh sales in each month.</w:t>
      </w:r>
      <w:r w:rsidR="00DD0C90">
        <w:t xml:space="preserve">  The RPC will be as high as $34.53 in January to as low as $18.70 in August for 2013.</w:t>
      </w:r>
      <w:r w:rsidR="00DD0C90">
        <w:rPr>
          <w:rStyle w:val="FootnoteReference"/>
        </w:rPr>
        <w:footnoteReference w:id="16"/>
      </w:r>
    </w:p>
    <w:p w:rsidR="003A6D93" w:rsidRDefault="003A6D93" w:rsidP="00AD2375">
      <w:pPr>
        <w:spacing w:line="480" w:lineRule="auto"/>
        <w:ind w:left="720" w:hanging="720"/>
      </w:pPr>
      <w:r>
        <w:tab/>
      </w:r>
      <w:r>
        <w:tab/>
        <w:t>The deferred balance</w:t>
      </w:r>
      <w:r w:rsidR="00033D68">
        <w:t>s will accrue interest at the rate set by the FERC for purchased gas deferrals.  This rate</w:t>
      </w:r>
      <w:r w:rsidR="003C5310">
        <w:t xml:space="preserve"> is less than a utility’s after-</w:t>
      </w:r>
      <w:r w:rsidR="00033D68">
        <w:t>tax rate of return.</w:t>
      </w:r>
    </w:p>
    <w:p w:rsidR="006620AC" w:rsidRDefault="00033D68" w:rsidP="00AD2375">
      <w:pPr>
        <w:spacing w:line="480" w:lineRule="auto"/>
        <w:ind w:left="720" w:hanging="720"/>
      </w:pPr>
      <w:r>
        <w:tab/>
      </w:r>
      <w:r>
        <w:tab/>
        <w:t xml:space="preserve">In January each year, the RPC is increased by the next K-factor, three percent for electricity and 2.2 percent for gas.  In April of each year, PSE </w:t>
      </w:r>
      <w:r w:rsidR="005C131C">
        <w:t>will f</w:t>
      </w:r>
      <w:r>
        <w:t xml:space="preserve">ile new rates to collect that year’s RPC revenues.  The new volumetric rate is adjusted to pass through the deferred balance of the prior year.  The effective date of this rate change is intended to be May 1.  </w:t>
      </w:r>
      <w:r w:rsidR="006620AC">
        <w:t>Although the RPC includes revenues from the basic charges, the total revenue increase will be recovered by the volumetric charges.</w:t>
      </w:r>
    </w:p>
    <w:p w:rsidR="00033D68" w:rsidRDefault="006620AC" w:rsidP="00AD2375">
      <w:pPr>
        <w:spacing w:line="480" w:lineRule="auto"/>
        <w:ind w:left="720" w:hanging="720"/>
      </w:pPr>
      <w:r>
        <w:tab/>
      </w:r>
      <w:r>
        <w:tab/>
      </w:r>
      <w:r w:rsidR="00033D68">
        <w:t xml:space="preserve">The </w:t>
      </w:r>
      <w:r>
        <w:t xml:space="preserve">RPC revenues are only for electric delivery revenues. </w:t>
      </w:r>
      <w:r w:rsidR="00FE7B3D">
        <w:t>Therefore,</w:t>
      </w:r>
      <w:r>
        <w:t xml:space="preserve"> a three percent increase to the RPC does not translate to a three percent increase in cents per kWh or total bills.  The effect on total </w:t>
      </w:r>
      <w:r w:rsidR="00DD0C90">
        <w:t xml:space="preserve">electric </w:t>
      </w:r>
      <w:r>
        <w:t xml:space="preserve">bills will be about </w:t>
      </w:r>
      <w:r w:rsidR="00DD0C90">
        <w:t>1.6</w:t>
      </w:r>
      <w:r>
        <w:t xml:space="preserve"> percent</w:t>
      </w:r>
      <w:r w:rsidR="00DD0C90">
        <w:t>.</w:t>
      </w:r>
      <w:r w:rsidR="00DD0C90">
        <w:rPr>
          <w:rStyle w:val="FootnoteReference"/>
        </w:rPr>
        <w:footnoteReference w:id="17"/>
      </w:r>
      <w:r>
        <w:t xml:space="preserve"> </w:t>
      </w:r>
    </w:p>
    <w:p w:rsidR="00DD0C90" w:rsidRDefault="00DD0C90" w:rsidP="00AD2375">
      <w:pPr>
        <w:spacing w:line="480" w:lineRule="auto"/>
        <w:ind w:left="720" w:hanging="720"/>
      </w:pPr>
      <w:r>
        <w:tab/>
      </w:r>
      <w:r>
        <w:tab/>
        <w:t>The decoupling revenues and rates are detailed in PSE’s proposed Schedule 139, Revenue Decoupling Adjustment Mechanism.</w:t>
      </w:r>
      <w:r>
        <w:rPr>
          <w:rStyle w:val="FootnoteReference"/>
        </w:rPr>
        <w:footnoteReference w:id="18"/>
      </w:r>
    </w:p>
    <w:p w:rsidR="005F2018" w:rsidRDefault="005F2018" w:rsidP="00AD2375">
      <w:pPr>
        <w:spacing w:line="480" w:lineRule="auto"/>
        <w:ind w:left="720" w:hanging="720"/>
      </w:pPr>
      <w:r>
        <w:lastRenderedPageBreak/>
        <w:tab/>
      </w:r>
      <w:r>
        <w:tab/>
        <w:t>The natural gas mechanism works the same as the electric mechanism with similar bill effects.</w:t>
      </w:r>
    </w:p>
    <w:p w:rsidR="005F2018" w:rsidRDefault="005F2018" w:rsidP="00AD2375">
      <w:pPr>
        <w:spacing w:line="480" w:lineRule="auto"/>
        <w:ind w:left="720" w:hanging="720"/>
      </w:pPr>
    </w:p>
    <w:p w:rsidR="005F2018" w:rsidRPr="008B61D1" w:rsidRDefault="005F2018" w:rsidP="00AD2375">
      <w:pPr>
        <w:spacing w:line="480" w:lineRule="auto"/>
        <w:ind w:left="720" w:hanging="720"/>
        <w:rPr>
          <w:b/>
        </w:rPr>
      </w:pPr>
      <w:r w:rsidRPr="008B61D1">
        <w:rPr>
          <w:b/>
        </w:rPr>
        <w:t>Q.</w:t>
      </w:r>
      <w:r w:rsidRPr="008B61D1">
        <w:rPr>
          <w:b/>
        </w:rPr>
        <w:tab/>
        <w:t>Are there constraints in place to control rate increases?</w:t>
      </w:r>
    </w:p>
    <w:p w:rsidR="005F2018" w:rsidRDefault="005F2018" w:rsidP="00AD2375">
      <w:pPr>
        <w:spacing w:line="480" w:lineRule="auto"/>
        <w:ind w:left="720" w:hanging="720"/>
      </w:pPr>
      <w:r>
        <w:t>A.</w:t>
      </w:r>
      <w:r>
        <w:tab/>
        <w:t>Yes.  The annual rate increase will be capped at three percent if the decoupling deferrals could cause a total rate increase to be greater than three percent.</w:t>
      </w:r>
      <w:r w:rsidR="008B61D1">
        <w:t xml:space="preserve">  For instance, the three percent increase to the RPC will trigger about a 1.6% increase in total rates.</w:t>
      </w:r>
      <w:r w:rsidR="005C131C">
        <w:t xml:space="preserve"> </w:t>
      </w:r>
      <w:r w:rsidR="008B61D1">
        <w:t xml:space="preserve"> If the decoupling deferrals from the prior year are rather substantial, it is possible the overall rate increase would exceed three percent.  In that case the overall rate increase will be held at three percent.  Therefore, rates will be insufficient to recover the balance in the decoupling deferral account.  Those deferrals will remain in the account to be captured in the next year’s filing. </w:t>
      </w:r>
    </w:p>
    <w:p w:rsidR="00CC00BC" w:rsidRDefault="008B61D1" w:rsidP="00AD2375">
      <w:pPr>
        <w:spacing w:line="480" w:lineRule="auto"/>
        <w:ind w:left="720" w:hanging="720"/>
      </w:pPr>
      <w:r>
        <w:tab/>
      </w:r>
      <w:r>
        <w:tab/>
        <w:t>Also, the annual April 1 filing will include the CBR for the prior year</w:t>
      </w:r>
      <w:r w:rsidR="005C131C">
        <w:t>,</w:t>
      </w:r>
      <w:r w:rsidR="003538FD">
        <w:t xml:space="preserve"> which will be the basis of an earnings review</w:t>
      </w:r>
      <w:r w:rsidR="000A715E">
        <w:t>.  If that CBR shows earnings</w:t>
      </w:r>
      <w:r>
        <w:t xml:space="preserve"> 25 basis points (0.25 percent) </w:t>
      </w:r>
      <w:r w:rsidR="000A715E">
        <w:t>greater</w:t>
      </w:r>
      <w:r>
        <w:t xml:space="preserve"> than PSE’s authorized rate of return,</w:t>
      </w:r>
      <w:r w:rsidR="00E64611">
        <w:rPr>
          <w:rStyle w:val="FootnoteReference"/>
        </w:rPr>
        <w:footnoteReference w:id="19"/>
      </w:r>
      <w:r>
        <w:t xml:space="preserve"> then PSE w</w:t>
      </w:r>
      <w:r w:rsidR="000A715E">
        <w:t>ill refund one-half of the over-</w:t>
      </w:r>
      <w:r>
        <w:t>earnings.</w:t>
      </w:r>
    </w:p>
    <w:p w:rsidR="008F7033" w:rsidRDefault="008F7033" w:rsidP="00AD2375">
      <w:pPr>
        <w:spacing w:line="480" w:lineRule="auto"/>
        <w:ind w:left="720" w:hanging="720"/>
      </w:pPr>
    </w:p>
    <w:p w:rsidR="008F7033" w:rsidRPr="001267A9" w:rsidRDefault="008F7033" w:rsidP="00AD2375">
      <w:pPr>
        <w:spacing w:line="480" w:lineRule="auto"/>
        <w:ind w:left="720" w:hanging="720"/>
        <w:rPr>
          <w:b/>
        </w:rPr>
      </w:pPr>
      <w:r w:rsidRPr="001267A9">
        <w:rPr>
          <w:b/>
        </w:rPr>
        <w:t>Q.</w:t>
      </w:r>
      <w:r w:rsidRPr="001267A9">
        <w:rPr>
          <w:b/>
        </w:rPr>
        <w:tab/>
        <w:t>How will the impact of the above plans on low income programs be addressed?</w:t>
      </w:r>
    </w:p>
    <w:p w:rsidR="008F7033" w:rsidRDefault="008F7033" w:rsidP="00AD2375">
      <w:pPr>
        <w:spacing w:line="480" w:lineRule="auto"/>
        <w:ind w:left="720" w:hanging="720"/>
      </w:pPr>
      <w:r>
        <w:t>A.</w:t>
      </w:r>
      <w:r>
        <w:tab/>
      </w:r>
      <w:r w:rsidR="00C74AD6">
        <w:t xml:space="preserve">Under paragraph 12 of the Multiparty Settlement Agreement, the parties reserve the right to negotiate terms addressing the impact of the proposed plans on low income programs.  </w:t>
      </w:r>
    </w:p>
    <w:p w:rsidR="002457A8" w:rsidRPr="00AD2375" w:rsidRDefault="002457A8" w:rsidP="00AD2375">
      <w:pPr>
        <w:spacing w:line="480" w:lineRule="auto"/>
        <w:ind w:left="720" w:hanging="720"/>
      </w:pPr>
    </w:p>
    <w:p w:rsidR="009B0CCB" w:rsidRDefault="00250757" w:rsidP="00ED7ACB">
      <w:pPr>
        <w:keepNext/>
        <w:spacing w:line="480" w:lineRule="auto"/>
        <w:ind w:left="720" w:hanging="720"/>
        <w:rPr>
          <w:b/>
        </w:rPr>
      </w:pPr>
      <w:r>
        <w:rPr>
          <w:b/>
        </w:rPr>
        <w:lastRenderedPageBreak/>
        <w:t>E</w:t>
      </w:r>
      <w:r w:rsidR="007B2204" w:rsidRPr="007B2204">
        <w:rPr>
          <w:b/>
        </w:rPr>
        <w:t xml:space="preserve">. </w:t>
      </w:r>
      <w:r>
        <w:rPr>
          <w:b/>
        </w:rPr>
        <w:tab/>
      </w:r>
      <w:r w:rsidR="009B0CCB" w:rsidRPr="007B2204">
        <w:rPr>
          <w:b/>
        </w:rPr>
        <w:t>Motion for Reconsideration</w:t>
      </w:r>
    </w:p>
    <w:p w:rsidR="00250757" w:rsidRPr="007B2204" w:rsidRDefault="00250757" w:rsidP="00250757">
      <w:pPr>
        <w:spacing w:line="480" w:lineRule="auto"/>
        <w:ind w:left="720" w:hanging="720"/>
        <w:rPr>
          <w:b/>
        </w:rPr>
      </w:pPr>
    </w:p>
    <w:p w:rsidR="009B0CCB" w:rsidRPr="007B2204" w:rsidRDefault="009B0CCB" w:rsidP="009B0CCB">
      <w:pPr>
        <w:spacing w:line="480" w:lineRule="auto"/>
        <w:ind w:left="720" w:hanging="720"/>
        <w:rPr>
          <w:b/>
        </w:rPr>
      </w:pPr>
      <w:r w:rsidRPr="007B2204">
        <w:rPr>
          <w:b/>
        </w:rPr>
        <w:t>Q.</w:t>
      </w:r>
      <w:r w:rsidRPr="007B2204">
        <w:rPr>
          <w:b/>
        </w:rPr>
        <w:tab/>
        <w:t>Please explain the issue of ongoing approval authority.</w:t>
      </w:r>
    </w:p>
    <w:p w:rsidR="009B0CCB" w:rsidRDefault="009B0CCB" w:rsidP="009B0CCB">
      <w:pPr>
        <w:spacing w:line="480" w:lineRule="auto"/>
        <w:ind w:left="720" w:hanging="720"/>
      </w:pPr>
      <w:r w:rsidRPr="007B2204">
        <w:t>A.</w:t>
      </w:r>
      <w:r w:rsidRPr="007B2204">
        <w:tab/>
        <w:t xml:space="preserve">On the issue of ongoing approval authority, Staff understands that PSE is concerned </w:t>
      </w:r>
      <w:r w:rsidR="00143A2E">
        <w:t xml:space="preserve">about the possible consequences of either </w:t>
      </w:r>
      <w:r w:rsidR="003976AD">
        <w:t xml:space="preserve">the </w:t>
      </w:r>
      <w:r w:rsidR="00143A2E">
        <w:t xml:space="preserve">termination of </w:t>
      </w:r>
      <w:r w:rsidRPr="007B2204">
        <w:t xml:space="preserve">TransAlta’s </w:t>
      </w:r>
      <w:r w:rsidRPr="0022779B">
        <w:t>Memorandum of Agreement (MOA) w</w:t>
      </w:r>
      <w:r w:rsidRPr="007B2204">
        <w:t>ith the State of Washington</w:t>
      </w:r>
      <w:r w:rsidR="003976AD">
        <w:t>, or a permanent cessation of generation at the Centralia Transition Coal Facility (CTCF), including the possibility that the Commission might rule the PPA contract imprudent</w:t>
      </w:r>
      <w:r w:rsidRPr="007B2204">
        <w:t xml:space="preserve">. </w:t>
      </w:r>
      <w:r w:rsidR="00C74AD6">
        <w:t xml:space="preserve"> </w:t>
      </w:r>
      <w:r w:rsidRPr="007B2204">
        <w:t xml:space="preserve">In response to these concerns, PSE and TransAlta amended the contract.  The amendment </w:t>
      </w:r>
      <w:r w:rsidR="003F38F1">
        <w:t>provides</w:t>
      </w:r>
      <w:r w:rsidR="003976AD">
        <w:t xml:space="preserve"> that if either the MOA is terminated or there is a permanent cessation of generation at the CTCF, </w:t>
      </w:r>
      <w:r w:rsidR="00C74AD6">
        <w:t xml:space="preserve"> </w:t>
      </w:r>
      <w:r w:rsidRPr="007B2204">
        <w:t>PSE will bring this matter to the Commission with PSE’s recommendation on whether to continue the PPA contract or not</w:t>
      </w:r>
      <w:r w:rsidR="0022779B">
        <w:t>,</w:t>
      </w:r>
      <w:r w:rsidR="003F38F1">
        <w:t xml:space="preserve"> and file a petition seeking concurrence </w:t>
      </w:r>
      <w:r w:rsidR="00C74AD6">
        <w:t xml:space="preserve">with its recommendation </w:t>
      </w:r>
      <w:r w:rsidR="003F38F1">
        <w:t>from the Commission</w:t>
      </w:r>
      <w:r w:rsidRPr="007B2204">
        <w:t xml:space="preserve">.  In the Global Settlement, PSE </w:t>
      </w:r>
      <w:r w:rsidR="003F38F1">
        <w:t xml:space="preserve">expressly </w:t>
      </w:r>
      <w:r w:rsidRPr="007B2204">
        <w:t xml:space="preserve">agrees </w:t>
      </w:r>
      <w:r w:rsidR="003F38F1">
        <w:t xml:space="preserve">that the Commission may condition any </w:t>
      </w:r>
      <w:r w:rsidR="00C74AD6">
        <w:t>O</w:t>
      </w:r>
      <w:r w:rsidR="003F38F1">
        <w:t xml:space="preserve">rder </w:t>
      </w:r>
      <w:r w:rsidR="00C74AD6">
        <w:t>approving</w:t>
      </w:r>
      <w:r w:rsidR="003F38F1">
        <w:t xml:space="preserve"> or disapproving a petition for concurrence, including but not limited to the recovery of cost and equity under the Coal Transition PPA, and that any such condition will be binding on PSE if PSE were to continue to make purchases under the Coal Transition PPA. </w:t>
      </w:r>
      <w:r w:rsidR="0022779B">
        <w:t xml:space="preserve"> </w:t>
      </w:r>
      <w:r w:rsidR="003F38F1">
        <w:t>Any such condition would be prospective only.</w:t>
      </w:r>
      <w:r>
        <w:t xml:space="preserve">  This satisfies </w:t>
      </w:r>
      <w:r w:rsidR="0060403E">
        <w:t xml:space="preserve">the concerns expressed by </w:t>
      </w:r>
      <w:r>
        <w:t>Staff</w:t>
      </w:r>
      <w:r w:rsidR="0060403E">
        <w:t xml:space="preserve"> in the PPA case </w:t>
      </w:r>
      <w:r>
        <w:t xml:space="preserve">and we support </w:t>
      </w:r>
      <w:r w:rsidR="0060403E">
        <w:t>re</w:t>
      </w:r>
      <w:r>
        <w:t xml:space="preserve">opening the record to enter the amendment to the </w:t>
      </w:r>
      <w:r w:rsidR="00DF5858">
        <w:t>Coal Transition PPA</w:t>
      </w:r>
      <w:r w:rsidR="0060403E">
        <w:t xml:space="preserve"> and to clarify Order </w:t>
      </w:r>
      <w:r>
        <w:t>03</w:t>
      </w:r>
      <w:r w:rsidR="003F38F1">
        <w:t xml:space="preserve">, </w:t>
      </w:r>
      <w:r w:rsidR="0060403E">
        <w:t xml:space="preserve">consistent with </w:t>
      </w:r>
      <w:r w:rsidR="003F38F1">
        <w:t xml:space="preserve">the terms </w:t>
      </w:r>
      <w:r w:rsidR="0060403E">
        <w:t>of</w:t>
      </w:r>
      <w:r w:rsidR="003F38F1">
        <w:t xml:space="preserve"> paragraphs 16 and 17 of the Global Settlement</w:t>
      </w:r>
      <w:r>
        <w:t>.</w:t>
      </w:r>
    </w:p>
    <w:p w:rsidR="009B0CCB" w:rsidRDefault="009B0CCB" w:rsidP="009B0CCB">
      <w:pPr>
        <w:spacing w:line="480" w:lineRule="auto"/>
        <w:ind w:left="720" w:hanging="720"/>
      </w:pPr>
    </w:p>
    <w:p w:rsidR="009B0CCB" w:rsidRDefault="009B0CCB" w:rsidP="009B0CCB">
      <w:pPr>
        <w:spacing w:line="480" w:lineRule="auto"/>
        <w:ind w:left="720" w:hanging="720"/>
        <w:rPr>
          <w:b/>
        </w:rPr>
      </w:pPr>
      <w:r w:rsidRPr="006666BF">
        <w:rPr>
          <w:b/>
        </w:rPr>
        <w:lastRenderedPageBreak/>
        <w:t>Q.</w:t>
      </w:r>
      <w:r w:rsidRPr="006666BF">
        <w:rPr>
          <w:b/>
        </w:rPr>
        <w:tab/>
        <w:t>Please explain t</w:t>
      </w:r>
      <w:r>
        <w:rPr>
          <w:b/>
        </w:rPr>
        <w:t>he proposal to recover PPA expenses</w:t>
      </w:r>
      <w:r w:rsidRPr="006666BF">
        <w:rPr>
          <w:b/>
        </w:rPr>
        <w:t>.</w:t>
      </w:r>
    </w:p>
    <w:p w:rsidR="009B0CCB" w:rsidRDefault="009B0CCB" w:rsidP="009B0CCB">
      <w:pPr>
        <w:spacing w:line="480" w:lineRule="auto"/>
        <w:ind w:left="720" w:hanging="720"/>
      </w:pPr>
      <w:r>
        <w:t>A.</w:t>
      </w:r>
      <w:r>
        <w:tab/>
        <w:t>The Global Settlement establishes a method for PSE to collect the PPA costs and the equity adder in rates.  The PPA begins in December 2014</w:t>
      </w:r>
      <w:r w:rsidR="0060403E">
        <w:t>,</w:t>
      </w:r>
      <w:r>
        <w:t xml:space="preserve"> with the delivery of 180 megawatts (MW) per hour around the clock.  In December 2015</w:t>
      </w:r>
      <w:r w:rsidR="0060403E">
        <w:t>,</w:t>
      </w:r>
      <w:r>
        <w:t xml:space="preserve"> the volume increases to 280 MW per hour, and in December 2016</w:t>
      </w:r>
      <w:r w:rsidR="0060403E">
        <w:t>,</w:t>
      </w:r>
      <w:r>
        <w:t xml:space="preserve"> it increases again to 380 MW per hour and </w:t>
      </w:r>
      <w:r w:rsidR="0060403E">
        <w:t>remains</w:t>
      </w:r>
      <w:r>
        <w:t xml:space="preserve"> at that level until December 2024</w:t>
      </w:r>
      <w:r w:rsidR="00ED7ACB">
        <w:t>,</w:t>
      </w:r>
      <w:bookmarkStart w:id="0" w:name="_GoBack"/>
      <w:bookmarkEnd w:id="0"/>
      <w:r>
        <w:t xml:space="preserve"> when it drops to 300 MW for the final year of the contract.  In each of the first three years PSE will submit a compliance filing to update the Power Cost Adjustment (PCA) baseline with the price and volumes of the contract plus the equity adder. </w:t>
      </w:r>
      <w:r w:rsidR="0060403E">
        <w:t xml:space="preserve"> </w:t>
      </w:r>
      <w:r>
        <w:t xml:space="preserve">The costs of the PPA will be offset by the cost of the market power the PPA replaces.  Once the volumes reach the maximum of 380 MW per hour, further price increases will flow through the PCA as normal power costs.  </w:t>
      </w:r>
    </w:p>
    <w:p w:rsidR="009B0CCB" w:rsidRDefault="009B0CCB" w:rsidP="009B0CCB">
      <w:pPr>
        <w:spacing w:line="480" w:lineRule="auto"/>
        <w:ind w:left="720" w:hanging="720"/>
      </w:pPr>
    </w:p>
    <w:p w:rsidR="009B0CCB" w:rsidRPr="00454943" w:rsidRDefault="009B0CCB" w:rsidP="009B0CCB">
      <w:pPr>
        <w:spacing w:line="480" w:lineRule="auto"/>
        <w:ind w:left="720" w:hanging="720"/>
        <w:rPr>
          <w:b/>
        </w:rPr>
      </w:pPr>
      <w:r w:rsidRPr="00454943">
        <w:rPr>
          <w:b/>
        </w:rPr>
        <w:t>Q.</w:t>
      </w:r>
      <w:r w:rsidRPr="00454943">
        <w:rPr>
          <w:b/>
        </w:rPr>
        <w:tab/>
        <w:t xml:space="preserve">Is this a fair outcome for PSE and </w:t>
      </w:r>
      <w:r w:rsidR="00117EA2">
        <w:rPr>
          <w:b/>
        </w:rPr>
        <w:t xml:space="preserve">its </w:t>
      </w:r>
      <w:r w:rsidRPr="00454943">
        <w:rPr>
          <w:b/>
        </w:rPr>
        <w:t>customers?</w:t>
      </w:r>
    </w:p>
    <w:p w:rsidR="009B0CCB" w:rsidRPr="006666BF" w:rsidRDefault="009B0CCB" w:rsidP="009B0CCB">
      <w:pPr>
        <w:spacing w:line="480" w:lineRule="auto"/>
        <w:ind w:left="720" w:hanging="720"/>
      </w:pPr>
      <w:r>
        <w:t>A.</w:t>
      </w:r>
      <w:r>
        <w:tab/>
        <w:t>Yes.  This plan allows PSE to recover its initial costs as the contract takes effect and rises to the maximum output.  The price escalation in the contract after 2016 will flow through the PCA bands as normal power costs.  This is a fair and reasonable outcome from Staff’s perspective.</w:t>
      </w:r>
    </w:p>
    <w:p w:rsidR="00902113" w:rsidRDefault="00902113">
      <w:pPr>
        <w:rPr>
          <w:b/>
        </w:rPr>
      </w:pPr>
      <w:r>
        <w:rPr>
          <w:b/>
        </w:rPr>
        <w:br w:type="page"/>
      </w:r>
    </w:p>
    <w:p w:rsidR="00AD2375" w:rsidRPr="007B2204" w:rsidRDefault="007B2204" w:rsidP="007B2204">
      <w:pPr>
        <w:spacing w:line="480" w:lineRule="auto"/>
        <w:jc w:val="center"/>
        <w:rPr>
          <w:b/>
        </w:rPr>
      </w:pPr>
      <w:r w:rsidRPr="007B2204">
        <w:rPr>
          <w:b/>
        </w:rPr>
        <w:lastRenderedPageBreak/>
        <w:t>IV. CONCLUSION</w:t>
      </w:r>
    </w:p>
    <w:p w:rsidR="00250757" w:rsidRDefault="00250757" w:rsidP="00D96440">
      <w:pPr>
        <w:spacing w:line="480" w:lineRule="auto"/>
        <w:rPr>
          <w:b/>
        </w:rPr>
      </w:pPr>
    </w:p>
    <w:p w:rsidR="007B2204" w:rsidRDefault="007B2204" w:rsidP="00D96440">
      <w:pPr>
        <w:spacing w:line="480" w:lineRule="auto"/>
        <w:rPr>
          <w:b/>
        </w:rPr>
      </w:pPr>
      <w:r>
        <w:rPr>
          <w:b/>
        </w:rPr>
        <w:t>Q.</w:t>
      </w:r>
      <w:r>
        <w:rPr>
          <w:b/>
        </w:rPr>
        <w:tab/>
      </w:r>
      <w:r w:rsidR="005F2018">
        <w:rPr>
          <w:b/>
        </w:rPr>
        <w:t xml:space="preserve">What is </w:t>
      </w:r>
      <w:r w:rsidR="00CC00BC">
        <w:rPr>
          <w:b/>
        </w:rPr>
        <w:t>Staff’s</w:t>
      </w:r>
      <w:r w:rsidR="005F2018">
        <w:rPr>
          <w:b/>
        </w:rPr>
        <w:t xml:space="preserve"> recommendation?</w:t>
      </w:r>
    </w:p>
    <w:p w:rsidR="00DF5858" w:rsidRDefault="007B2204" w:rsidP="00DF5858">
      <w:pPr>
        <w:spacing w:line="480" w:lineRule="auto"/>
        <w:ind w:left="720" w:hanging="720"/>
      </w:pPr>
      <w:r w:rsidRPr="005F2018">
        <w:t>A.</w:t>
      </w:r>
      <w:r w:rsidRPr="005F2018">
        <w:tab/>
      </w:r>
      <w:r w:rsidR="005F2018" w:rsidRPr="005F2018">
        <w:t xml:space="preserve">Staff recommends that the Commission accept the </w:t>
      </w:r>
      <w:r w:rsidRPr="005F2018">
        <w:t>Global Settlement</w:t>
      </w:r>
      <w:r w:rsidR="005F2018" w:rsidRPr="005F2018">
        <w:t xml:space="preserve"> and approve the tariffs and accounting deferrals necessary to accomplish the mechanism</w:t>
      </w:r>
      <w:r w:rsidR="00CC00BC">
        <w:t xml:space="preserve">s </w:t>
      </w:r>
      <w:r w:rsidR="00117EA2">
        <w:t xml:space="preserve">outlined </w:t>
      </w:r>
      <w:r w:rsidR="00CC00BC">
        <w:t>in the Global Settlement</w:t>
      </w:r>
      <w:r w:rsidR="005F2018" w:rsidRPr="005F2018">
        <w:t>.</w:t>
      </w:r>
      <w:r w:rsidR="00CC00BC">
        <w:t xml:space="preserve">  Staff also recommends the Commission reopen the record in Docket UE-121373 to </w:t>
      </w:r>
      <w:r w:rsidR="00DF5858">
        <w:t xml:space="preserve">enter the amendment to the Coal Transition PPA and to clarify Order 03, </w:t>
      </w:r>
      <w:r w:rsidR="00117EA2">
        <w:t>consistent with</w:t>
      </w:r>
      <w:r w:rsidR="00DF5858">
        <w:t xml:space="preserve"> the terms in paragraphs 16 and 17 of the Global Settlement.</w:t>
      </w:r>
    </w:p>
    <w:p w:rsidR="007B2204" w:rsidRPr="007B2204" w:rsidRDefault="007B2204" w:rsidP="00D96440">
      <w:pPr>
        <w:spacing w:line="480" w:lineRule="auto"/>
      </w:pPr>
    </w:p>
    <w:p w:rsidR="003A2606" w:rsidRPr="00FF7F6A" w:rsidRDefault="00FF7F6A" w:rsidP="00D96440">
      <w:pPr>
        <w:spacing w:line="480" w:lineRule="auto"/>
        <w:rPr>
          <w:b/>
        </w:rPr>
      </w:pPr>
      <w:r w:rsidRPr="00FF7F6A">
        <w:rPr>
          <w:b/>
        </w:rPr>
        <w:t>Q.</w:t>
      </w:r>
      <w:r w:rsidRPr="00FF7F6A">
        <w:rPr>
          <w:b/>
        </w:rPr>
        <w:tab/>
        <w:t>Does this conclude your testimony?</w:t>
      </w:r>
    </w:p>
    <w:p w:rsidR="00FF7F6A" w:rsidRDefault="00FF7F6A" w:rsidP="00D96440">
      <w:pPr>
        <w:spacing w:line="480" w:lineRule="auto"/>
      </w:pPr>
      <w:r>
        <w:t>A.</w:t>
      </w:r>
      <w:r>
        <w:tab/>
        <w:t>Yes.</w:t>
      </w:r>
    </w:p>
    <w:sectPr w:rsidR="00FF7F6A" w:rsidSect="00E44B28">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74" w:rsidRDefault="00016C74">
      <w:r>
        <w:separator/>
      </w:r>
    </w:p>
  </w:endnote>
  <w:endnote w:type="continuationSeparator" w:id="0">
    <w:p w:rsidR="00016C74" w:rsidRDefault="0001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74" w:rsidRPr="00DC40BC" w:rsidRDefault="00016C74">
    <w:pPr>
      <w:pStyle w:val="Footer"/>
      <w:rPr>
        <w:sz w:val="20"/>
        <w:szCs w:val="20"/>
      </w:rPr>
    </w:pPr>
  </w:p>
  <w:p w:rsidR="00016C74" w:rsidRPr="00DC40BC" w:rsidRDefault="00016C74">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016C74" w:rsidRPr="00DC40BC" w:rsidRDefault="00016C74" w:rsidP="002F0348">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1</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74" w:rsidRPr="00DC40BC" w:rsidRDefault="00016C74">
    <w:pPr>
      <w:pStyle w:val="Footer"/>
      <w:rPr>
        <w:sz w:val="20"/>
        <w:szCs w:val="20"/>
      </w:rPr>
    </w:pPr>
  </w:p>
  <w:p w:rsidR="00016C74" w:rsidRPr="00DC40BC" w:rsidRDefault="00016C74">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(TES-1T)</w:t>
    </w:r>
  </w:p>
  <w:p w:rsidR="00016C74" w:rsidRPr="00DC40BC" w:rsidRDefault="00016C74" w:rsidP="002F0348">
    <w:pPr>
      <w:pStyle w:val="Footer"/>
      <w:rPr>
        <w:sz w:val="20"/>
        <w:szCs w:val="20"/>
        <w:lang w:val="fr-FR"/>
      </w:rPr>
    </w:pPr>
    <w:r w:rsidRPr="001A1C3B">
      <w:rPr>
        <w:sz w:val="20"/>
        <w:szCs w:val="20"/>
      </w:rPr>
      <w:t>Dockets</w:t>
    </w:r>
    <w:r w:rsidRPr="001A1C3B">
      <w:rPr>
        <w:sz w:val="20"/>
        <w:szCs w:val="20"/>
        <w:lang w:val="fr-FR"/>
      </w:rPr>
      <w:t xml:space="preserve"> UE-121373/UE-121697/UG-121705/UE-130137/UG-130138</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i</w:t>
    </w:r>
    <w:r w:rsidRPr="00DC40BC">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74" w:rsidRPr="00DC40BC" w:rsidRDefault="00016C74">
    <w:pPr>
      <w:pStyle w:val="Footer"/>
      <w:rPr>
        <w:sz w:val="20"/>
        <w:szCs w:val="20"/>
      </w:rPr>
    </w:pPr>
  </w:p>
  <w:p w:rsidR="00016C74" w:rsidRPr="00DC40BC" w:rsidRDefault="00016C74">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(TES-1T)</w:t>
    </w:r>
  </w:p>
  <w:p w:rsidR="00016C74" w:rsidRPr="00DC40BC" w:rsidRDefault="00016C74" w:rsidP="002F0348">
    <w:pPr>
      <w:pStyle w:val="Footer"/>
      <w:rPr>
        <w:sz w:val="20"/>
        <w:szCs w:val="20"/>
        <w:lang w:val="fr-FR"/>
      </w:rPr>
    </w:pPr>
    <w:r w:rsidRPr="001A1C3B">
      <w:rPr>
        <w:sz w:val="20"/>
        <w:szCs w:val="20"/>
      </w:rPr>
      <w:t>Dockets</w:t>
    </w:r>
    <w:r w:rsidRPr="001A1C3B">
      <w:rPr>
        <w:sz w:val="20"/>
        <w:szCs w:val="20"/>
        <w:lang w:val="fr-FR"/>
      </w:rPr>
      <w:t xml:space="preserve"> UE-121373/UE-121697/UG-121705/UE-130137/UG-130138</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ED7ACB">
      <w:rPr>
        <w:rStyle w:val="PageNumber"/>
        <w:noProof/>
        <w:sz w:val="20"/>
        <w:szCs w:val="20"/>
        <w:lang w:val="fr-FR"/>
      </w:rPr>
      <w:t>19</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74" w:rsidRDefault="00016C74">
      <w:r>
        <w:separator/>
      </w:r>
    </w:p>
  </w:footnote>
  <w:footnote w:type="continuationSeparator" w:id="0">
    <w:p w:rsidR="00016C74" w:rsidRDefault="00016C74">
      <w:r>
        <w:continuationSeparator/>
      </w:r>
    </w:p>
  </w:footnote>
  <w:footnote w:id="1">
    <w:p w:rsidR="00016C74" w:rsidRDefault="00016C74" w:rsidP="001A27C9">
      <w:pPr>
        <w:pStyle w:val="FootnoteText"/>
      </w:pPr>
      <w:r>
        <w:rPr>
          <w:rStyle w:val="FootnoteReference"/>
        </w:rPr>
        <w:footnoteRef/>
      </w:r>
      <w:r>
        <w:t xml:space="preserve"> Dockets UE-111048/UG-111049 (</w:t>
      </w:r>
      <w:r w:rsidRPr="001A27C9">
        <w:rPr>
          <w:i/>
        </w:rPr>
        <w:t>consolidated</w:t>
      </w:r>
      <w:r>
        <w:t>), Order 08, at ¶ 507</w:t>
      </w:r>
    </w:p>
  </w:footnote>
  <w:footnote w:id="2">
    <w:p w:rsidR="00016C74" w:rsidRDefault="00016C74">
      <w:pPr>
        <w:pStyle w:val="FootnoteText"/>
      </w:pPr>
      <w:r>
        <w:rPr>
          <w:rStyle w:val="FootnoteReference"/>
        </w:rPr>
        <w:footnoteRef/>
      </w:r>
      <w:r>
        <w:t xml:space="preserve"> Dockets UE-111048/UG-111049 (</w:t>
      </w:r>
      <w:r w:rsidRPr="001A27C9">
        <w:rPr>
          <w:i/>
        </w:rPr>
        <w:t>consolidated</w:t>
      </w:r>
      <w:r>
        <w:t>), Order 08, at page ii.</w:t>
      </w:r>
    </w:p>
  </w:footnote>
  <w:footnote w:id="3">
    <w:p w:rsidR="00016C74" w:rsidRDefault="00016C74">
      <w:pPr>
        <w:pStyle w:val="FootnoteText"/>
      </w:pPr>
      <w:r>
        <w:rPr>
          <w:rStyle w:val="FootnoteReference"/>
        </w:rPr>
        <w:footnoteRef/>
      </w:r>
      <w:r>
        <w:t xml:space="preserve"> Dockets UE-121697/UG-121705, Exhibit No. ___ (</w:t>
      </w:r>
      <w:r w:rsidRPr="001267A9">
        <w:t>DJR-1T</w:t>
      </w:r>
      <w:r>
        <w:t>)</w:t>
      </w:r>
    </w:p>
  </w:footnote>
  <w:footnote w:id="4">
    <w:p w:rsidR="00016C74" w:rsidRDefault="00016C74">
      <w:pPr>
        <w:pStyle w:val="FootnoteText"/>
      </w:pPr>
      <w:r>
        <w:rPr>
          <w:rStyle w:val="FootnoteReference"/>
        </w:rPr>
        <w:footnoteRef/>
      </w:r>
      <w:r>
        <w:t xml:space="preserve"> Dockets UE-111048/UG-111049, Order 08, at ¶ 143.</w:t>
      </w:r>
    </w:p>
  </w:footnote>
  <w:footnote w:id="5">
    <w:p w:rsidR="00016C74" w:rsidRDefault="00016C74" w:rsidP="009B0CCB">
      <w:pPr>
        <w:pStyle w:val="FootnoteText"/>
      </w:pPr>
      <w:r>
        <w:rPr>
          <w:rStyle w:val="FootnoteReference"/>
        </w:rPr>
        <w:footnoteRef/>
      </w:r>
      <w:r>
        <w:t xml:space="preserve"> WAC 480-100-257(2)-(3).</w:t>
      </w:r>
    </w:p>
  </w:footnote>
  <w:footnote w:id="6">
    <w:p w:rsidR="00016C74" w:rsidRDefault="00016C74" w:rsidP="009B0CCB">
      <w:pPr>
        <w:pStyle w:val="FootnoteText"/>
      </w:pPr>
      <w:r>
        <w:rPr>
          <w:rStyle w:val="FootnoteReference"/>
        </w:rPr>
        <w:footnoteRef/>
      </w:r>
      <w:r>
        <w:t xml:space="preserve"> The adjustments are found by comparing Exhibit No. ___ (KJB-5), pages 2-3, with Exhibit No. ___ (KJB-7), pages 16-17.  Adjustments in the 2011 CBR which are not included in the ERF appear in columns numbered 3.08, 3.11, 3.12, 3.13, and 3.17.  The sum of the net operating income effects of these adjustments is a negative $350,000, meaning additional revenue requirements are needed to recover these items.  The direction in the ERF would certainly be the same.</w:t>
      </w:r>
    </w:p>
  </w:footnote>
  <w:footnote w:id="7">
    <w:p w:rsidR="00016C74" w:rsidRDefault="00016C74" w:rsidP="009B0CCB">
      <w:pPr>
        <w:pStyle w:val="FootnoteText"/>
      </w:pPr>
      <w:r>
        <w:rPr>
          <w:rStyle w:val="FootnoteReference"/>
        </w:rPr>
        <w:footnoteRef/>
      </w:r>
      <w:r>
        <w:t xml:space="preserve"> Exhibit No. ___ (KJB-1T), at 17:5-8.</w:t>
      </w:r>
    </w:p>
  </w:footnote>
  <w:footnote w:id="8">
    <w:p w:rsidR="00016C74" w:rsidRDefault="00016C74" w:rsidP="009B0CCB">
      <w:pPr>
        <w:pStyle w:val="FootnoteText"/>
      </w:pPr>
      <w:r>
        <w:rPr>
          <w:rStyle w:val="FootnoteReference"/>
        </w:rPr>
        <w:footnoteRef/>
      </w:r>
      <w:r>
        <w:t xml:space="preserve"> WAC 480-90-257.  </w:t>
      </w:r>
    </w:p>
  </w:footnote>
  <w:footnote w:id="9">
    <w:p w:rsidR="00016C74" w:rsidRDefault="00016C74" w:rsidP="009B0CCB">
      <w:pPr>
        <w:pStyle w:val="FootnoteText"/>
      </w:pPr>
      <w:r>
        <w:rPr>
          <w:rStyle w:val="FootnoteReference"/>
        </w:rPr>
        <w:footnoteRef/>
      </w:r>
      <w:r>
        <w:t xml:space="preserve"> The adjustments are found by comparing Exhibit No. ___ (KJB-6), pages 2-3 with Exhibit No. ___ (KJB-8), pages 14-15.  Adjustments in the 2011 CBR which are not included in the ERF are in columns numbered 3.06, 3.08, 3.09, 3.11, and 3.12.  The sum of the net operating income effects for these adjustments is a positive $156,777, meaning less revenue requirement would be needed in that time period.  The effect of including these adjustments in the gas ERF is uncertain.</w:t>
      </w:r>
    </w:p>
  </w:footnote>
  <w:footnote w:id="10">
    <w:p w:rsidR="00016C74" w:rsidRDefault="00016C74" w:rsidP="009B0CCB">
      <w:pPr>
        <w:pStyle w:val="FootnoteText"/>
      </w:pPr>
      <w:r>
        <w:rPr>
          <w:rStyle w:val="FootnoteReference"/>
        </w:rPr>
        <w:footnoteRef/>
      </w:r>
      <w:r>
        <w:t xml:space="preserve"> Dockets UE-111048/UG-111049 (</w:t>
      </w:r>
      <w:r w:rsidRPr="00B75F28">
        <w:rPr>
          <w:i/>
        </w:rPr>
        <w:t>consolidated</w:t>
      </w:r>
      <w:r>
        <w:t>), Order 08, at ¶ 143.</w:t>
      </w:r>
    </w:p>
  </w:footnote>
  <w:footnote w:id="11">
    <w:p w:rsidR="00016C74" w:rsidRDefault="00016C74">
      <w:pPr>
        <w:pStyle w:val="FootnoteText"/>
      </w:pPr>
      <w:r>
        <w:rPr>
          <w:rStyle w:val="FootnoteReference"/>
        </w:rPr>
        <w:footnoteRef/>
      </w:r>
      <w:r>
        <w:t xml:space="preserve"> Dockets UE-121697/UG-121705, Exhibit No. ___ (KJB-3).  </w:t>
      </w:r>
    </w:p>
  </w:footnote>
  <w:footnote w:id="12">
    <w:p w:rsidR="00016C74" w:rsidRDefault="00016C74">
      <w:pPr>
        <w:pStyle w:val="FootnoteText"/>
      </w:pPr>
      <w:r>
        <w:rPr>
          <w:rStyle w:val="FootnoteReference"/>
        </w:rPr>
        <w:footnoteRef/>
      </w:r>
      <w:r>
        <w:t xml:space="preserve"> Dockets UE-121697/UG-121705, Exhibit No. ___ (KJB-5). </w:t>
      </w:r>
    </w:p>
  </w:footnote>
  <w:footnote w:id="13">
    <w:p w:rsidR="00016C74" w:rsidRDefault="00016C74">
      <w:pPr>
        <w:pStyle w:val="FootnoteText"/>
      </w:pPr>
      <w:r>
        <w:rPr>
          <w:rStyle w:val="FootnoteReference"/>
        </w:rPr>
        <w:footnoteRef/>
      </w:r>
      <w:r>
        <w:t xml:space="preserve"> Dockets UE-121697/UG-121705 (</w:t>
      </w:r>
      <w:r w:rsidRPr="006620AC">
        <w:rPr>
          <w:i/>
        </w:rPr>
        <w:t>consolidated</w:t>
      </w:r>
      <w:r>
        <w:t xml:space="preserve">), Exhibit No. ___ (KJB-4).  </w:t>
      </w:r>
    </w:p>
  </w:footnote>
  <w:footnote w:id="14">
    <w:p w:rsidR="00016C74" w:rsidRDefault="00016C74">
      <w:pPr>
        <w:pStyle w:val="FootnoteText"/>
      </w:pPr>
      <w:r>
        <w:rPr>
          <w:rStyle w:val="FootnoteReference"/>
        </w:rPr>
        <w:footnoteRef/>
      </w:r>
      <w:r>
        <w:t xml:space="preserve"> Dockets UE-121697/UG-121705 (</w:t>
      </w:r>
      <w:r w:rsidRPr="006620AC">
        <w:rPr>
          <w:i/>
        </w:rPr>
        <w:t>consolidated</w:t>
      </w:r>
      <w:r>
        <w:t>), Exhibit No. ___ (</w:t>
      </w:r>
      <w:r w:rsidRPr="001267A9">
        <w:t>DJR-1T</w:t>
      </w:r>
      <w:r>
        <w:t>) presents Staff’s review of the decoupling mechanism in the context of the Commission’s decoupling policy.</w:t>
      </w:r>
    </w:p>
  </w:footnote>
  <w:footnote w:id="15">
    <w:p w:rsidR="00016C74" w:rsidRDefault="00016C74">
      <w:pPr>
        <w:pStyle w:val="FootnoteText"/>
      </w:pPr>
      <w:r>
        <w:rPr>
          <w:rStyle w:val="FootnoteReference"/>
        </w:rPr>
        <w:footnoteRef/>
      </w:r>
      <w:r>
        <w:t xml:space="preserve"> Dockets UE-121697/UG-121705 (</w:t>
      </w:r>
      <w:r w:rsidRPr="006620AC">
        <w:rPr>
          <w:i/>
        </w:rPr>
        <w:t>consolidated</w:t>
      </w:r>
      <w:r>
        <w:t xml:space="preserve">), Exhibit No. ___ (JAP-14).  The non-residential electric customer’s RPC is </w:t>
      </w:r>
      <w:r w:rsidRPr="006620AC">
        <w:t>$2,0</w:t>
      </w:r>
      <w:r>
        <w:t>46 annually.</w:t>
      </w:r>
    </w:p>
  </w:footnote>
  <w:footnote w:id="16">
    <w:p w:rsidR="00016C74" w:rsidRDefault="00016C74">
      <w:pPr>
        <w:pStyle w:val="FootnoteText"/>
      </w:pPr>
      <w:r>
        <w:rPr>
          <w:rStyle w:val="FootnoteReference"/>
        </w:rPr>
        <w:footnoteRef/>
      </w:r>
      <w:r>
        <w:t xml:space="preserve"> Dockets UE-121697/UG-121705 (</w:t>
      </w:r>
      <w:r w:rsidRPr="006620AC">
        <w:rPr>
          <w:i/>
        </w:rPr>
        <w:t>consolidated</w:t>
      </w:r>
      <w:r>
        <w:t>), Exhibit No. ___ (JAP-16).</w:t>
      </w:r>
    </w:p>
  </w:footnote>
  <w:footnote w:id="17">
    <w:p w:rsidR="00016C74" w:rsidRDefault="00016C74">
      <w:pPr>
        <w:pStyle w:val="FootnoteText"/>
      </w:pPr>
      <w:r>
        <w:rPr>
          <w:rStyle w:val="FootnoteReference"/>
        </w:rPr>
        <w:footnoteRef/>
      </w:r>
      <w:r>
        <w:t xml:space="preserve"> Dockets UE-121697/UG-121705 (</w:t>
      </w:r>
      <w:r w:rsidRPr="006620AC">
        <w:rPr>
          <w:i/>
        </w:rPr>
        <w:t>consolidated</w:t>
      </w:r>
      <w:r>
        <w:t>), Exhibit No. ___ (JAP-19).</w:t>
      </w:r>
    </w:p>
  </w:footnote>
  <w:footnote w:id="18">
    <w:p w:rsidR="00016C74" w:rsidRDefault="00016C74">
      <w:pPr>
        <w:pStyle w:val="FootnoteText"/>
      </w:pPr>
      <w:r>
        <w:rPr>
          <w:rStyle w:val="FootnoteReference"/>
        </w:rPr>
        <w:footnoteRef/>
      </w:r>
      <w:r>
        <w:t xml:space="preserve"> Dockets UE-121697/UG-121705 (</w:t>
      </w:r>
      <w:r w:rsidRPr="006620AC">
        <w:rPr>
          <w:i/>
        </w:rPr>
        <w:t>consolidated</w:t>
      </w:r>
      <w:r>
        <w:t>), Exhibit Nos. ___ (JAP-20) and (JAP-21).</w:t>
      </w:r>
    </w:p>
  </w:footnote>
  <w:footnote w:id="19">
    <w:p w:rsidR="00016C74" w:rsidRDefault="00016C74" w:rsidP="00E64611">
      <w:pPr>
        <w:pStyle w:val="FootnoteText"/>
      </w:pPr>
      <w:r>
        <w:rPr>
          <w:rStyle w:val="FootnoteReference"/>
        </w:rPr>
        <w:footnoteRef/>
      </w:r>
      <w:r>
        <w:t xml:space="preserve"> Which would be 8.05 percent being 7.8 percent plus 0.25 percent.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DD7"/>
    <w:multiLevelType w:val="hybridMultilevel"/>
    <w:tmpl w:val="DB70D5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AF0170"/>
    <w:multiLevelType w:val="hybridMultilevel"/>
    <w:tmpl w:val="FBDCA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7D6B3D"/>
    <w:multiLevelType w:val="hybridMultilevel"/>
    <w:tmpl w:val="BF7A4C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9E04321"/>
    <w:multiLevelType w:val="hybridMultilevel"/>
    <w:tmpl w:val="06BA64BE"/>
    <w:lvl w:ilvl="0" w:tplc="E05255C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DA772D"/>
    <w:multiLevelType w:val="hybridMultilevel"/>
    <w:tmpl w:val="8EF01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823EE"/>
    <w:multiLevelType w:val="hybridMultilevel"/>
    <w:tmpl w:val="54D0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855D6B"/>
    <w:multiLevelType w:val="hybridMultilevel"/>
    <w:tmpl w:val="151C1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4C5987"/>
    <w:multiLevelType w:val="hybridMultilevel"/>
    <w:tmpl w:val="D6AAD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6C135A"/>
    <w:multiLevelType w:val="hybridMultilevel"/>
    <w:tmpl w:val="002C0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1E6D96"/>
    <w:multiLevelType w:val="hybridMultilevel"/>
    <w:tmpl w:val="190C5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9"/>
  </w:num>
  <w:num w:numId="4">
    <w:abstractNumId w:val="2"/>
  </w:num>
  <w:num w:numId="5">
    <w:abstractNumId w:val="0"/>
  </w:num>
  <w:num w:numId="6">
    <w:abstractNumId w:val="6"/>
  </w:num>
  <w:num w:numId="7">
    <w:abstractNumId w:val="4"/>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2E"/>
    <w:rsid w:val="00011120"/>
    <w:rsid w:val="00016C74"/>
    <w:rsid w:val="00020587"/>
    <w:rsid w:val="0002343F"/>
    <w:rsid w:val="00033D68"/>
    <w:rsid w:val="0003409F"/>
    <w:rsid w:val="00042D0C"/>
    <w:rsid w:val="000465E8"/>
    <w:rsid w:val="0006202B"/>
    <w:rsid w:val="00064907"/>
    <w:rsid w:val="00065C8C"/>
    <w:rsid w:val="00072716"/>
    <w:rsid w:val="00076EFE"/>
    <w:rsid w:val="00077E79"/>
    <w:rsid w:val="00086FD2"/>
    <w:rsid w:val="000967FD"/>
    <w:rsid w:val="000A26B4"/>
    <w:rsid w:val="000A6024"/>
    <w:rsid w:val="000A715E"/>
    <w:rsid w:val="000D3242"/>
    <w:rsid w:val="000D3B02"/>
    <w:rsid w:val="000E640C"/>
    <w:rsid w:val="00100329"/>
    <w:rsid w:val="00117EA2"/>
    <w:rsid w:val="00123FDC"/>
    <w:rsid w:val="001267A9"/>
    <w:rsid w:val="00133B9A"/>
    <w:rsid w:val="00133DF5"/>
    <w:rsid w:val="0014075F"/>
    <w:rsid w:val="00143A2E"/>
    <w:rsid w:val="0014615F"/>
    <w:rsid w:val="00146553"/>
    <w:rsid w:val="00147353"/>
    <w:rsid w:val="0019158E"/>
    <w:rsid w:val="001971DD"/>
    <w:rsid w:val="001978F3"/>
    <w:rsid w:val="001A1C3B"/>
    <w:rsid w:val="001A27C9"/>
    <w:rsid w:val="001B1A18"/>
    <w:rsid w:val="001B1E30"/>
    <w:rsid w:val="001B34BC"/>
    <w:rsid w:val="001B5CD1"/>
    <w:rsid w:val="001C5AB1"/>
    <w:rsid w:val="001D0F6C"/>
    <w:rsid w:val="001E19F2"/>
    <w:rsid w:val="001E1D7A"/>
    <w:rsid w:val="001E63A6"/>
    <w:rsid w:val="001F1419"/>
    <w:rsid w:val="001F42A5"/>
    <w:rsid w:val="001F4F61"/>
    <w:rsid w:val="001F64C3"/>
    <w:rsid w:val="002020E3"/>
    <w:rsid w:val="002057D2"/>
    <w:rsid w:val="00206512"/>
    <w:rsid w:val="00222F38"/>
    <w:rsid w:val="002264E8"/>
    <w:rsid w:val="0022779B"/>
    <w:rsid w:val="00232A3B"/>
    <w:rsid w:val="0024321F"/>
    <w:rsid w:val="002457A8"/>
    <w:rsid w:val="00250757"/>
    <w:rsid w:val="0026408B"/>
    <w:rsid w:val="00264913"/>
    <w:rsid w:val="00267114"/>
    <w:rsid w:val="0027070C"/>
    <w:rsid w:val="00293D4E"/>
    <w:rsid w:val="002A22F6"/>
    <w:rsid w:val="002B1A48"/>
    <w:rsid w:val="002B2F2E"/>
    <w:rsid w:val="002B335E"/>
    <w:rsid w:val="002B3B00"/>
    <w:rsid w:val="002C039A"/>
    <w:rsid w:val="002C4B6E"/>
    <w:rsid w:val="002D6809"/>
    <w:rsid w:val="002E7E30"/>
    <w:rsid w:val="002F0348"/>
    <w:rsid w:val="002F647C"/>
    <w:rsid w:val="00303006"/>
    <w:rsid w:val="00311368"/>
    <w:rsid w:val="003119E1"/>
    <w:rsid w:val="003128E6"/>
    <w:rsid w:val="00315BA3"/>
    <w:rsid w:val="00316BD3"/>
    <w:rsid w:val="00320064"/>
    <w:rsid w:val="00342400"/>
    <w:rsid w:val="0034319E"/>
    <w:rsid w:val="003538FD"/>
    <w:rsid w:val="00356641"/>
    <w:rsid w:val="00357157"/>
    <w:rsid w:val="0037620B"/>
    <w:rsid w:val="00382AFC"/>
    <w:rsid w:val="00386380"/>
    <w:rsid w:val="0039422F"/>
    <w:rsid w:val="00396872"/>
    <w:rsid w:val="00396CA1"/>
    <w:rsid w:val="003976AD"/>
    <w:rsid w:val="003A0B77"/>
    <w:rsid w:val="003A2606"/>
    <w:rsid w:val="003A65F1"/>
    <w:rsid w:val="003A6D93"/>
    <w:rsid w:val="003B082B"/>
    <w:rsid w:val="003B7B73"/>
    <w:rsid w:val="003C5310"/>
    <w:rsid w:val="003C5CC2"/>
    <w:rsid w:val="003E0A58"/>
    <w:rsid w:val="003E1AA4"/>
    <w:rsid w:val="003E4D83"/>
    <w:rsid w:val="003F02E1"/>
    <w:rsid w:val="003F38F1"/>
    <w:rsid w:val="003F3E1E"/>
    <w:rsid w:val="00402B0A"/>
    <w:rsid w:val="00410954"/>
    <w:rsid w:val="00411F22"/>
    <w:rsid w:val="00444266"/>
    <w:rsid w:val="00454943"/>
    <w:rsid w:val="00460B61"/>
    <w:rsid w:val="00462D7B"/>
    <w:rsid w:val="00473F4C"/>
    <w:rsid w:val="00474F6A"/>
    <w:rsid w:val="004762BA"/>
    <w:rsid w:val="00486249"/>
    <w:rsid w:val="004906BA"/>
    <w:rsid w:val="004A223D"/>
    <w:rsid w:val="004A77ED"/>
    <w:rsid w:val="004B214E"/>
    <w:rsid w:val="004C6666"/>
    <w:rsid w:val="004D01DA"/>
    <w:rsid w:val="004D211C"/>
    <w:rsid w:val="004D39EA"/>
    <w:rsid w:val="004E580D"/>
    <w:rsid w:val="00501970"/>
    <w:rsid w:val="005040DB"/>
    <w:rsid w:val="00510267"/>
    <w:rsid w:val="00510CA6"/>
    <w:rsid w:val="00513624"/>
    <w:rsid w:val="00516F6B"/>
    <w:rsid w:val="005369B3"/>
    <w:rsid w:val="00547A83"/>
    <w:rsid w:val="00552600"/>
    <w:rsid w:val="00557660"/>
    <w:rsid w:val="00583F86"/>
    <w:rsid w:val="005969D5"/>
    <w:rsid w:val="005A6C74"/>
    <w:rsid w:val="005B548F"/>
    <w:rsid w:val="005C131C"/>
    <w:rsid w:val="005C724A"/>
    <w:rsid w:val="005E25A5"/>
    <w:rsid w:val="005E283F"/>
    <w:rsid w:val="005E7105"/>
    <w:rsid w:val="005F2018"/>
    <w:rsid w:val="005F6727"/>
    <w:rsid w:val="0060403E"/>
    <w:rsid w:val="00615740"/>
    <w:rsid w:val="00622224"/>
    <w:rsid w:val="00625035"/>
    <w:rsid w:val="00630024"/>
    <w:rsid w:val="0063746C"/>
    <w:rsid w:val="00643597"/>
    <w:rsid w:val="0064724A"/>
    <w:rsid w:val="00653433"/>
    <w:rsid w:val="006541A3"/>
    <w:rsid w:val="00660C27"/>
    <w:rsid w:val="006620AC"/>
    <w:rsid w:val="006666BF"/>
    <w:rsid w:val="00666CBE"/>
    <w:rsid w:val="00672F7B"/>
    <w:rsid w:val="006756E0"/>
    <w:rsid w:val="00691992"/>
    <w:rsid w:val="00692D73"/>
    <w:rsid w:val="006A41EE"/>
    <w:rsid w:val="006A4562"/>
    <w:rsid w:val="006C0038"/>
    <w:rsid w:val="006C3ECD"/>
    <w:rsid w:val="006C43EF"/>
    <w:rsid w:val="006D3C21"/>
    <w:rsid w:val="006D7D17"/>
    <w:rsid w:val="006F0755"/>
    <w:rsid w:val="006F0760"/>
    <w:rsid w:val="006F1232"/>
    <w:rsid w:val="006F3A11"/>
    <w:rsid w:val="0070138A"/>
    <w:rsid w:val="00713E27"/>
    <w:rsid w:val="007173C8"/>
    <w:rsid w:val="00724D55"/>
    <w:rsid w:val="0074166F"/>
    <w:rsid w:val="00746F62"/>
    <w:rsid w:val="00757773"/>
    <w:rsid w:val="00760711"/>
    <w:rsid w:val="00761B7C"/>
    <w:rsid w:val="007710CB"/>
    <w:rsid w:val="007867B2"/>
    <w:rsid w:val="00791DA8"/>
    <w:rsid w:val="007B2204"/>
    <w:rsid w:val="007C09AD"/>
    <w:rsid w:val="007C6AB4"/>
    <w:rsid w:val="007E3DCA"/>
    <w:rsid w:val="007E6B38"/>
    <w:rsid w:val="007F5895"/>
    <w:rsid w:val="00801AB8"/>
    <w:rsid w:val="00842496"/>
    <w:rsid w:val="00851492"/>
    <w:rsid w:val="00853632"/>
    <w:rsid w:val="00865BA2"/>
    <w:rsid w:val="008769E7"/>
    <w:rsid w:val="00880E73"/>
    <w:rsid w:val="00883A2E"/>
    <w:rsid w:val="0089099D"/>
    <w:rsid w:val="00890B40"/>
    <w:rsid w:val="008B61D1"/>
    <w:rsid w:val="008C51EB"/>
    <w:rsid w:val="008C61B5"/>
    <w:rsid w:val="008D30D4"/>
    <w:rsid w:val="008D5966"/>
    <w:rsid w:val="008E6382"/>
    <w:rsid w:val="008F4FFF"/>
    <w:rsid w:val="008F5642"/>
    <w:rsid w:val="008F6FC9"/>
    <w:rsid w:val="008F7033"/>
    <w:rsid w:val="008F7DDF"/>
    <w:rsid w:val="00902113"/>
    <w:rsid w:val="00902324"/>
    <w:rsid w:val="009113DB"/>
    <w:rsid w:val="00912A43"/>
    <w:rsid w:val="00914B41"/>
    <w:rsid w:val="00920EB2"/>
    <w:rsid w:val="0094156D"/>
    <w:rsid w:val="00952B76"/>
    <w:rsid w:val="00953656"/>
    <w:rsid w:val="0095678F"/>
    <w:rsid w:val="00970328"/>
    <w:rsid w:val="00972F34"/>
    <w:rsid w:val="009928A9"/>
    <w:rsid w:val="009B0CCB"/>
    <w:rsid w:val="009B4629"/>
    <w:rsid w:val="009D1865"/>
    <w:rsid w:val="00A03670"/>
    <w:rsid w:val="00A11043"/>
    <w:rsid w:val="00A5262F"/>
    <w:rsid w:val="00A57C7D"/>
    <w:rsid w:val="00A6290B"/>
    <w:rsid w:val="00A644CB"/>
    <w:rsid w:val="00A70BAE"/>
    <w:rsid w:val="00A74ABD"/>
    <w:rsid w:val="00A84A4D"/>
    <w:rsid w:val="00A84C2A"/>
    <w:rsid w:val="00A92547"/>
    <w:rsid w:val="00AA099E"/>
    <w:rsid w:val="00AA2CD1"/>
    <w:rsid w:val="00AA63CC"/>
    <w:rsid w:val="00AB2946"/>
    <w:rsid w:val="00AB2FD2"/>
    <w:rsid w:val="00AD2213"/>
    <w:rsid w:val="00AD2375"/>
    <w:rsid w:val="00AD3312"/>
    <w:rsid w:val="00AE0A24"/>
    <w:rsid w:val="00AE273E"/>
    <w:rsid w:val="00AF05CB"/>
    <w:rsid w:val="00AF4501"/>
    <w:rsid w:val="00B00699"/>
    <w:rsid w:val="00B03844"/>
    <w:rsid w:val="00B13041"/>
    <w:rsid w:val="00B16BBD"/>
    <w:rsid w:val="00B17393"/>
    <w:rsid w:val="00B21A7E"/>
    <w:rsid w:val="00B30658"/>
    <w:rsid w:val="00B31DB6"/>
    <w:rsid w:val="00B34850"/>
    <w:rsid w:val="00B3640F"/>
    <w:rsid w:val="00B50FBC"/>
    <w:rsid w:val="00B534EA"/>
    <w:rsid w:val="00B63CCF"/>
    <w:rsid w:val="00B6544D"/>
    <w:rsid w:val="00B65594"/>
    <w:rsid w:val="00B70AE0"/>
    <w:rsid w:val="00B7223A"/>
    <w:rsid w:val="00B7329A"/>
    <w:rsid w:val="00B75F28"/>
    <w:rsid w:val="00B82CE2"/>
    <w:rsid w:val="00B850D6"/>
    <w:rsid w:val="00B928D6"/>
    <w:rsid w:val="00BB2779"/>
    <w:rsid w:val="00BC2646"/>
    <w:rsid w:val="00BF3AAF"/>
    <w:rsid w:val="00BF6980"/>
    <w:rsid w:val="00C078D0"/>
    <w:rsid w:val="00C12FF9"/>
    <w:rsid w:val="00C1586E"/>
    <w:rsid w:val="00C26CDE"/>
    <w:rsid w:val="00C26E46"/>
    <w:rsid w:val="00C30A4A"/>
    <w:rsid w:val="00C37082"/>
    <w:rsid w:val="00C41AE0"/>
    <w:rsid w:val="00C667ED"/>
    <w:rsid w:val="00C6724B"/>
    <w:rsid w:val="00C675C8"/>
    <w:rsid w:val="00C74AD6"/>
    <w:rsid w:val="00CC00BC"/>
    <w:rsid w:val="00CC5EEF"/>
    <w:rsid w:val="00CC6D3D"/>
    <w:rsid w:val="00CC7C19"/>
    <w:rsid w:val="00CD28DE"/>
    <w:rsid w:val="00CE4474"/>
    <w:rsid w:val="00D05478"/>
    <w:rsid w:val="00D06D31"/>
    <w:rsid w:val="00D17DAC"/>
    <w:rsid w:val="00D22FEE"/>
    <w:rsid w:val="00D32BFA"/>
    <w:rsid w:val="00D36C9D"/>
    <w:rsid w:val="00D377E1"/>
    <w:rsid w:val="00D42DF3"/>
    <w:rsid w:val="00D46A3E"/>
    <w:rsid w:val="00D50DB9"/>
    <w:rsid w:val="00D53CB8"/>
    <w:rsid w:val="00D56087"/>
    <w:rsid w:val="00D61769"/>
    <w:rsid w:val="00D62DB7"/>
    <w:rsid w:val="00D7302B"/>
    <w:rsid w:val="00D90143"/>
    <w:rsid w:val="00D94A66"/>
    <w:rsid w:val="00D94CD5"/>
    <w:rsid w:val="00D9572B"/>
    <w:rsid w:val="00D957F9"/>
    <w:rsid w:val="00D96440"/>
    <w:rsid w:val="00DA1B86"/>
    <w:rsid w:val="00DB2320"/>
    <w:rsid w:val="00DB35FA"/>
    <w:rsid w:val="00DB54A4"/>
    <w:rsid w:val="00DD0C90"/>
    <w:rsid w:val="00DD1B50"/>
    <w:rsid w:val="00DD2A47"/>
    <w:rsid w:val="00DD2E57"/>
    <w:rsid w:val="00DD4401"/>
    <w:rsid w:val="00DD6209"/>
    <w:rsid w:val="00DE6B91"/>
    <w:rsid w:val="00DF07C7"/>
    <w:rsid w:val="00DF5858"/>
    <w:rsid w:val="00E00F9C"/>
    <w:rsid w:val="00E1635C"/>
    <w:rsid w:val="00E27152"/>
    <w:rsid w:val="00E27C9A"/>
    <w:rsid w:val="00E27CBD"/>
    <w:rsid w:val="00E31C9B"/>
    <w:rsid w:val="00E3486E"/>
    <w:rsid w:val="00E436A7"/>
    <w:rsid w:val="00E449F9"/>
    <w:rsid w:val="00E44B28"/>
    <w:rsid w:val="00E64611"/>
    <w:rsid w:val="00E83BC2"/>
    <w:rsid w:val="00EA3F73"/>
    <w:rsid w:val="00EB5364"/>
    <w:rsid w:val="00EC2939"/>
    <w:rsid w:val="00ED3C0B"/>
    <w:rsid w:val="00ED64BD"/>
    <w:rsid w:val="00ED7348"/>
    <w:rsid w:val="00ED7ACB"/>
    <w:rsid w:val="00F15B40"/>
    <w:rsid w:val="00F17BC5"/>
    <w:rsid w:val="00F17DBC"/>
    <w:rsid w:val="00F21B68"/>
    <w:rsid w:val="00F306E0"/>
    <w:rsid w:val="00F3656B"/>
    <w:rsid w:val="00F44574"/>
    <w:rsid w:val="00F4517E"/>
    <w:rsid w:val="00F46C6B"/>
    <w:rsid w:val="00F84364"/>
    <w:rsid w:val="00F90078"/>
    <w:rsid w:val="00F90377"/>
    <w:rsid w:val="00FA418E"/>
    <w:rsid w:val="00FA4C44"/>
    <w:rsid w:val="00FB2099"/>
    <w:rsid w:val="00FB5B8C"/>
    <w:rsid w:val="00FE7B3D"/>
    <w:rsid w:val="00FF306B"/>
    <w:rsid w:val="00FF3760"/>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45C055-C32C-4729-B6BA-2EEE58C34496}"/>
</file>

<file path=customXml/itemProps2.xml><?xml version="1.0" encoding="utf-8"?>
<ds:datastoreItem xmlns:ds="http://schemas.openxmlformats.org/officeDocument/2006/customXml" ds:itemID="{EA7DCCF9-3A84-4D68-9305-068BADB87E4A}"/>
</file>

<file path=customXml/itemProps3.xml><?xml version="1.0" encoding="utf-8"?>
<ds:datastoreItem xmlns:ds="http://schemas.openxmlformats.org/officeDocument/2006/customXml" ds:itemID="{5F34341A-F3FA-4701-B414-1794D7989F4A}"/>
</file>

<file path=customXml/itemProps4.xml><?xml version="1.0" encoding="utf-8"?>
<ds:datastoreItem xmlns:ds="http://schemas.openxmlformats.org/officeDocument/2006/customXml" ds:itemID="{A2BBCD82-8114-418E-A294-05E11EBAF6C6}"/>
</file>

<file path=customXml/itemProps5.xml><?xml version="1.0" encoding="utf-8"?>
<ds:datastoreItem xmlns:ds="http://schemas.openxmlformats.org/officeDocument/2006/customXml" ds:itemID="{A0C4A550-876F-48A5-B84A-25C2781C9E9C}"/>
</file>

<file path=docProps/app.xml><?xml version="1.0" encoding="utf-8"?>
<Properties xmlns="http://schemas.openxmlformats.org/officeDocument/2006/extended-properties" xmlns:vt="http://schemas.openxmlformats.org/officeDocument/2006/docPropsVTypes">
  <Template>Normal.dotm</Template>
  <TotalTime>57</TotalTime>
  <Pages>22</Pages>
  <Words>4228</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Schooley</dc:creator>
  <cp:lastModifiedBy>Krista Gross</cp:lastModifiedBy>
  <cp:revision>21</cp:revision>
  <cp:lastPrinted>2013-03-27T21:06:00Z</cp:lastPrinted>
  <dcterms:created xsi:type="dcterms:W3CDTF">2013-03-27T18:25:00Z</dcterms:created>
  <dcterms:modified xsi:type="dcterms:W3CDTF">2013-03-27T21:20:00Z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