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4D5B7" w14:textId="22F90508" w:rsidR="00E473F1" w:rsidRPr="00625DF3" w:rsidRDefault="00E473F1" w:rsidP="00FA1EFC">
      <w:pPr>
        <w:jc w:val="center"/>
        <w:rPr>
          <w:b/>
          <w:sz w:val="28"/>
          <w:szCs w:val="28"/>
        </w:rPr>
      </w:pPr>
      <w:bookmarkStart w:id="0" w:name="_GoBack"/>
      <w:bookmarkEnd w:id="0"/>
      <w:r w:rsidRPr="00625DF3">
        <w:rPr>
          <w:b/>
          <w:sz w:val="28"/>
          <w:szCs w:val="28"/>
        </w:rPr>
        <w:t>Proposed Energy Independence Act Rule Revision</w:t>
      </w:r>
      <w:r w:rsidR="005D1488" w:rsidRPr="00625DF3">
        <w:rPr>
          <w:b/>
          <w:sz w:val="28"/>
          <w:szCs w:val="28"/>
        </w:rPr>
        <w:t>, WAC 480-109-300</w:t>
      </w:r>
    </w:p>
    <w:p w14:paraId="56C7B46E" w14:textId="3FD1C189" w:rsidR="006A255F" w:rsidRDefault="00E473F1" w:rsidP="00FA1EFC">
      <w:pPr>
        <w:jc w:val="center"/>
        <w:rPr>
          <w:b/>
          <w:sz w:val="24"/>
          <w:szCs w:val="24"/>
        </w:rPr>
      </w:pPr>
      <w:r w:rsidRPr="00F70581">
        <w:rPr>
          <w:b/>
          <w:sz w:val="24"/>
          <w:szCs w:val="24"/>
        </w:rPr>
        <w:t xml:space="preserve">Adoption of </w:t>
      </w:r>
      <w:r w:rsidR="005D1488">
        <w:rPr>
          <w:b/>
          <w:sz w:val="24"/>
          <w:szCs w:val="24"/>
        </w:rPr>
        <w:t xml:space="preserve">Requirements for Annual Reporting of </w:t>
      </w:r>
      <w:r w:rsidRPr="00F70581">
        <w:rPr>
          <w:b/>
          <w:sz w:val="24"/>
          <w:szCs w:val="24"/>
        </w:rPr>
        <w:t>Energy and Emissions Intensity Metrics</w:t>
      </w:r>
    </w:p>
    <w:p w14:paraId="4661CFD4" w14:textId="4499F78E" w:rsidR="00E473F1" w:rsidRPr="00F70581" w:rsidRDefault="0037561C" w:rsidP="0037561C">
      <w:pPr>
        <w:jc w:val="center"/>
        <w:rPr>
          <w:sz w:val="24"/>
          <w:szCs w:val="24"/>
        </w:rPr>
      </w:pPr>
      <w:r>
        <w:rPr>
          <w:b/>
          <w:sz w:val="24"/>
          <w:szCs w:val="24"/>
        </w:rPr>
        <w:t>July 31, 2015</w:t>
      </w:r>
    </w:p>
    <w:p w14:paraId="316ED920" w14:textId="487C6AC0" w:rsidR="00E473F1" w:rsidRPr="00F70581" w:rsidRDefault="00E473F1">
      <w:pPr>
        <w:rPr>
          <w:sz w:val="24"/>
          <w:szCs w:val="24"/>
        </w:rPr>
      </w:pPr>
      <w:r w:rsidRPr="00F70581">
        <w:rPr>
          <w:sz w:val="24"/>
          <w:szCs w:val="24"/>
        </w:rPr>
        <w:t>In the Commission</w:t>
      </w:r>
      <w:r w:rsidR="00594BD9">
        <w:rPr>
          <w:sz w:val="24"/>
          <w:szCs w:val="24"/>
        </w:rPr>
        <w:t>’</w:t>
      </w:r>
      <w:r w:rsidRPr="00F70581">
        <w:rPr>
          <w:sz w:val="24"/>
          <w:szCs w:val="24"/>
        </w:rPr>
        <w:t>s adoption order</w:t>
      </w:r>
      <w:r w:rsidR="00FA1EFC" w:rsidRPr="00F70581">
        <w:rPr>
          <w:sz w:val="24"/>
          <w:szCs w:val="24"/>
        </w:rPr>
        <w:t>, R-578,</w:t>
      </w:r>
      <w:r w:rsidRPr="00F70581">
        <w:rPr>
          <w:sz w:val="24"/>
          <w:szCs w:val="24"/>
        </w:rPr>
        <w:t xml:space="preserve"> of March 12, 201</w:t>
      </w:r>
      <w:r w:rsidR="00FA1EFC" w:rsidRPr="00F70581">
        <w:rPr>
          <w:sz w:val="24"/>
          <w:szCs w:val="24"/>
        </w:rPr>
        <w:t>5</w:t>
      </w:r>
      <w:r w:rsidRPr="00F70581">
        <w:rPr>
          <w:sz w:val="24"/>
          <w:szCs w:val="24"/>
        </w:rPr>
        <w:t xml:space="preserve">, </w:t>
      </w:r>
      <w:r w:rsidR="00FA1EFC" w:rsidRPr="00F70581">
        <w:rPr>
          <w:sz w:val="24"/>
          <w:szCs w:val="24"/>
        </w:rPr>
        <w:t xml:space="preserve">in Docket </w:t>
      </w:r>
      <w:r w:rsidR="005D1488">
        <w:rPr>
          <w:sz w:val="24"/>
          <w:szCs w:val="24"/>
        </w:rPr>
        <w:t>UE-</w:t>
      </w:r>
      <w:r w:rsidR="00FA1EFC" w:rsidRPr="00F70581">
        <w:rPr>
          <w:sz w:val="24"/>
          <w:szCs w:val="24"/>
        </w:rPr>
        <w:t>131723</w:t>
      </w:r>
      <w:r w:rsidR="00F70581">
        <w:rPr>
          <w:sz w:val="24"/>
          <w:szCs w:val="24"/>
        </w:rPr>
        <w:t>,</w:t>
      </w:r>
      <w:r w:rsidR="00FA1EFC" w:rsidRPr="00F70581">
        <w:rPr>
          <w:sz w:val="24"/>
          <w:szCs w:val="24"/>
        </w:rPr>
        <w:t xml:space="preserve"> </w:t>
      </w:r>
      <w:r w:rsidR="00F70581">
        <w:rPr>
          <w:sz w:val="24"/>
          <w:szCs w:val="24"/>
        </w:rPr>
        <w:t xml:space="preserve">it </w:t>
      </w:r>
      <w:r w:rsidR="00FA1EFC" w:rsidRPr="00F70581">
        <w:rPr>
          <w:sz w:val="24"/>
          <w:szCs w:val="24"/>
        </w:rPr>
        <w:t xml:space="preserve">addressed </w:t>
      </w:r>
      <w:r w:rsidR="00594BD9">
        <w:rPr>
          <w:sz w:val="24"/>
          <w:szCs w:val="24"/>
        </w:rPr>
        <w:t>a</w:t>
      </w:r>
      <w:r w:rsidR="00594BD9" w:rsidRPr="00F70581">
        <w:rPr>
          <w:sz w:val="24"/>
          <w:szCs w:val="24"/>
        </w:rPr>
        <w:t xml:space="preserve"> </w:t>
      </w:r>
      <w:r w:rsidR="00FA1EFC" w:rsidRPr="00F70581">
        <w:rPr>
          <w:sz w:val="24"/>
          <w:szCs w:val="24"/>
        </w:rPr>
        <w:t>proposed</w:t>
      </w:r>
      <w:r w:rsidRPr="00F70581">
        <w:rPr>
          <w:sz w:val="24"/>
          <w:szCs w:val="24"/>
        </w:rPr>
        <w:t xml:space="preserve"> new </w:t>
      </w:r>
      <w:r w:rsidR="008D3585">
        <w:rPr>
          <w:sz w:val="24"/>
          <w:szCs w:val="24"/>
        </w:rPr>
        <w:t>se</w:t>
      </w:r>
      <w:r w:rsidRPr="00F70581">
        <w:rPr>
          <w:sz w:val="24"/>
          <w:szCs w:val="24"/>
        </w:rPr>
        <w:t>ction regarding reporting of energy and emissions intensity metrics</w:t>
      </w:r>
      <w:r w:rsidR="00525A6B">
        <w:rPr>
          <w:sz w:val="24"/>
          <w:szCs w:val="24"/>
        </w:rPr>
        <w:t xml:space="preserve"> (proposed WAC 480-109-300)</w:t>
      </w:r>
      <w:r w:rsidR="00FA1EFC" w:rsidRPr="00F70581">
        <w:rPr>
          <w:sz w:val="24"/>
          <w:szCs w:val="24"/>
        </w:rPr>
        <w:t xml:space="preserve">.  </w:t>
      </w:r>
      <w:r w:rsidR="00E026C4">
        <w:rPr>
          <w:sz w:val="24"/>
          <w:szCs w:val="24"/>
        </w:rPr>
        <w:t>C</w:t>
      </w:r>
      <w:r w:rsidR="00FA1EFC" w:rsidRPr="00F70581">
        <w:rPr>
          <w:sz w:val="24"/>
          <w:szCs w:val="24"/>
        </w:rPr>
        <w:t xml:space="preserve">onsideration of </w:t>
      </w:r>
      <w:r w:rsidR="0028547E">
        <w:rPr>
          <w:sz w:val="24"/>
          <w:szCs w:val="24"/>
        </w:rPr>
        <w:t>the proposed energy and emissions intensity metrics section of the rule</w:t>
      </w:r>
      <w:r w:rsidR="00E026C4">
        <w:rPr>
          <w:sz w:val="24"/>
          <w:szCs w:val="24"/>
        </w:rPr>
        <w:t xml:space="preserve"> </w:t>
      </w:r>
      <w:r w:rsidR="00FA1EFC" w:rsidRPr="00F70581">
        <w:rPr>
          <w:sz w:val="24"/>
          <w:szCs w:val="24"/>
        </w:rPr>
        <w:t xml:space="preserve">was continued to allow </w:t>
      </w:r>
      <w:r w:rsidR="0028547E">
        <w:rPr>
          <w:sz w:val="24"/>
          <w:szCs w:val="24"/>
        </w:rPr>
        <w:t>time for UTC s</w:t>
      </w:r>
      <w:r w:rsidRPr="00F70581">
        <w:rPr>
          <w:sz w:val="24"/>
          <w:szCs w:val="24"/>
        </w:rPr>
        <w:t xml:space="preserve">taff and </w:t>
      </w:r>
      <w:r w:rsidR="0028547E">
        <w:rPr>
          <w:sz w:val="24"/>
          <w:szCs w:val="24"/>
        </w:rPr>
        <w:t>s</w:t>
      </w:r>
      <w:r w:rsidRPr="00F70581">
        <w:rPr>
          <w:sz w:val="24"/>
          <w:szCs w:val="24"/>
        </w:rPr>
        <w:t>takeholders to meet and discuss whether clarifying language might be useful</w:t>
      </w:r>
      <w:r w:rsidR="00F70581">
        <w:rPr>
          <w:sz w:val="24"/>
          <w:szCs w:val="24"/>
        </w:rPr>
        <w:t xml:space="preserve"> in this section of the rule</w:t>
      </w:r>
      <w:r w:rsidRPr="00F70581">
        <w:rPr>
          <w:sz w:val="24"/>
          <w:szCs w:val="24"/>
        </w:rPr>
        <w:t>.</w:t>
      </w:r>
    </w:p>
    <w:p w14:paraId="048C63B1" w14:textId="77777777" w:rsidR="00E473F1" w:rsidRDefault="00F70581">
      <w:pPr>
        <w:rPr>
          <w:sz w:val="24"/>
          <w:szCs w:val="24"/>
        </w:rPr>
      </w:pPr>
      <w:r>
        <w:rPr>
          <w:sz w:val="24"/>
          <w:szCs w:val="24"/>
        </w:rPr>
        <w:t>The Commission directed</w:t>
      </w:r>
      <w:r w:rsidRPr="00F70581">
        <w:rPr>
          <w:sz w:val="24"/>
          <w:szCs w:val="24"/>
        </w:rPr>
        <w:t xml:space="preserve"> staff and stakeholders </w:t>
      </w:r>
      <w:r>
        <w:rPr>
          <w:sz w:val="24"/>
          <w:szCs w:val="24"/>
        </w:rPr>
        <w:t xml:space="preserve">to </w:t>
      </w:r>
      <w:r w:rsidRPr="00F70581">
        <w:rPr>
          <w:sz w:val="24"/>
          <w:szCs w:val="24"/>
        </w:rPr>
        <w:t>discuss the “appropriate methodology for the per capita measurement, as well as guidelines to allocate emissions for multistate utilities”.</w:t>
      </w:r>
      <w:r>
        <w:rPr>
          <w:rStyle w:val="FootnoteReference"/>
          <w:sz w:val="24"/>
          <w:szCs w:val="24"/>
        </w:rPr>
        <w:footnoteReference w:id="1"/>
      </w:r>
      <w:r w:rsidRPr="00F70581">
        <w:rPr>
          <w:sz w:val="24"/>
          <w:szCs w:val="24"/>
        </w:rPr>
        <w:t xml:space="preserve">  PSE indicated </w:t>
      </w:r>
      <w:r w:rsidR="0028547E">
        <w:rPr>
          <w:sz w:val="24"/>
          <w:szCs w:val="24"/>
        </w:rPr>
        <w:t xml:space="preserve">during the adoption hearing </w:t>
      </w:r>
      <w:r w:rsidRPr="00F70581">
        <w:rPr>
          <w:sz w:val="24"/>
          <w:szCs w:val="24"/>
        </w:rPr>
        <w:t>that the per capita issue might be simply solved by designating the source o</w:t>
      </w:r>
      <w:r w:rsidR="0028547E">
        <w:rPr>
          <w:sz w:val="24"/>
          <w:szCs w:val="24"/>
        </w:rPr>
        <w:t>f</w:t>
      </w:r>
      <w:r w:rsidRPr="00F70581">
        <w:rPr>
          <w:sz w:val="24"/>
          <w:szCs w:val="24"/>
        </w:rPr>
        <w:t xml:space="preserve"> data to use for calculating per capita values.</w:t>
      </w:r>
      <w:r>
        <w:rPr>
          <w:rStyle w:val="FootnoteReference"/>
          <w:sz w:val="24"/>
          <w:szCs w:val="24"/>
        </w:rPr>
        <w:footnoteReference w:id="2"/>
      </w:r>
      <w:r w:rsidR="0028547E">
        <w:rPr>
          <w:sz w:val="24"/>
          <w:szCs w:val="24"/>
        </w:rPr>
        <w:t xml:space="preserve">  </w:t>
      </w:r>
    </w:p>
    <w:p w14:paraId="18D92038" w14:textId="3274176C" w:rsidR="00FA1EFC" w:rsidRDefault="00594BD9">
      <w:pPr>
        <w:rPr>
          <w:sz w:val="24"/>
          <w:szCs w:val="24"/>
        </w:rPr>
      </w:pPr>
      <w:r>
        <w:rPr>
          <w:sz w:val="24"/>
          <w:szCs w:val="24"/>
        </w:rPr>
        <w:t>Staff organized a</w:t>
      </w:r>
      <w:r w:rsidR="00F70581">
        <w:rPr>
          <w:sz w:val="24"/>
          <w:szCs w:val="24"/>
        </w:rPr>
        <w:t xml:space="preserve"> stakeholder workgroup </w:t>
      </w:r>
      <w:r w:rsidR="0028547E">
        <w:rPr>
          <w:sz w:val="24"/>
          <w:szCs w:val="24"/>
        </w:rPr>
        <w:t xml:space="preserve">and </w:t>
      </w:r>
      <w:r>
        <w:rPr>
          <w:sz w:val="24"/>
          <w:szCs w:val="24"/>
        </w:rPr>
        <w:t xml:space="preserve">convened </w:t>
      </w:r>
      <w:r w:rsidR="0028547E">
        <w:rPr>
          <w:sz w:val="24"/>
          <w:szCs w:val="24"/>
        </w:rPr>
        <w:t xml:space="preserve">four </w:t>
      </w:r>
      <w:r w:rsidR="00F70581">
        <w:rPr>
          <w:sz w:val="24"/>
          <w:szCs w:val="24"/>
        </w:rPr>
        <w:t>stakeholder</w:t>
      </w:r>
      <w:r w:rsidR="0028547E">
        <w:rPr>
          <w:sz w:val="24"/>
          <w:szCs w:val="24"/>
        </w:rPr>
        <w:t xml:space="preserve"> meeting</w:t>
      </w:r>
      <w:r w:rsidR="00F70581">
        <w:rPr>
          <w:sz w:val="24"/>
          <w:szCs w:val="24"/>
        </w:rPr>
        <w:t xml:space="preserve">s from March 19 through July 17, 2015.  </w:t>
      </w:r>
      <w:r>
        <w:rPr>
          <w:sz w:val="24"/>
          <w:szCs w:val="24"/>
        </w:rPr>
        <w:t xml:space="preserve">The meetings were attended by representatives from all </w:t>
      </w:r>
      <w:r w:rsidR="00F70581">
        <w:rPr>
          <w:sz w:val="24"/>
          <w:szCs w:val="24"/>
        </w:rPr>
        <w:t>three electric utilities</w:t>
      </w:r>
      <w:r>
        <w:rPr>
          <w:sz w:val="24"/>
          <w:szCs w:val="24"/>
        </w:rPr>
        <w:t>, staff from the UTC and Department of Commerce, and representatives from Northwest Energy Coalition, Public Counsel, and Renewable Northwest</w:t>
      </w:r>
      <w:r w:rsidR="00BC246C">
        <w:rPr>
          <w:sz w:val="24"/>
          <w:szCs w:val="24"/>
        </w:rPr>
        <w:t>.</w:t>
      </w:r>
      <w:r w:rsidR="00BC246C">
        <w:rPr>
          <w:rStyle w:val="FootnoteReference"/>
          <w:sz w:val="24"/>
          <w:szCs w:val="24"/>
        </w:rPr>
        <w:footnoteReference w:id="3"/>
      </w:r>
      <w:r>
        <w:rPr>
          <w:sz w:val="24"/>
          <w:szCs w:val="24"/>
        </w:rPr>
        <w:t xml:space="preserve">  </w:t>
      </w:r>
      <w:r w:rsidR="008D3585">
        <w:rPr>
          <w:sz w:val="24"/>
          <w:szCs w:val="24"/>
        </w:rPr>
        <w:t xml:space="preserve">This document </w:t>
      </w:r>
      <w:r w:rsidR="00884F75">
        <w:rPr>
          <w:sz w:val="24"/>
          <w:szCs w:val="24"/>
        </w:rPr>
        <w:t>summarizes</w:t>
      </w:r>
      <w:r w:rsidR="008D3585">
        <w:rPr>
          <w:sz w:val="24"/>
          <w:szCs w:val="24"/>
        </w:rPr>
        <w:t xml:space="preserve"> the </w:t>
      </w:r>
      <w:r>
        <w:rPr>
          <w:sz w:val="24"/>
          <w:szCs w:val="24"/>
        </w:rPr>
        <w:t xml:space="preserve">workgroup discussions, and </w:t>
      </w:r>
      <w:r w:rsidR="00F71791">
        <w:rPr>
          <w:sz w:val="24"/>
          <w:szCs w:val="24"/>
        </w:rPr>
        <w:t xml:space="preserve">describes </w:t>
      </w:r>
      <w:r w:rsidR="00E026C4">
        <w:rPr>
          <w:sz w:val="24"/>
          <w:szCs w:val="24"/>
        </w:rPr>
        <w:t>agreed</w:t>
      </w:r>
      <w:r>
        <w:rPr>
          <w:sz w:val="24"/>
          <w:szCs w:val="24"/>
        </w:rPr>
        <w:t xml:space="preserve"> methodologies </w:t>
      </w:r>
      <w:r w:rsidR="00F71791">
        <w:rPr>
          <w:sz w:val="24"/>
          <w:szCs w:val="24"/>
        </w:rPr>
        <w:t xml:space="preserve">for calculating annual energy and emissions intensity metrics </w:t>
      </w:r>
      <w:r>
        <w:rPr>
          <w:sz w:val="24"/>
          <w:szCs w:val="24"/>
        </w:rPr>
        <w:t xml:space="preserve">developed as a </w:t>
      </w:r>
      <w:r w:rsidR="008D3585">
        <w:rPr>
          <w:sz w:val="24"/>
          <w:szCs w:val="24"/>
        </w:rPr>
        <w:t>result of those meetings</w:t>
      </w:r>
      <w:r w:rsidR="00884F75">
        <w:rPr>
          <w:sz w:val="24"/>
          <w:szCs w:val="24"/>
        </w:rPr>
        <w:t xml:space="preserve">.  </w:t>
      </w:r>
      <w:r w:rsidR="00F71791">
        <w:rPr>
          <w:sz w:val="24"/>
          <w:szCs w:val="24"/>
        </w:rPr>
        <w:t>The workgroup believes that the collaborative process undertaken in these discussions fulfills the Commission’s directive in its March 12, 2015 order.</w:t>
      </w:r>
      <w:r w:rsidR="00F71791" w:rsidDel="00F71791">
        <w:rPr>
          <w:sz w:val="24"/>
          <w:szCs w:val="24"/>
        </w:rPr>
        <w:t xml:space="preserve"> </w:t>
      </w:r>
      <w:r w:rsidR="00F71791">
        <w:rPr>
          <w:sz w:val="24"/>
          <w:szCs w:val="24"/>
        </w:rPr>
        <w:t xml:space="preserve"> </w:t>
      </w:r>
      <w:r w:rsidR="008D3585">
        <w:rPr>
          <w:sz w:val="24"/>
          <w:szCs w:val="24"/>
        </w:rPr>
        <w:t xml:space="preserve">The workgroup </w:t>
      </w:r>
      <w:r w:rsidR="00F71791">
        <w:rPr>
          <w:sz w:val="24"/>
          <w:szCs w:val="24"/>
        </w:rPr>
        <w:t xml:space="preserve">also agrees </w:t>
      </w:r>
      <w:r w:rsidR="008D3585">
        <w:rPr>
          <w:sz w:val="24"/>
          <w:szCs w:val="24"/>
        </w:rPr>
        <w:t>that the methods and guidance contained in this document provide the clarity</w:t>
      </w:r>
      <w:r w:rsidR="00884F75">
        <w:rPr>
          <w:sz w:val="24"/>
          <w:szCs w:val="24"/>
        </w:rPr>
        <w:t xml:space="preserve"> needed </w:t>
      </w:r>
      <w:r>
        <w:rPr>
          <w:sz w:val="24"/>
          <w:szCs w:val="24"/>
        </w:rPr>
        <w:t xml:space="preserve">for utilities to submit reports in compliance </w:t>
      </w:r>
      <w:r w:rsidR="008D3585">
        <w:rPr>
          <w:sz w:val="24"/>
          <w:szCs w:val="24"/>
        </w:rPr>
        <w:t>with the rule language as propo</w:t>
      </w:r>
      <w:r w:rsidR="00884F75">
        <w:rPr>
          <w:sz w:val="24"/>
          <w:szCs w:val="24"/>
        </w:rPr>
        <w:t xml:space="preserve">sed.  </w:t>
      </w:r>
    </w:p>
    <w:p w14:paraId="2DED484D" w14:textId="32C77A17" w:rsidR="00884F75" w:rsidRDefault="00884F75">
      <w:pPr>
        <w:rPr>
          <w:sz w:val="24"/>
          <w:szCs w:val="24"/>
        </w:rPr>
      </w:pPr>
      <w:r>
        <w:rPr>
          <w:sz w:val="24"/>
          <w:szCs w:val="24"/>
        </w:rPr>
        <w:t>Consequently, the workgroup recommends that the Commission adopt the proposed language of WAC 480-109-300 without modification.</w:t>
      </w:r>
    </w:p>
    <w:p w14:paraId="5CB5D08B" w14:textId="77777777" w:rsidR="0028547E" w:rsidRDefault="0028547E">
      <w:pPr>
        <w:rPr>
          <w:sz w:val="24"/>
          <w:szCs w:val="24"/>
        </w:rPr>
      </w:pPr>
    </w:p>
    <w:p w14:paraId="460E5A49" w14:textId="77777777" w:rsidR="00BC246C" w:rsidRPr="00625DF3" w:rsidRDefault="00BC246C">
      <w:pPr>
        <w:rPr>
          <w:b/>
          <w:sz w:val="28"/>
          <w:szCs w:val="28"/>
        </w:rPr>
      </w:pPr>
      <w:r w:rsidRPr="00625DF3">
        <w:rPr>
          <w:b/>
          <w:sz w:val="28"/>
          <w:szCs w:val="28"/>
        </w:rPr>
        <w:t>Per Capita Methodology</w:t>
      </w:r>
    </w:p>
    <w:p w14:paraId="2FAA6AAD" w14:textId="0F0B8FCD" w:rsidR="00BC246C" w:rsidRDefault="00BC246C">
      <w:pPr>
        <w:rPr>
          <w:sz w:val="24"/>
          <w:szCs w:val="24"/>
        </w:rPr>
      </w:pPr>
      <w:r>
        <w:rPr>
          <w:sz w:val="24"/>
          <w:szCs w:val="24"/>
        </w:rPr>
        <w:t>Per capita is simply a ratio of a value of interest</w:t>
      </w:r>
      <w:r w:rsidR="00B42C7B">
        <w:rPr>
          <w:sz w:val="24"/>
          <w:szCs w:val="24"/>
        </w:rPr>
        <w:t>,</w:t>
      </w:r>
      <w:r>
        <w:rPr>
          <w:sz w:val="24"/>
          <w:szCs w:val="24"/>
        </w:rPr>
        <w:t xml:space="preserve"> such as amount of energy</w:t>
      </w:r>
      <w:r w:rsidR="00B42C7B">
        <w:rPr>
          <w:sz w:val="24"/>
          <w:szCs w:val="24"/>
        </w:rPr>
        <w:t>,</w:t>
      </w:r>
      <w:r>
        <w:rPr>
          <w:sz w:val="24"/>
          <w:szCs w:val="24"/>
        </w:rPr>
        <w:t xml:space="preserve"> divided by the population associated with that value. The </w:t>
      </w:r>
      <w:r w:rsidR="00F71791">
        <w:rPr>
          <w:sz w:val="24"/>
          <w:szCs w:val="24"/>
        </w:rPr>
        <w:t xml:space="preserve">proposed rule called for utilities to report annual </w:t>
      </w:r>
      <w:r>
        <w:rPr>
          <w:sz w:val="24"/>
          <w:szCs w:val="24"/>
        </w:rPr>
        <w:t>MWh per capit</w:t>
      </w:r>
      <w:r w:rsidR="0028547E">
        <w:rPr>
          <w:sz w:val="24"/>
          <w:szCs w:val="24"/>
        </w:rPr>
        <w:t xml:space="preserve">a.  </w:t>
      </w:r>
      <w:r w:rsidR="00B42C7B" w:rsidRPr="001E612E">
        <w:rPr>
          <w:sz w:val="24"/>
          <w:szCs w:val="24"/>
        </w:rPr>
        <w:t xml:space="preserve">The </w:t>
      </w:r>
      <w:r w:rsidR="00964ED9">
        <w:rPr>
          <w:sz w:val="24"/>
          <w:szCs w:val="24"/>
        </w:rPr>
        <w:t xml:space="preserve">MWh </w:t>
      </w:r>
      <w:r w:rsidR="00F71791">
        <w:rPr>
          <w:sz w:val="24"/>
          <w:szCs w:val="24"/>
        </w:rPr>
        <w:t xml:space="preserve">per capita </w:t>
      </w:r>
      <w:r w:rsidR="00B42C7B" w:rsidRPr="001E612E">
        <w:rPr>
          <w:sz w:val="24"/>
          <w:szCs w:val="24"/>
        </w:rPr>
        <w:t xml:space="preserve">calculation </w:t>
      </w:r>
      <w:r w:rsidR="00964ED9">
        <w:rPr>
          <w:sz w:val="24"/>
          <w:szCs w:val="24"/>
        </w:rPr>
        <w:t xml:space="preserve">called </w:t>
      </w:r>
      <w:r w:rsidR="00B42C7B" w:rsidRPr="001E612E">
        <w:rPr>
          <w:sz w:val="24"/>
          <w:szCs w:val="24"/>
        </w:rPr>
        <w:t>for</w:t>
      </w:r>
      <w:r w:rsidR="00964ED9">
        <w:rPr>
          <w:sz w:val="24"/>
          <w:szCs w:val="24"/>
        </w:rPr>
        <w:t xml:space="preserve"> </w:t>
      </w:r>
      <w:r w:rsidR="00154D0D">
        <w:rPr>
          <w:sz w:val="24"/>
          <w:szCs w:val="24"/>
        </w:rPr>
        <w:t xml:space="preserve">in </w:t>
      </w:r>
      <w:r w:rsidR="00964ED9">
        <w:rPr>
          <w:sz w:val="24"/>
          <w:szCs w:val="24"/>
        </w:rPr>
        <w:t>the proposed section,</w:t>
      </w:r>
      <w:r w:rsidR="00B42C7B" w:rsidRPr="001E612E">
        <w:rPr>
          <w:sz w:val="24"/>
          <w:szCs w:val="24"/>
        </w:rPr>
        <w:t xml:space="preserve"> WAC </w:t>
      </w:r>
      <w:r w:rsidR="00B42C7B">
        <w:rPr>
          <w:sz w:val="24"/>
          <w:szCs w:val="24"/>
        </w:rPr>
        <w:t>480-109-300</w:t>
      </w:r>
      <w:r w:rsidR="00964ED9">
        <w:rPr>
          <w:sz w:val="24"/>
          <w:szCs w:val="24"/>
        </w:rPr>
        <w:t>,</w:t>
      </w:r>
      <w:r w:rsidR="00B42C7B" w:rsidRPr="001E612E">
        <w:rPr>
          <w:sz w:val="24"/>
          <w:szCs w:val="24"/>
        </w:rPr>
        <w:t xml:space="preserve"> </w:t>
      </w:r>
      <w:r w:rsidR="00F71791">
        <w:rPr>
          <w:sz w:val="24"/>
          <w:szCs w:val="24"/>
        </w:rPr>
        <w:t xml:space="preserve">will provide new </w:t>
      </w:r>
      <w:r w:rsidR="00964ED9">
        <w:rPr>
          <w:sz w:val="24"/>
          <w:szCs w:val="24"/>
        </w:rPr>
        <w:t xml:space="preserve">utility specific </w:t>
      </w:r>
      <w:r w:rsidR="00F71791">
        <w:rPr>
          <w:sz w:val="24"/>
          <w:szCs w:val="24"/>
        </w:rPr>
        <w:t>information, which is not captured by</w:t>
      </w:r>
      <w:r w:rsidR="00B42C7B" w:rsidRPr="001E612E">
        <w:rPr>
          <w:sz w:val="24"/>
          <w:szCs w:val="24"/>
        </w:rPr>
        <w:t xml:space="preserve"> other state and federal utility reporting requirements.</w:t>
      </w:r>
      <w:r w:rsidR="00B42C7B">
        <w:rPr>
          <w:sz w:val="24"/>
          <w:szCs w:val="24"/>
        </w:rPr>
        <w:t xml:space="preserve">  </w:t>
      </w:r>
    </w:p>
    <w:p w14:paraId="37CB459E" w14:textId="3483B048" w:rsidR="00BC246C" w:rsidRDefault="0028547E">
      <w:pPr>
        <w:rPr>
          <w:sz w:val="24"/>
          <w:szCs w:val="24"/>
        </w:rPr>
      </w:pPr>
      <w:r>
        <w:rPr>
          <w:sz w:val="24"/>
          <w:szCs w:val="24"/>
        </w:rPr>
        <w:lastRenderedPageBreak/>
        <w:t>The utilities</w:t>
      </w:r>
      <w:r w:rsidR="00361CC2">
        <w:rPr>
          <w:sz w:val="24"/>
          <w:szCs w:val="24"/>
        </w:rPr>
        <w:t xml:space="preserve"> routinely track the MWh delivered in</w:t>
      </w:r>
      <w:r>
        <w:rPr>
          <w:sz w:val="24"/>
          <w:szCs w:val="24"/>
        </w:rPr>
        <w:t xml:space="preserve"> their </w:t>
      </w:r>
      <w:r w:rsidR="00361CC2">
        <w:rPr>
          <w:sz w:val="24"/>
          <w:szCs w:val="24"/>
        </w:rPr>
        <w:t>service territories</w:t>
      </w:r>
      <w:r>
        <w:rPr>
          <w:sz w:val="24"/>
          <w:szCs w:val="24"/>
        </w:rPr>
        <w:t xml:space="preserve"> and how many </w:t>
      </w:r>
      <w:r w:rsidRPr="00964ED9">
        <w:rPr>
          <w:i/>
          <w:sz w:val="24"/>
          <w:szCs w:val="24"/>
        </w:rPr>
        <w:t>customer</w:t>
      </w:r>
      <w:r w:rsidR="00F71791" w:rsidRPr="00964ED9">
        <w:rPr>
          <w:i/>
          <w:sz w:val="24"/>
          <w:szCs w:val="24"/>
        </w:rPr>
        <w:t>s</w:t>
      </w:r>
      <w:r>
        <w:rPr>
          <w:sz w:val="24"/>
          <w:szCs w:val="24"/>
        </w:rPr>
        <w:t xml:space="preserve"> </w:t>
      </w:r>
      <w:r w:rsidR="009F4D3C">
        <w:rPr>
          <w:sz w:val="24"/>
          <w:szCs w:val="24"/>
        </w:rPr>
        <w:t>they serve by class of service,</w:t>
      </w:r>
      <w:r>
        <w:rPr>
          <w:sz w:val="24"/>
          <w:szCs w:val="24"/>
        </w:rPr>
        <w:t xml:space="preserve"> but do not closely track the number of </w:t>
      </w:r>
      <w:r w:rsidRPr="00964ED9">
        <w:rPr>
          <w:i/>
          <w:sz w:val="24"/>
          <w:szCs w:val="24"/>
        </w:rPr>
        <w:t>people</w:t>
      </w:r>
      <w:r>
        <w:rPr>
          <w:sz w:val="24"/>
          <w:szCs w:val="24"/>
        </w:rPr>
        <w:t xml:space="preserve"> </w:t>
      </w:r>
      <w:r w:rsidR="00F71791">
        <w:rPr>
          <w:sz w:val="24"/>
          <w:szCs w:val="24"/>
        </w:rPr>
        <w:t xml:space="preserve">(population) </w:t>
      </w:r>
      <w:r>
        <w:rPr>
          <w:sz w:val="24"/>
          <w:szCs w:val="24"/>
        </w:rPr>
        <w:t xml:space="preserve">served.  </w:t>
      </w:r>
      <w:r w:rsidR="00361CC2">
        <w:rPr>
          <w:sz w:val="24"/>
          <w:szCs w:val="24"/>
        </w:rPr>
        <w:t xml:space="preserve">Without this population information available from company </w:t>
      </w:r>
      <w:r w:rsidR="00B42C7B">
        <w:rPr>
          <w:sz w:val="24"/>
          <w:szCs w:val="24"/>
        </w:rPr>
        <w:t xml:space="preserve">records, there is a need to </w:t>
      </w:r>
      <w:r w:rsidR="00641B89">
        <w:rPr>
          <w:sz w:val="24"/>
          <w:szCs w:val="24"/>
        </w:rPr>
        <w:t xml:space="preserve">identify </w:t>
      </w:r>
      <w:r w:rsidR="00361CC2">
        <w:rPr>
          <w:sz w:val="24"/>
          <w:szCs w:val="24"/>
        </w:rPr>
        <w:t>consistent and reliable data sources to estimate the popula</w:t>
      </w:r>
      <w:r w:rsidR="00B42C7B">
        <w:rPr>
          <w:sz w:val="24"/>
          <w:szCs w:val="24"/>
        </w:rPr>
        <w:t xml:space="preserve">tion served </w:t>
      </w:r>
      <w:r w:rsidR="00641B89">
        <w:rPr>
          <w:sz w:val="24"/>
          <w:szCs w:val="24"/>
        </w:rPr>
        <w:t xml:space="preserve">by each utility to </w:t>
      </w:r>
      <w:r w:rsidR="00B42C7B">
        <w:rPr>
          <w:sz w:val="24"/>
          <w:szCs w:val="24"/>
        </w:rPr>
        <w:t xml:space="preserve">make </w:t>
      </w:r>
      <w:r w:rsidR="00964ED9">
        <w:rPr>
          <w:sz w:val="24"/>
          <w:szCs w:val="24"/>
        </w:rPr>
        <w:t xml:space="preserve">the </w:t>
      </w:r>
      <w:r w:rsidR="00361CC2">
        <w:rPr>
          <w:sz w:val="24"/>
          <w:szCs w:val="24"/>
        </w:rPr>
        <w:t xml:space="preserve">per capita calculations.  </w:t>
      </w:r>
      <w:r w:rsidR="00641B89">
        <w:rPr>
          <w:sz w:val="24"/>
          <w:szCs w:val="24"/>
        </w:rPr>
        <w:t>V</w:t>
      </w:r>
      <w:r>
        <w:rPr>
          <w:sz w:val="24"/>
          <w:szCs w:val="24"/>
        </w:rPr>
        <w:t xml:space="preserve">arious sources of information </w:t>
      </w:r>
      <w:r w:rsidR="00641B89">
        <w:rPr>
          <w:sz w:val="24"/>
          <w:szCs w:val="24"/>
        </w:rPr>
        <w:t xml:space="preserve">exist </w:t>
      </w:r>
      <w:r>
        <w:rPr>
          <w:sz w:val="24"/>
          <w:szCs w:val="24"/>
        </w:rPr>
        <w:t xml:space="preserve">that could be used to estimate the population served by each utility, however utility service territories for all three utilities do not always follow </w:t>
      </w:r>
      <w:r w:rsidR="00361CC2">
        <w:rPr>
          <w:sz w:val="24"/>
          <w:szCs w:val="24"/>
        </w:rPr>
        <w:t xml:space="preserve">common </w:t>
      </w:r>
      <w:r>
        <w:rPr>
          <w:sz w:val="24"/>
          <w:szCs w:val="24"/>
        </w:rPr>
        <w:t>population boundaries such as county or city lines.</w:t>
      </w:r>
    </w:p>
    <w:p w14:paraId="0C3A7EEA" w14:textId="49985D4D" w:rsidR="001E612E" w:rsidRDefault="00361CC2">
      <w:pPr>
        <w:rPr>
          <w:sz w:val="24"/>
          <w:szCs w:val="24"/>
        </w:rPr>
      </w:pPr>
      <w:r>
        <w:rPr>
          <w:sz w:val="24"/>
          <w:szCs w:val="24"/>
        </w:rPr>
        <w:t>The workgroup investigated potential population data sources routinely available from reliable state and federal sources.</w:t>
      </w:r>
      <w:r w:rsidR="00641B89">
        <w:rPr>
          <w:rStyle w:val="FootnoteReference"/>
          <w:sz w:val="24"/>
          <w:szCs w:val="24"/>
        </w:rPr>
        <w:footnoteReference w:id="4"/>
      </w:r>
      <w:r>
        <w:rPr>
          <w:sz w:val="24"/>
          <w:szCs w:val="24"/>
        </w:rPr>
        <w:t xml:space="preserve">  </w:t>
      </w:r>
      <w:r w:rsidR="00641B89">
        <w:rPr>
          <w:sz w:val="24"/>
          <w:szCs w:val="24"/>
        </w:rPr>
        <w:t xml:space="preserve">The workgroup analyzed </w:t>
      </w:r>
      <w:r w:rsidR="00B42C7B">
        <w:rPr>
          <w:sz w:val="24"/>
          <w:szCs w:val="24"/>
        </w:rPr>
        <w:t>and reviewed</w:t>
      </w:r>
      <w:r>
        <w:rPr>
          <w:sz w:val="24"/>
          <w:szCs w:val="24"/>
        </w:rPr>
        <w:t xml:space="preserve"> different approaches to estimate populations served by </w:t>
      </w:r>
      <w:r w:rsidR="00154D0D">
        <w:rPr>
          <w:sz w:val="24"/>
          <w:szCs w:val="24"/>
        </w:rPr>
        <w:t xml:space="preserve">each </w:t>
      </w:r>
      <w:r>
        <w:rPr>
          <w:sz w:val="24"/>
          <w:szCs w:val="24"/>
        </w:rPr>
        <w:t xml:space="preserve">utility.  </w:t>
      </w:r>
      <w:r w:rsidR="00641B89">
        <w:rPr>
          <w:sz w:val="24"/>
          <w:szCs w:val="24"/>
        </w:rPr>
        <w:t xml:space="preserve">The workgroup determined that a </w:t>
      </w:r>
      <w:r w:rsidR="00B42C7B">
        <w:rPr>
          <w:sz w:val="24"/>
          <w:szCs w:val="24"/>
        </w:rPr>
        <w:t xml:space="preserve">method that combines </w:t>
      </w:r>
      <w:r>
        <w:rPr>
          <w:sz w:val="24"/>
          <w:szCs w:val="24"/>
        </w:rPr>
        <w:t xml:space="preserve">U.S. Census data with the number of residential customers </w:t>
      </w:r>
      <w:r w:rsidR="00B42C7B">
        <w:rPr>
          <w:sz w:val="24"/>
          <w:szCs w:val="24"/>
        </w:rPr>
        <w:t xml:space="preserve">by company </w:t>
      </w:r>
      <w:r w:rsidR="00641B89">
        <w:rPr>
          <w:sz w:val="24"/>
          <w:szCs w:val="24"/>
        </w:rPr>
        <w:t>is</w:t>
      </w:r>
      <w:r>
        <w:rPr>
          <w:sz w:val="24"/>
          <w:szCs w:val="24"/>
        </w:rPr>
        <w:t xml:space="preserve"> the best method to apply across the three Washington electric utility service areas.  It provides a reliable data source and </w:t>
      </w:r>
      <w:r w:rsidR="00964ED9">
        <w:rPr>
          <w:sz w:val="24"/>
          <w:szCs w:val="24"/>
        </w:rPr>
        <w:t xml:space="preserve">a </w:t>
      </w:r>
      <w:r>
        <w:rPr>
          <w:sz w:val="24"/>
          <w:szCs w:val="24"/>
        </w:rPr>
        <w:t>method that is flexible enough to be applied to all three of the utilities.  The following paragraph describes this preferred method to estimate the population in an electric utility service territory.</w:t>
      </w:r>
    </w:p>
    <w:p w14:paraId="23CE4A81" w14:textId="477E6D6E" w:rsidR="00641B89" w:rsidRDefault="00082AE6" w:rsidP="00C66878">
      <w:pPr>
        <w:rPr>
          <w:sz w:val="24"/>
          <w:szCs w:val="24"/>
        </w:rPr>
      </w:pPr>
      <w:r>
        <w:rPr>
          <w:sz w:val="24"/>
          <w:szCs w:val="24"/>
        </w:rPr>
        <w:t>For a specific year</w:t>
      </w:r>
      <w:r w:rsidR="001E612E" w:rsidRPr="001E612E">
        <w:rPr>
          <w:sz w:val="24"/>
          <w:szCs w:val="24"/>
        </w:rPr>
        <w:t xml:space="preserve">, total service area population will be estimated by multiplying:  </w:t>
      </w:r>
    </w:p>
    <w:p w14:paraId="6248AFD5" w14:textId="1DF1A4D9" w:rsidR="00641B89" w:rsidRDefault="001E612E" w:rsidP="00C66878">
      <w:pPr>
        <w:rPr>
          <w:sz w:val="24"/>
          <w:szCs w:val="24"/>
        </w:rPr>
      </w:pPr>
      <w:r w:rsidRPr="001E612E">
        <w:rPr>
          <w:sz w:val="24"/>
          <w:szCs w:val="24"/>
        </w:rPr>
        <w:t>a) average household size (AHS) of occupied homes</w:t>
      </w:r>
      <w:r w:rsidR="00891769">
        <w:rPr>
          <w:sz w:val="24"/>
          <w:szCs w:val="24"/>
        </w:rPr>
        <w:t>,</w:t>
      </w:r>
      <w:r w:rsidRPr="001E612E">
        <w:rPr>
          <w:sz w:val="24"/>
          <w:szCs w:val="24"/>
        </w:rPr>
        <w:t xml:space="preserve"> </w:t>
      </w:r>
      <w:r w:rsidR="00641B89" w:rsidRPr="001E612E">
        <w:rPr>
          <w:sz w:val="24"/>
          <w:szCs w:val="24"/>
        </w:rPr>
        <w:t xml:space="preserve">using </w:t>
      </w:r>
      <w:r w:rsidR="00861134">
        <w:rPr>
          <w:sz w:val="24"/>
          <w:szCs w:val="24"/>
        </w:rPr>
        <w:t xml:space="preserve">data from </w:t>
      </w:r>
      <w:r w:rsidR="00641B89" w:rsidRPr="001E612E">
        <w:rPr>
          <w:sz w:val="24"/>
          <w:szCs w:val="24"/>
        </w:rPr>
        <w:t>the most recent five-year estimates from the U.S. Census Bureau’s Am</w:t>
      </w:r>
      <w:r w:rsidR="00641B89">
        <w:rPr>
          <w:sz w:val="24"/>
          <w:szCs w:val="24"/>
        </w:rPr>
        <w:t>erican Community Survey (ACS)</w:t>
      </w:r>
      <w:r w:rsidR="00641B89">
        <w:rPr>
          <w:rStyle w:val="FootnoteReference"/>
          <w:sz w:val="24"/>
          <w:szCs w:val="24"/>
        </w:rPr>
        <w:footnoteReference w:id="5"/>
      </w:r>
      <w:r w:rsidR="00641B89">
        <w:rPr>
          <w:sz w:val="24"/>
          <w:szCs w:val="24"/>
        </w:rPr>
        <w:t xml:space="preserve">  </w:t>
      </w:r>
    </w:p>
    <w:p w14:paraId="57E2ADA1" w14:textId="198E6C60" w:rsidR="00641B89" w:rsidRDefault="00082AE6" w:rsidP="00C66878">
      <w:pPr>
        <w:rPr>
          <w:sz w:val="24"/>
          <w:szCs w:val="24"/>
        </w:rPr>
      </w:pPr>
      <w:r>
        <w:rPr>
          <w:sz w:val="24"/>
          <w:szCs w:val="24"/>
        </w:rPr>
        <w:t>by</w:t>
      </w:r>
      <w:r w:rsidR="001E612E" w:rsidRPr="001E612E">
        <w:rPr>
          <w:sz w:val="24"/>
          <w:szCs w:val="24"/>
        </w:rPr>
        <w:t xml:space="preserve"> </w:t>
      </w:r>
    </w:p>
    <w:p w14:paraId="234FAB51" w14:textId="4F1FA8CF" w:rsidR="00C66878" w:rsidRDefault="001E612E" w:rsidP="00C66878">
      <w:pPr>
        <w:rPr>
          <w:sz w:val="24"/>
          <w:szCs w:val="24"/>
        </w:rPr>
      </w:pPr>
      <w:r w:rsidRPr="001E612E">
        <w:rPr>
          <w:sz w:val="24"/>
          <w:szCs w:val="24"/>
        </w:rPr>
        <w:t xml:space="preserve">b) total residential customers in a utility’s service area.  </w:t>
      </w:r>
    </w:p>
    <w:p w14:paraId="5E9957F5" w14:textId="77777777" w:rsidR="008A592D" w:rsidRDefault="008A592D" w:rsidP="008A592D">
      <w:pPr>
        <w:rPr>
          <w:sz w:val="24"/>
          <w:szCs w:val="24"/>
        </w:rPr>
      </w:pPr>
      <w:r w:rsidRPr="001E612E">
        <w:rPr>
          <w:sz w:val="24"/>
          <w:szCs w:val="24"/>
        </w:rPr>
        <w:t>The</w:t>
      </w:r>
      <w:r>
        <w:rPr>
          <w:sz w:val="24"/>
          <w:szCs w:val="24"/>
        </w:rPr>
        <w:t xml:space="preserve"> American Community Survey provides</w:t>
      </w:r>
      <w:r w:rsidRPr="001E612E">
        <w:rPr>
          <w:sz w:val="24"/>
          <w:szCs w:val="24"/>
        </w:rPr>
        <w:t xml:space="preserve"> five-year household size estimate</w:t>
      </w:r>
      <w:r>
        <w:rPr>
          <w:sz w:val="24"/>
          <w:szCs w:val="24"/>
        </w:rPr>
        <w:t>s for all Washington counties.</w:t>
      </w:r>
      <w:r w:rsidRPr="001E612E">
        <w:rPr>
          <w:sz w:val="24"/>
          <w:szCs w:val="24"/>
        </w:rPr>
        <w:t xml:space="preserve"> </w:t>
      </w:r>
      <w:r>
        <w:rPr>
          <w:sz w:val="24"/>
          <w:szCs w:val="24"/>
        </w:rPr>
        <w:t xml:space="preserve"> The workgroup found that using the five-year estimates reduces the</w:t>
      </w:r>
      <w:r w:rsidRPr="001E612E">
        <w:rPr>
          <w:sz w:val="24"/>
          <w:szCs w:val="24"/>
        </w:rPr>
        <w:t xml:space="preserve"> volatility</w:t>
      </w:r>
      <w:r>
        <w:rPr>
          <w:sz w:val="24"/>
          <w:szCs w:val="24"/>
        </w:rPr>
        <w:t xml:space="preserve"> of results compared to using single year values.  </w:t>
      </w:r>
    </w:p>
    <w:p w14:paraId="6A9B2CC1" w14:textId="77777777" w:rsidR="0037561C" w:rsidRDefault="007D48BA">
      <w:pPr>
        <w:rPr>
          <w:sz w:val="24"/>
          <w:szCs w:val="24"/>
        </w:rPr>
      </w:pPr>
      <w:r>
        <w:rPr>
          <w:sz w:val="24"/>
          <w:szCs w:val="24"/>
        </w:rPr>
        <w:t xml:space="preserve">Some </w:t>
      </w:r>
      <w:r w:rsidR="00861134">
        <w:rPr>
          <w:sz w:val="24"/>
          <w:szCs w:val="24"/>
        </w:rPr>
        <w:t xml:space="preserve">counties </w:t>
      </w:r>
      <w:r>
        <w:rPr>
          <w:sz w:val="24"/>
          <w:szCs w:val="24"/>
        </w:rPr>
        <w:t>are served by</w:t>
      </w:r>
      <w:r w:rsidR="00861134">
        <w:rPr>
          <w:sz w:val="24"/>
          <w:szCs w:val="24"/>
        </w:rPr>
        <w:t xml:space="preserve"> more than one electric utility. </w:t>
      </w:r>
      <w:r w:rsidR="008A592D">
        <w:rPr>
          <w:sz w:val="24"/>
          <w:szCs w:val="24"/>
        </w:rPr>
        <w:t xml:space="preserve"> In those cases flexibility is needed to adapt the population data when only part of a county is in a utility service territory.  </w:t>
      </w:r>
      <w:r w:rsidR="00861134">
        <w:rPr>
          <w:sz w:val="24"/>
          <w:szCs w:val="24"/>
        </w:rPr>
        <w:t xml:space="preserve">For </w:t>
      </w:r>
      <w:r>
        <w:rPr>
          <w:sz w:val="24"/>
          <w:szCs w:val="24"/>
        </w:rPr>
        <w:t>those count</w:t>
      </w:r>
      <w:r w:rsidR="009D0B52">
        <w:rPr>
          <w:sz w:val="24"/>
          <w:szCs w:val="24"/>
        </w:rPr>
        <w:t>i</w:t>
      </w:r>
      <w:r>
        <w:rPr>
          <w:sz w:val="24"/>
          <w:szCs w:val="24"/>
        </w:rPr>
        <w:t>e</w:t>
      </w:r>
      <w:r w:rsidR="009D0B52">
        <w:rPr>
          <w:sz w:val="24"/>
          <w:szCs w:val="24"/>
        </w:rPr>
        <w:t>s the utility will apply the ACS data</w:t>
      </w:r>
      <w:r w:rsidR="008A592D">
        <w:rPr>
          <w:sz w:val="24"/>
          <w:szCs w:val="24"/>
        </w:rPr>
        <w:t xml:space="preserve"> values</w:t>
      </w:r>
      <w:r w:rsidR="009D0B52">
        <w:rPr>
          <w:sz w:val="24"/>
          <w:szCs w:val="24"/>
        </w:rPr>
        <w:t xml:space="preserve"> in proportion to the population</w:t>
      </w:r>
      <w:r w:rsidR="00861134">
        <w:rPr>
          <w:sz w:val="24"/>
          <w:szCs w:val="24"/>
        </w:rPr>
        <w:t xml:space="preserve"> estimated</w:t>
      </w:r>
      <w:r w:rsidR="009D0B52">
        <w:rPr>
          <w:sz w:val="24"/>
          <w:szCs w:val="24"/>
        </w:rPr>
        <w:t xml:space="preserve"> to be with</w:t>
      </w:r>
      <w:r w:rsidR="00861134">
        <w:rPr>
          <w:sz w:val="24"/>
          <w:szCs w:val="24"/>
        </w:rPr>
        <w:t xml:space="preserve">in </w:t>
      </w:r>
      <w:r w:rsidR="009D0B52">
        <w:rPr>
          <w:sz w:val="24"/>
          <w:szCs w:val="24"/>
        </w:rPr>
        <w:t>each utility’s</w:t>
      </w:r>
      <w:r w:rsidR="00861134">
        <w:rPr>
          <w:sz w:val="24"/>
          <w:szCs w:val="24"/>
        </w:rPr>
        <w:t xml:space="preserve"> service territory.</w:t>
      </w:r>
    </w:p>
    <w:p w14:paraId="4D2EC8C7" w14:textId="5E10C672" w:rsidR="001E612E" w:rsidRDefault="00C66878">
      <w:pPr>
        <w:rPr>
          <w:sz w:val="24"/>
          <w:szCs w:val="24"/>
        </w:rPr>
      </w:pPr>
      <w:r>
        <w:rPr>
          <w:sz w:val="24"/>
          <w:szCs w:val="24"/>
        </w:rPr>
        <w:t>E</w:t>
      </w:r>
      <w:r w:rsidR="00FB1EFC">
        <w:rPr>
          <w:sz w:val="24"/>
          <w:szCs w:val="24"/>
        </w:rPr>
        <w:t xml:space="preserve">ach utility should </w:t>
      </w:r>
      <w:r>
        <w:rPr>
          <w:sz w:val="24"/>
          <w:szCs w:val="24"/>
        </w:rPr>
        <w:t>document</w:t>
      </w:r>
      <w:r w:rsidR="00FB1EFC">
        <w:rPr>
          <w:sz w:val="24"/>
          <w:szCs w:val="24"/>
        </w:rPr>
        <w:t xml:space="preserve"> </w:t>
      </w:r>
      <w:r w:rsidR="00625DF3">
        <w:rPr>
          <w:sz w:val="24"/>
          <w:szCs w:val="24"/>
        </w:rPr>
        <w:t>in</w:t>
      </w:r>
      <w:r w:rsidR="00FB1EFC">
        <w:rPr>
          <w:sz w:val="24"/>
          <w:szCs w:val="24"/>
        </w:rPr>
        <w:t xml:space="preserve"> </w:t>
      </w:r>
      <w:r>
        <w:rPr>
          <w:sz w:val="24"/>
          <w:szCs w:val="24"/>
        </w:rPr>
        <w:t>detail</w:t>
      </w:r>
      <w:r w:rsidR="00735E60">
        <w:rPr>
          <w:sz w:val="24"/>
          <w:szCs w:val="24"/>
        </w:rPr>
        <w:t xml:space="preserve"> how they applied the ACS data to their service territory to provide a reliable estimate of population</w:t>
      </w:r>
      <w:r>
        <w:rPr>
          <w:sz w:val="24"/>
          <w:szCs w:val="24"/>
        </w:rPr>
        <w:t xml:space="preserve"> in </w:t>
      </w:r>
      <w:r w:rsidR="00FB1EFC">
        <w:rPr>
          <w:sz w:val="24"/>
          <w:szCs w:val="24"/>
        </w:rPr>
        <w:t>their first annual</w:t>
      </w:r>
      <w:r w:rsidR="00735E60">
        <w:rPr>
          <w:sz w:val="24"/>
          <w:szCs w:val="24"/>
        </w:rPr>
        <w:t xml:space="preserve"> report under WAC 480-109-300</w:t>
      </w:r>
      <w:r w:rsidR="00FB1EFC">
        <w:rPr>
          <w:sz w:val="24"/>
          <w:szCs w:val="24"/>
        </w:rPr>
        <w:t>.</w:t>
      </w:r>
      <w:r w:rsidR="00625DF3">
        <w:rPr>
          <w:sz w:val="24"/>
          <w:szCs w:val="24"/>
        </w:rPr>
        <w:t xml:space="preserve">  Barring extraordinary circumstances, it is assumed that the methodology going forward will be the same </w:t>
      </w:r>
      <w:r w:rsidR="00735E60">
        <w:rPr>
          <w:sz w:val="24"/>
          <w:szCs w:val="24"/>
        </w:rPr>
        <w:t xml:space="preserve">from year to year </w:t>
      </w:r>
      <w:r w:rsidR="00625DF3">
        <w:rPr>
          <w:sz w:val="24"/>
          <w:szCs w:val="24"/>
        </w:rPr>
        <w:t>as described in the first annual report</w:t>
      </w:r>
      <w:r w:rsidR="008A592D">
        <w:rPr>
          <w:sz w:val="24"/>
          <w:szCs w:val="24"/>
        </w:rPr>
        <w:t>, in June 2016</w:t>
      </w:r>
      <w:r w:rsidR="00625DF3">
        <w:rPr>
          <w:sz w:val="24"/>
          <w:szCs w:val="24"/>
        </w:rPr>
        <w:t xml:space="preserve">.  In the event </w:t>
      </w:r>
      <w:r w:rsidR="00625DF3">
        <w:rPr>
          <w:sz w:val="24"/>
          <w:szCs w:val="24"/>
        </w:rPr>
        <w:lastRenderedPageBreak/>
        <w:t xml:space="preserve">that the methodology is changed in future reports, the </w:t>
      </w:r>
      <w:r w:rsidR="00A13AD0">
        <w:rPr>
          <w:sz w:val="24"/>
          <w:szCs w:val="24"/>
        </w:rPr>
        <w:t xml:space="preserve">utility should report any changes to the </w:t>
      </w:r>
      <w:r w:rsidR="00625DF3">
        <w:rPr>
          <w:sz w:val="24"/>
          <w:szCs w:val="24"/>
        </w:rPr>
        <w:t xml:space="preserve">methodology </w:t>
      </w:r>
      <w:r w:rsidR="00A13AD0">
        <w:rPr>
          <w:sz w:val="24"/>
          <w:szCs w:val="24"/>
        </w:rPr>
        <w:t xml:space="preserve">as part of its annual report, as well as the reasons for any changes. </w:t>
      </w:r>
    </w:p>
    <w:p w14:paraId="01C05505" w14:textId="77777777" w:rsidR="00625DF3" w:rsidRDefault="00625DF3">
      <w:pPr>
        <w:rPr>
          <w:sz w:val="24"/>
          <w:szCs w:val="24"/>
        </w:rPr>
      </w:pPr>
    </w:p>
    <w:p w14:paraId="4DF77C58" w14:textId="43AA6541" w:rsidR="00625DF3" w:rsidRPr="00625DF3" w:rsidRDefault="00625DF3">
      <w:pPr>
        <w:rPr>
          <w:b/>
          <w:sz w:val="28"/>
          <w:szCs w:val="28"/>
        </w:rPr>
      </w:pPr>
      <w:r w:rsidRPr="00625DF3">
        <w:rPr>
          <w:b/>
          <w:sz w:val="28"/>
          <w:szCs w:val="28"/>
        </w:rPr>
        <w:t>Guidelines to Allocate Emissions for Multistate Utilities</w:t>
      </w:r>
    </w:p>
    <w:p w14:paraId="59D1E40B" w14:textId="38210172" w:rsidR="005735A1" w:rsidRDefault="00625DF3" w:rsidP="005735A1">
      <w:pPr>
        <w:rPr>
          <w:sz w:val="24"/>
          <w:szCs w:val="24"/>
        </w:rPr>
      </w:pPr>
      <w:r>
        <w:rPr>
          <w:sz w:val="24"/>
          <w:szCs w:val="24"/>
        </w:rPr>
        <w:t xml:space="preserve">The proposed rule </w:t>
      </w:r>
      <w:r w:rsidR="004B0CFD">
        <w:rPr>
          <w:sz w:val="24"/>
          <w:szCs w:val="24"/>
        </w:rPr>
        <w:t xml:space="preserve">calls </w:t>
      </w:r>
      <w:r>
        <w:rPr>
          <w:sz w:val="24"/>
          <w:szCs w:val="24"/>
        </w:rPr>
        <w:t xml:space="preserve">for </w:t>
      </w:r>
      <w:r w:rsidR="00A13AD0">
        <w:rPr>
          <w:sz w:val="24"/>
          <w:szCs w:val="24"/>
        </w:rPr>
        <w:t xml:space="preserve">utilities to annually report </w:t>
      </w:r>
      <w:r w:rsidR="004B0CFD">
        <w:rPr>
          <w:sz w:val="24"/>
          <w:szCs w:val="24"/>
        </w:rPr>
        <w:t>the carbon dioxide (</w:t>
      </w:r>
      <w:r>
        <w:rPr>
          <w:sz w:val="24"/>
          <w:szCs w:val="24"/>
        </w:rPr>
        <w:t>CO</w:t>
      </w:r>
      <w:r w:rsidRPr="00102C83">
        <w:rPr>
          <w:sz w:val="24"/>
          <w:szCs w:val="24"/>
          <w:vertAlign w:val="subscript"/>
        </w:rPr>
        <w:t>2</w:t>
      </w:r>
      <w:r w:rsidR="004B0CFD" w:rsidRPr="00D36627">
        <w:rPr>
          <w:sz w:val="24"/>
          <w:szCs w:val="24"/>
        </w:rPr>
        <w:t>)</w:t>
      </w:r>
      <w:r>
        <w:rPr>
          <w:sz w:val="24"/>
          <w:szCs w:val="24"/>
        </w:rPr>
        <w:t xml:space="preserve"> emissions</w:t>
      </w:r>
      <w:r w:rsidR="004B0CFD">
        <w:rPr>
          <w:sz w:val="24"/>
          <w:szCs w:val="24"/>
        </w:rPr>
        <w:t xml:space="preserve"> associated with their Washington fuel mix</w:t>
      </w:r>
      <w:r w:rsidR="00A13AD0">
        <w:rPr>
          <w:sz w:val="24"/>
          <w:szCs w:val="24"/>
        </w:rPr>
        <w:t>,</w:t>
      </w:r>
      <w:r>
        <w:rPr>
          <w:sz w:val="24"/>
          <w:szCs w:val="24"/>
        </w:rPr>
        <w:t xml:space="preserve"> and </w:t>
      </w:r>
      <w:r w:rsidR="00A13AD0">
        <w:rPr>
          <w:sz w:val="24"/>
          <w:szCs w:val="24"/>
        </w:rPr>
        <w:t xml:space="preserve">provide </w:t>
      </w:r>
      <w:r>
        <w:rPr>
          <w:sz w:val="24"/>
          <w:szCs w:val="24"/>
        </w:rPr>
        <w:t xml:space="preserve">a comparison of those annual </w:t>
      </w:r>
      <w:r w:rsidR="004B0CFD">
        <w:rPr>
          <w:sz w:val="24"/>
          <w:szCs w:val="24"/>
        </w:rPr>
        <w:t>emissions</w:t>
      </w:r>
      <w:r>
        <w:rPr>
          <w:sz w:val="24"/>
          <w:szCs w:val="24"/>
        </w:rPr>
        <w:t xml:space="preserve"> to</w:t>
      </w:r>
      <w:r w:rsidR="00102C83">
        <w:rPr>
          <w:sz w:val="24"/>
          <w:szCs w:val="24"/>
        </w:rPr>
        <w:t xml:space="preserve"> 1990 emissions.  </w:t>
      </w:r>
      <w:r w:rsidR="005735A1">
        <w:rPr>
          <w:sz w:val="24"/>
          <w:szCs w:val="24"/>
        </w:rPr>
        <w:t>This calculation provides new information that is not currently reported to other federal or state entities.  The purpose of this reporting requirement is to estimate emissions from all generating sources serving each utility’s Washington customers, regardless of generation location.</w:t>
      </w:r>
    </w:p>
    <w:p w14:paraId="5468A6A7" w14:textId="6D3549F8" w:rsidR="004B0CFD" w:rsidRDefault="004B0CFD">
      <w:pPr>
        <w:rPr>
          <w:sz w:val="24"/>
          <w:szCs w:val="24"/>
        </w:rPr>
      </w:pPr>
      <w:r>
        <w:rPr>
          <w:sz w:val="24"/>
          <w:szCs w:val="24"/>
        </w:rPr>
        <w:t xml:space="preserve">At the adoption hearing, companies commented that the emissions data necessary to calculate these metrics is available, but expressed concerns about the administrative burden of calculating historical emissions. </w:t>
      </w:r>
      <w:r w:rsidR="005735A1">
        <w:rPr>
          <w:sz w:val="24"/>
          <w:szCs w:val="24"/>
        </w:rPr>
        <w:t xml:space="preserve"> In its order, the Commission directed staff to continue to discuss the methodology for calculating this metric with stakeholders.</w:t>
      </w:r>
      <w:r w:rsidR="00154D0D" w:rsidRPr="00154D0D">
        <w:rPr>
          <w:rStyle w:val="FootnoteReference"/>
          <w:sz w:val="24"/>
          <w:szCs w:val="24"/>
        </w:rPr>
        <w:t xml:space="preserve"> </w:t>
      </w:r>
      <w:r w:rsidR="00154D0D">
        <w:rPr>
          <w:rStyle w:val="FootnoteReference"/>
          <w:sz w:val="24"/>
          <w:szCs w:val="24"/>
        </w:rPr>
        <w:footnoteReference w:id="6"/>
      </w:r>
    </w:p>
    <w:p w14:paraId="28B41CEA" w14:textId="020B8332" w:rsidR="002021E4" w:rsidRDefault="004B0CFD">
      <w:pPr>
        <w:rPr>
          <w:sz w:val="24"/>
          <w:szCs w:val="24"/>
        </w:rPr>
      </w:pPr>
      <w:r>
        <w:rPr>
          <w:sz w:val="24"/>
          <w:szCs w:val="24"/>
        </w:rPr>
        <w:t xml:space="preserve">With the assistance of staff at the Department of Commerce, a </w:t>
      </w:r>
      <w:r w:rsidR="00102C83">
        <w:rPr>
          <w:sz w:val="24"/>
          <w:szCs w:val="24"/>
        </w:rPr>
        <w:t>subgroup of the main workgroup</w:t>
      </w:r>
      <w:r>
        <w:rPr>
          <w:sz w:val="24"/>
          <w:szCs w:val="24"/>
        </w:rPr>
        <w:t xml:space="preserve"> collected</w:t>
      </w:r>
      <w:r w:rsidR="00102C83">
        <w:rPr>
          <w:sz w:val="24"/>
          <w:szCs w:val="24"/>
        </w:rPr>
        <w:t xml:space="preserve"> sufficient information to </w:t>
      </w:r>
      <w:r w:rsidR="00177558">
        <w:rPr>
          <w:sz w:val="24"/>
          <w:szCs w:val="24"/>
        </w:rPr>
        <w:t>estimate</w:t>
      </w:r>
      <w:r>
        <w:rPr>
          <w:sz w:val="24"/>
          <w:szCs w:val="24"/>
        </w:rPr>
        <w:t xml:space="preserve"> a baseline 1990 emissions value for each utility. </w:t>
      </w:r>
      <w:r w:rsidR="00177558">
        <w:rPr>
          <w:sz w:val="24"/>
          <w:szCs w:val="24"/>
        </w:rPr>
        <w:t xml:space="preserve"> First, the workgroup </w:t>
      </w:r>
      <w:r w:rsidR="00102C83">
        <w:rPr>
          <w:sz w:val="24"/>
          <w:szCs w:val="24"/>
        </w:rPr>
        <w:t>reconstruct</w:t>
      </w:r>
      <w:r w:rsidR="00177558">
        <w:rPr>
          <w:sz w:val="24"/>
          <w:szCs w:val="24"/>
        </w:rPr>
        <w:t>ed the</w:t>
      </w:r>
      <w:r w:rsidR="00102C83">
        <w:rPr>
          <w:sz w:val="24"/>
          <w:szCs w:val="24"/>
        </w:rPr>
        <w:t xml:space="preserve"> </w:t>
      </w:r>
      <w:r w:rsidR="00177558">
        <w:rPr>
          <w:sz w:val="24"/>
          <w:szCs w:val="24"/>
        </w:rPr>
        <w:t xml:space="preserve">1990 </w:t>
      </w:r>
      <w:r w:rsidR="009158C9">
        <w:rPr>
          <w:sz w:val="24"/>
          <w:szCs w:val="24"/>
        </w:rPr>
        <w:t xml:space="preserve">energy </w:t>
      </w:r>
      <w:r w:rsidR="00102C83">
        <w:rPr>
          <w:sz w:val="24"/>
          <w:szCs w:val="24"/>
        </w:rPr>
        <w:t>generation, sales and purchase</w:t>
      </w:r>
      <w:r w:rsidR="00177558">
        <w:rPr>
          <w:sz w:val="24"/>
          <w:szCs w:val="24"/>
        </w:rPr>
        <w:t xml:space="preserve"> data</w:t>
      </w:r>
      <w:r w:rsidR="00102C83">
        <w:rPr>
          <w:sz w:val="24"/>
          <w:szCs w:val="24"/>
        </w:rPr>
        <w:t xml:space="preserve"> </w:t>
      </w:r>
      <w:r w:rsidR="00177558">
        <w:rPr>
          <w:sz w:val="24"/>
          <w:szCs w:val="24"/>
        </w:rPr>
        <w:t xml:space="preserve">for each utility </w:t>
      </w:r>
      <w:r w:rsidR="00102C83">
        <w:rPr>
          <w:sz w:val="24"/>
          <w:szCs w:val="24"/>
        </w:rPr>
        <w:t xml:space="preserve">using the same methodology </w:t>
      </w:r>
      <w:r w:rsidR="00177558">
        <w:rPr>
          <w:sz w:val="24"/>
          <w:szCs w:val="24"/>
        </w:rPr>
        <w:t>used</w:t>
      </w:r>
      <w:r w:rsidR="009F4D3C">
        <w:rPr>
          <w:sz w:val="24"/>
          <w:szCs w:val="24"/>
        </w:rPr>
        <w:t xml:space="preserve"> in recent years</w:t>
      </w:r>
      <w:r w:rsidR="00102C83">
        <w:rPr>
          <w:sz w:val="24"/>
          <w:szCs w:val="24"/>
        </w:rPr>
        <w:t xml:space="preserve"> </w:t>
      </w:r>
      <w:r w:rsidR="00177558">
        <w:rPr>
          <w:sz w:val="24"/>
          <w:szCs w:val="24"/>
        </w:rPr>
        <w:t xml:space="preserve">to develop </w:t>
      </w:r>
      <w:r w:rsidR="00102C83">
        <w:rPr>
          <w:sz w:val="24"/>
          <w:szCs w:val="24"/>
        </w:rPr>
        <w:t xml:space="preserve">the annual </w:t>
      </w:r>
      <w:r w:rsidR="009F4D3C">
        <w:rPr>
          <w:sz w:val="24"/>
          <w:szCs w:val="24"/>
        </w:rPr>
        <w:t>Washington</w:t>
      </w:r>
      <w:r w:rsidR="00102C83">
        <w:rPr>
          <w:sz w:val="24"/>
          <w:szCs w:val="24"/>
        </w:rPr>
        <w:t xml:space="preserve"> fuel mix report</w:t>
      </w:r>
      <w:r w:rsidR="00177558">
        <w:rPr>
          <w:sz w:val="24"/>
          <w:szCs w:val="24"/>
        </w:rPr>
        <w:t>.</w:t>
      </w:r>
      <w:r w:rsidR="00177558">
        <w:rPr>
          <w:rStyle w:val="FootnoteReference"/>
          <w:sz w:val="24"/>
          <w:szCs w:val="24"/>
        </w:rPr>
        <w:footnoteReference w:id="7"/>
      </w:r>
      <w:r w:rsidR="00177558">
        <w:rPr>
          <w:sz w:val="24"/>
          <w:szCs w:val="24"/>
        </w:rPr>
        <w:t xml:space="preserve">  </w:t>
      </w:r>
      <w:r w:rsidR="00102C83">
        <w:rPr>
          <w:sz w:val="24"/>
          <w:szCs w:val="24"/>
        </w:rPr>
        <w:t xml:space="preserve">This </w:t>
      </w:r>
      <w:r w:rsidR="009F4D3C">
        <w:rPr>
          <w:sz w:val="24"/>
          <w:szCs w:val="24"/>
        </w:rPr>
        <w:t xml:space="preserve">process </w:t>
      </w:r>
      <w:r w:rsidR="00102C83">
        <w:rPr>
          <w:sz w:val="24"/>
          <w:szCs w:val="24"/>
        </w:rPr>
        <w:t xml:space="preserve">took multiple iterations researching </w:t>
      </w:r>
      <w:r w:rsidR="009158C9">
        <w:rPr>
          <w:sz w:val="24"/>
          <w:szCs w:val="24"/>
        </w:rPr>
        <w:t xml:space="preserve">all available </w:t>
      </w:r>
      <w:r w:rsidR="00102C83">
        <w:rPr>
          <w:sz w:val="24"/>
          <w:szCs w:val="24"/>
        </w:rPr>
        <w:t xml:space="preserve">sources of </w:t>
      </w:r>
      <w:r w:rsidR="009158C9">
        <w:rPr>
          <w:sz w:val="24"/>
          <w:szCs w:val="24"/>
        </w:rPr>
        <w:t xml:space="preserve">reliable </w:t>
      </w:r>
      <w:r w:rsidR="00102C83">
        <w:rPr>
          <w:sz w:val="24"/>
          <w:szCs w:val="24"/>
        </w:rPr>
        <w:t xml:space="preserve">data and refining the data in detail by the subgroup.  </w:t>
      </w:r>
    </w:p>
    <w:p w14:paraId="6705BF74" w14:textId="37D229AE" w:rsidR="002021E4" w:rsidRDefault="009158C9">
      <w:pPr>
        <w:rPr>
          <w:sz w:val="24"/>
          <w:szCs w:val="24"/>
        </w:rPr>
      </w:pPr>
      <w:r>
        <w:rPr>
          <w:sz w:val="24"/>
          <w:szCs w:val="24"/>
        </w:rPr>
        <w:t>Finally</w:t>
      </w:r>
      <w:r w:rsidR="002021E4">
        <w:rPr>
          <w:sz w:val="24"/>
          <w:szCs w:val="24"/>
        </w:rPr>
        <w:t>,</w:t>
      </w:r>
      <w:r>
        <w:rPr>
          <w:sz w:val="24"/>
          <w:szCs w:val="24"/>
        </w:rPr>
        <w:t xml:space="preserve"> the energy generated by each energy fuel type, for instance </w:t>
      </w:r>
      <w:r w:rsidR="001A02AD">
        <w:rPr>
          <w:sz w:val="24"/>
          <w:szCs w:val="24"/>
        </w:rPr>
        <w:t>XX</w:t>
      </w:r>
      <w:r>
        <w:rPr>
          <w:sz w:val="24"/>
          <w:szCs w:val="24"/>
        </w:rPr>
        <w:t xml:space="preserve"> MWh generated by a coal plant, was multiplied by the </w:t>
      </w:r>
      <w:r w:rsidRPr="00137F19">
        <w:rPr>
          <w:sz w:val="24"/>
          <w:szCs w:val="24"/>
        </w:rPr>
        <w:t xml:space="preserve">appropriate </w:t>
      </w:r>
      <w:r w:rsidR="00D36627" w:rsidRPr="00137F19">
        <w:rPr>
          <w:sz w:val="24"/>
          <w:szCs w:val="24"/>
        </w:rPr>
        <w:t xml:space="preserve">emission </w:t>
      </w:r>
      <w:r w:rsidR="00137F19">
        <w:rPr>
          <w:sz w:val="24"/>
          <w:szCs w:val="24"/>
        </w:rPr>
        <w:t>rate using Commerce’s fuel mix methodology</w:t>
      </w:r>
      <w:r>
        <w:rPr>
          <w:sz w:val="24"/>
          <w:szCs w:val="24"/>
        </w:rPr>
        <w:t>, for instance XX tons CO</w:t>
      </w:r>
      <w:r w:rsidRPr="001A02AD">
        <w:rPr>
          <w:sz w:val="24"/>
          <w:szCs w:val="24"/>
          <w:vertAlign w:val="subscript"/>
        </w:rPr>
        <w:t xml:space="preserve">2 </w:t>
      </w:r>
      <w:r>
        <w:rPr>
          <w:sz w:val="24"/>
          <w:szCs w:val="24"/>
        </w:rPr>
        <w:t xml:space="preserve">per MWh, to estimate each utility’s </w:t>
      </w:r>
      <w:r w:rsidR="001A02AD">
        <w:rPr>
          <w:sz w:val="24"/>
          <w:szCs w:val="24"/>
        </w:rPr>
        <w:t xml:space="preserve">tons of </w:t>
      </w:r>
      <w:r>
        <w:rPr>
          <w:sz w:val="24"/>
          <w:szCs w:val="24"/>
        </w:rPr>
        <w:t>1990 CO</w:t>
      </w:r>
      <w:r w:rsidRPr="009158C9">
        <w:rPr>
          <w:sz w:val="24"/>
          <w:szCs w:val="24"/>
          <w:vertAlign w:val="subscript"/>
        </w:rPr>
        <w:t>2</w:t>
      </w:r>
      <w:r>
        <w:rPr>
          <w:sz w:val="24"/>
          <w:szCs w:val="24"/>
        </w:rPr>
        <w:t xml:space="preserve"> emissions</w:t>
      </w:r>
      <w:r w:rsidR="002021E4">
        <w:rPr>
          <w:sz w:val="24"/>
          <w:szCs w:val="24"/>
        </w:rPr>
        <w:t xml:space="preserve">.  </w:t>
      </w:r>
    </w:p>
    <w:p w14:paraId="7AFB3485" w14:textId="793D9FE4" w:rsidR="00625DF3" w:rsidRDefault="00154D0D">
      <w:pPr>
        <w:rPr>
          <w:sz w:val="24"/>
          <w:szCs w:val="24"/>
        </w:rPr>
      </w:pPr>
      <w:r>
        <w:rPr>
          <w:sz w:val="24"/>
          <w:szCs w:val="24"/>
        </w:rPr>
        <w:t>The results of this work is</w:t>
      </w:r>
      <w:r w:rsidR="00102C83">
        <w:rPr>
          <w:sz w:val="24"/>
          <w:szCs w:val="24"/>
        </w:rPr>
        <w:t xml:space="preserve"> contained in the following table.</w:t>
      </w:r>
    </w:p>
    <w:p w14:paraId="280E7FFF" w14:textId="2843B4D0" w:rsidR="00102C83" w:rsidRPr="00102C83" w:rsidRDefault="00102C83" w:rsidP="00102C83">
      <w:pPr>
        <w:jc w:val="center"/>
        <w:rPr>
          <w:b/>
          <w:sz w:val="24"/>
          <w:szCs w:val="24"/>
        </w:rPr>
      </w:pPr>
      <w:r w:rsidRPr="00102C83">
        <w:rPr>
          <w:b/>
          <w:sz w:val="24"/>
          <w:szCs w:val="24"/>
        </w:rPr>
        <w:t>1990 CO</w:t>
      </w:r>
      <w:r w:rsidRPr="00102C83">
        <w:rPr>
          <w:b/>
          <w:sz w:val="24"/>
          <w:szCs w:val="24"/>
          <w:vertAlign w:val="subscript"/>
        </w:rPr>
        <w:t>2</w:t>
      </w:r>
      <w:r w:rsidRPr="00102C83">
        <w:rPr>
          <w:b/>
          <w:sz w:val="24"/>
          <w:szCs w:val="24"/>
        </w:rPr>
        <w:t xml:space="preserve"> </w:t>
      </w:r>
      <w:r w:rsidR="00525A6B">
        <w:rPr>
          <w:b/>
          <w:sz w:val="24"/>
          <w:szCs w:val="24"/>
        </w:rPr>
        <w:t>t</w:t>
      </w:r>
      <w:r w:rsidRPr="00102C83">
        <w:rPr>
          <w:b/>
          <w:sz w:val="24"/>
          <w:szCs w:val="24"/>
        </w:rPr>
        <w:t xml:space="preserve">otal </w:t>
      </w:r>
      <w:r w:rsidR="00525A6B">
        <w:rPr>
          <w:b/>
          <w:sz w:val="24"/>
          <w:szCs w:val="24"/>
        </w:rPr>
        <w:t>e</w:t>
      </w:r>
      <w:r w:rsidRPr="00102C83">
        <w:rPr>
          <w:b/>
          <w:sz w:val="24"/>
          <w:szCs w:val="24"/>
        </w:rPr>
        <w:t xml:space="preserve">missions from </w:t>
      </w:r>
      <w:r w:rsidR="00525A6B">
        <w:rPr>
          <w:b/>
          <w:sz w:val="24"/>
          <w:szCs w:val="24"/>
        </w:rPr>
        <w:t>a</w:t>
      </w:r>
      <w:r w:rsidRPr="00102C83">
        <w:rPr>
          <w:b/>
          <w:sz w:val="24"/>
          <w:szCs w:val="24"/>
        </w:rPr>
        <w:t xml:space="preserve">ll </w:t>
      </w:r>
      <w:r w:rsidR="002021E4">
        <w:rPr>
          <w:b/>
          <w:sz w:val="24"/>
          <w:szCs w:val="24"/>
        </w:rPr>
        <w:t>s</w:t>
      </w:r>
      <w:r w:rsidRPr="00102C83">
        <w:rPr>
          <w:b/>
          <w:sz w:val="24"/>
          <w:szCs w:val="24"/>
        </w:rPr>
        <w:t xml:space="preserve">ources to </w:t>
      </w:r>
      <w:r w:rsidR="00525A6B">
        <w:rPr>
          <w:b/>
          <w:sz w:val="24"/>
          <w:szCs w:val="24"/>
        </w:rPr>
        <w:t>s</w:t>
      </w:r>
      <w:r w:rsidRPr="00102C83">
        <w:rPr>
          <w:b/>
          <w:sz w:val="24"/>
          <w:szCs w:val="24"/>
        </w:rPr>
        <w:t xml:space="preserve">erve </w:t>
      </w:r>
      <w:r w:rsidR="00525A6B">
        <w:rPr>
          <w:b/>
          <w:sz w:val="24"/>
          <w:szCs w:val="24"/>
        </w:rPr>
        <w:t>Washington c</w:t>
      </w:r>
      <w:r w:rsidRPr="00102C83">
        <w:rPr>
          <w:b/>
          <w:sz w:val="24"/>
          <w:szCs w:val="24"/>
        </w:rPr>
        <w:t xml:space="preserve">ustomer </w:t>
      </w:r>
      <w:r w:rsidR="00525A6B">
        <w:rPr>
          <w:b/>
          <w:sz w:val="24"/>
          <w:szCs w:val="24"/>
        </w:rPr>
        <w:t>l</w:t>
      </w:r>
      <w:r w:rsidRPr="00102C83">
        <w:rPr>
          <w:b/>
          <w:sz w:val="24"/>
          <w:szCs w:val="24"/>
        </w:rPr>
        <w:t>oads</w:t>
      </w:r>
    </w:p>
    <w:tbl>
      <w:tblPr>
        <w:tblStyle w:val="TableGrid"/>
        <w:tblW w:w="0" w:type="auto"/>
        <w:jc w:val="center"/>
        <w:tblLook w:val="04A0" w:firstRow="1" w:lastRow="0" w:firstColumn="1" w:lastColumn="0" w:noHBand="0" w:noVBand="1"/>
      </w:tblPr>
      <w:tblGrid>
        <w:gridCol w:w="3145"/>
        <w:gridCol w:w="4500"/>
      </w:tblGrid>
      <w:tr w:rsidR="00102C83" w:rsidRPr="00102C83" w14:paraId="7D4210C5" w14:textId="77777777" w:rsidTr="00044909">
        <w:trPr>
          <w:jc w:val="center"/>
        </w:trPr>
        <w:tc>
          <w:tcPr>
            <w:tcW w:w="3145" w:type="dxa"/>
          </w:tcPr>
          <w:p w14:paraId="478CC503" w14:textId="73892485" w:rsidR="00102C83" w:rsidRPr="00102C83" w:rsidRDefault="00102C83">
            <w:pPr>
              <w:rPr>
                <w:b/>
                <w:sz w:val="24"/>
                <w:szCs w:val="24"/>
              </w:rPr>
            </w:pPr>
            <w:r w:rsidRPr="00102C83">
              <w:rPr>
                <w:b/>
                <w:sz w:val="24"/>
                <w:szCs w:val="24"/>
              </w:rPr>
              <w:t>Utility</w:t>
            </w:r>
          </w:p>
        </w:tc>
        <w:tc>
          <w:tcPr>
            <w:tcW w:w="4500" w:type="dxa"/>
          </w:tcPr>
          <w:p w14:paraId="7E6ED72F" w14:textId="61E4F930" w:rsidR="00102C83" w:rsidRPr="00102C83" w:rsidRDefault="00044909" w:rsidP="004E60AC">
            <w:pPr>
              <w:jc w:val="center"/>
              <w:rPr>
                <w:b/>
                <w:sz w:val="24"/>
                <w:szCs w:val="24"/>
              </w:rPr>
            </w:pPr>
            <w:r>
              <w:rPr>
                <w:b/>
                <w:sz w:val="24"/>
                <w:szCs w:val="24"/>
              </w:rPr>
              <w:t xml:space="preserve">1990 </w:t>
            </w:r>
            <w:r w:rsidR="00102C83" w:rsidRPr="00102C83">
              <w:rPr>
                <w:b/>
                <w:sz w:val="24"/>
                <w:szCs w:val="24"/>
              </w:rPr>
              <w:t>CO2 Emissions</w:t>
            </w:r>
            <w:r w:rsidR="004E60AC">
              <w:rPr>
                <w:b/>
                <w:sz w:val="24"/>
                <w:szCs w:val="24"/>
              </w:rPr>
              <w:t xml:space="preserve">, Million short </w:t>
            </w:r>
            <w:r w:rsidR="004E60AC" w:rsidRPr="00102C83">
              <w:rPr>
                <w:b/>
                <w:sz w:val="24"/>
                <w:szCs w:val="24"/>
              </w:rPr>
              <w:t>tons</w:t>
            </w:r>
          </w:p>
        </w:tc>
      </w:tr>
      <w:tr w:rsidR="00102C83" w14:paraId="245968AA" w14:textId="77777777" w:rsidTr="00044909">
        <w:trPr>
          <w:jc w:val="center"/>
        </w:trPr>
        <w:tc>
          <w:tcPr>
            <w:tcW w:w="3145" w:type="dxa"/>
          </w:tcPr>
          <w:p w14:paraId="6A8A4894" w14:textId="55439B25" w:rsidR="00102C83" w:rsidRDefault="00102C83">
            <w:pPr>
              <w:rPr>
                <w:sz w:val="24"/>
                <w:szCs w:val="24"/>
              </w:rPr>
            </w:pPr>
            <w:r>
              <w:rPr>
                <w:sz w:val="24"/>
                <w:szCs w:val="24"/>
              </w:rPr>
              <w:t>Avista</w:t>
            </w:r>
          </w:p>
        </w:tc>
        <w:tc>
          <w:tcPr>
            <w:tcW w:w="4500" w:type="dxa"/>
          </w:tcPr>
          <w:p w14:paraId="560F4F13" w14:textId="1BC16D01" w:rsidR="00102C83" w:rsidRPr="00044909" w:rsidRDefault="00044909" w:rsidP="00044909">
            <w:pPr>
              <w:jc w:val="center"/>
              <w:rPr>
                <w:rFonts w:ascii="Calibri" w:hAnsi="Calibri" w:cs="Calibri"/>
                <w:color w:val="000000"/>
              </w:rPr>
            </w:pPr>
            <w:r>
              <w:rPr>
                <w:rFonts w:ascii="Calibri" w:hAnsi="Calibri" w:cs="Calibri"/>
                <w:color w:val="000000"/>
              </w:rPr>
              <w:t>1,131,957</w:t>
            </w:r>
          </w:p>
        </w:tc>
      </w:tr>
      <w:tr w:rsidR="00102C83" w14:paraId="27A2E039" w14:textId="77777777" w:rsidTr="00044909">
        <w:trPr>
          <w:jc w:val="center"/>
        </w:trPr>
        <w:tc>
          <w:tcPr>
            <w:tcW w:w="3145" w:type="dxa"/>
          </w:tcPr>
          <w:p w14:paraId="151116A8" w14:textId="6F22ADC3" w:rsidR="00102C83" w:rsidRDefault="00102C83">
            <w:pPr>
              <w:rPr>
                <w:sz w:val="24"/>
                <w:szCs w:val="24"/>
              </w:rPr>
            </w:pPr>
            <w:r>
              <w:rPr>
                <w:sz w:val="24"/>
                <w:szCs w:val="24"/>
              </w:rPr>
              <w:t>PacifiCorp</w:t>
            </w:r>
          </w:p>
        </w:tc>
        <w:tc>
          <w:tcPr>
            <w:tcW w:w="4500" w:type="dxa"/>
          </w:tcPr>
          <w:p w14:paraId="4B9ED6CA" w14:textId="5FCF2ECA" w:rsidR="00102C83" w:rsidRPr="00044909" w:rsidRDefault="00044909" w:rsidP="00154D0D">
            <w:pPr>
              <w:jc w:val="center"/>
              <w:rPr>
                <w:rFonts w:ascii="Calibri" w:hAnsi="Calibri" w:cs="Calibri"/>
                <w:color w:val="000000"/>
              </w:rPr>
            </w:pPr>
            <w:r>
              <w:rPr>
                <w:rFonts w:ascii="Calibri" w:hAnsi="Calibri" w:cs="Calibri"/>
                <w:color w:val="000000"/>
              </w:rPr>
              <w:t>2,</w:t>
            </w:r>
            <w:r w:rsidR="00154D0D">
              <w:rPr>
                <w:rFonts w:ascii="Calibri" w:hAnsi="Calibri" w:cs="Calibri"/>
                <w:color w:val="000000"/>
              </w:rPr>
              <w:t>399</w:t>
            </w:r>
            <w:r>
              <w:rPr>
                <w:rFonts w:ascii="Calibri" w:hAnsi="Calibri" w:cs="Calibri"/>
                <w:color w:val="000000"/>
              </w:rPr>
              <w:t>,</w:t>
            </w:r>
            <w:r w:rsidR="00154D0D">
              <w:rPr>
                <w:rFonts w:ascii="Calibri" w:hAnsi="Calibri" w:cs="Calibri"/>
                <w:color w:val="000000"/>
              </w:rPr>
              <w:t>078</w:t>
            </w:r>
          </w:p>
        </w:tc>
      </w:tr>
      <w:tr w:rsidR="00102C83" w14:paraId="5F179DD3" w14:textId="77777777" w:rsidTr="00044909">
        <w:trPr>
          <w:jc w:val="center"/>
        </w:trPr>
        <w:tc>
          <w:tcPr>
            <w:tcW w:w="3145" w:type="dxa"/>
          </w:tcPr>
          <w:p w14:paraId="2E80A035" w14:textId="2FE59630" w:rsidR="00102C83" w:rsidRDefault="00102C83">
            <w:pPr>
              <w:rPr>
                <w:sz w:val="24"/>
                <w:szCs w:val="24"/>
              </w:rPr>
            </w:pPr>
            <w:r>
              <w:rPr>
                <w:sz w:val="24"/>
                <w:szCs w:val="24"/>
              </w:rPr>
              <w:t>Puget Sound Energy</w:t>
            </w:r>
          </w:p>
        </w:tc>
        <w:tc>
          <w:tcPr>
            <w:tcW w:w="4500" w:type="dxa"/>
          </w:tcPr>
          <w:p w14:paraId="178EDF42" w14:textId="1BE397EF" w:rsidR="00102C83" w:rsidRDefault="00044909" w:rsidP="00044909">
            <w:pPr>
              <w:jc w:val="center"/>
              <w:rPr>
                <w:sz w:val="24"/>
                <w:szCs w:val="24"/>
              </w:rPr>
            </w:pPr>
            <w:r>
              <w:rPr>
                <w:rFonts w:ascii="Calibri" w:hAnsi="Calibri" w:cs="Calibri"/>
                <w:color w:val="000000"/>
              </w:rPr>
              <w:t>6,946,064</w:t>
            </w:r>
          </w:p>
        </w:tc>
      </w:tr>
    </w:tbl>
    <w:p w14:paraId="4F72B998" w14:textId="77777777" w:rsidR="00102C83" w:rsidRDefault="00102C83">
      <w:pPr>
        <w:rPr>
          <w:sz w:val="24"/>
          <w:szCs w:val="24"/>
        </w:rPr>
      </w:pPr>
    </w:p>
    <w:p w14:paraId="5A1EDFAC" w14:textId="0E37AEC0" w:rsidR="00102C83" w:rsidRDefault="002021E4">
      <w:pPr>
        <w:rPr>
          <w:sz w:val="24"/>
          <w:szCs w:val="24"/>
        </w:rPr>
      </w:pPr>
      <w:r>
        <w:rPr>
          <w:sz w:val="24"/>
          <w:szCs w:val="24"/>
        </w:rPr>
        <w:lastRenderedPageBreak/>
        <w:t xml:space="preserve">In future </w:t>
      </w:r>
      <w:r w:rsidR="00102C83">
        <w:rPr>
          <w:sz w:val="24"/>
          <w:szCs w:val="24"/>
        </w:rPr>
        <w:t>annual reports</w:t>
      </w:r>
      <w:r w:rsidR="00736D46">
        <w:rPr>
          <w:sz w:val="24"/>
          <w:szCs w:val="24"/>
        </w:rPr>
        <w:t>,</w:t>
      </w:r>
      <w:r w:rsidR="00525A6B">
        <w:rPr>
          <w:sz w:val="24"/>
          <w:szCs w:val="24"/>
        </w:rPr>
        <w:t xml:space="preserve"> based on the amount of energy</w:t>
      </w:r>
      <w:r w:rsidR="00736D46">
        <w:rPr>
          <w:sz w:val="24"/>
          <w:szCs w:val="24"/>
        </w:rPr>
        <w:t xml:space="preserve"> provided to customers paying Washington rates by each resource</w:t>
      </w:r>
      <w:r w:rsidR="00E91E8F">
        <w:rPr>
          <w:sz w:val="24"/>
          <w:szCs w:val="24"/>
        </w:rPr>
        <w:t>,</w:t>
      </w:r>
      <w:r w:rsidR="00102C83">
        <w:rPr>
          <w:sz w:val="24"/>
          <w:szCs w:val="24"/>
        </w:rPr>
        <w:t xml:space="preserve"> each utility </w:t>
      </w:r>
      <w:r>
        <w:rPr>
          <w:sz w:val="24"/>
          <w:szCs w:val="24"/>
        </w:rPr>
        <w:t>should</w:t>
      </w:r>
      <w:r w:rsidR="00102C83">
        <w:rPr>
          <w:sz w:val="24"/>
          <w:szCs w:val="24"/>
        </w:rPr>
        <w:t xml:space="preserve"> calculate the number of tons of CO2 emi</w:t>
      </w:r>
      <w:r w:rsidR="005735A1">
        <w:rPr>
          <w:sz w:val="24"/>
          <w:szCs w:val="24"/>
        </w:rPr>
        <w:t>t</w:t>
      </w:r>
      <w:r w:rsidR="00102C83">
        <w:rPr>
          <w:sz w:val="24"/>
          <w:szCs w:val="24"/>
        </w:rPr>
        <w:t xml:space="preserve">ted from all </w:t>
      </w:r>
      <w:r w:rsidR="005735A1">
        <w:rPr>
          <w:sz w:val="24"/>
          <w:szCs w:val="24"/>
        </w:rPr>
        <w:t>re</w:t>
      </w:r>
      <w:r w:rsidR="00102C83">
        <w:rPr>
          <w:sz w:val="24"/>
          <w:szCs w:val="24"/>
        </w:rPr>
        <w:t xml:space="preserve">sources </w:t>
      </w:r>
      <w:r>
        <w:rPr>
          <w:sz w:val="24"/>
          <w:szCs w:val="24"/>
        </w:rPr>
        <w:t>included in Washington rates</w:t>
      </w:r>
      <w:r w:rsidR="00102C83">
        <w:rPr>
          <w:sz w:val="24"/>
          <w:szCs w:val="24"/>
        </w:rPr>
        <w:t xml:space="preserve"> and compare that to the 1990 </w:t>
      </w:r>
      <w:r>
        <w:rPr>
          <w:sz w:val="24"/>
          <w:szCs w:val="24"/>
        </w:rPr>
        <w:t xml:space="preserve">emissions </w:t>
      </w:r>
      <w:r w:rsidR="00102C83">
        <w:rPr>
          <w:sz w:val="24"/>
          <w:szCs w:val="24"/>
        </w:rPr>
        <w:t xml:space="preserve">levels shown above.  </w:t>
      </w:r>
    </w:p>
    <w:p w14:paraId="1EB29391" w14:textId="77777777" w:rsidR="00736D46" w:rsidRDefault="00D85CAF">
      <w:pPr>
        <w:rPr>
          <w:sz w:val="24"/>
          <w:szCs w:val="24"/>
        </w:rPr>
      </w:pPr>
      <w:r>
        <w:rPr>
          <w:sz w:val="24"/>
          <w:szCs w:val="24"/>
        </w:rPr>
        <w:t xml:space="preserve">Conceptually, the annual calculation should assign emissions to the actual delivery of energy from each specific generation source used to serve Washington customers.  </w:t>
      </w:r>
      <w:r w:rsidR="00E91E8F">
        <w:rPr>
          <w:sz w:val="24"/>
          <w:szCs w:val="24"/>
        </w:rPr>
        <w:t xml:space="preserve">For a utility </w:t>
      </w:r>
      <w:r w:rsidR="00CB1E13">
        <w:rPr>
          <w:sz w:val="24"/>
          <w:szCs w:val="24"/>
        </w:rPr>
        <w:t xml:space="preserve">serving </w:t>
      </w:r>
      <w:r w:rsidR="00E91E8F">
        <w:rPr>
          <w:sz w:val="24"/>
          <w:szCs w:val="24"/>
        </w:rPr>
        <w:t>only Washington customers,</w:t>
      </w:r>
      <w:r w:rsidR="004416ED">
        <w:rPr>
          <w:sz w:val="24"/>
          <w:szCs w:val="24"/>
        </w:rPr>
        <w:t xml:space="preserve"> such as Puget Sound Energy</w:t>
      </w:r>
      <w:r w:rsidR="00CB1E13">
        <w:rPr>
          <w:sz w:val="24"/>
          <w:szCs w:val="24"/>
        </w:rPr>
        <w:t xml:space="preserve"> (PSE)</w:t>
      </w:r>
      <w:r w:rsidR="004416ED">
        <w:rPr>
          <w:sz w:val="24"/>
          <w:szCs w:val="24"/>
        </w:rPr>
        <w:t>,</w:t>
      </w:r>
      <w:r w:rsidR="00E91E8F">
        <w:rPr>
          <w:sz w:val="24"/>
          <w:szCs w:val="24"/>
        </w:rPr>
        <w:t xml:space="preserve"> this is a relatively straight</w:t>
      </w:r>
      <w:r w:rsidR="00CB1E13">
        <w:rPr>
          <w:sz w:val="24"/>
          <w:szCs w:val="24"/>
        </w:rPr>
        <w:t>-</w:t>
      </w:r>
      <w:r w:rsidR="00E91E8F">
        <w:rPr>
          <w:sz w:val="24"/>
          <w:szCs w:val="24"/>
        </w:rPr>
        <w:t>forward calculation.  The basic calculation is to determine the emissions or average emission rate for each generating source used to serve the Washington customers and add up the total emissions for the year</w:t>
      </w:r>
      <w:r w:rsidR="004416ED">
        <w:rPr>
          <w:sz w:val="24"/>
          <w:szCs w:val="24"/>
        </w:rPr>
        <w:t xml:space="preserve"> that is associated with the PSE customer load</w:t>
      </w:r>
      <w:r w:rsidR="00E91E8F">
        <w:rPr>
          <w:sz w:val="24"/>
          <w:szCs w:val="24"/>
        </w:rPr>
        <w:t>.</w:t>
      </w:r>
      <w:r w:rsidR="004416ED">
        <w:rPr>
          <w:sz w:val="24"/>
          <w:szCs w:val="24"/>
        </w:rPr>
        <w:t xml:space="preserve">  </w:t>
      </w:r>
    </w:p>
    <w:p w14:paraId="7A9CB240" w14:textId="787F6DB0" w:rsidR="00D85CAF" w:rsidRDefault="00E91E8F">
      <w:pPr>
        <w:rPr>
          <w:sz w:val="24"/>
          <w:szCs w:val="24"/>
        </w:rPr>
      </w:pPr>
      <w:r>
        <w:rPr>
          <w:sz w:val="24"/>
          <w:szCs w:val="24"/>
        </w:rPr>
        <w:t>For a utility with customers in multiple states</w:t>
      </w:r>
      <w:r w:rsidR="00CB1E13">
        <w:rPr>
          <w:sz w:val="24"/>
          <w:szCs w:val="24"/>
        </w:rPr>
        <w:t>,</w:t>
      </w:r>
      <w:r>
        <w:rPr>
          <w:sz w:val="24"/>
          <w:szCs w:val="24"/>
        </w:rPr>
        <w:t xml:space="preserve"> the </w:t>
      </w:r>
      <w:r w:rsidR="00EF33E7">
        <w:rPr>
          <w:sz w:val="24"/>
          <w:szCs w:val="24"/>
        </w:rPr>
        <w:t>calculation</w:t>
      </w:r>
      <w:r w:rsidR="00736D46">
        <w:rPr>
          <w:sz w:val="24"/>
          <w:szCs w:val="24"/>
        </w:rPr>
        <w:t xml:space="preserve"> is</w:t>
      </w:r>
      <w:r w:rsidR="00EF33E7">
        <w:rPr>
          <w:sz w:val="24"/>
          <w:szCs w:val="24"/>
        </w:rPr>
        <w:t xml:space="preserve"> more complex.  The </w:t>
      </w:r>
      <w:r>
        <w:rPr>
          <w:sz w:val="24"/>
          <w:szCs w:val="24"/>
        </w:rPr>
        <w:t xml:space="preserve">emissions from a specific generator may </w:t>
      </w:r>
      <w:r w:rsidR="00EF33E7">
        <w:rPr>
          <w:sz w:val="24"/>
          <w:szCs w:val="24"/>
        </w:rPr>
        <w:t xml:space="preserve">need to </w:t>
      </w:r>
      <w:r>
        <w:rPr>
          <w:sz w:val="24"/>
          <w:szCs w:val="24"/>
        </w:rPr>
        <w:t xml:space="preserve">be allocated to customers in </w:t>
      </w:r>
      <w:r w:rsidR="00EF33E7">
        <w:rPr>
          <w:sz w:val="24"/>
          <w:szCs w:val="24"/>
        </w:rPr>
        <w:t xml:space="preserve">multiple </w:t>
      </w:r>
      <w:r>
        <w:rPr>
          <w:sz w:val="24"/>
          <w:szCs w:val="24"/>
        </w:rPr>
        <w:t xml:space="preserve">states.  </w:t>
      </w:r>
    </w:p>
    <w:p w14:paraId="4C0A0200" w14:textId="52A73184" w:rsidR="00E91E8F" w:rsidRDefault="00D85CAF">
      <w:pPr>
        <w:rPr>
          <w:sz w:val="24"/>
          <w:szCs w:val="24"/>
        </w:rPr>
      </w:pPr>
      <w:r>
        <w:rPr>
          <w:sz w:val="24"/>
          <w:szCs w:val="24"/>
        </w:rPr>
        <w:t xml:space="preserve">This challenge is slightly different for </w:t>
      </w:r>
      <w:r w:rsidR="00001D45">
        <w:rPr>
          <w:sz w:val="24"/>
          <w:szCs w:val="24"/>
        </w:rPr>
        <w:t xml:space="preserve">each of </w:t>
      </w:r>
      <w:r>
        <w:rPr>
          <w:sz w:val="24"/>
          <w:szCs w:val="24"/>
        </w:rPr>
        <w:t xml:space="preserve">the two multi-state utilities, </w:t>
      </w:r>
      <w:r w:rsidR="004416ED">
        <w:rPr>
          <w:sz w:val="24"/>
          <w:szCs w:val="24"/>
        </w:rPr>
        <w:t>Avista and PacifiCorp</w:t>
      </w:r>
      <w:r>
        <w:rPr>
          <w:sz w:val="24"/>
          <w:szCs w:val="24"/>
        </w:rPr>
        <w:t>.</w:t>
      </w:r>
    </w:p>
    <w:p w14:paraId="1B9AC46C" w14:textId="59A1112C" w:rsidR="004416ED" w:rsidRDefault="004416ED">
      <w:pPr>
        <w:rPr>
          <w:sz w:val="24"/>
          <w:szCs w:val="24"/>
        </w:rPr>
      </w:pPr>
      <w:r>
        <w:rPr>
          <w:sz w:val="24"/>
          <w:szCs w:val="24"/>
        </w:rPr>
        <w:t xml:space="preserve"> Avista has one balancing authority that serves electric customers in only Washington and Idaho and those loads are similar in size.  The </w:t>
      </w:r>
      <w:r w:rsidR="00001D45">
        <w:rPr>
          <w:sz w:val="24"/>
          <w:szCs w:val="24"/>
        </w:rPr>
        <w:t>workgroup</w:t>
      </w:r>
      <w:r w:rsidR="00D85CAF">
        <w:rPr>
          <w:sz w:val="24"/>
          <w:szCs w:val="24"/>
        </w:rPr>
        <w:t xml:space="preserve"> proposes t</w:t>
      </w:r>
      <w:r w:rsidR="00001D45">
        <w:rPr>
          <w:sz w:val="24"/>
          <w:szCs w:val="24"/>
        </w:rPr>
        <w:t>hat the company</w:t>
      </w:r>
      <w:r w:rsidR="00D85CAF">
        <w:rPr>
          <w:sz w:val="24"/>
          <w:szCs w:val="24"/>
        </w:rPr>
        <w:t xml:space="preserve"> use the </w:t>
      </w:r>
      <w:r>
        <w:rPr>
          <w:sz w:val="24"/>
          <w:szCs w:val="24"/>
        </w:rPr>
        <w:t xml:space="preserve">proportion of customer load in each state to allocate the emissions from </w:t>
      </w:r>
      <w:r w:rsidR="00D85CAF">
        <w:rPr>
          <w:sz w:val="24"/>
          <w:szCs w:val="24"/>
        </w:rPr>
        <w:t>its system of</w:t>
      </w:r>
      <w:r>
        <w:rPr>
          <w:sz w:val="24"/>
          <w:szCs w:val="24"/>
        </w:rPr>
        <w:t xml:space="preserve"> generating sources.</w:t>
      </w:r>
    </w:p>
    <w:p w14:paraId="53F04579" w14:textId="50E82DE6" w:rsidR="00001D45" w:rsidRDefault="004416ED">
      <w:pPr>
        <w:rPr>
          <w:sz w:val="24"/>
          <w:szCs w:val="24"/>
        </w:rPr>
      </w:pPr>
      <w:r>
        <w:rPr>
          <w:sz w:val="24"/>
          <w:szCs w:val="24"/>
        </w:rPr>
        <w:t>For PacifiCorp</w:t>
      </w:r>
      <w:r w:rsidR="00D85CAF">
        <w:rPr>
          <w:sz w:val="24"/>
          <w:szCs w:val="24"/>
        </w:rPr>
        <w:t>,</w:t>
      </w:r>
      <w:r>
        <w:rPr>
          <w:sz w:val="24"/>
          <w:szCs w:val="24"/>
        </w:rPr>
        <w:t xml:space="preserve"> the Commission has required analysis and allocations based on the West Control Area </w:t>
      </w:r>
      <w:r w:rsidR="00CD0262">
        <w:rPr>
          <w:sz w:val="24"/>
          <w:szCs w:val="24"/>
        </w:rPr>
        <w:t>inter</w:t>
      </w:r>
      <w:r w:rsidR="00154D0D">
        <w:rPr>
          <w:sz w:val="24"/>
          <w:szCs w:val="24"/>
        </w:rPr>
        <w:t>-</w:t>
      </w:r>
      <w:r w:rsidR="00CD0262">
        <w:rPr>
          <w:sz w:val="24"/>
          <w:szCs w:val="24"/>
        </w:rPr>
        <w:t>jurisdictional methodology</w:t>
      </w:r>
      <w:r w:rsidR="006158C0">
        <w:rPr>
          <w:sz w:val="24"/>
          <w:szCs w:val="24"/>
        </w:rPr>
        <w:t xml:space="preserve">.  </w:t>
      </w:r>
      <w:r w:rsidR="00EC2A20">
        <w:rPr>
          <w:sz w:val="24"/>
          <w:szCs w:val="24"/>
        </w:rPr>
        <w:t xml:space="preserve">The </w:t>
      </w:r>
      <w:r w:rsidR="006158C0">
        <w:rPr>
          <w:sz w:val="24"/>
          <w:szCs w:val="24"/>
        </w:rPr>
        <w:t xml:space="preserve">West Control Area </w:t>
      </w:r>
      <w:r w:rsidR="00CD0262">
        <w:rPr>
          <w:sz w:val="24"/>
          <w:szCs w:val="24"/>
        </w:rPr>
        <w:t xml:space="preserve">consists of </w:t>
      </w:r>
      <w:r w:rsidR="006158C0">
        <w:rPr>
          <w:sz w:val="24"/>
          <w:szCs w:val="24"/>
        </w:rPr>
        <w:t>PacifiCorp</w:t>
      </w:r>
      <w:r w:rsidR="00CD0262">
        <w:rPr>
          <w:sz w:val="24"/>
          <w:szCs w:val="24"/>
        </w:rPr>
        <w:t>’s</w:t>
      </w:r>
      <w:r w:rsidR="006158C0">
        <w:rPr>
          <w:sz w:val="24"/>
          <w:szCs w:val="24"/>
        </w:rPr>
        <w:t xml:space="preserve"> Washington, Oregon and California </w:t>
      </w:r>
      <w:r w:rsidR="00CD0262">
        <w:rPr>
          <w:sz w:val="24"/>
          <w:szCs w:val="24"/>
        </w:rPr>
        <w:t>jurisdictions</w:t>
      </w:r>
      <w:r w:rsidR="006158C0">
        <w:rPr>
          <w:sz w:val="24"/>
          <w:szCs w:val="24"/>
        </w:rPr>
        <w:t xml:space="preserve">.  </w:t>
      </w:r>
      <w:r w:rsidR="00CD0262">
        <w:rPr>
          <w:sz w:val="24"/>
          <w:szCs w:val="24"/>
        </w:rPr>
        <w:t>PacifiCorp also</w:t>
      </w:r>
      <w:r w:rsidR="006158C0">
        <w:rPr>
          <w:sz w:val="24"/>
          <w:szCs w:val="24"/>
        </w:rPr>
        <w:t xml:space="preserve"> provides service to customers in Utah, Idaho, </w:t>
      </w:r>
      <w:r w:rsidR="00001D45">
        <w:rPr>
          <w:sz w:val="24"/>
          <w:szCs w:val="24"/>
        </w:rPr>
        <w:t xml:space="preserve">and </w:t>
      </w:r>
      <w:r w:rsidR="006158C0">
        <w:rPr>
          <w:sz w:val="24"/>
          <w:szCs w:val="24"/>
        </w:rPr>
        <w:t>Wyoming</w:t>
      </w:r>
      <w:r w:rsidR="000E2057" w:rsidRPr="000E2057">
        <w:rPr>
          <w:sz w:val="24"/>
          <w:szCs w:val="24"/>
        </w:rPr>
        <w:t>.  Therefore</w:t>
      </w:r>
      <w:r w:rsidR="000E2057">
        <w:rPr>
          <w:sz w:val="24"/>
          <w:szCs w:val="24"/>
        </w:rPr>
        <w:t>, e</w:t>
      </w:r>
      <w:r w:rsidR="006158C0">
        <w:rPr>
          <w:sz w:val="24"/>
          <w:szCs w:val="24"/>
        </w:rPr>
        <w:t xml:space="preserve">missions allocated to Washington need to align with the generating resources used to </w:t>
      </w:r>
      <w:r w:rsidR="00736D46">
        <w:rPr>
          <w:sz w:val="24"/>
          <w:szCs w:val="24"/>
        </w:rPr>
        <w:t xml:space="preserve">actually </w:t>
      </w:r>
      <w:r w:rsidR="006158C0">
        <w:rPr>
          <w:sz w:val="24"/>
          <w:szCs w:val="24"/>
        </w:rPr>
        <w:t xml:space="preserve">serve power to West Control Area customers.  </w:t>
      </w:r>
    </w:p>
    <w:p w14:paraId="39B132CA" w14:textId="77777777" w:rsidR="00154D0D" w:rsidRDefault="006158C0">
      <w:pPr>
        <w:rPr>
          <w:sz w:val="24"/>
          <w:szCs w:val="24"/>
        </w:rPr>
        <w:sectPr w:rsidR="00154D0D">
          <w:footerReference w:type="default" r:id="rId11"/>
          <w:pgSz w:w="12240" w:h="15840"/>
          <w:pgMar w:top="1440" w:right="1440" w:bottom="1440" w:left="1440" w:header="720" w:footer="720" w:gutter="0"/>
          <w:cols w:space="720"/>
          <w:docGrid w:linePitch="360"/>
        </w:sectPr>
      </w:pPr>
      <w:r>
        <w:rPr>
          <w:sz w:val="24"/>
          <w:szCs w:val="24"/>
        </w:rPr>
        <w:t xml:space="preserve">The </w:t>
      </w:r>
      <w:r w:rsidR="00001D45">
        <w:rPr>
          <w:sz w:val="24"/>
          <w:szCs w:val="24"/>
        </w:rPr>
        <w:t xml:space="preserve">workgroup proposes that the company allocate emissions associated with its </w:t>
      </w:r>
      <w:r>
        <w:rPr>
          <w:sz w:val="24"/>
          <w:szCs w:val="24"/>
        </w:rPr>
        <w:t xml:space="preserve">West Control Area </w:t>
      </w:r>
      <w:r w:rsidR="00001D45">
        <w:rPr>
          <w:sz w:val="24"/>
          <w:szCs w:val="24"/>
        </w:rPr>
        <w:t xml:space="preserve">resources </w:t>
      </w:r>
      <w:r>
        <w:rPr>
          <w:sz w:val="24"/>
          <w:szCs w:val="24"/>
        </w:rPr>
        <w:t>to Washington based on the proportion of the Washington load within the West Control Area.</w:t>
      </w:r>
    </w:p>
    <w:p w14:paraId="3CE0E590" w14:textId="77777777" w:rsidR="00154D0D" w:rsidRDefault="00154D0D" w:rsidP="00154D0D">
      <w:pPr>
        <w:spacing w:after="0" w:line="240" w:lineRule="auto"/>
        <w:jc w:val="center"/>
        <w:rPr>
          <w:sz w:val="36"/>
          <w:szCs w:val="36"/>
        </w:rPr>
      </w:pPr>
      <w:r w:rsidRPr="00DC68E3">
        <w:rPr>
          <w:b/>
          <w:sz w:val="36"/>
          <w:szCs w:val="36"/>
        </w:rPr>
        <w:lastRenderedPageBreak/>
        <w:t>Attachment A</w:t>
      </w:r>
      <w:r>
        <w:rPr>
          <w:sz w:val="36"/>
          <w:szCs w:val="36"/>
        </w:rPr>
        <w:t xml:space="preserve"> </w:t>
      </w:r>
    </w:p>
    <w:p w14:paraId="1AD390FE" w14:textId="77777777" w:rsidR="00154D0D" w:rsidRPr="009636BA" w:rsidRDefault="00154D0D" w:rsidP="00154D0D">
      <w:pPr>
        <w:spacing w:after="0" w:line="240" w:lineRule="auto"/>
        <w:jc w:val="center"/>
        <w:rPr>
          <w:sz w:val="36"/>
          <w:szCs w:val="36"/>
        </w:rPr>
      </w:pPr>
      <w:r w:rsidRPr="009636BA">
        <w:rPr>
          <w:sz w:val="36"/>
          <w:szCs w:val="36"/>
        </w:rPr>
        <w:t>WAC 480-109-300, Energy and Emissions Intensity Metrics</w:t>
      </w:r>
    </w:p>
    <w:tbl>
      <w:tblPr>
        <w:tblStyle w:val="TableGrid"/>
        <w:tblpPr w:leftFromText="180" w:rightFromText="180" w:vertAnchor="page" w:horzAnchor="margin" w:tblpY="3091"/>
        <w:tblW w:w="12775" w:type="dxa"/>
        <w:tblLayout w:type="fixed"/>
        <w:tblLook w:val="04A0" w:firstRow="1" w:lastRow="0" w:firstColumn="1" w:lastColumn="0" w:noHBand="0" w:noVBand="1"/>
      </w:tblPr>
      <w:tblGrid>
        <w:gridCol w:w="1975"/>
        <w:gridCol w:w="1620"/>
        <w:gridCol w:w="1620"/>
        <w:gridCol w:w="3420"/>
        <w:gridCol w:w="810"/>
        <w:gridCol w:w="810"/>
        <w:gridCol w:w="810"/>
        <w:gridCol w:w="810"/>
        <w:gridCol w:w="900"/>
      </w:tblGrid>
      <w:tr w:rsidR="00154D0D" w14:paraId="2CC0E0C0" w14:textId="77777777" w:rsidTr="00FD56CC">
        <w:tc>
          <w:tcPr>
            <w:tcW w:w="1975" w:type="dxa"/>
          </w:tcPr>
          <w:p w14:paraId="416E2548" w14:textId="77777777" w:rsidR="00154D0D" w:rsidRPr="007A7652" w:rsidRDefault="00154D0D" w:rsidP="00FD56CC">
            <w:pPr>
              <w:rPr>
                <w:b/>
              </w:rPr>
            </w:pPr>
            <w:r w:rsidRPr="007A7652">
              <w:rPr>
                <w:b/>
              </w:rPr>
              <w:t>Name</w:t>
            </w:r>
          </w:p>
        </w:tc>
        <w:tc>
          <w:tcPr>
            <w:tcW w:w="1620" w:type="dxa"/>
          </w:tcPr>
          <w:p w14:paraId="39992029" w14:textId="77777777" w:rsidR="00154D0D" w:rsidRPr="007A7652" w:rsidRDefault="00154D0D" w:rsidP="00FD56CC">
            <w:pPr>
              <w:rPr>
                <w:b/>
              </w:rPr>
            </w:pPr>
            <w:r w:rsidRPr="007A7652">
              <w:rPr>
                <w:b/>
              </w:rPr>
              <w:t>Representing</w:t>
            </w:r>
          </w:p>
        </w:tc>
        <w:tc>
          <w:tcPr>
            <w:tcW w:w="1620" w:type="dxa"/>
          </w:tcPr>
          <w:p w14:paraId="4273990A" w14:textId="77777777" w:rsidR="00154D0D" w:rsidRPr="007A7652" w:rsidRDefault="00154D0D" w:rsidP="00FD56CC">
            <w:pPr>
              <w:rPr>
                <w:b/>
              </w:rPr>
            </w:pPr>
            <w:r w:rsidRPr="007A7652">
              <w:rPr>
                <w:b/>
              </w:rPr>
              <w:t>Phone</w:t>
            </w:r>
          </w:p>
        </w:tc>
        <w:tc>
          <w:tcPr>
            <w:tcW w:w="3420" w:type="dxa"/>
          </w:tcPr>
          <w:p w14:paraId="67C2EDCC" w14:textId="77777777" w:rsidR="00154D0D" w:rsidRPr="007A7652" w:rsidRDefault="00154D0D" w:rsidP="00FD56CC">
            <w:pPr>
              <w:rPr>
                <w:b/>
              </w:rPr>
            </w:pPr>
            <w:r w:rsidRPr="007A7652">
              <w:rPr>
                <w:b/>
              </w:rPr>
              <w:t>Email</w:t>
            </w:r>
          </w:p>
        </w:tc>
        <w:tc>
          <w:tcPr>
            <w:tcW w:w="810" w:type="dxa"/>
          </w:tcPr>
          <w:p w14:paraId="3C298ACB" w14:textId="77777777" w:rsidR="00154D0D" w:rsidRPr="007A7652" w:rsidRDefault="00154D0D" w:rsidP="00FD56CC">
            <w:pPr>
              <w:rPr>
                <w:b/>
              </w:rPr>
            </w:pPr>
            <w:r>
              <w:rPr>
                <w:b/>
              </w:rPr>
              <w:t>3/19</w:t>
            </w:r>
          </w:p>
        </w:tc>
        <w:tc>
          <w:tcPr>
            <w:tcW w:w="810" w:type="dxa"/>
          </w:tcPr>
          <w:p w14:paraId="20BE65DD" w14:textId="77777777" w:rsidR="00154D0D" w:rsidRPr="007A7652" w:rsidRDefault="00154D0D" w:rsidP="00FD56CC">
            <w:pPr>
              <w:rPr>
                <w:b/>
              </w:rPr>
            </w:pPr>
            <w:r>
              <w:rPr>
                <w:b/>
              </w:rPr>
              <w:t>4/17</w:t>
            </w:r>
          </w:p>
        </w:tc>
        <w:tc>
          <w:tcPr>
            <w:tcW w:w="810" w:type="dxa"/>
          </w:tcPr>
          <w:p w14:paraId="43569A23" w14:textId="77777777" w:rsidR="00154D0D" w:rsidRPr="007A7652" w:rsidRDefault="00154D0D" w:rsidP="00FD56CC">
            <w:pPr>
              <w:rPr>
                <w:b/>
              </w:rPr>
            </w:pPr>
            <w:r>
              <w:rPr>
                <w:b/>
              </w:rPr>
              <w:t>6/11</w:t>
            </w:r>
          </w:p>
        </w:tc>
        <w:tc>
          <w:tcPr>
            <w:tcW w:w="810" w:type="dxa"/>
          </w:tcPr>
          <w:p w14:paraId="6C641C29" w14:textId="77777777" w:rsidR="00154D0D" w:rsidRPr="007A7652" w:rsidRDefault="00154D0D" w:rsidP="00FD56CC">
            <w:pPr>
              <w:rPr>
                <w:b/>
              </w:rPr>
            </w:pPr>
            <w:r>
              <w:rPr>
                <w:b/>
              </w:rPr>
              <w:t>7/17</w:t>
            </w:r>
          </w:p>
        </w:tc>
        <w:tc>
          <w:tcPr>
            <w:tcW w:w="900" w:type="dxa"/>
          </w:tcPr>
          <w:p w14:paraId="57993CDD" w14:textId="77777777" w:rsidR="00154D0D" w:rsidRPr="007A7652" w:rsidRDefault="00154D0D" w:rsidP="00FD56CC">
            <w:pPr>
              <w:rPr>
                <w:b/>
              </w:rPr>
            </w:pPr>
          </w:p>
        </w:tc>
      </w:tr>
      <w:tr w:rsidR="00154D0D" w14:paraId="4E8C994E" w14:textId="77777777" w:rsidTr="00FD56CC">
        <w:tc>
          <w:tcPr>
            <w:tcW w:w="1975" w:type="dxa"/>
          </w:tcPr>
          <w:p w14:paraId="7E7ADFE4" w14:textId="77777777" w:rsidR="00154D0D" w:rsidRDefault="00154D0D" w:rsidP="00FD56CC">
            <w:r>
              <w:t>Clint Kalich</w:t>
            </w:r>
          </w:p>
        </w:tc>
        <w:tc>
          <w:tcPr>
            <w:tcW w:w="1620" w:type="dxa"/>
          </w:tcPr>
          <w:p w14:paraId="4AEC2C3B" w14:textId="77777777" w:rsidR="00154D0D" w:rsidRDefault="00154D0D" w:rsidP="00FD56CC">
            <w:r>
              <w:t>Avista</w:t>
            </w:r>
          </w:p>
        </w:tc>
        <w:tc>
          <w:tcPr>
            <w:tcW w:w="1620" w:type="dxa"/>
          </w:tcPr>
          <w:p w14:paraId="6169BDC1" w14:textId="77777777" w:rsidR="00154D0D" w:rsidRDefault="00154D0D" w:rsidP="00FD56CC">
            <w:r w:rsidRPr="00E5219B">
              <w:t>509</w:t>
            </w:r>
            <w:r>
              <w:t>-</w:t>
            </w:r>
            <w:r w:rsidRPr="00E5219B">
              <w:t>495</w:t>
            </w:r>
            <w:r>
              <w:t>-</w:t>
            </w:r>
            <w:r w:rsidRPr="00E5219B">
              <w:t>4532</w:t>
            </w:r>
          </w:p>
        </w:tc>
        <w:tc>
          <w:tcPr>
            <w:tcW w:w="3420" w:type="dxa"/>
          </w:tcPr>
          <w:p w14:paraId="30A18BA7" w14:textId="77777777" w:rsidR="00154D0D" w:rsidRDefault="00154D0D" w:rsidP="00FD56CC">
            <w:r w:rsidRPr="006F60EF">
              <w:t>Clint.Kalich@avistacorp.com</w:t>
            </w:r>
          </w:p>
        </w:tc>
        <w:tc>
          <w:tcPr>
            <w:tcW w:w="810" w:type="dxa"/>
          </w:tcPr>
          <w:p w14:paraId="407746C8" w14:textId="77777777" w:rsidR="00154D0D" w:rsidRPr="00065382" w:rsidRDefault="00154D0D" w:rsidP="00FD56CC">
            <w:pPr>
              <w:jc w:val="center"/>
              <w:rPr>
                <w:b/>
              </w:rPr>
            </w:pPr>
            <w:r>
              <w:rPr>
                <w:rFonts w:cstheme="minorHAnsi"/>
                <w:b/>
              </w:rPr>
              <w:t>√</w:t>
            </w:r>
          </w:p>
        </w:tc>
        <w:tc>
          <w:tcPr>
            <w:tcW w:w="810" w:type="dxa"/>
          </w:tcPr>
          <w:p w14:paraId="3AE33A94" w14:textId="77777777" w:rsidR="00154D0D" w:rsidRPr="00065382" w:rsidRDefault="00154D0D" w:rsidP="00FD56CC">
            <w:pPr>
              <w:jc w:val="center"/>
              <w:rPr>
                <w:b/>
              </w:rPr>
            </w:pPr>
            <w:r>
              <w:rPr>
                <w:rFonts w:cstheme="minorHAnsi"/>
                <w:b/>
              </w:rPr>
              <w:t>√</w:t>
            </w:r>
          </w:p>
        </w:tc>
        <w:tc>
          <w:tcPr>
            <w:tcW w:w="810" w:type="dxa"/>
          </w:tcPr>
          <w:p w14:paraId="3A4B0407" w14:textId="77777777" w:rsidR="00154D0D" w:rsidRPr="00065382" w:rsidRDefault="00154D0D" w:rsidP="00FD56CC">
            <w:pPr>
              <w:jc w:val="center"/>
              <w:rPr>
                <w:b/>
              </w:rPr>
            </w:pPr>
          </w:p>
        </w:tc>
        <w:tc>
          <w:tcPr>
            <w:tcW w:w="810" w:type="dxa"/>
          </w:tcPr>
          <w:p w14:paraId="6AE64639" w14:textId="77777777" w:rsidR="00154D0D" w:rsidRPr="00356C94" w:rsidRDefault="00154D0D" w:rsidP="00FD56CC">
            <w:pPr>
              <w:jc w:val="center"/>
              <w:rPr>
                <w:b/>
              </w:rPr>
            </w:pPr>
            <w:r w:rsidRPr="00356C94">
              <w:rPr>
                <w:rFonts w:cstheme="minorHAnsi"/>
                <w:b/>
              </w:rPr>
              <w:t>√</w:t>
            </w:r>
          </w:p>
        </w:tc>
        <w:tc>
          <w:tcPr>
            <w:tcW w:w="900" w:type="dxa"/>
          </w:tcPr>
          <w:p w14:paraId="1F20F610" w14:textId="77777777" w:rsidR="00154D0D" w:rsidRPr="00065382" w:rsidRDefault="00154D0D" w:rsidP="00FD56CC">
            <w:pPr>
              <w:jc w:val="center"/>
              <w:rPr>
                <w:b/>
              </w:rPr>
            </w:pPr>
          </w:p>
        </w:tc>
      </w:tr>
      <w:tr w:rsidR="00154D0D" w14:paraId="30A42849" w14:textId="77777777" w:rsidTr="00FD56CC">
        <w:tc>
          <w:tcPr>
            <w:tcW w:w="1975" w:type="dxa"/>
          </w:tcPr>
          <w:p w14:paraId="02E228D8" w14:textId="77777777" w:rsidR="00154D0D" w:rsidRDefault="00154D0D" w:rsidP="00FD56CC">
            <w:r>
              <w:t>Linda Gervais</w:t>
            </w:r>
          </w:p>
        </w:tc>
        <w:tc>
          <w:tcPr>
            <w:tcW w:w="1620" w:type="dxa"/>
          </w:tcPr>
          <w:p w14:paraId="3945A256" w14:textId="77777777" w:rsidR="00154D0D" w:rsidRDefault="00154D0D" w:rsidP="00FD56CC">
            <w:r>
              <w:t>Avista</w:t>
            </w:r>
          </w:p>
        </w:tc>
        <w:tc>
          <w:tcPr>
            <w:tcW w:w="1620" w:type="dxa"/>
          </w:tcPr>
          <w:p w14:paraId="3F719C1B" w14:textId="77777777" w:rsidR="00154D0D" w:rsidRDefault="00154D0D" w:rsidP="00FD56CC">
            <w:r w:rsidRPr="00200396">
              <w:t>509</w:t>
            </w:r>
            <w:r>
              <w:t>-</w:t>
            </w:r>
            <w:r w:rsidRPr="00200396">
              <w:t>495</w:t>
            </w:r>
            <w:r>
              <w:t>-</w:t>
            </w:r>
            <w:r w:rsidRPr="00200396">
              <w:t>4975</w:t>
            </w:r>
          </w:p>
        </w:tc>
        <w:tc>
          <w:tcPr>
            <w:tcW w:w="3420" w:type="dxa"/>
          </w:tcPr>
          <w:p w14:paraId="047E80A5" w14:textId="77777777" w:rsidR="00154D0D" w:rsidRDefault="00154D0D" w:rsidP="00FD56CC">
            <w:r>
              <w:t>Linda.Gervais@avistacorp.com</w:t>
            </w:r>
          </w:p>
        </w:tc>
        <w:tc>
          <w:tcPr>
            <w:tcW w:w="810" w:type="dxa"/>
          </w:tcPr>
          <w:p w14:paraId="0419DC56" w14:textId="77777777" w:rsidR="00154D0D" w:rsidRPr="00065382" w:rsidRDefault="00154D0D" w:rsidP="00FD56CC">
            <w:pPr>
              <w:jc w:val="center"/>
              <w:rPr>
                <w:b/>
              </w:rPr>
            </w:pPr>
            <w:r>
              <w:rPr>
                <w:rFonts w:cstheme="minorHAnsi"/>
                <w:b/>
              </w:rPr>
              <w:t>√</w:t>
            </w:r>
          </w:p>
        </w:tc>
        <w:tc>
          <w:tcPr>
            <w:tcW w:w="810" w:type="dxa"/>
          </w:tcPr>
          <w:p w14:paraId="6F269107" w14:textId="77777777" w:rsidR="00154D0D" w:rsidRPr="00065382" w:rsidRDefault="00154D0D" w:rsidP="00FD56CC">
            <w:pPr>
              <w:jc w:val="center"/>
              <w:rPr>
                <w:b/>
              </w:rPr>
            </w:pPr>
            <w:r>
              <w:rPr>
                <w:rFonts w:cstheme="minorHAnsi"/>
                <w:b/>
              </w:rPr>
              <w:t>√</w:t>
            </w:r>
          </w:p>
        </w:tc>
        <w:tc>
          <w:tcPr>
            <w:tcW w:w="810" w:type="dxa"/>
          </w:tcPr>
          <w:p w14:paraId="3596A5D1" w14:textId="77777777" w:rsidR="00154D0D" w:rsidRPr="00065382" w:rsidRDefault="00154D0D" w:rsidP="00FD56CC">
            <w:pPr>
              <w:jc w:val="center"/>
              <w:rPr>
                <w:b/>
              </w:rPr>
            </w:pPr>
          </w:p>
        </w:tc>
        <w:tc>
          <w:tcPr>
            <w:tcW w:w="810" w:type="dxa"/>
          </w:tcPr>
          <w:p w14:paraId="6F640888" w14:textId="77777777" w:rsidR="00154D0D" w:rsidRPr="00356C94" w:rsidRDefault="00154D0D" w:rsidP="00FD56CC">
            <w:pPr>
              <w:jc w:val="center"/>
              <w:rPr>
                <w:b/>
              </w:rPr>
            </w:pPr>
          </w:p>
        </w:tc>
        <w:tc>
          <w:tcPr>
            <w:tcW w:w="900" w:type="dxa"/>
          </w:tcPr>
          <w:p w14:paraId="6BA83FCA" w14:textId="77777777" w:rsidR="00154D0D" w:rsidRPr="00065382" w:rsidRDefault="00154D0D" w:rsidP="00FD56CC">
            <w:pPr>
              <w:jc w:val="center"/>
              <w:rPr>
                <w:b/>
              </w:rPr>
            </w:pPr>
          </w:p>
        </w:tc>
      </w:tr>
      <w:tr w:rsidR="00154D0D" w14:paraId="7C9CBACF" w14:textId="77777777" w:rsidTr="00FD56CC">
        <w:tc>
          <w:tcPr>
            <w:tcW w:w="1975" w:type="dxa"/>
          </w:tcPr>
          <w:p w14:paraId="24AA54C2" w14:textId="77777777" w:rsidR="00154D0D" w:rsidRDefault="00154D0D" w:rsidP="00FD56CC">
            <w:r>
              <w:t>John Lyons</w:t>
            </w:r>
          </w:p>
        </w:tc>
        <w:tc>
          <w:tcPr>
            <w:tcW w:w="1620" w:type="dxa"/>
          </w:tcPr>
          <w:p w14:paraId="358260F5" w14:textId="77777777" w:rsidR="00154D0D" w:rsidRDefault="00154D0D" w:rsidP="00FD56CC">
            <w:r>
              <w:t>Avista</w:t>
            </w:r>
          </w:p>
        </w:tc>
        <w:tc>
          <w:tcPr>
            <w:tcW w:w="1620" w:type="dxa"/>
          </w:tcPr>
          <w:p w14:paraId="65CE5F9C" w14:textId="77777777" w:rsidR="00154D0D" w:rsidRDefault="00154D0D" w:rsidP="00FD56CC">
            <w:r>
              <w:t>509-495-</w:t>
            </w:r>
            <w:r w:rsidRPr="001E7065">
              <w:t>8515</w:t>
            </w:r>
          </w:p>
        </w:tc>
        <w:tc>
          <w:tcPr>
            <w:tcW w:w="3420" w:type="dxa"/>
          </w:tcPr>
          <w:p w14:paraId="3936BDE3" w14:textId="77777777" w:rsidR="00154D0D" w:rsidRDefault="00154D0D" w:rsidP="00FD56CC">
            <w:r>
              <w:t>John.lyons@avistacorp.com</w:t>
            </w:r>
          </w:p>
        </w:tc>
        <w:tc>
          <w:tcPr>
            <w:tcW w:w="810" w:type="dxa"/>
          </w:tcPr>
          <w:p w14:paraId="041F7B9E" w14:textId="77777777" w:rsidR="00154D0D" w:rsidRPr="00065382" w:rsidRDefault="00154D0D" w:rsidP="00FD56CC">
            <w:pPr>
              <w:jc w:val="center"/>
              <w:rPr>
                <w:b/>
              </w:rPr>
            </w:pPr>
          </w:p>
        </w:tc>
        <w:tc>
          <w:tcPr>
            <w:tcW w:w="810" w:type="dxa"/>
          </w:tcPr>
          <w:p w14:paraId="46D6212F" w14:textId="77777777" w:rsidR="00154D0D" w:rsidRPr="00065382" w:rsidRDefault="00154D0D" w:rsidP="00FD56CC">
            <w:pPr>
              <w:jc w:val="center"/>
              <w:rPr>
                <w:b/>
              </w:rPr>
            </w:pPr>
            <w:r>
              <w:rPr>
                <w:rFonts w:cstheme="minorHAnsi"/>
                <w:b/>
              </w:rPr>
              <w:t>√</w:t>
            </w:r>
          </w:p>
        </w:tc>
        <w:tc>
          <w:tcPr>
            <w:tcW w:w="810" w:type="dxa"/>
          </w:tcPr>
          <w:p w14:paraId="1FC3D82D" w14:textId="77777777" w:rsidR="00154D0D" w:rsidRPr="00065382" w:rsidRDefault="00154D0D" w:rsidP="00FD56CC">
            <w:pPr>
              <w:jc w:val="center"/>
              <w:rPr>
                <w:b/>
              </w:rPr>
            </w:pPr>
            <w:r>
              <w:rPr>
                <w:rFonts w:cstheme="minorHAnsi"/>
                <w:b/>
              </w:rPr>
              <w:t>√</w:t>
            </w:r>
          </w:p>
        </w:tc>
        <w:tc>
          <w:tcPr>
            <w:tcW w:w="810" w:type="dxa"/>
          </w:tcPr>
          <w:p w14:paraId="3748F07E" w14:textId="77777777" w:rsidR="00154D0D" w:rsidRPr="00356C94" w:rsidRDefault="00154D0D" w:rsidP="00FD56CC">
            <w:pPr>
              <w:jc w:val="center"/>
              <w:rPr>
                <w:b/>
              </w:rPr>
            </w:pPr>
            <w:r w:rsidRPr="00356C94">
              <w:rPr>
                <w:rFonts w:cstheme="minorHAnsi"/>
                <w:b/>
              </w:rPr>
              <w:t>√</w:t>
            </w:r>
          </w:p>
        </w:tc>
        <w:tc>
          <w:tcPr>
            <w:tcW w:w="900" w:type="dxa"/>
          </w:tcPr>
          <w:p w14:paraId="043EE9D1" w14:textId="77777777" w:rsidR="00154D0D" w:rsidRPr="00065382" w:rsidRDefault="00154D0D" w:rsidP="00FD56CC">
            <w:pPr>
              <w:jc w:val="center"/>
              <w:rPr>
                <w:b/>
              </w:rPr>
            </w:pPr>
          </w:p>
        </w:tc>
      </w:tr>
      <w:tr w:rsidR="00154D0D" w14:paraId="1E16FE3A" w14:textId="77777777" w:rsidTr="00FD56CC">
        <w:tc>
          <w:tcPr>
            <w:tcW w:w="1975" w:type="dxa"/>
          </w:tcPr>
          <w:p w14:paraId="23B786C5" w14:textId="77777777" w:rsidR="00154D0D" w:rsidRDefault="00154D0D" w:rsidP="00FD56CC">
            <w:r>
              <w:t>Grant Forsyth</w:t>
            </w:r>
          </w:p>
        </w:tc>
        <w:tc>
          <w:tcPr>
            <w:tcW w:w="1620" w:type="dxa"/>
          </w:tcPr>
          <w:p w14:paraId="52B9F8E0" w14:textId="77777777" w:rsidR="00154D0D" w:rsidRDefault="00154D0D" w:rsidP="00FD56CC">
            <w:r>
              <w:t>Avista</w:t>
            </w:r>
          </w:p>
        </w:tc>
        <w:tc>
          <w:tcPr>
            <w:tcW w:w="1620" w:type="dxa"/>
          </w:tcPr>
          <w:p w14:paraId="438D83E3" w14:textId="77777777" w:rsidR="00154D0D" w:rsidRDefault="00154D0D" w:rsidP="00FD56CC">
            <w:r>
              <w:t>509-495-2764</w:t>
            </w:r>
          </w:p>
        </w:tc>
        <w:tc>
          <w:tcPr>
            <w:tcW w:w="3420" w:type="dxa"/>
          </w:tcPr>
          <w:p w14:paraId="2709857D" w14:textId="77777777" w:rsidR="00154D0D" w:rsidRDefault="00154D0D" w:rsidP="00FD56CC">
            <w:r>
              <w:t>Grant.forsyth@avistacorp.com</w:t>
            </w:r>
          </w:p>
        </w:tc>
        <w:tc>
          <w:tcPr>
            <w:tcW w:w="810" w:type="dxa"/>
          </w:tcPr>
          <w:p w14:paraId="3352E713" w14:textId="77777777" w:rsidR="00154D0D" w:rsidRPr="00065382" w:rsidRDefault="00154D0D" w:rsidP="00FD56CC">
            <w:pPr>
              <w:jc w:val="center"/>
              <w:rPr>
                <w:b/>
              </w:rPr>
            </w:pPr>
          </w:p>
        </w:tc>
        <w:tc>
          <w:tcPr>
            <w:tcW w:w="810" w:type="dxa"/>
          </w:tcPr>
          <w:p w14:paraId="0E779581" w14:textId="77777777" w:rsidR="00154D0D" w:rsidRPr="00065382" w:rsidRDefault="00154D0D" w:rsidP="00FD56CC">
            <w:pPr>
              <w:jc w:val="center"/>
              <w:rPr>
                <w:b/>
              </w:rPr>
            </w:pPr>
            <w:r>
              <w:rPr>
                <w:rFonts w:cstheme="minorHAnsi"/>
                <w:b/>
              </w:rPr>
              <w:t>√</w:t>
            </w:r>
          </w:p>
        </w:tc>
        <w:tc>
          <w:tcPr>
            <w:tcW w:w="810" w:type="dxa"/>
          </w:tcPr>
          <w:p w14:paraId="1CAF21EC" w14:textId="77777777" w:rsidR="00154D0D" w:rsidRPr="00065382" w:rsidRDefault="00154D0D" w:rsidP="00FD56CC">
            <w:pPr>
              <w:jc w:val="center"/>
              <w:rPr>
                <w:b/>
              </w:rPr>
            </w:pPr>
            <w:r>
              <w:rPr>
                <w:rFonts w:cstheme="minorHAnsi"/>
                <w:b/>
              </w:rPr>
              <w:t>√</w:t>
            </w:r>
          </w:p>
        </w:tc>
        <w:tc>
          <w:tcPr>
            <w:tcW w:w="810" w:type="dxa"/>
          </w:tcPr>
          <w:p w14:paraId="05B52D16" w14:textId="77777777" w:rsidR="00154D0D" w:rsidRPr="00356C94" w:rsidRDefault="00154D0D" w:rsidP="00FD56CC">
            <w:pPr>
              <w:jc w:val="center"/>
              <w:rPr>
                <w:b/>
              </w:rPr>
            </w:pPr>
            <w:r w:rsidRPr="00356C94">
              <w:rPr>
                <w:rFonts w:cstheme="minorHAnsi"/>
                <w:b/>
              </w:rPr>
              <w:t>√</w:t>
            </w:r>
          </w:p>
        </w:tc>
        <w:tc>
          <w:tcPr>
            <w:tcW w:w="900" w:type="dxa"/>
          </w:tcPr>
          <w:p w14:paraId="128F4A03" w14:textId="77777777" w:rsidR="00154D0D" w:rsidRPr="00065382" w:rsidRDefault="00154D0D" w:rsidP="00FD56CC">
            <w:pPr>
              <w:jc w:val="center"/>
              <w:rPr>
                <w:b/>
              </w:rPr>
            </w:pPr>
          </w:p>
        </w:tc>
      </w:tr>
      <w:tr w:rsidR="00154D0D" w14:paraId="76C41316" w14:textId="77777777" w:rsidTr="00FD56CC">
        <w:tc>
          <w:tcPr>
            <w:tcW w:w="1975" w:type="dxa"/>
          </w:tcPr>
          <w:p w14:paraId="7323C631" w14:textId="77777777" w:rsidR="00154D0D" w:rsidRDefault="00154D0D" w:rsidP="00FD56CC"/>
        </w:tc>
        <w:tc>
          <w:tcPr>
            <w:tcW w:w="1620" w:type="dxa"/>
          </w:tcPr>
          <w:p w14:paraId="3E773ECF" w14:textId="77777777" w:rsidR="00154D0D" w:rsidRDefault="00154D0D" w:rsidP="00FD56CC"/>
        </w:tc>
        <w:tc>
          <w:tcPr>
            <w:tcW w:w="1620" w:type="dxa"/>
          </w:tcPr>
          <w:p w14:paraId="7FB17286" w14:textId="77777777" w:rsidR="00154D0D" w:rsidRDefault="00154D0D" w:rsidP="00FD56CC"/>
        </w:tc>
        <w:tc>
          <w:tcPr>
            <w:tcW w:w="3420" w:type="dxa"/>
          </w:tcPr>
          <w:p w14:paraId="55836B06" w14:textId="77777777" w:rsidR="00154D0D" w:rsidRDefault="00154D0D" w:rsidP="00FD56CC"/>
        </w:tc>
        <w:tc>
          <w:tcPr>
            <w:tcW w:w="810" w:type="dxa"/>
          </w:tcPr>
          <w:p w14:paraId="2DADB832" w14:textId="77777777" w:rsidR="00154D0D" w:rsidRPr="00065382" w:rsidRDefault="00154D0D" w:rsidP="00FD56CC">
            <w:pPr>
              <w:jc w:val="center"/>
              <w:rPr>
                <w:b/>
              </w:rPr>
            </w:pPr>
          </w:p>
        </w:tc>
        <w:tc>
          <w:tcPr>
            <w:tcW w:w="810" w:type="dxa"/>
          </w:tcPr>
          <w:p w14:paraId="7C802908" w14:textId="77777777" w:rsidR="00154D0D" w:rsidRPr="00065382" w:rsidRDefault="00154D0D" w:rsidP="00FD56CC">
            <w:pPr>
              <w:jc w:val="center"/>
              <w:rPr>
                <w:b/>
              </w:rPr>
            </w:pPr>
          </w:p>
        </w:tc>
        <w:tc>
          <w:tcPr>
            <w:tcW w:w="810" w:type="dxa"/>
          </w:tcPr>
          <w:p w14:paraId="5BB31410" w14:textId="77777777" w:rsidR="00154D0D" w:rsidRPr="00065382" w:rsidRDefault="00154D0D" w:rsidP="00FD56CC">
            <w:pPr>
              <w:jc w:val="center"/>
              <w:rPr>
                <w:b/>
              </w:rPr>
            </w:pPr>
          </w:p>
        </w:tc>
        <w:tc>
          <w:tcPr>
            <w:tcW w:w="810" w:type="dxa"/>
          </w:tcPr>
          <w:p w14:paraId="001582E8" w14:textId="77777777" w:rsidR="00154D0D" w:rsidRPr="00356C94" w:rsidRDefault="00154D0D" w:rsidP="00FD56CC">
            <w:pPr>
              <w:jc w:val="center"/>
              <w:rPr>
                <w:b/>
              </w:rPr>
            </w:pPr>
          </w:p>
        </w:tc>
        <w:tc>
          <w:tcPr>
            <w:tcW w:w="900" w:type="dxa"/>
          </w:tcPr>
          <w:p w14:paraId="544BB0A2" w14:textId="77777777" w:rsidR="00154D0D" w:rsidRPr="00065382" w:rsidRDefault="00154D0D" w:rsidP="00FD56CC">
            <w:pPr>
              <w:jc w:val="center"/>
              <w:rPr>
                <w:b/>
              </w:rPr>
            </w:pPr>
          </w:p>
        </w:tc>
      </w:tr>
      <w:tr w:rsidR="00154D0D" w14:paraId="03ACA529" w14:textId="77777777" w:rsidTr="00FD56CC">
        <w:tc>
          <w:tcPr>
            <w:tcW w:w="1975" w:type="dxa"/>
          </w:tcPr>
          <w:p w14:paraId="5B1D3178" w14:textId="77777777" w:rsidR="00154D0D" w:rsidRDefault="00154D0D" w:rsidP="00FD56CC">
            <w:r>
              <w:t>Eric Englert</w:t>
            </w:r>
          </w:p>
        </w:tc>
        <w:tc>
          <w:tcPr>
            <w:tcW w:w="1620" w:type="dxa"/>
          </w:tcPr>
          <w:p w14:paraId="09FFB9D0" w14:textId="77777777" w:rsidR="00154D0D" w:rsidRDefault="00154D0D" w:rsidP="00FD56CC">
            <w:r>
              <w:t>PSE</w:t>
            </w:r>
          </w:p>
        </w:tc>
        <w:tc>
          <w:tcPr>
            <w:tcW w:w="1620" w:type="dxa"/>
          </w:tcPr>
          <w:p w14:paraId="328825A6" w14:textId="77777777" w:rsidR="00154D0D" w:rsidRDefault="00154D0D" w:rsidP="00FD56CC">
            <w:r w:rsidRPr="00E5219B">
              <w:t>425</w:t>
            </w:r>
            <w:r>
              <w:t>-</w:t>
            </w:r>
            <w:r w:rsidRPr="00E5219B">
              <w:t>456</w:t>
            </w:r>
            <w:r>
              <w:t>-</w:t>
            </w:r>
            <w:r w:rsidRPr="00E5219B">
              <w:t>2312</w:t>
            </w:r>
          </w:p>
        </w:tc>
        <w:tc>
          <w:tcPr>
            <w:tcW w:w="3420" w:type="dxa"/>
          </w:tcPr>
          <w:p w14:paraId="2C1916EA" w14:textId="77777777" w:rsidR="00154D0D" w:rsidRDefault="00154D0D" w:rsidP="00FD56CC">
            <w:r w:rsidRPr="006F60EF">
              <w:t>eric.englert@pse.com</w:t>
            </w:r>
          </w:p>
        </w:tc>
        <w:tc>
          <w:tcPr>
            <w:tcW w:w="810" w:type="dxa"/>
          </w:tcPr>
          <w:p w14:paraId="5990DF08" w14:textId="77777777" w:rsidR="00154D0D" w:rsidRPr="00065382" w:rsidRDefault="00154D0D" w:rsidP="00FD56CC">
            <w:pPr>
              <w:jc w:val="center"/>
              <w:rPr>
                <w:b/>
              </w:rPr>
            </w:pPr>
            <w:r>
              <w:rPr>
                <w:rFonts w:cstheme="minorHAnsi"/>
                <w:b/>
              </w:rPr>
              <w:t>√</w:t>
            </w:r>
          </w:p>
        </w:tc>
        <w:tc>
          <w:tcPr>
            <w:tcW w:w="810" w:type="dxa"/>
          </w:tcPr>
          <w:p w14:paraId="25C90F73" w14:textId="77777777" w:rsidR="00154D0D" w:rsidRPr="00065382" w:rsidRDefault="00154D0D" w:rsidP="00FD56CC">
            <w:pPr>
              <w:jc w:val="center"/>
              <w:rPr>
                <w:b/>
              </w:rPr>
            </w:pPr>
          </w:p>
        </w:tc>
        <w:tc>
          <w:tcPr>
            <w:tcW w:w="810" w:type="dxa"/>
          </w:tcPr>
          <w:p w14:paraId="2D626494" w14:textId="77777777" w:rsidR="00154D0D" w:rsidRPr="00065382" w:rsidRDefault="00154D0D" w:rsidP="00FD56CC">
            <w:pPr>
              <w:jc w:val="center"/>
              <w:rPr>
                <w:b/>
              </w:rPr>
            </w:pPr>
          </w:p>
        </w:tc>
        <w:tc>
          <w:tcPr>
            <w:tcW w:w="810" w:type="dxa"/>
          </w:tcPr>
          <w:p w14:paraId="32B94547" w14:textId="77777777" w:rsidR="00154D0D" w:rsidRPr="00356C94" w:rsidRDefault="00154D0D" w:rsidP="00FD56CC">
            <w:pPr>
              <w:jc w:val="center"/>
              <w:rPr>
                <w:b/>
              </w:rPr>
            </w:pPr>
            <w:r w:rsidRPr="00356C94">
              <w:rPr>
                <w:rFonts w:cstheme="minorHAnsi"/>
                <w:b/>
              </w:rPr>
              <w:t>√</w:t>
            </w:r>
          </w:p>
        </w:tc>
        <w:tc>
          <w:tcPr>
            <w:tcW w:w="900" w:type="dxa"/>
          </w:tcPr>
          <w:p w14:paraId="08A38186" w14:textId="77777777" w:rsidR="00154D0D" w:rsidRPr="00065382" w:rsidRDefault="00154D0D" w:rsidP="00FD56CC">
            <w:pPr>
              <w:jc w:val="center"/>
              <w:rPr>
                <w:b/>
              </w:rPr>
            </w:pPr>
          </w:p>
        </w:tc>
      </w:tr>
      <w:tr w:rsidR="00154D0D" w14:paraId="588ABA56" w14:textId="77777777" w:rsidTr="00FD56CC">
        <w:tc>
          <w:tcPr>
            <w:tcW w:w="1975" w:type="dxa"/>
          </w:tcPr>
          <w:p w14:paraId="1148C135" w14:textId="77777777" w:rsidR="00154D0D" w:rsidRDefault="00154D0D" w:rsidP="00FD56CC">
            <w:r>
              <w:t>Nate Hill</w:t>
            </w:r>
          </w:p>
        </w:tc>
        <w:tc>
          <w:tcPr>
            <w:tcW w:w="1620" w:type="dxa"/>
          </w:tcPr>
          <w:p w14:paraId="2F28C148" w14:textId="77777777" w:rsidR="00154D0D" w:rsidRDefault="00154D0D" w:rsidP="00FD56CC">
            <w:r>
              <w:t>PSE</w:t>
            </w:r>
          </w:p>
        </w:tc>
        <w:tc>
          <w:tcPr>
            <w:tcW w:w="1620" w:type="dxa"/>
          </w:tcPr>
          <w:p w14:paraId="498BB562" w14:textId="77777777" w:rsidR="00154D0D" w:rsidRDefault="00154D0D" w:rsidP="00FD56CC">
            <w:pPr>
              <w:pStyle w:val="PlainText"/>
            </w:pPr>
            <w:r>
              <w:t>425-457-5524</w:t>
            </w:r>
          </w:p>
        </w:tc>
        <w:tc>
          <w:tcPr>
            <w:tcW w:w="3420" w:type="dxa"/>
          </w:tcPr>
          <w:p w14:paraId="0FBA3C5B" w14:textId="77777777" w:rsidR="00154D0D" w:rsidRDefault="00154D0D" w:rsidP="00FD56CC">
            <w:pPr>
              <w:pStyle w:val="PlainText"/>
            </w:pPr>
            <w:r w:rsidRPr="0067713D">
              <w:t>nathan.hill@pse.com</w:t>
            </w:r>
          </w:p>
        </w:tc>
        <w:tc>
          <w:tcPr>
            <w:tcW w:w="810" w:type="dxa"/>
          </w:tcPr>
          <w:p w14:paraId="76AA3B08" w14:textId="77777777" w:rsidR="00154D0D" w:rsidRPr="00065382" w:rsidRDefault="00154D0D" w:rsidP="00FD56CC">
            <w:pPr>
              <w:jc w:val="center"/>
              <w:rPr>
                <w:b/>
              </w:rPr>
            </w:pPr>
            <w:r>
              <w:rPr>
                <w:rFonts w:cstheme="minorHAnsi"/>
                <w:b/>
              </w:rPr>
              <w:t>√</w:t>
            </w:r>
          </w:p>
        </w:tc>
        <w:tc>
          <w:tcPr>
            <w:tcW w:w="810" w:type="dxa"/>
          </w:tcPr>
          <w:p w14:paraId="7BA7A926" w14:textId="77777777" w:rsidR="00154D0D" w:rsidRPr="00065382" w:rsidRDefault="00154D0D" w:rsidP="00FD56CC">
            <w:pPr>
              <w:jc w:val="center"/>
              <w:rPr>
                <w:b/>
              </w:rPr>
            </w:pPr>
            <w:r>
              <w:rPr>
                <w:rFonts w:cstheme="minorHAnsi"/>
                <w:b/>
              </w:rPr>
              <w:t>√</w:t>
            </w:r>
          </w:p>
        </w:tc>
        <w:tc>
          <w:tcPr>
            <w:tcW w:w="810" w:type="dxa"/>
          </w:tcPr>
          <w:p w14:paraId="6A1111C3" w14:textId="77777777" w:rsidR="00154D0D" w:rsidRPr="00065382" w:rsidRDefault="00154D0D" w:rsidP="00FD56CC">
            <w:pPr>
              <w:jc w:val="center"/>
              <w:rPr>
                <w:b/>
              </w:rPr>
            </w:pPr>
          </w:p>
        </w:tc>
        <w:tc>
          <w:tcPr>
            <w:tcW w:w="810" w:type="dxa"/>
          </w:tcPr>
          <w:p w14:paraId="2BE34287" w14:textId="77777777" w:rsidR="00154D0D" w:rsidRPr="00356C94" w:rsidRDefault="00154D0D" w:rsidP="00FD56CC">
            <w:pPr>
              <w:jc w:val="center"/>
              <w:rPr>
                <w:b/>
              </w:rPr>
            </w:pPr>
            <w:r w:rsidRPr="00356C94">
              <w:rPr>
                <w:rFonts w:cstheme="minorHAnsi"/>
                <w:b/>
              </w:rPr>
              <w:t>√</w:t>
            </w:r>
          </w:p>
        </w:tc>
        <w:tc>
          <w:tcPr>
            <w:tcW w:w="900" w:type="dxa"/>
          </w:tcPr>
          <w:p w14:paraId="487C02F8" w14:textId="77777777" w:rsidR="00154D0D" w:rsidRPr="00065382" w:rsidRDefault="00154D0D" w:rsidP="00FD56CC">
            <w:pPr>
              <w:jc w:val="center"/>
              <w:rPr>
                <w:b/>
              </w:rPr>
            </w:pPr>
          </w:p>
        </w:tc>
      </w:tr>
      <w:tr w:rsidR="00154D0D" w14:paraId="2868AEC6" w14:textId="77777777" w:rsidTr="00FD56CC">
        <w:tc>
          <w:tcPr>
            <w:tcW w:w="1975" w:type="dxa"/>
          </w:tcPr>
          <w:p w14:paraId="5D1B51B4" w14:textId="77777777" w:rsidR="00154D0D" w:rsidRDefault="00154D0D" w:rsidP="00FD56CC"/>
        </w:tc>
        <w:tc>
          <w:tcPr>
            <w:tcW w:w="1620" w:type="dxa"/>
          </w:tcPr>
          <w:p w14:paraId="7C1A45C5" w14:textId="77777777" w:rsidR="00154D0D" w:rsidRDefault="00154D0D" w:rsidP="00FD56CC"/>
        </w:tc>
        <w:tc>
          <w:tcPr>
            <w:tcW w:w="1620" w:type="dxa"/>
          </w:tcPr>
          <w:p w14:paraId="16F39F8A" w14:textId="77777777" w:rsidR="00154D0D" w:rsidRDefault="00154D0D" w:rsidP="00FD56CC"/>
        </w:tc>
        <w:tc>
          <w:tcPr>
            <w:tcW w:w="3420" w:type="dxa"/>
          </w:tcPr>
          <w:p w14:paraId="1B3C261C" w14:textId="77777777" w:rsidR="00154D0D" w:rsidRDefault="00154D0D" w:rsidP="00FD56CC"/>
        </w:tc>
        <w:tc>
          <w:tcPr>
            <w:tcW w:w="810" w:type="dxa"/>
          </w:tcPr>
          <w:p w14:paraId="6D8EC3C1" w14:textId="77777777" w:rsidR="00154D0D" w:rsidRPr="00065382" w:rsidRDefault="00154D0D" w:rsidP="00FD56CC">
            <w:pPr>
              <w:jc w:val="center"/>
              <w:rPr>
                <w:b/>
              </w:rPr>
            </w:pPr>
          </w:p>
        </w:tc>
        <w:tc>
          <w:tcPr>
            <w:tcW w:w="810" w:type="dxa"/>
          </w:tcPr>
          <w:p w14:paraId="18F8BD2D" w14:textId="77777777" w:rsidR="00154D0D" w:rsidRPr="00065382" w:rsidRDefault="00154D0D" w:rsidP="00FD56CC">
            <w:pPr>
              <w:jc w:val="center"/>
              <w:rPr>
                <w:b/>
              </w:rPr>
            </w:pPr>
          </w:p>
        </w:tc>
        <w:tc>
          <w:tcPr>
            <w:tcW w:w="810" w:type="dxa"/>
          </w:tcPr>
          <w:p w14:paraId="197E16C8" w14:textId="77777777" w:rsidR="00154D0D" w:rsidRPr="00065382" w:rsidRDefault="00154D0D" w:rsidP="00FD56CC">
            <w:pPr>
              <w:jc w:val="center"/>
              <w:rPr>
                <w:b/>
              </w:rPr>
            </w:pPr>
          </w:p>
        </w:tc>
        <w:tc>
          <w:tcPr>
            <w:tcW w:w="810" w:type="dxa"/>
          </w:tcPr>
          <w:p w14:paraId="153CA950" w14:textId="77777777" w:rsidR="00154D0D" w:rsidRPr="00356C94" w:rsidRDefault="00154D0D" w:rsidP="00FD56CC">
            <w:pPr>
              <w:jc w:val="center"/>
              <w:rPr>
                <w:b/>
              </w:rPr>
            </w:pPr>
          </w:p>
        </w:tc>
        <w:tc>
          <w:tcPr>
            <w:tcW w:w="900" w:type="dxa"/>
          </w:tcPr>
          <w:p w14:paraId="53380D72" w14:textId="77777777" w:rsidR="00154D0D" w:rsidRPr="00065382" w:rsidRDefault="00154D0D" w:rsidP="00FD56CC">
            <w:pPr>
              <w:jc w:val="center"/>
              <w:rPr>
                <w:b/>
              </w:rPr>
            </w:pPr>
          </w:p>
        </w:tc>
      </w:tr>
      <w:tr w:rsidR="00154D0D" w14:paraId="77515708" w14:textId="77777777" w:rsidTr="00FD56CC">
        <w:tc>
          <w:tcPr>
            <w:tcW w:w="1975" w:type="dxa"/>
          </w:tcPr>
          <w:p w14:paraId="5305AC08" w14:textId="77777777" w:rsidR="00154D0D" w:rsidRDefault="00154D0D" w:rsidP="00FD56CC">
            <w:r>
              <w:t>Joni Bosh</w:t>
            </w:r>
          </w:p>
        </w:tc>
        <w:tc>
          <w:tcPr>
            <w:tcW w:w="1620" w:type="dxa"/>
          </w:tcPr>
          <w:p w14:paraId="1BA5A166" w14:textId="77777777" w:rsidR="00154D0D" w:rsidRDefault="00154D0D" w:rsidP="00FD56CC">
            <w:r>
              <w:t>NW Energy Col.</w:t>
            </w:r>
          </w:p>
        </w:tc>
        <w:tc>
          <w:tcPr>
            <w:tcW w:w="1620" w:type="dxa"/>
          </w:tcPr>
          <w:p w14:paraId="3C2D8E83" w14:textId="77777777" w:rsidR="00154D0D" w:rsidRDefault="00154D0D" w:rsidP="00FD56CC">
            <w:r w:rsidRPr="00E5219B">
              <w:t>(206) 621-0094</w:t>
            </w:r>
          </w:p>
        </w:tc>
        <w:tc>
          <w:tcPr>
            <w:tcW w:w="3420" w:type="dxa"/>
          </w:tcPr>
          <w:p w14:paraId="3AC103DE" w14:textId="77777777" w:rsidR="00154D0D" w:rsidRDefault="00154D0D" w:rsidP="00FD56CC">
            <w:r w:rsidRPr="006F60EF">
              <w:t>joni@nwenergy.org</w:t>
            </w:r>
          </w:p>
        </w:tc>
        <w:tc>
          <w:tcPr>
            <w:tcW w:w="810" w:type="dxa"/>
          </w:tcPr>
          <w:p w14:paraId="19BE320B" w14:textId="77777777" w:rsidR="00154D0D" w:rsidRPr="00065382" w:rsidRDefault="00154D0D" w:rsidP="00FD56CC">
            <w:pPr>
              <w:jc w:val="center"/>
              <w:rPr>
                <w:b/>
              </w:rPr>
            </w:pPr>
            <w:r>
              <w:rPr>
                <w:rFonts w:cstheme="minorHAnsi"/>
                <w:b/>
              </w:rPr>
              <w:t>√</w:t>
            </w:r>
          </w:p>
        </w:tc>
        <w:tc>
          <w:tcPr>
            <w:tcW w:w="810" w:type="dxa"/>
          </w:tcPr>
          <w:p w14:paraId="30929408" w14:textId="77777777" w:rsidR="00154D0D" w:rsidRPr="00065382" w:rsidRDefault="00154D0D" w:rsidP="00FD56CC">
            <w:pPr>
              <w:jc w:val="center"/>
              <w:rPr>
                <w:b/>
              </w:rPr>
            </w:pPr>
          </w:p>
        </w:tc>
        <w:tc>
          <w:tcPr>
            <w:tcW w:w="810" w:type="dxa"/>
          </w:tcPr>
          <w:p w14:paraId="0245CE0D" w14:textId="77777777" w:rsidR="00154D0D" w:rsidRPr="00065382" w:rsidRDefault="00154D0D" w:rsidP="00FD56CC">
            <w:pPr>
              <w:jc w:val="center"/>
              <w:rPr>
                <w:b/>
              </w:rPr>
            </w:pPr>
          </w:p>
        </w:tc>
        <w:tc>
          <w:tcPr>
            <w:tcW w:w="810" w:type="dxa"/>
          </w:tcPr>
          <w:p w14:paraId="4AFE85B7" w14:textId="77777777" w:rsidR="00154D0D" w:rsidRPr="00356C94" w:rsidRDefault="00154D0D" w:rsidP="00FD56CC">
            <w:pPr>
              <w:jc w:val="center"/>
              <w:rPr>
                <w:b/>
              </w:rPr>
            </w:pPr>
            <w:r w:rsidRPr="00356C94">
              <w:rPr>
                <w:rFonts w:cstheme="minorHAnsi"/>
                <w:b/>
              </w:rPr>
              <w:t>√</w:t>
            </w:r>
          </w:p>
        </w:tc>
        <w:tc>
          <w:tcPr>
            <w:tcW w:w="900" w:type="dxa"/>
          </w:tcPr>
          <w:p w14:paraId="215C91C8" w14:textId="77777777" w:rsidR="00154D0D" w:rsidRPr="00065382" w:rsidRDefault="00154D0D" w:rsidP="00FD56CC">
            <w:pPr>
              <w:jc w:val="center"/>
              <w:rPr>
                <w:b/>
              </w:rPr>
            </w:pPr>
          </w:p>
        </w:tc>
      </w:tr>
      <w:tr w:rsidR="00154D0D" w14:paraId="6E4E721C" w14:textId="77777777" w:rsidTr="00FD56CC">
        <w:tc>
          <w:tcPr>
            <w:tcW w:w="1975" w:type="dxa"/>
          </w:tcPr>
          <w:p w14:paraId="0684C2A6" w14:textId="77777777" w:rsidR="00154D0D" w:rsidRPr="004C2A75" w:rsidRDefault="00154D0D" w:rsidP="00FD56CC">
            <w:r>
              <w:t>Dina Dubson-Kelley</w:t>
            </w:r>
          </w:p>
        </w:tc>
        <w:tc>
          <w:tcPr>
            <w:tcW w:w="1620" w:type="dxa"/>
          </w:tcPr>
          <w:p w14:paraId="2E2C0DC8" w14:textId="77777777" w:rsidR="00154D0D" w:rsidRDefault="00154D0D" w:rsidP="00FD56CC">
            <w:r>
              <w:t>Renewable NW</w:t>
            </w:r>
          </w:p>
        </w:tc>
        <w:tc>
          <w:tcPr>
            <w:tcW w:w="1620" w:type="dxa"/>
          </w:tcPr>
          <w:p w14:paraId="6B198353" w14:textId="77777777" w:rsidR="00154D0D" w:rsidRDefault="00154D0D" w:rsidP="00FD56CC">
            <w:r w:rsidRPr="00B6052D">
              <w:t xml:space="preserve">971-634-0149  </w:t>
            </w:r>
          </w:p>
        </w:tc>
        <w:tc>
          <w:tcPr>
            <w:tcW w:w="3420" w:type="dxa"/>
          </w:tcPr>
          <w:p w14:paraId="4CD006E8" w14:textId="77777777" w:rsidR="00154D0D" w:rsidRDefault="00154D0D" w:rsidP="00FD56CC">
            <w:r>
              <w:t>dina@renewablenw.org</w:t>
            </w:r>
          </w:p>
        </w:tc>
        <w:tc>
          <w:tcPr>
            <w:tcW w:w="810" w:type="dxa"/>
          </w:tcPr>
          <w:p w14:paraId="63A5C094" w14:textId="77777777" w:rsidR="00154D0D" w:rsidRPr="00065382" w:rsidRDefault="00154D0D" w:rsidP="00FD56CC">
            <w:pPr>
              <w:jc w:val="center"/>
              <w:rPr>
                <w:b/>
              </w:rPr>
            </w:pPr>
          </w:p>
        </w:tc>
        <w:tc>
          <w:tcPr>
            <w:tcW w:w="810" w:type="dxa"/>
          </w:tcPr>
          <w:p w14:paraId="68D9E6D9" w14:textId="77777777" w:rsidR="00154D0D" w:rsidRPr="00065382" w:rsidRDefault="00154D0D" w:rsidP="00FD56CC">
            <w:pPr>
              <w:jc w:val="center"/>
              <w:rPr>
                <w:b/>
              </w:rPr>
            </w:pPr>
            <w:r>
              <w:rPr>
                <w:rFonts w:cstheme="minorHAnsi"/>
                <w:b/>
              </w:rPr>
              <w:t>√</w:t>
            </w:r>
          </w:p>
        </w:tc>
        <w:tc>
          <w:tcPr>
            <w:tcW w:w="810" w:type="dxa"/>
          </w:tcPr>
          <w:p w14:paraId="0A7A010E" w14:textId="77777777" w:rsidR="00154D0D" w:rsidRPr="00065382" w:rsidRDefault="00154D0D" w:rsidP="00FD56CC">
            <w:pPr>
              <w:jc w:val="center"/>
              <w:rPr>
                <w:b/>
              </w:rPr>
            </w:pPr>
          </w:p>
        </w:tc>
        <w:tc>
          <w:tcPr>
            <w:tcW w:w="810" w:type="dxa"/>
          </w:tcPr>
          <w:p w14:paraId="058730FC" w14:textId="77777777" w:rsidR="00154D0D" w:rsidRPr="00356C94" w:rsidRDefault="00154D0D" w:rsidP="00FD56CC">
            <w:pPr>
              <w:jc w:val="center"/>
              <w:rPr>
                <w:b/>
              </w:rPr>
            </w:pPr>
          </w:p>
        </w:tc>
        <w:tc>
          <w:tcPr>
            <w:tcW w:w="900" w:type="dxa"/>
          </w:tcPr>
          <w:p w14:paraId="2E6EDE2F" w14:textId="77777777" w:rsidR="00154D0D" w:rsidRPr="00065382" w:rsidRDefault="00154D0D" w:rsidP="00FD56CC">
            <w:pPr>
              <w:jc w:val="center"/>
              <w:rPr>
                <w:b/>
              </w:rPr>
            </w:pPr>
          </w:p>
        </w:tc>
      </w:tr>
      <w:tr w:rsidR="00154D0D" w14:paraId="529F3394" w14:textId="77777777" w:rsidTr="00FD56CC">
        <w:trPr>
          <w:trHeight w:val="263"/>
        </w:trPr>
        <w:tc>
          <w:tcPr>
            <w:tcW w:w="1975" w:type="dxa"/>
          </w:tcPr>
          <w:p w14:paraId="527C8F7C" w14:textId="77777777" w:rsidR="00154D0D" w:rsidRDefault="00154D0D" w:rsidP="00FD56CC">
            <w:r>
              <w:t>Kelly Hall</w:t>
            </w:r>
          </w:p>
        </w:tc>
        <w:tc>
          <w:tcPr>
            <w:tcW w:w="1620" w:type="dxa"/>
          </w:tcPr>
          <w:p w14:paraId="0F9976DE" w14:textId="77777777" w:rsidR="00154D0D" w:rsidRDefault="00154D0D" w:rsidP="00FD56CC">
            <w:r>
              <w:t>Renewable NW</w:t>
            </w:r>
          </w:p>
        </w:tc>
        <w:tc>
          <w:tcPr>
            <w:tcW w:w="1620" w:type="dxa"/>
          </w:tcPr>
          <w:p w14:paraId="0D71EEEE" w14:textId="77777777" w:rsidR="00154D0D" w:rsidRDefault="00154D0D" w:rsidP="00FD56CC">
            <w:r w:rsidRPr="00CA66CD">
              <w:t>(317) 908-4716</w:t>
            </w:r>
          </w:p>
        </w:tc>
        <w:tc>
          <w:tcPr>
            <w:tcW w:w="3420" w:type="dxa"/>
          </w:tcPr>
          <w:p w14:paraId="66E7D07D" w14:textId="77777777" w:rsidR="00154D0D" w:rsidRDefault="00154D0D" w:rsidP="00FD56CC">
            <w:r>
              <w:t>Kelly@renewablenw.org</w:t>
            </w:r>
          </w:p>
        </w:tc>
        <w:tc>
          <w:tcPr>
            <w:tcW w:w="810" w:type="dxa"/>
          </w:tcPr>
          <w:p w14:paraId="663635CE" w14:textId="77777777" w:rsidR="00154D0D" w:rsidRPr="00065382" w:rsidRDefault="00154D0D" w:rsidP="00FD56CC">
            <w:pPr>
              <w:jc w:val="center"/>
              <w:rPr>
                <w:b/>
              </w:rPr>
            </w:pPr>
            <w:r>
              <w:rPr>
                <w:rFonts w:cstheme="minorHAnsi"/>
                <w:b/>
              </w:rPr>
              <w:t>√</w:t>
            </w:r>
          </w:p>
        </w:tc>
        <w:tc>
          <w:tcPr>
            <w:tcW w:w="810" w:type="dxa"/>
          </w:tcPr>
          <w:p w14:paraId="48BB1D57" w14:textId="77777777" w:rsidR="00154D0D" w:rsidRPr="00065382" w:rsidRDefault="00154D0D" w:rsidP="00FD56CC">
            <w:pPr>
              <w:jc w:val="center"/>
              <w:rPr>
                <w:b/>
              </w:rPr>
            </w:pPr>
          </w:p>
        </w:tc>
        <w:tc>
          <w:tcPr>
            <w:tcW w:w="810" w:type="dxa"/>
          </w:tcPr>
          <w:p w14:paraId="4D6175F6" w14:textId="77777777" w:rsidR="00154D0D" w:rsidRPr="00065382" w:rsidRDefault="00154D0D" w:rsidP="00FD56CC">
            <w:pPr>
              <w:jc w:val="center"/>
              <w:rPr>
                <w:b/>
              </w:rPr>
            </w:pPr>
          </w:p>
        </w:tc>
        <w:tc>
          <w:tcPr>
            <w:tcW w:w="810" w:type="dxa"/>
          </w:tcPr>
          <w:p w14:paraId="2EF732AA" w14:textId="77777777" w:rsidR="00154D0D" w:rsidRPr="00356C94" w:rsidRDefault="00154D0D" w:rsidP="00FD56CC">
            <w:pPr>
              <w:jc w:val="center"/>
              <w:rPr>
                <w:b/>
              </w:rPr>
            </w:pPr>
            <w:r w:rsidRPr="00356C94">
              <w:rPr>
                <w:rFonts w:cstheme="minorHAnsi"/>
                <w:b/>
              </w:rPr>
              <w:t>√</w:t>
            </w:r>
          </w:p>
        </w:tc>
        <w:tc>
          <w:tcPr>
            <w:tcW w:w="900" w:type="dxa"/>
          </w:tcPr>
          <w:p w14:paraId="5C5F647F" w14:textId="77777777" w:rsidR="00154D0D" w:rsidRPr="00065382" w:rsidRDefault="00154D0D" w:rsidP="00FD56CC">
            <w:pPr>
              <w:jc w:val="center"/>
              <w:rPr>
                <w:b/>
              </w:rPr>
            </w:pPr>
          </w:p>
        </w:tc>
      </w:tr>
      <w:tr w:rsidR="00154D0D" w14:paraId="26001EB3" w14:textId="77777777" w:rsidTr="00FD56CC">
        <w:tc>
          <w:tcPr>
            <w:tcW w:w="1975" w:type="dxa"/>
          </w:tcPr>
          <w:p w14:paraId="408A8DA2" w14:textId="77777777" w:rsidR="00154D0D" w:rsidRDefault="00154D0D" w:rsidP="00FD56CC">
            <w:r>
              <w:t>Mary Kimball</w:t>
            </w:r>
          </w:p>
        </w:tc>
        <w:tc>
          <w:tcPr>
            <w:tcW w:w="1620" w:type="dxa"/>
          </w:tcPr>
          <w:p w14:paraId="1E6843AA" w14:textId="77777777" w:rsidR="00154D0D" w:rsidRDefault="00154D0D" w:rsidP="00FD56CC">
            <w:r>
              <w:t>Public Counsel</w:t>
            </w:r>
          </w:p>
        </w:tc>
        <w:tc>
          <w:tcPr>
            <w:tcW w:w="1620" w:type="dxa"/>
          </w:tcPr>
          <w:p w14:paraId="20F892FF" w14:textId="77777777" w:rsidR="00154D0D" w:rsidRDefault="00154D0D" w:rsidP="00FD56CC">
            <w:r w:rsidRPr="00E5219B">
              <w:t>206.389.2529</w:t>
            </w:r>
          </w:p>
        </w:tc>
        <w:tc>
          <w:tcPr>
            <w:tcW w:w="3420" w:type="dxa"/>
          </w:tcPr>
          <w:p w14:paraId="7B2C09FD" w14:textId="77777777" w:rsidR="00154D0D" w:rsidRDefault="00154D0D" w:rsidP="00FD56CC">
            <w:r w:rsidRPr="006F60EF">
              <w:t>MaryK2@ATG.WA.GOV</w:t>
            </w:r>
          </w:p>
        </w:tc>
        <w:tc>
          <w:tcPr>
            <w:tcW w:w="810" w:type="dxa"/>
          </w:tcPr>
          <w:p w14:paraId="63882871" w14:textId="77777777" w:rsidR="00154D0D" w:rsidRPr="00065382" w:rsidRDefault="00154D0D" w:rsidP="00FD56CC">
            <w:pPr>
              <w:jc w:val="center"/>
              <w:rPr>
                <w:b/>
              </w:rPr>
            </w:pPr>
            <w:r>
              <w:rPr>
                <w:rFonts w:cstheme="minorHAnsi"/>
                <w:b/>
              </w:rPr>
              <w:t>√</w:t>
            </w:r>
          </w:p>
        </w:tc>
        <w:tc>
          <w:tcPr>
            <w:tcW w:w="810" w:type="dxa"/>
          </w:tcPr>
          <w:p w14:paraId="798468DD" w14:textId="77777777" w:rsidR="00154D0D" w:rsidRPr="00065382" w:rsidRDefault="00154D0D" w:rsidP="00FD56CC">
            <w:pPr>
              <w:jc w:val="center"/>
              <w:rPr>
                <w:b/>
              </w:rPr>
            </w:pPr>
          </w:p>
        </w:tc>
        <w:tc>
          <w:tcPr>
            <w:tcW w:w="810" w:type="dxa"/>
          </w:tcPr>
          <w:p w14:paraId="67B7E31D" w14:textId="77777777" w:rsidR="00154D0D" w:rsidRPr="00065382" w:rsidRDefault="00154D0D" w:rsidP="00FD56CC">
            <w:pPr>
              <w:jc w:val="center"/>
              <w:rPr>
                <w:b/>
              </w:rPr>
            </w:pPr>
          </w:p>
        </w:tc>
        <w:tc>
          <w:tcPr>
            <w:tcW w:w="810" w:type="dxa"/>
          </w:tcPr>
          <w:p w14:paraId="1490C10E" w14:textId="77777777" w:rsidR="00154D0D" w:rsidRPr="00356C94" w:rsidRDefault="00154D0D" w:rsidP="00FD56CC">
            <w:pPr>
              <w:jc w:val="center"/>
              <w:rPr>
                <w:b/>
              </w:rPr>
            </w:pPr>
          </w:p>
        </w:tc>
        <w:tc>
          <w:tcPr>
            <w:tcW w:w="900" w:type="dxa"/>
          </w:tcPr>
          <w:p w14:paraId="104AF0AF" w14:textId="77777777" w:rsidR="00154D0D" w:rsidRPr="00065382" w:rsidRDefault="00154D0D" w:rsidP="00FD56CC">
            <w:pPr>
              <w:jc w:val="center"/>
              <w:rPr>
                <w:b/>
              </w:rPr>
            </w:pPr>
          </w:p>
        </w:tc>
      </w:tr>
      <w:tr w:rsidR="00154D0D" w14:paraId="7A3EDA43" w14:textId="77777777" w:rsidTr="00FD56CC">
        <w:tc>
          <w:tcPr>
            <w:tcW w:w="1975" w:type="dxa"/>
          </w:tcPr>
          <w:p w14:paraId="6DA68A8C" w14:textId="77777777" w:rsidR="00154D0D" w:rsidRDefault="00154D0D" w:rsidP="00FD56CC">
            <w:pPr>
              <w:pStyle w:val="ListBullet"/>
              <w:numPr>
                <w:ilvl w:val="0"/>
                <w:numId w:val="0"/>
              </w:numPr>
              <w:ind w:left="360" w:hanging="360"/>
            </w:pPr>
          </w:p>
        </w:tc>
        <w:tc>
          <w:tcPr>
            <w:tcW w:w="1620" w:type="dxa"/>
          </w:tcPr>
          <w:p w14:paraId="291E0EAD" w14:textId="77777777" w:rsidR="00154D0D" w:rsidRDefault="00154D0D" w:rsidP="00FD56CC"/>
        </w:tc>
        <w:tc>
          <w:tcPr>
            <w:tcW w:w="1620" w:type="dxa"/>
          </w:tcPr>
          <w:p w14:paraId="0125D965" w14:textId="77777777" w:rsidR="00154D0D" w:rsidRDefault="00154D0D" w:rsidP="00FD56CC"/>
        </w:tc>
        <w:tc>
          <w:tcPr>
            <w:tcW w:w="3420" w:type="dxa"/>
          </w:tcPr>
          <w:p w14:paraId="2411A34D" w14:textId="77777777" w:rsidR="00154D0D" w:rsidRDefault="00154D0D" w:rsidP="00FD56CC"/>
        </w:tc>
        <w:tc>
          <w:tcPr>
            <w:tcW w:w="810" w:type="dxa"/>
          </w:tcPr>
          <w:p w14:paraId="53B28FDF" w14:textId="77777777" w:rsidR="00154D0D" w:rsidRPr="00065382" w:rsidRDefault="00154D0D" w:rsidP="00FD56CC">
            <w:pPr>
              <w:jc w:val="center"/>
              <w:rPr>
                <w:b/>
              </w:rPr>
            </w:pPr>
          </w:p>
        </w:tc>
        <w:tc>
          <w:tcPr>
            <w:tcW w:w="810" w:type="dxa"/>
          </w:tcPr>
          <w:p w14:paraId="04464D9F" w14:textId="77777777" w:rsidR="00154D0D" w:rsidRPr="00065382" w:rsidRDefault="00154D0D" w:rsidP="00FD56CC">
            <w:pPr>
              <w:jc w:val="center"/>
              <w:rPr>
                <w:b/>
              </w:rPr>
            </w:pPr>
          </w:p>
        </w:tc>
        <w:tc>
          <w:tcPr>
            <w:tcW w:w="810" w:type="dxa"/>
          </w:tcPr>
          <w:p w14:paraId="181C8243" w14:textId="77777777" w:rsidR="00154D0D" w:rsidRPr="00065382" w:rsidRDefault="00154D0D" w:rsidP="00FD56CC">
            <w:pPr>
              <w:jc w:val="center"/>
              <w:rPr>
                <w:b/>
              </w:rPr>
            </w:pPr>
          </w:p>
        </w:tc>
        <w:tc>
          <w:tcPr>
            <w:tcW w:w="810" w:type="dxa"/>
          </w:tcPr>
          <w:p w14:paraId="18BE1258" w14:textId="77777777" w:rsidR="00154D0D" w:rsidRPr="00356C94" w:rsidRDefault="00154D0D" w:rsidP="00FD56CC">
            <w:pPr>
              <w:jc w:val="center"/>
              <w:rPr>
                <w:b/>
              </w:rPr>
            </w:pPr>
          </w:p>
        </w:tc>
        <w:tc>
          <w:tcPr>
            <w:tcW w:w="900" w:type="dxa"/>
          </w:tcPr>
          <w:p w14:paraId="4ED270D1" w14:textId="77777777" w:rsidR="00154D0D" w:rsidRPr="00065382" w:rsidRDefault="00154D0D" w:rsidP="00FD56CC">
            <w:pPr>
              <w:jc w:val="center"/>
              <w:rPr>
                <w:b/>
              </w:rPr>
            </w:pPr>
          </w:p>
        </w:tc>
      </w:tr>
      <w:tr w:rsidR="00154D0D" w14:paraId="40AA257B" w14:textId="77777777" w:rsidTr="00FD56CC">
        <w:tc>
          <w:tcPr>
            <w:tcW w:w="1975" w:type="dxa"/>
          </w:tcPr>
          <w:p w14:paraId="58484276" w14:textId="77777777" w:rsidR="00154D0D" w:rsidRDefault="00154D0D" w:rsidP="00FD56CC">
            <w:r>
              <w:t>Natasha Siores</w:t>
            </w:r>
          </w:p>
        </w:tc>
        <w:tc>
          <w:tcPr>
            <w:tcW w:w="1620" w:type="dxa"/>
          </w:tcPr>
          <w:p w14:paraId="672A8819" w14:textId="77777777" w:rsidR="00154D0D" w:rsidRDefault="00154D0D" w:rsidP="00FD56CC">
            <w:r>
              <w:t>PacifiCorp</w:t>
            </w:r>
          </w:p>
        </w:tc>
        <w:tc>
          <w:tcPr>
            <w:tcW w:w="1620" w:type="dxa"/>
          </w:tcPr>
          <w:p w14:paraId="65B4221D" w14:textId="77777777" w:rsidR="00154D0D" w:rsidRDefault="00154D0D" w:rsidP="00FD56CC">
            <w:r w:rsidRPr="00E5219B">
              <w:t>503</w:t>
            </w:r>
            <w:r>
              <w:t>-</w:t>
            </w:r>
            <w:r w:rsidRPr="00E5219B">
              <w:t>813</w:t>
            </w:r>
            <w:r>
              <w:t>-</w:t>
            </w:r>
            <w:r w:rsidRPr="00E5219B">
              <w:t>6583</w:t>
            </w:r>
          </w:p>
        </w:tc>
        <w:tc>
          <w:tcPr>
            <w:tcW w:w="3420" w:type="dxa"/>
          </w:tcPr>
          <w:p w14:paraId="4A8D961D" w14:textId="77777777" w:rsidR="00154D0D" w:rsidRDefault="00154D0D" w:rsidP="00FD56CC">
            <w:r w:rsidRPr="006F60EF">
              <w:t>natasha.siores@pacificorp.com</w:t>
            </w:r>
          </w:p>
        </w:tc>
        <w:tc>
          <w:tcPr>
            <w:tcW w:w="810" w:type="dxa"/>
          </w:tcPr>
          <w:p w14:paraId="34C4BFBC" w14:textId="77777777" w:rsidR="00154D0D" w:rsidRPr="00065382" w:rsidRDefault="00154D0D" w:rsidP="00FD56CC">
            <w:pPr>
              <w:jc w:val="center"/>
              <w:rPr>
                <w:b/>
              </w:rPr>
            </w:pPr>
          </w:p>
        </w:tc>
        <w:tc>
          <w:tcPr>
            <w:tcW w:w="810" w:type="dxa"/>
          </w:tcPr>
          <w:p w14:paraId="7AFC6A08" w14:textId="77777777" w:rsidR="00154D0D" w:rsidRPr="00065382" w:rsidRDefault="00154D0D" w:rsidP="00FD56CC">
            <w:pPr>
              <w:jc w:val="center"/>
              <w:rPr>
                <w:b/>
              </w:rPr>
            </w:pPr>
          </w:p>
        </w:tc>
        <w:tc>
          <w:tcPr>
            <w:tcW w:w="810" w:type="dxa"/>
          </w:tcPr>
          <w:p w14:paraId="407CB3D6" w14:textId="77777777" w:rsidR="00154D0D" w:rsidRPr="00065382" w:rsidRDefault="00154D0D" w:rsidP="00FD56CC">
            <w:pPr>
              <w:jc w:val="center"/>
              <w:rPr>
                <w:b/>
              </w:rPr>
            </w:pPr>
          </w:p>
        </w:tc>
        <w:tc>
          <w:tcPr>
            <w:tcW w:w="810" w:type="dxa"/>
          </w:tcPr>
          <w:p w14:paraId="0B0BE732" w14:textId="77777777" w:rsidR="00154D0D" w:rsidRPr="00356C94" w:rsidRDefault="00154D0D" w:rsidP="00FD56CC">
            <w:pPr>
              <w:jc w:val="center"/>
              <w:rPr>
                <w:b/>
              </w:rPr>
            </w:pPr>
            <w:r w:rsidRPr="00356C94">
              <w:rPr>
                <w:rFonts w:cstheme="minorHAnsi"/>
                <w:b/>
              </w:rPr>
              <w:t>√</w:t>
            </w:r>
          </w:p>
        </w:tc>
        <w:tc>
          <w:tcPr>
            <w:tcW w:w="900" w:type="dxa"/>
          </w:tcPr>
          <w:p w14:paraId="62B12375" w14:textId="77777777" w:rsidR="00154D0D" w:rsidRPr="00065382" w:rsidRDefault="00154D0D" w:rsidP="00FD56CC">
            <w:pPr>
              <w:jc w:val="center"/>
              <w:rPr>
                <w:b/>
              </w:rPr>
            </w:pPr>
          </w:p>
        </w:tc>
      </w:tr>
      <w:tr w:rsidR="00154D0D" w14:paraId="1B348AEE" w14:textId="77777777" w:rsidTr="00FD56CC">
        <w:tc>
          <w:tcPr>
            <w:tcW w:w="1975" w:type="dxa"/>
          </w:tcPr>
          <w:p w14:paraId="5A6CC1B0" w14:textId="77777777" w:rsidR="00154D0D" w:rsidRDefault="00154D0D" w:rsidP="00FD56CC">
            <w:r>
              <w:t>Etta Lockey</w:t>
            </w:r>
          </w:p>
        </w:tc>
        <w:tc>
          <w:tcPr>
            <w:tcW w:w="1620" w:type="dxa"/>
          </w:tcPr>
          <w:p w14:paraId="194F6D42" w14:textId="77777777" w:rsidR="00154D0D" w:rsidRDefault="00154D0D" w:rsidP="00FD56CC">
            <w:r>
              <w:t>PacifiCorp</w:t>
            </w:r>
          </w:p>
        </w:tc>
        <w:tc>
          <w:tcPr>
            <w:tcW w:w="1620" w:type="dxa"/>
          </w:tcPr>
          <w:p w14:paraId="171F3B2B" w14:textId="77777777" w:rsidR="00154D0D" w:rsidRDefault="00154D0D" w:rsidP="00FD56CC">
            <w:r w:rsidRPr="00200396">
              <w:t>503-813-5701</w:t>
            </w:r>
          </w:p>
        </w:tc>
        <w:tc>
          <w:tcPr>
            <w:tcW w:w="3420" w:type="dxa"/>
          </w:tcPr>
          <w:p w14:paraId="242DB152" w14:textId="77777777" w:rsidR="00154D0D" w:rsidRDefault="00154D0D" w:rsidP="00FD56CC">
            <w:r w:rsidRPr="006F60EF">
              <w:t>Etta.Lockey@pacificorp.com</w:t>
            </w:r>
          </w:p>
        </w:tc>
        <w:tc>
          <w:tcPr>
            <w:tcW w:w="810" w:type="dxa"/>
          </w:tcPr>
          <w:p w14:paraId="07F86252" w14:textId="77777777" w:rsidR="00154D0D" w:rsidRPr="00065382" w:rsidRDefault="00154D0D" w:rsidP="00FD56CC">
            <w:pPr>
              <w:jc w:val="center"/>
              <w:rPr>
                <w:b/>
              </w:rPr>
            </w:pPr>
            <w:r>
              <w:rPr>
                <w:rFonts w:cstheme="minorHAnsi"/>
                <w:b/>
              </w:rPr>
              <w:t>√</w:t>
            </w:r>
          </w:p>
        </w:tc>
        <w:tc>
          <w:tcPr>
            <w:tcW w:w="810" w:type="dxa"/>
          </w:tcPr>
          <w:p w14:paraId="5EE09ADC" w14:textId="77777777" w:rsidR="00154D0D" w:rsidRPr="00065382" w:rsidRDefault="00154D0D" w:rsidP="00FD56CC">
            <w:pPr>
              <w:jc w:val="center"/>
              <w:rPr>
                <w:b/>
              </w:rPr>
            </w:pPr>
            <w:r>
              <w:rPr>
                <w:rFonts w:cstheme="minorHAnsi"/>
                <w:b/>
              </w:rPr>
              <w:t>√</w:t>
            </w:r>
          </w:p>
        </w:tc>
        <w:tc>
          <w:tcPr>
            <w:tcW w:w="810" w:type="dxa"/>
          </w:tcPr>
          <w:p w14:paraId="69A1D72A" w14:textId="77777777" w:rsidR="00154D0D" w:rsidRPr="00065382" w:rsidRDefault="00154D0D" w:rsidP="00FD56CC">
            <w:pPr>
              <w:jc w:val="center"/>
              <w:rPr>
                <w:b/>
              </w:rPr>
            </w:pPr>
            <w:r>
              <w:rPr>
                <w:rFonts w:cstheme="minorHAnsi"/>
                <w:b/>
              </w:rPr>
              <w:t>√</w:t>
            </w:r>
          </w:p>
        </w:tc>
        <w:tc>
          <w:tcPr>
            <w:tcW w:w="810" w:type="dxa"/>
          </w:tcPr>
          <w:p w14:paraId="00C86005" w14:textId="77777777" w:rsidR="00154D0D" w:rsidRPr="00356C94" w:rsidRDefault="00154D0D" w:rsidP="00FD56CC">
            <w:pPr>
              <w:jc w:val="center"/>
              <w:rPr>
                <w:b/>
              </w:rPr>
            </w:pPr>
            <w:r w:rsidRPr="00356C94">
              <w:rPr>
                <w:rFonts w:cstheme="minorHAnsi"/>
                <w:b/>
              </w:rPr>
              <w:t>√</w:t>
            </w:r>
          </w:p>
        </w:tc>
        <w:tc>
          <w:tcPr>
            <w:tcW w:w="900" w:type="dxa"/>
          </w:tcPr>
          <w:p w14:paraId="221859AA" w14:textId="77777777" w:rsidR="00154D0D" w:rsidRPr="00065382" w:rsidRDefault="00154D0D" w:rsidP="00FD56CC">
            <w:pPr>
              <w:jc w:val="center"/>
              <w:rPr>
                <w:b/>
              </w:rPr>
            </w:pPr>
          </w:p>
        </w:tc>
      </w:tr>
      <w:tr w:rsidR="00154D0D" w14:paraId="7D82EF98" w14:textId="77777777" w:rsidTr="00FD56CC">
        <w:tc>
          <w:tcPr>
            <w:tcW w:w="1975" w:type="dxa"/>
          </w:tcPr>
          <w:p w14:paraId="49C285F8" w14:textId="77777777" w:rsidR="00154D0D" w:rsidRDefault="00154D0D" w:rsidP="00FD56CC">
            <w:r>
              <w:t>James Campbell</w:t>
            </w:r>
          </w:p>
        </w:tc>
        <w:tc>
          <w:tcPr>
            <w:tcW w:w="1620" w:type="dxa"/>
          </w:tcPr>
          <w:p w14:paraId="469A5173" w14:textId="77777777" w:rsidR="00154D0D" w:rsidRDefault="00154D0D" w:rsidP="00FD56CC">
            <w:r>
              <w:t>PacifiCorp</w:t>
            </w:r>
          </w:p>
        </w:tc>
        <w:tc>
          <w:tcPr>
            <w:tcW w:w="1620" w:type="dxa"/>
          </w:tcPr>
          <w:p w14:paraId="29337C8D" w14:textId="77777777" w:rsidR="00154D0D" w:rsidRDefault="00154D0D" w:rsidP="00FD56CC">
            <w:r w:rsidRPr="00200396">
              <w:t>801-220-2164</w:t>
            </w:r>
          </w:p>
        </w:tc>
        <w:tc>
          <w:tcPr>
            <w:tcW w:w="3420" w:type="dxa"/>
          </w:tcPr>
          <w:p w14:paraId="373DE38C" w14:textId="77777777" w:rsidR="00154D0D" w:rsidRDefault="00154D0D" w:rsidP="00FD56CC">
            <w:r>
              <w:t>James.Campbell</w:t>
            </w:r>
            <w:r w:rsidRPr="006F60EF">
              <w:t>@pacificorp.com</w:t>
            </w:r>
          </w:p>
        </w:tc>
        <w:tc>
          <w:tcPr>
            <w:tcW w:w="810" w:type="dxa"/>
          </w:tcPr>
          <w:p w14:paraId="5C4F3FC9" w14:textId="77777777" w:rsidR="00154D0D" w:rsidRPr="00065382" w:rsidRDefault="00154D0D" w:rsidP="00FD56CC">
            <w:pPr>
              <w:jc w:val="center"/>
              <w:rPr>
                <w:b/>
              </w:rPr>
            </w:pPr>
            <w:r>
              <w:rPr>
                <w:rFonts w:cstheme="minorHAnsi"/>
                <w:b/>
              </w:rPr>
              <w:t>√</w:t>
            </w:r>
          </w:p>
        </w:tc>
        <w:tc>
          <w:tcPr>
            <w:tcW w:w="810" w:type="dxa"/>
          </w:tcPr>
          <w:p w14:paraId="674ED843" w14:textId="77777777" w:rsidR="00154D0D" w:rsidRPr="00065382" w:rsidRDefault="00154D0D" w:rsidP="00FD56CC">
            <w:pPr>
              <w:jc w:val="center"/>
              <w:rPr>
                <w:b/>
              </w:rPr>
            </w:pPr>
            <w:r>
              <w:rPr>
                <w:rFonts w:cstheme="minorHAnsi"/>
                <w:b/>
              </w:rPr>
              <w:t>√</w:t>
            </w:r>
          </w:p>
        </w:tc>
        <w:tc>
          <w:tcPr>
            <w:tcW w:w="810" w:type="dxa"/>
          </w:tcPr>
          <w:p w14:paraId="56CB5ECD" w14:textId="77777777" w:rsidR="00154D0D" w:rsidRPr="00065382" w:rsidRDefault="00154D0D" w:rsidP="00FD56CC">
            <w:pPr>
              <w:rPr>
                <w:b/>
              </w:rPr>
            </w:pPr>
            <w:r>
              <w:rPr>
                <w:rFonts w:cstheme="minorHAnsi"/>
                <w:b/>
              </w:rPr>
              <w:t xml:space="preserve">     √</w:t>
            </w:r>
          </w:p>
        </w:tc>
        <w:tc>
          <w:tcPr>
            <w:tcW w:w="810" w:type="dxa"/>
          </w:tcPr>
          <w:p w14:paraId="5300BDDB" w14:textId="77777777" w:rsidR="00154D0D" w:rsidRPr="00356C94" w:rsidRDefault="00154D0D" w:rsidP="00FD56CC">
            <w:pPr>
              <w:jc w:val="center"/>
              <w:rPr>
                <w:b/>
              </w:rPr>
            </w:pPr>
            <w:r w:rsidRPr="00356C94">
              <w:rPr>
                <w:rFonts w:cstheme="minorHAnsi"/>
                <w:b/>
              </w:rPr>
              <w:t>√</w:t>
            </w:r>
          </w:p>
        </w:tc>
        <w:tc>
          <w:tcPr>
            <w:tcW w:w="900" w:type="dxa"/>
          </w:tcPr>
          <w:p w14:paraId="5E805D2A" w14:textId="77777777" w:rsidR="00154D0D" w:rsidRPr="00065382" w:rsidRDefault="00154D0D" w:rsidP="00FD56CC">
            <w:pPr>
              <w:jc w:val="center"/>
              <w:rPr>
                <w:b/>
              </w:rPr>
            </w:pPr>
          </w:p>
        </w:tc>
      </w:tr>
      <w:tr w:rsidR="00154D0D" w14:paraId="1DED6DD0" w14:textId="77777777" w:rsidTr="00FD56CC">
        <w:tc>
          <w:tcPr>
            <w:tcW w:w="1975" w:type="dxa"/>
          </w:tcPr>
          <w:p w14:paraId="232E842B" w14:textId="77777777" w:rsidR="00154D0D" w:rsidRDefault="00154D0D" w:rsidP="00FD56CC">
            <w:r>
              <w:t>Ariel Son</w:t>
            </w:r>
          </w:p>
        </w:tc>
        <w:tc>
          <w:tcPr>
            <w:tcW w:w="1620" w:type="dxa"/>
          </w:tcPr>
          <w:p w14:paraId="4A913977" w14:textId="77777777" w:rsidR="00154D0D" w:rsidRDefault="00154D0D" w:rsidP="00FD56CC">
            <w:r>
              <w:t>PacifiCorp</w:t>
            </w:r>
          </w:p>
        </w:tc>
        <w:tc>
          <w:tcPr>
            <w:tcW w:w="1620" w:type="dxa"/>
          </w:tcPr>
          <w:p w14:paraId="40566DE3" w14:textId="77777777" w:rsidR="00154D0D" w:rsidRDefault="00154D0D" w:rsidP="00FD56CC">
            <w:pPr>
              <w:jc w:val="center"/>
            </w:pPr>
            <w:r w:rsidRPr="00CE078E">
              <w:t>503-813-5410</w:t>
            </w:r>
          </w:p>
        </w:tc>
        <w:tc>
          <w:tcPr>
            <w:tcW w:w="3420" w:type="dxa"/>
          </w:tcPr>
          <w:p w14:paraId="4EC26745" w14:textId="77777777" w:rsidR="00154D0D" w:rsidRPr="00DA458D" w:rsidRDefault="00154D0D" w:rsidP="00FD56CC">
            <w:r w:rsidRPr="00A85D06">
              <w:t>Ariel.Son@pacificorp.com</w:t>
            </w:r>
          </w:p>
        </w:tc>
        <w:tc>
          <w:tcPr>
            <w:tcW w:w="810" w:type="dxa"/>
          </w:tcPr>
          <w:p w14:paraId="130098B0" w14:textId="77777777" w:rsidR="00154D0D" w:rsidRPr="00065382" w:rsidRDefault="00154D0D" w:rsidP="00FD56CC">
            <w:pPr>
              <w:jc w:val="center"/>
              <w:rPr>
                <w:b/>
              </w:rPr>
            </w:pPr>
          </w:p>
        </w:tc>
        <w:tc>
          <w:tcPr>
            <w:tcW w:w="810" w:type="dxa"/>
          </w:tcPr>
          <w:p w14:paraId="18EE4A84" w14:textId="77777777" w:rsidR="00154D0D" w:rsidRPr="00065382" w:rsidRDefault="00154D0D" w:rsidP="00FD56CC">
            <w:pPr>
              <w:jc w:val="center"/>
              <w:rPr>
                <w:b/>
              </w:rPr>
            </w:pPr>
          </w:p>
        </w:tc>
        <w:tc>
          <w:tcPr>
            <w:tcW w:w="810" w:type="dxa"/>
          </w:tcPr>
          <w:p w14:paraId="08AD74BC" w14:textId="77777777" w:rsidR="00154D0D" w:rsidRPr="00065382" w:rsidRDefault="00154D0D" w:rsidP="00FD56CC">
            <w:pPr>
              <w:jc w:val="center"/>
              <w:rPr>
                <w:b/>
              </w:rPr>
            </w:pPr>
            <w:r>
              <w:rPr>
                <w:rFonts w:cstheme="minorHAnsi"/>
                <w:b/>
              </w:rPr>
              <w:t>√</w:t>
            </w:r>
          </w:p>
        </w:tc>
        <w:tc>
          <w:tcPr>
            <w:tcW w:w="810" w:type="dxa"/>
          </w:tcPr>
          <w:p w14:paraId="01640E6B" w14:textId="77777777" w:rsidR="00154D0D" w:rsidRPr="00356C94" w:rsidRDefault="00154D0D" w:rsidP="00FD56CC">
            <w:pPr>
              <w:jc w:val="center"/>
              <w:rPr>
                <w:b/>
              </w:rPr>
            </w:pPr>
            <w:r w:rsidRPr="00356C94">
              <w:rPr>
                <w:rFonts w:cstheme="minorHAnsi"/>
                <w:b/>
              </w:rPr>
              <w:t>√</w:t>
            </w:r>
          </w:p>
        </w:tc>
        <w:tc>
          <w:tcPr>
            <w:tcW w:w="900" w:type="dxa"/>
          </w:tcPr>
          <w:p w14:paraId="7689C23C" w14:textId="77777777" w:rsidR="00154D0D" w:rsidRPr="00065382" w:rsidRDefault="00154D0D" w:rsidP="00FD56CC">
            <w:pPr>
              <w:jc w:val="center"/>
              <w:rPr>
                <w:b/>
              </w:rPr>
            </w:pPr>
          </w:p>
        </w:tc>
      </w:tr>
      <w:tr w:rsidR="00154D0D" w14:paraId="2EBF07B1" w14:textId="77777777" w:rsidTr="00FD56CC">
        <w:tc>
          <w:tcPr>
            <w:tcW w:w="1975" w:type="dxa"/>
          </w:tcPr>
          <w:p w14:paraId="389A86E0" w14:textId="77777777" w:rsidR="00154D0D" w:rsidRDefault="00154D0D" w:rsidP="00FD56CC">
            <w:r>
              <w:t>Mary Wiencke</w:t>
            </w:r>
          </w:p>
        </w:tc>
        <w:tc>
          <w:tcPr>
            <w:tcW w:w="1620" w:type="dxa"/>
          </w:tcPr>
          <w:p w14:paraId="1B350FB3" w14:textId="77777777" w:rsidR="00154D0D" w:rsidRDefault="00154D0D" w:rsidP="00FD56CC">
            <w:r>
              <w:t>PacifiCorp</w:t>
            </w:r>
          </w:p>
        </w:tc>
        <w:tc>
          <w:tcPr>
            <w:tcW w:w="1620" w:type="dxa"/>
          </w:tcPr>
          <w:p w14:paraId="5DA81513" w14:textId="77777777" w:rsidR="00154D0D" w:rsidRDefault="00154D0D" w:rsidP="00FD56CC">
            <w:r w:rsidRPr="00A47CA8">
              <w:t>503</w:t>
            </w:r>
            <w:r>
              <w:t>-</w:t>
            </w:r>
            <w:r w:rsidRPr="00A47CA8">
              <w:t>813</w:t>
            </w:r>
            <w:r>
              <w:t>-</w:t>
            </w:r>
            <w:r w:rsidRPr="00A47CA8">
              <w:t>5058</w:t>
            </w:r>
          </w:p>
        </w:tc>
        <w:tc>
          <w:tcPr>
            <w:tcW w:w="3420" w:type="dxa"/>
          </w:tcPr>
          <w:p w14:paraId="143D6BF2" w14:textId="77777777" w:rsidR="00154D0D" w:rsidRPr="00DA458D" w:rsidRDefault="00154D0D" w:rsidP="00FD56CC">
            <w:r>
              <w:t>Mary.wiencke@pacificorp.com</w:t>
            </w:r>
          </w:p>
        </w:tc>
        <w:tc>
          <w:tcPr>
            <w:tcW w:w="810" w:type="dxa"/>
          </w:tcPr>
          <w:p w14:paraId="1362E7ED" w14:textId="77777777" w:rsidR="00154D0D" w:rsidRPr="00065382" w:rsidRDefault="00154D0D" w:rsidP="00FD56CC">
            <w:pPr>
              <w:jc w:val="center"/>
              <w:rPr>
                <w:b/>
              </w:rPr>
            </w:pPr>
          </w:p>
        </w:tc>
        <w:tc>
          <w:tcPr>
            <w:tcW w:w="810" w:type="dxa"/>
          </w:tcPr>
          <w:p w14:paraId="54682DBD" w14:textId="77777777" w:rsidR="00154D0D" w:rsidRPr="00065382" w:rsidRDefault="00154D0D" w:rsidP="00FD56CC">
            <w:pPr>
              <w:jc w:val="center"/>
              <w:rPr>
                <w:b/>
              </w:rPr>
            </w:pPr>
          </w:p>
        </w:tc>
        <w:tc>
          <w:tcPr>
            <w:tcW w:w="810" w:type="dxa"/>
          </w:tcPr>
          <w:p w14:paraId="3BAF7FCE" w14:textId="77777777" w:rsidR="00154D0D" w:rsidRPr="00065382" w:rsidRDefault="00154D0D" w:rsidP="00FD56CC">
            <w:pPr>
              <w:jc w:val="center"/>
              <w:rPr>
                <w:b/>
              </w:rPr>
            </w:pPr>
          </w:p>
        </w:tc>
        <w:tc>
          <w:tcPr>
            <w:tcW w:w="810" w:type="dxa"/>
          </w:tcPr>
          <w:p w14:paraId="56C6DB00" w14:textId="77777777" w:rsidR="00154D0D" w:rsidRPr="00356C94" w:rsidRDefault="00154D0D" w:rsidP="00FD56CC">
            <w:pPr>
              <w:jc w:val="center"/>
              <w:rPr>
                <w:b/>
              </w:rPr>
            </w:pPr>
            <w:r>
              <w:rPr>
                <w:rFonts w:cstheme="minorHAnsi"/>
                <w:b/>
              </w:rPr>
              <w:t>√</w:t>
            </w:r>
          </w:p>
        </w:tc>
        <w:tc>
          <w:tcPr>
            <w:tcW w:w="900" w:type="dxa"/>
          </w:tcPr>
          <w:p w14:paraId="25CC6EAF" w14:textId="77777777" w:rsidR="00154D0D" w:rsidRPr="00065382" w:rsidRDefault="00154D0D" w:rsidP="00FD56CC">
            <w:pPr>
              <w:jc w:val="center"/>
              <w:rPr>
                <w:b/>
              </w:rPr>
            </w:pPr>
          </w:p>
        </w:tc>
      </w:tr>
      <w:tr w:rsidR="00154D0D" w14:paraId="5D2CA5D4" w14:textId="77777777" w:rsidTr="00FD56CC">
        <w:tc>
          <w:tcPr>
            <w:tcW w:w="1975" w:type="dxa"/>
          </w:tcPr>
          <w:p w14:paraId="7196DC27" w14:textId="77777777" w:rsidR="00154D0D" w:rsidRDefault="00154D0D" w:rsidP="00FD56CC"/>
        </w:tc>
        <w:tc>
          <w:tcPr>
            <w:tcW w:w="1620" w:type="dxa"/>
          </w:tcPr>
          <w:p w14:paraId="4388AF9E" w14:textId="77777777" w:rsidR="00154D0D" w:rsidRDefault="00154D0D" w:rsidP="00FD56CC"/>
        </w:tc>
        <w:tc>
          <w:tcPr>
            <w:tcW w:w="1620" w:type="dxa"/>
          </w:tcPr>
          <w:p w14:paraId="6DC60627" w14:textId="77777777" w:rsidR="00154D0D" w:rsidRDefault="00154D0D" w:rsidP="00FD56CC">
            <w:pPr>
              <w:jc w:val="center"/>
            </w:pPr>
          </w:p>
        </w:tc>
        <w:tc>
          <w:tcPr>
            <w:tcW w:w="3420" w:type="dxa"/>
          </w:tcPr>
          <w:p w14:paraId="60E70A7D" w14:textId="77777777" w:rsidR="00154D0D" w:rsidRPr="00DA458D" w:rsidRDefault="00154D0D" w:rsidP="00FD56CC"/>
        </w:tc>
        <w:tc>
          <w:tcPr>
            <w:tcW w:w="810" w:type="dxa"/>
          </w:tcPr>
          <w:p w14:paraId="1A8A5539" w14:textId="77777777" w:rsidR="00154D0D" w:rsidRPr="00065382" w:rsidRDefault="00154D0D" w:rsidP="00FD56CC">
            <w:pPr>
              <w:jc w:val="center"/>
              <w:rPr>
                <w:b/>
              </w:rPr>
            </w:pPr>
          </w:p>
        </w:tc>
        <w:tc>
          <w:tcPr>
            <w:tcW w:w="810" w:type="dxa"/>
          </w:tcPr>
          <w:p w14:paraId="47F43031" w14:textId="77777777" w:rsidR="00154D0D" w:rsidRPr="00065382" w:rsidRDefault="00154D0D" w:rsidP="00FD56CC">
            <w:pPr>
              <w:jc w:val="center"/>
              <w:rPr>
                <w:b/>
              </w:rPr>
            </w:pPr>
          </w:p>
        </w:tc>
        <w:tc>
          <w:tcPr>
            <w:tcW w:w="810" w:type="dxa"/>
          </w:tcPr>
          <w:p w14:paraId="7DE9A263" w14:textId="77777777" w:rsidR="00154D0D" w:rsidRPr="00065382" w:rsidRDefault="00154D0D" w:rsidP="00FD56CC">
            <w:pPr>
              <w:jc w:val="center"/>
              <w:rPr>
                <w:b/>
              </w:rPr>
            </w:pPr>
          </w:p>
        </w:tc>
        <w:tc>
          <w:tcPr>
            <w:tcW w:w="810" w:type="dxa"/>
          </w:tcPr>
          <w:p w14:paraId="0707A0F6" w14:textId="77777777" w:rsidR="00154D0D" w:rsidRPr="00356C94" w:rsidRDefault="00154D0D" w:rsidP="00FD56CC">
            <w:pPr>
              <w:jc w:val="center"/>
              <w:rPr>
                <w:b/>
              </w:rPr>
            </w:pPr>
          </w:p>
        </w:tc>
        <w:tc>
          <w:tcPr>
            <w:tcW w:w="900" w:type="dxa"/>
          </w:tcPr>
          <w:p w14:paraId="4AB6AD8C" w14:textId="77777777" w:rsidR="00154D0D" w:rsidRPr="00065382" w:rsidRDefault="00154D0D" w:rsidP="00FD56CC">
            <w:pPr>
              <w:jc w:val="center"/>
              <w:rPr>
                <w:b/>
              </w:rPr>
            </w:pPr>
          </w:p>
        </w:tc>
      </w:tr>
      <w:tr w:rsidR="00154D0D" w14:paraId="6E567180" w14:textId="77777777" w:rsidTr="00FD56CC">
        <w:tc>
          <w:tcPr>
            <w:tcW w:w="1975" w:type="dxa"/>
          </w:tcPr>
          <w:p w14:paraId="14E2AB48" w14:textId="77777777" w:rsidR="00154D0D" w:rsidRDefault="00154D0D" w:rsidP="00FD56CC">
            <w:r>
              <w:t>Greg Nothstein</w:t>
            </w:r>
          </w:p>
        </w:tc>
        <w:tc>
          <w:tcPr>
            <w:tcW w:w="1620" w:type="dxa"/>
          </w:tcPr>
          <w:p w14:paraId="56D1A6E5" w14:textId="77777777" w:rsidR="00154D0D" w:rsidRDefault="00154D0D" w:rsidP="00FD56CC">
            <w:r>
              <w:t>WA Commerce</w:t>
            </w:r>
          </w:p>
        </w:tc>
        <w:tc>
          <w:tcPr>
            <w:tcW w:w="1620" w:type="dxa"/>
          </w:tcPr>
          <w:p w14:paraId="43FC92CE" w14:textId="77777777" w:rsidR="00154D0D" w:rsidRDefault="00154D0D" w:rsidP="00FD56CC">
            <w:pPr>
              <w:jc w:val="center"/>
            </w:pPr>
            <w:r w:rsidRPr="00DA458D">
              <w:t>360-725-3112</w:t>
            </w:r>
          </w:p>
        </w:tc>
        <w:tc>
          <w:tcPr>
            <w:tcW w:w="3420" w:type="dxa"/>
          </w:tcPr>
          <w:p w14:paraId="4B98CD17" w14:textId="77777777" w:rsidR="00154D0D" w:rsidRDefault="00154D0D" w:rsidP="00FD56CC">
            <w:r>
              <w:t>Greg.nothstein@commerce.wa.gov</w:t>
            </w:r>
          </w:p>
        </w:tc>
        <w:tc>
          <w:tcPr>
            <w:tcW w:w="810" w:type="dxa"/>
          </w:tcPr>
          <w:p w14:paraId="4000C68B" w14:textId="77777777" w:rsidR="00154D0D" w:rsidRPr="00065382" w:rsidRDefault="00154D0D" w:rsidP="00FD56CC">
            <w:pPr>
              <w:jc w:val="center"/>
              <w:rPr>
                <w:b/>
              </w:rPr>
            </w:pPr>
            <w:r>
              <w:rPr>
                <w:rFonts w:cstheme="minorHAnsi"/>
                <w:b/>
              </w:rPr>
              <w:t>√</w:t>
            </w:r>
          </w:p>
        </w:tc>
        <w:tc>
          <w:tcPr>
            <w:tcW w:w="810" w:type="dxa"/>
          </w:tcPr>
          <w:p w14:paraId="78CD9E81" w14:textId="77777777" w:rsidR="00154D0D" w:rsidRPr="00065382" w:rsidRDefault="00154D0D" w:rsidP="00FD56CC">
            <w:pPr>
              <w:jc w:val="center"/>
              <w:rPr>
                <w:b/>
              </w:rPr>
            </w:pPr>
            <w:r>
              <w:rPr>
                <w:rFonts w:cstheme="minorHAnsi"/>
                <w:b/>
              </w:rPr>
              <w:t>√</w:t>
            </w:r>
          </w:p>
        </w:tc>
        <w:tc>
          <w:tcPr>
            <w:tcW w:w="810" w:type="dxa"/>
          </w:tcPr>
          <w:p w14:paraId="0346BD2B" w14:textId="77777777" w:rsidR="00154D0D" w:rsidRPr="00065382" w:rsidRDefault="00154D0D" w:rsidP="00FD56CC">
            <w:pPr>
              <w:jc w:val="center"/>
              <w:rPr>
                <w:b/>
              </w:rPr>
            </w:pPr>
            <w:r>
              <w:rPr>
                <w:rFonts w:cstheme="minorHAnsi"/>
                <w:b/>
              </w:rPr>
              <w:t>√</w:t>
            </w:r>
          </w:p>
        </w:tc>
        <w:tc>
          <w:tcPr>
            <w:tcW w:w="810" w:type="dxa"/>
          </w:tcPr>
          <w:p w14:paraId="4BD3C94D" w14:textId="77777777" w:rsidR="00154D0D" w:rsidRPr="00356C94" w:rsidRDefault="00154D0D" w:rsidP="00FD56CC">
            <w:pPr>
              <w:jc w:val="center"/>
              <w:rPr>
                <w:b/>
              </w:rPr>
            </w:pPr>
            <w:r w:rsidRPr="00356C94">
              <w:rPr>
                <w:rFonts w:cstheme="minorHAnsi"/>
                <w:b/>
              </w:rPr>
              <w:t>√</w:t>
            </w:r>
          </w:p>
        </w:tc>
        <w:tc>
          <w:tcPr>
            <w:tcW w:w="900" w:type="dxa"/>
          </w:tcPr>
          <w:p w14:paraId="16DE6F09" w14:textId="77777777" w:rsidR="00154D0D" w:rsidRPr="00065382" w:rsidRDefault="00154D0D" w:rsidP="00FD56CC">
            <w:pPr>
              <w:jc w:val="center"/>
              <w:rPr>
                <w:b/>
              </w:rPr>
            </w:pPr>
          </w:p>
        </w:tc>
      </w:tr>
      <w:tr w:rsidR="00154D0D" w14:paraId="566AA9BD" w14:textId="77777777" w:rsidTr="00FD56CC">
        <w:tc>
          <w:tcPr>
            <w:tcW w:w="1975" w:type="dxa"/>
          </w:tcPr>
          <w:p w14:paraId="054D356A" w14:textId="77777777" w:rsidR="00154D0D" w:rsidRDefault="00154D0D" w:rsidP="00FD56CC">
            <w:r>
              <w:t>Angela Burrell</w:t>
            </w:r>
          </w:p>
        </w:tc>
        <w:tc>
          <w:tcPr>
            <w:tcW w:w="1620" w:type="dxa"/>
          </w:tcPr>
          <w:p w14:paraId="7E06C4FF" w14:textId="77777777" w:rsidR="00154D0D" w:rsidRDefault="00154D0D" w:rsidP="00FD56CC">
            <w:r>
              <w:t>WA Commerce</w:t>
            </w:r>
          </w:p>
        </w:tc>
        <w:tc>
          <w:tcPr>
            <w:tcW w:w="1620" w:type="dxa"/>
          </w:tcPr>
          <w:p w14:paraId="64C07241" w14:textId="77777777" w:rsidR="00154D0D" w:rsidRDefault="00154D0D" w:rsidP="00FD56CC">
            <w:pPr>
              <w:jc w:val="center"/>
            </w:pPr>
            <w:r w:rsidRPr="00DA458D">
              <w:t>360-725-3120</w:t>
            </w:r>
          </w:p>
        </w:tc>
        <w:tc>
          <w:tcPr>
            <w:tcW w:w="3420" w:type="dxa"/>
          </w:tcPr>
          <w:p w14:paraId="45EC1F20" w14:textId="77777777" w:rsidR="00154D0D" w:rsidRDefault="00154D0D" w:rsidP="00FD56CC">
            <w:r w:rsidRPr="00DA458D">
              <w:t>angela.burrell@commerce.wa.gov</w:t>
            </w:r>
          </w:p>
        </w:tc>
        <w:tc>
          <w:tcPr>
            <w:tcW w:w="810" w:type="dxa"/>
          </w:tcPr>
          <w:p w14:paraId="0E72DD9A" w14:textId="77777777" w:rsidR="00154D0D" w:rsidRPr="00065382" w:rsidRDefault="00154D0D" w:rsidP="00FD56CC">
            <w:pPr>
              <w:jc w:val="center"/>
              <w:rPr>
                <w:b/>
              </w:rPr>
            </w:pPr>
          </w:p>
        </w:tc>
        <w:tc>
          <w:tcPr>
            <w:tcW w:w="810" w:type="dxa"/>
          </w:tcPr>
          <w:p w14:paraId="67AC21A7" w14:textId="77777777" w:rsidR="00154D0D" w:rsidRPr="00065382" w:rsidRDefault="00154D0D" w:rsidP="00FD56CC">
            <w:pPr>
              <w:jc w:val="center"/>
              <w:rPr>
                <w:b/>
              </w:rPr>
            </w:pPr>
            <w:r>
              <w:rPr>
                <w:rFonts w:cstheme="minorHAnsi"/>
                <w:b/>
              </w:rPr>
              <w:t>√</w:t>
            </w:r>
          </w:p>
        </w:tc>
        <w:tc>
          <w:tcPr>
            <w:tcW w:w="810" w:type="dxa"/>
          </w:tcPr>
          <w:p w14:paraId="5193F329" w14:textId="77777777" w:rsidR="00154D0D" w:rsidRPr="00065382" w:rsidRDefault="00154D0D" w:rsidP="00FD56CC">
            <w:pPr>
              <w:jc w:val="center"/>
              <w:rPr>
                <w:b/>
              </w:rPr>
            </w:pPr>
            <w:r>
              <w:rPr>
                <w:rFonts w:cstheme="minorHAnsi"/>
                <w:b/>
              </w:rPr>
              <w:t>√</w:t>
            </w:r>
          </w:p>
        </w:tc>
        <w:tc>
          <w:tcPr>
            <w:tcW w:w="810" w:type="dxa"/>
          </w:tcPr>
          <w:p w14:paraId="33E45086" w14:textId="77777777" w:rsidR="00154D0D" w:rsidRPr="00356C94" w:rsidRDefault="00154D0D" w:rsidP="00FD56CC">
            <w:pPr>
              <w:jc w:val="center"/>
              <w:rPr>
                <w:b/>
              </w:rPr>
            </w:pPr>
            <w:r w:rsidRPr="00356C94">
              <w:rPr>
                <w:rFonts w:cstheme="minorHAnsi"/>
                <w:b/>
              </w:rPr>
              <w:t>√</w:t>
            </w:r>
          </w:p>
        </w:tc>
        <w:tc>
          <w:tcPr>
            <w:tcW w:w="900" w:type="dxa"/>
          </w:tcPr>
          <w:p w14:paraId="58F1FC58" w14:textId="77777777" w:rsidR="00154D0D" w:rsidRPr="00065382" w:rsidRDefault="00154D0D" w:rsidP="00FD56CC">
            <w:pPr>
              <w:jc w:val="center"/>
              <w:rPr>
                <w:b/>
              </w:rPr>
            </w:pPr>
          </w:p>
        </w:tc>
      </w:tr>
      <w:tr w:rsidR="00154D0D" w14:paraId="21D0B560" w14:textId="77777777" w:rsidTr="00FD56CC">
        <w:tc>
          <w:tcPr>
            <w:tcW w:w="1975" w:type="dxa"/>
          </w:tcPr>
          <w:p w14:paraId="54FE9578" w14:textId="77777777" w:rsidR="00154D0D" w:rsidRDefault="00154D0D" w:rsidP="00FD56CC">
            <w:r>
              <w:t>Jeremey Twitchell</w:t>
            </w:r>
          </w:p>
        </w:tc>
        <w:tc>
          <w:tcPr>
            <w:tcW w:w="1620" w:type="dxa"/>
          </w:tcPr>
          <w:p w14:paraId="45B90651" w14:textId="77777777" w:rsidR="00154D0D" w:rsidRDefault="00154D0D" w:rsidP="00FD56CC">
            <w:r>
              <w:t>UTC</w:t>
            </w:r>
          </w:p>
        </w:tc>
        <w:tc>
          <w:tcPr>
            <w:tcW w:w="1620" w:type="dxa"/>
          </w:tcPr>
          <w:p w14:paraId="66343694" w14:textId="77777777" w:rsidR="00154D0D" w:rsidRDefault="00154D0D" w:rsidP="00FD56CC">
            <w:pPr>
              <w:jc w:val="center"/>
            </w:pPr>
            <w:r>
              <w:t>360-664-1302</w:t>
            </w:r>
          </w:p>
        </w:tc>
        <w:tc>
          <w:tcPr>
            <w:tcW w:w="3420" w:type="dxa"/>
          </w:tcPr>
          <w:p w14:paraId="7C1EADD8" w14:textId="77777777" w:rsidR="00154D0D" w:rsidRPr="00DA458D" w:rsidRDefault="00154D0D" w:rsidP="00FD56CC">
            <w:r>
              <w:t>jtwitche@utc.wa.gov</w:t>
            </w:r>
          </w:p>
        </w:tc>
        <w:tc>
          <w:tcPr>
            <w:tcW w:w="810" w:type="dxa"/>
          </w:tcPr>
          <w:p w14:paraId="40002EC1" w14:textId="77777777" w:rsidR="00154D0D" w:rsidRDefault="00154D0D" w:rsidP="00FD56CC">
            <w:pPr>
              <w:jc w:val="center"/>
              <w:rPr>
                <w:rFonts w:cstheme="minorHAnsi"/>
                <w:b/>
              </w:rPr>
            </w:pPr>
          </w:p>
        </w:tc>
        <w:tc>
          <w:tcPr>
            <w:tcW w:w="810" w:type="dxa"/>
          </w:tcPr>
          <w:p w14:paraId="620E828B" w14:textId="77777777" w:rsidR="00154D0D" w:rsidRPr="00065382" w:rsidRDefault="00154D0D" w:rsidP="00FD56CC">
            <w:pPr>
              <w:jc w:val="center"/>
              <w:rPr>
                <w:b/>
              </w:rPr>
            </w:pPr>
            <w:r>
              <w:rPr>
                <w:rFonts w:cstheme="minorHAnsi"/>
                <w:b/>
              </w:rPr>
              <w:t>√</w:t>
            </w:r>
          </w:p>
        </w:tc>
        <w:tc>
          <w:tcPr>
            <w:tcW w:w="810" w:type="dxa"/>
          </w:tcPr>
          <w:p w14:paraId="61B305EE" w14:textId="77777777" w:rsidR="00154D0D" w:rsidRPr="00065382" w:rsidRDefault="00154D0D" w:rsidP="00FD56CC">
            <w:pPr>
              <w:jc w:val="center"/>
              <w:rPr>
                <w:b/>
              </w:rPr>
            </w:pPr>
          </w:p>
        </w:tc>
        <w:tc>
          <w:tcPr>
            <w:tcW w:w="810" w:type="dxa"/>
          </w:tcPr>
          <w:p w14:paraId="2BF769D5" w14:textId="77777777" w:rsidR="00154D0D" w:rsidRPr="00065382" w:rsidRDefault="00154D0D" w:rsidP="00FD56CC">
            <w:pPr>
              <w:jc w:val="center"/>
              <w:rPr>
                <w:b/>
              </w:rPr>
            </w:pPr>
            <w:r>
              <w:rPr>
                <w:rFonts w:cstheme="minorHAnsi"/>
                <w:b/>
              </w:rPr>
              <w:t>√</w:t>
            </w:r>
          </w:p>
        </w:tc>
        <w:tc>
          <w:tcPr>
            <w:tcW w:w="900" w:type="dxa"/>
          </w:tcPr>
          <w:p w14:paraId="4DA3D935" w14:textId="77777777" w:rsidR="00154D0D" w:rsidRPr="00065382" w:rsidRDefault="00154D0D" w:rsidP="00FD56CC">
            <w:pPr>
              <w:jc w:val="center"/>
              <w:rPr>
                <w:b/>
              </w:rPr>
            </w:pPr>
          </w:p>
        </w:tc>
      </w:tr>
      <w:tr w:rsidR="00154D0D" w14:paraId="76627A6C" w14:textId="77777777" w:rsidTr="00FD56CC">
        <w:tc>
          <w:tcPr>
            <w:tcW w:w="1975" w:type="dxa"/>
          </w:tcPr>
          <w:p w14:paraId="5ECAE5A9" w14:textId="77777777" w:rsidR="00154D0D" w:rsidRDefault="00154D0D" w:rsidP="00FD56CC">
            <w:r>
              <w:t>Brad Cebulko</w:t>
            </w:r>
          </w:p>
        </w:tc>
        <w:tc>
          <w:tcPr>
            <w:tcW w:w="1620" w:type="dxa"/>
          </w:tcPr>
          <w:p w14:paraId="28D970AB" w14:textId="77777777" w:rsidR="00154D0D" w:rsidRDefault="00154D0D" w:rsidP="00FD56CC">
            <w:r>
              <w:t>UTC</w:t>
            </w:r>
          </w:p>
        </w:tc>
        <w:tc>
          <w:tcPr>
            <w:tcW w:w="1620" w:type="dxa"/>
          </w:tcPr>
          <w:p w14:paraId="38C415A8" w14:textId="77777777" w:rsidR="00154D0D" w:rsidRPr="00DA458D" w:rsidRDefault="00154D0D" w:rsidP="00FD56CC">
            <w:pPr>
              <w:jc w:val="center"/>
            </w:pPr>
            <w:r>
              <w:t>360-664-1309</w:t>
            </w:r>
          </w:p>
        </w:tc>
        <w:tc>
          <w:tcPr>
            <w:tcW w:w="3420" w:type="dxa"/>
          </w:tcPr>
          <w:p w14:paraId="557F9716" w14:textId="77777777" w:rsidR="00154D0D" w:rsidRPr="00DA458D" w:rsidRDefault="00154D0D" w:rsidP="00FD56CC">
            <w:r>
              <w:t>bcebulko@utc.wa.gov</w:t>
            </w:r>
          </w:p>
        </w:tc>
        <w:tc>
          <w:tcPr>
            <w:tcW w:w="810" w:type="dxa"/>
          </w:tcPr>
          <w:p w14:paraId="1AD404A8" w14:textId="77777777" w:rsidR="00154D0D" w:rsidRPr="00065382" w:rsidRDefault="00154D0D" w:rsidP="00FD56CC">
            <w:pPr>
              <w:jc w:val="center"/>
              <w:rPr>
                <w:b/>
              </w:rPr>
            </w:pPr>
            <w:r>
              <w:rPr>
                <w:rFonts w:cstheme="minorHAnsi"/>
                <w:b/>
              </w:rPr>
              <w:t>√</w:t>
            </w:r>
          </w:p>
        </w:tc>
        <w:tc>
          <w:tcPr>
            <w:tcW w:w="810" w:type="dxa"/>
          </w:tcPr>
          <w:p w14:paraId="52C35674" w14:textId="77777777" w:rsidR="00154D0D" w:rsidRPr="00065382" w:rsidRDefault="00154D0D" w:rsidP="00FD56CC">
            <w:pPr>
              <w:jc w:val="center"/>
              <w:rPr>
                <w:b/>
              </w:rPr>
            </w:pPr>
            <w:r>
              <w:rPr>
                <w:rFonts w:cstheme="minorHAnsi"/>
                <w:b/>
              </w:rPr>
              <w:t>√</w:t>
            </w:r>
          </w:p>
        </w:tc>
        <w:tc>
          <w:tcPr>
            <w:tcW w:w="810" w:type="dxa"/>
          </w:tcPr>
          <w:p w14:paraId="2AD88D8A" w14:textId="77777777" w:rsidR="00154D0D" w:rsidRPr="00065382" w:rsidRDefault="00154D0D" w:rsidP="00FD56CC">
            <w:pPr>
              <w:jc w:val="center"/>
              <w:rPr>
                <w:b/>
              </w:rPr>
            </w:pPr>
          </w:p>
        </w:tc>
        <w:tc>
          <w:tcPr>
            <w:tcW w:w="810" w:type="dxa"/>
          </w:tcPr>
          <w:p w14:paraId="50BAA21A" w14:textId="77777777" w:rsidR="00154D0D" w:rsidRPr="00065382" w:rsidRDefault="00154D0D" w:rsidP="00FD56CC">
            <w:pPr>
              <w:jc w:val="center"/>
              <w:rPr>
                <w:b/>
              </w:rPr>
            </w:pPr>
          </w:p>
        </w:tc>
        <w:tc>
          <w:tcPr>
            <w:tcW w:w="900" w:type="dxa"/>
          </w:tcPr>
          <w:p w14:paraId="22E9976A" w14:textId="77777777" w:rsidR="00154D0D" w:rsidRPr="00065382" w:rsidRDefault="00154D0D" w:rsidP="00FD56CC">
            <w:pPr>
              <w:jc w:val="center"/>
              <w:rPr>
                <w:b/>
              </w:rPr>
            </w:pPr>
          </w:p>
        </w:tc>
      </w:tr>
      <w:tr w:rsidR="00154D0D" w14:paraId="57522547" w14:textId="77777777" w:rsidTr="00FD56CC">
        <w:tc>
          <w:tcPr>
            <w:tcW w:w="1975" w:type="dxa"/>
          </w:tcPr>
          <w:p w14:paraId="3AFF74ED" w14:textId="77777777" w:rsidR="00154D0D" w:rsidRDefault="00154D0D" w:rsidP="00FD56CC">
            <w:r>
              <w:t>Lauren McCloy</w:t>
            </w:r>
          </w:p>
        </w:tc>
        <w:tc>
          <w:tcPr>
            <w:tcW w:w="1620" w:type="dxa"/>
          </w:tcPr>
          <w:p w14:paraId="75356CF4" w14:textId="77777777" w:rsidR="00154D0D" w:rsidRDefault="00154D0D" w:rsidP="00FD56CC">
            <w:r>
              <w:t>UTC</w:t>
            </w:r>
          </w:p>
        </w:tc>
        <w:tc>
          <w:tcPr>
            <w:tcW w:w="1620" w:type="dxa"/>
          </w:tcPr>
          <w:p w14:paraId="1DA1CA13" w14:textId="77777777" w:rsidR="00154D0D" w:rsidRPr="00DA458D" w:rsidRDefault="00154D0D" w:rsidP="00FD56CC">
            <w:pPr>
              <w:jc w:val="center"/>
            </w:pPr>
            <w:r>
              <w:t>360-664-1209</w:t>
            </w:r>
          </w:p>
        </w:tc>
        <w:tc>
          <w:tcPr>
            <w:tcW w:w="3420" w:type="dxa"/>
          </w:tcPr>
          <w:p w14:paraId="62D1F113" w14:textId="77777777" w:rsidR="00154D0D" w:rsidRPr="00DA458D" w:rsidRDefault="00154D0D" w:rsidP="00FD56CC">
            <w:r>
              <w:t>lmccloy@utc.wa.gov</w:t>
            </w:r>
          </w:p>
        </w:tc>
        <w:tc>
          <w:tcPr>
            <w:tcW w:w="810" w:type="dxa"/>
          </w:tcPr>
          <w:p w14:paraId="2B1A4C42" w14:textId="77777777" w:rsidR="00154D0D" w:rsidRPr="00065382" w:rsidRDefault="00154D0D" w:rsidP="00FD56CC">
            <w:pPr>
              <w:jc w:val="center"/>
              <w:rPr>
                <w:b/>
              </w:rPr>
            </w:pPr>
            <w:r>
              <w:rPr>
                <w:rFonts w:cstheme="minorHAnsi"/>
                <w:b/>
              </w:rPr>
              <w:t>√</w:t>
            </w:r>
          </w:p>
        </w:tc>
        <w:tc>
          <w:tcPr>
            <w:tcW w:w="810" w:type="dxa"/>
          </w:tcPr>
          <w:p w14:paraId="2AEC3819" w14:textId="77777777" w:rsidR="00154D0D" w:rsidRPr="00065382" w:rsidRDefault="00154D0D" w:rsidP="00FD56CC">
            <w:pPr>
              <w:jc w:val="center"/>
              <w:rPr>
                <w:b/>
              </w:rPr>
            </w:pPr>
            <w:r>
              <w:rPr>
                <w:rFonts w:cstheme="minorHAnsi"/>
                <w:b/>
              </w:rPr>
              <w:t>√</w:t>
            </w:r>
          </w:p>
        </w:tc>
        <w:tc>
          <w:tcPr>
            <w:tcW w:w="810" w:type="dxa"/>
          </w:tcPr>
          <w:p w14:paraId="4330F2CB" w14:textId="77777777" w:rsidR="00154D0D" w:rsidRPr="00065382" w:rsidRDefault="00154D0D" w:rsidP="00FD56CC">
            <w:pPr>
              <w:jc w:val="center"/>
              <w:rPr>
                <w:b/>
              </w:rPr>
            </w:pPr>
            <w:r>
              <w:rPr>
                <w:rFonts w:cstheme="minorHAnsi"/>
                <w:b/>
              </w:rPr>
              <w:t>√</w:t>
            </w:r>
          </w:p>
        </w:tc>
        <w:tc>
          <w:tcPr>
            <w:tcW w:w="810" w:type="dxa"/>
          </w:tcPr>
          <w:p w14:paraId="47DF3C2C" w14:textId="77777777" w:rsidR="00154D0D" w:rsidRPr="00065382" w:rsidRDefault="00154D0D" w:rsidP="00FD56CC">
            <w:pPr>
              <w:jc w:val="center"/>
              <w:rPr>
                <w:b/>
              </w:rPr>
            </w:pPr>
          </w:p>
        </w:tc>
        <w:tc>
          <w:tcPr>
            <w:tcW w:w="900" w:type="dxa"/>
          </w:tcPr>
          <w:p w14:paraId="5A144970" w14:textId="77777777" w:rsidR="00154D0D" w:rsidRPr="00065382" w:rsidRDefault="00154D0D" w:rsidP="00FD56CC">
            <w:pPr>
              <w:jc w:val="center"/>
              <w:rPr>
                <w:b/>
              </w:rPr>
            </w:pPr>
          </w:p>
        </w:tc>
      </w:tr>
    </w:tbl>
    <w:p w14:paraId="056CFB99" w14:textId="77777777" w:rsidR="00154D0D" w:rsidRDefault="00154D0D" w:rsidP="00154D0D">
      <w:pPr>
        <w:jc w:val="center"/>
        <w:rPr>
          <w:sz w:val="28"/>
          <w:szCs w:val="28"/>
        </w:rPr>
      </w:pPr>
      <w:r w:rsidRPr="009636BA">
        <w:rPr>
          <w:sz w:val="36"/>
          <w:szCs w:val="36"/>
        </w:rPr>
        <w:t>Stakeholder Workgroup Roster and Attendance Record</w:t>
      </w:r>
      <w:r>
        <w:rPr>
          <w:sz w:val="36"/>
          <w:szCs w:val="36"/>
        </w:rPr>
        <w:t xml:space="preserve"> </w:t>
      </w:r>
      <w:r w:rsidRPr="003C3558">
        <w:rPr>
          <w:sz w:val="28"/>
          <w:szCs w:val="28"/>
        </w:rPr>
        <w:t>(</w:t>
      </w:r>
      <w:r w:rsidRPr="003C3558">
        <w:rPr>
          <w:rFonts w:cstheme="minorHAnsi"/>
          <w:sz w:val="28"/>
          <w:szCs w:val="28"/>
        </w:rPr>
        <w:t>√</w:t>
      </w:r>
      <w:r>
        <w:rPr>
          <w:rFonts w:cstheme="minorHAnsi"/>
          <w:sz w:val="28"/>
          <w:szCs w:val="28"/>
        </w:rPr>
        <w:t xml:space="preserve"> </w:t>
      </w:r>
      <w:r w:rsidRPr="003C3558">
        <w:rPr>
          <w:sz w:val="28"/>
          <w:szCs w:val="28"/>
        </w:rPr>
        <w:t>=</w:t>
      </w:r>
      <w:r>
        <w:rPr>
          <w:sz w:val="28"/>
          <w:szCs w:val="28"/>
        </w:rPr>
        <w:t xml:space="preserve"> person </w:t>
      </w:r>
      <w:r w:rsidRPr="003C3558">
        <w:rPr>
          <w:sz w:val="28"/>
          <w:szCs w:val="28"/>
        </w:rPr>
        <w:t>attended)</w:t>
      </w:r>
    </w:p>
    <w:p w14:paraId="40FCD826" w14:textId="77777777" w:rsidR="00154D0D" w:rsidRDefault="00154D0D" w:rsidP="00154D0D"/>
    <w:p w14:paraId="704843CF" w14:textId="4CB0BADB" w:rsidR="00001D45" w:rsidRDefault="00154D0D">
      <w:pPr>
        <w:rPr>
          <w:sz w:val="24"/>
          <w:szCs w:val="24"/>
        </w:rPr>
      </w:pPr>
      <w:r>
        <w:t xml:space="preserve">Workgroup convener: David Nightingale, Utilities and Transportation Commission, </w:t>
      </w:r>
      <w:hyperlink r:id="rId12" w:history="1">
        <w:r w:rsidRPr="0069083E">
          <w:rPr>
            <w:rStyle w:val="Hyperlink"/>
          </w:rPr>
          <w:t>dnightin@utc.wa.gov</w:t>
        </w:r>
      </w:hyperlink>
      <w:r>
        <w:t>, (360) 664-1154.</w:t>
      </w:r>
    </w:p>
    <w:sectPr w:rsidR="00001D45" w:rsidSect="006F60E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58270" w14:textId="77777777" w:rsidR="00E77EC4" w:rsidRDefault="00E77EC4" w:rsidP="00F70581">
      <w:pPr>
        <w:spacing w:after="0" w:line="240" w:lineRule="auto"/>
      </w:pPr>
      <w:r>
        <w:separator/>
      </w:r>
    </w:p>
  </w:endnote>
  <w:endnote w:type="continuationSeparator" w:id="0">
    <w:p w14:paraId="65A232C4" w14:textId="77777777" w:rsidR="00E77EC4" w:rsidRDefault="00E77EC4" w:rsidP="00F7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914257"/>
      <w:docPartObj>
        <w:docPartGallery w:val="Page Numbers (Bottom of Page)"/>
        <w:docPartUnique/>
      </w:docPartObj>
    </w:sdtPr>
    <w:sdtEndPr>
      <w:rPr>
        <w:color w:val="7F7F7F" w:themeColor="background1" w:themeShade="7F"/>
        <w:spacing w:val="60"/>
      </w:rPr>
    </w:sdtEndPr>
    <w:sdtContent>
      <w:p w14:paraId="23168AC3" w14:textId="2C6BC431" w:rsidR="001D0A76" w:rsidRDefault="001D0A76" w:rsidP="0037561C">
        <w:pPr>
          <w:pStyle w:val="Footer"/>
          <w:pBdr>
            <w:top w:val="single" w:sz="4" w:space="1" w:color="D9D9D9" w:themeColor="background1" w:themeShade="D9"/>
          </w:pBdr>
        </w:pPr>
        <w:r>
          <w:t xml:space="preserve">Page </w:t>
        </w:r>
        <w:r>
          <w:fldChar w:fldCharType="begin"/>
        </w:r>
        <w:r>
          <w:instrText xml:space="preserve"> PAGE   \* MERGEFORMAT </w:instrText>
        </w:r>
        <w:r>
          <w:fldChar w:fldCharType="separate"/>
        </w:r>
        <w:r w:rsidR="00413754">
          <w:rPr>
            <w:noProof/>
          </w:rPr>
          <w:t>1</w:t>
        </w:r>
        <w:r>
          <w:rPr>
            <w:noProof/>
          </w:rPr>
          <w:fldChar w:fldCharType="end"/>
        </w:r>
        <w:r w:rsidR="0037561C">
          <w:t xml:space="preserve"> </w:t>
        </w:r>
        <w:r w:rsidR="0037561C">
          <w:tab/>
          <w:t xml:space="preserve">                                                                            E</w:t>
        </w:r>
        <w:r>
          <w:t>IA Metrics Workgroup Summary Report</w:t>
        </w:r>
        <w:r w:rsidR="0037561C">
          <w:t>, July 31, 2015</w:t>
        </w:r>
      </w:p>
    </w:sdtContent>
  </w:sdt>
  <w:p w14:paraId="661A114D" w14:textId="77777777" w:rsidR="001D0A76" w:rsidRDefault="001D0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F6FFF" w14:textId="77777777" w:rsidR="00E77EC4" w:rsidRDefault="00E77EC4" w:rsidP="00F70581">
      <w:pPr>
        <w:spacing w:after="0" w:line="240" w:lineRule="auto"/>
      </w:pPr>
      <w:r>
        <w:separator/>
      </w:r>
    </w:p>
  </w:footnote>
  <w:footnote w:type="continuationSeparator" w:id="0">
    <w:p w14:paraId="08227137" w14:textId="77777777" w:rsidR="00E77EC4" w:rsidRDefault="00E77EC4" w:rsidP="00F70581">
      <w:pPr>
        <w:spacing w:after="0" w:line="240" w:lineRule="auto"/>
      </w:pPr>
      <w:r>
        <w:continuationSeparator/>
      </w:r>
    </w:p>
  </w:footnote>
  <w:footnote w:id="1">
    <w:p w14:paraId="1FCAD71C" w14:textId="6BC5FD0D" w:rsidR="00F70581" w:rsidRDefault="00F70581">
      <w:pPr>
        <w:pStyle w:val="FootnoteText"/>
      </w:pPr>
      <w:r>
        <w:rPr>
          <w:rStyle w:val="FootnoteReference"/>
        </w:rPr>
        <w:footnoteRef/>
      </w:r>
      <w:r>
        <w:t xml:space="preserve"> Docket UE-131723, General Order R-578, </w:t>
      </w:r>
      <w:r w:rsidR="00E026C4">
        <w:t>at</w:t>
      </w:r>
      <w:r>
        <w:t xml:space="preserve"> 41</w:t>
      </w:r>
      <w:r w:rsidR="00E026C4">
        <w:t>:</w:t>
      </w:r>
      <w:r>
        <w:t xml:space="preserve"> 13.</w:t>
      </w:r>
    </w:p>
  </w:footnote>
  <w:footnote w:id="2">
    <w:p w14:paraId="43AB0F2F" w14:textId="6A7F7763" w:rsidR="00F70581" w:rsidRDefault="00F70581">
      <w:pPr>
        <w:pStyle w:val="FootnoteText"/>
      </w:pPr>
      <w:r>
        <w:rPr>
          <w:rStyle w:val="FootnoteReference"/>
        </w:rPr>
        <w:footnoteRef/>
      </w:r>
      <w:r>
        <w:t xml:space="preserve"> </w:t>
      </w:r>
      <w:r w:rsidRPr="00F70581">
        <w:rPr>
          <w:i/>
        </w:rPr>
        <w:t>Id</w:t>
      </w:r>
      <w:r>
        <w:t xml:space="preserve">. </w:t>
      </w:r>
      <w:r w:rsidR="00E026C4">
        <w:t>at</w:t>
      </w:r>
      <w:r>
        <w:t xml:space="preserve"> 43</w:t>
      </w:r>
      <w:r w:rsidR="00E026C4">
        <w:t>:</w:t>
      </w:r>
      <w:r>
        <w:t xml:space="preserve"> 137.</w:t>
      </w:r>
    </w:p>
  </w:footnote>
  <w:footnote w:id="3">
    <w:p w14:paraId="147258E4" w14:textId="3713FCCA" w:rsidR="00BC246C" w:rsidRDefault="00BC246C">
      <w:pPr>
        <w:pStyle w:val="FootnoteText"/>
      </w:pPr>
      <w:r>
        <w:rPr>
          <w:rStyle w:val="FootnoteReference"/>
        </w:rPr>
        <w:footnoteRef/>
      </w:r>
      <w:r>
        <w:t xml:space="preserve"> See Attachment A</w:t>
      </w:r>
      <w:r w:rsidR="00F71791">
        <w:t>,</w:t>
      </w:r>
      <w:r>
        <w:t xml:space="preserve"> </w:t>
      </w:r>
      <w:r w:rsidR="00F71791">
        <w:t>stakeholder workgroup roster and attendance record</w:t>
      </w:r>
      <w:r>
        <w:t>.</w:t>
      </w:r>
    </w:p>
  </w:footnote>
  <w:footnote w:id="4">
    <w:p w14:paraId="6654EAFA" w14:textId="5337D612" w:rsidR="00641B89" w:rsidRDefault="00641B89">
      <w:pPr>
        <w:pStyle w:val="FootnoteText"/>
      </w:pPr>
      <w:r>
        <w:rPr>
          <w:rStyle w:val="FootnoteReference"/>
        </w:rPr>
        <w:footnoteRef/>
      </w:r>
      <w:r>
        <w:t xml:space="preserve"> Stakeholders identified </w:t>
      </w:r>
      <w:r w:rsidR="00964ED9">
        <w:t xml:space="preserve">and examined </w:t>
      </w:r>
      <w:r>
        <w:t xml:space="preserve">data available from the </w:t>
      </w:r>
      <w:r w:rsidR="00964ED9">
        <w:t xml:space="preserve">Washington State </w:t>
      </w:r>
      <w:r>
        <w:t xml:space="preserve">Office of Financial Management, </w:t>
      </w:r>
      <w:r w:rsidR="00964ED9">
        <w:t xml:space="preserve">and </w:t>
      </w:r>
      <w:r>
        <w:t xml:space="preserve">the U.S. Census Bureau </w:t>
      </w:r>
      <w:r w:rsidR="00964ED9">
        <w:t>(</w:t>
      </w:r>
      <w:r>
        <w:t>the American Community Survey</w:t>
      </w:r>
      <w:r w:rsidR="00964ED9">
        <w:t>).</w:t>
      </w:r>
    </w:p>
  </w:footnote>
  <w:footnote w:id="5">
    <w:p w14:paraId="5353B767" w14:textId="4E79B31B" w:rsidR="00641B89" w:rsidRDefault="00641B89" w:rsidP="00641B89">
      <w:pPr>
        <w:pStyle w:val="FootnoteText"/>
      </w:pPr>
      <w:r>
        <w:rPr>
          <w:rStyle w:val="FootnoteReference"/>
        </w:rPr>
        <w:footnoteRef/>
      </w:r>
      <w:r>
        <w:t xml:space="preserve"> </w:t>
      </w:r>
      <w:r w:rsidRPr="00A13AD0">
        <w:t xml:space="preserve">The Commission </w:t>
      </w:r>
      <w:r w:rsidR="00A13AD0" w:rsidRPr="00A13AD0">
        <w:t>recently</w:t>
      </w:r>
      <w:r w:rsidRPr="00A13AD0">
        <w:t xml:space="preserve"> accepted analysis using the ACS data set </w:t>
      </w:r>
      <w:r w:rsidR="00A13AD0" w:rsidRPr="00A13AD0">
        <w:t>in its approval of</w:t>
      </w:r>
      <w:r w:rsidRPr="00A13AD0">
        <w:t xml:space="preserve"> modifications </w:t>
      </w:r>
      <w:r w:rsidR="00A13AD0" w:rsidRPr="00A13AD0">
        <w:t xml:space="preserve">and additions </w:t>
      </w:r>
      <w:r w:rsidRPr="00A13AD0">
        <w:t xml:space="preserve">to Avista’s low-income </w:t>
      </w:r>
      <w:r w:rsidR="00A13AD0" w:rsidRPr="008A592D">
        <w:t>rate assistance</w:t>
      </w:r>
      <w:r w:rsidRPr="00A13AD0">
        <w:t xml:space="preserve"> program in Dockets UE-140188 and UG-140189 (Consolidated), ORDER 07, </w:t>
      </w:r>
      <w:r w:rsidR="00964ED9">
        <w:t xml:space="preserve">at </w:t>
      </w:r>
      <w:r w:rsidRPr="00A13AD0">
        <w:t>4</w:t>
      </w:r>
      <w:r w:rsidR="00964ED9">
        <w:t>:</w:t>
      </w:r>
      <w:r w:rsidRPr="00A13AD0">
        <w:t xml:space="preserve"> 12.</w:t>
      </w:r>
    </w:p>
  </w:footnote>
  <w:footnote w:id="6">
    <w:p w14:paraId="166CF665" w14:textId="77777777" w:rsidR="00154D0D" w:rsidRDefault="00154D0D" w:rsidP="00154D0D">
      <w:pPr>
        <w:pStyle w:val="FootnoteText"/>
      </w:pPr>
      <w:r>
        <w:rPr>
          <w:rStyle w:val="FootnoteReference"/>
        </w:rPr>
        <w:footnoteRef/>
      </w:r>
      <w:r>
        <w:t xml:space="preserve"> General Order R-578, Docket UE-131723 Adoption Oder at 41: 131, March 13, 2015.</w:t>
      </w:r>
    </w:p>
  </w:footnote>
  <w:footnote w:id="7">
    <w:p w14:paraId="35FA6A9D" w14:textId="6280F4E5" w:rsidR="00177558" w:rsidRDefault="00177558" w:rsidP="00177558">
      <w:pPr>
        <w:pStyle w:val="FootnoteText"/>
      </w:pPr>
      <w:r>
        <w:rPr>
          <w:rStyle w:val="FootnoteReference"/>
        </w:rPr>
        <w:footnoteRef/>
      </w:r>
      <w:r>
        <w:t xml:space="preserve"> Required pursuant to RCW 19.29A.080.  This</w:t>
      </w:r>
      <w:r w:rsidR="002021E4">
        <w:t xml:space="preserve"> annual</w:t>
      </w:r>
      <w:r>
        <w:t xml:space="preserve"> report identifies the types of resources in each utility’s fuel mix</w:t>
      </w:r>
      <w:r w:rsidR="002021E4">
        <w:t xml:space="preserve">, but does not allocate emissions on a utility basis.  </w:t>
      </w:r>
      <w:r>
        <w:t xml:space="preserve">Fuel Mix Reports are available dating back </w:t>
      </w:r>
      <w:r w:rsidR="00D36627">
        <w:t xml:space="preserve">only </w:t>
      </w:r>
      <w:r>
        <w:t>to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754E91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F1"/>
    <w:rsid w:val="00001D45"/>
    <w:rsid w:val="00044909"/>
    <w:rsid w:val="00082AE6"/>
    <w:rsid w:val="000E2057"/>
    <w:rsid w:val="000E486B"/>
    <w:rsid w:val="00102C83"/>
    <w:rsid w:val="00137F19"/>
    <w:rsid w:val="00154D0D"/>
    <w:rsid w:val="00177558"/>
    <w:rsid w:val="001A02AD"/>
    <w:rsid w:val="001A247D"/>
    <w:rsid w:val="001D0A76"/>
    <w:rsid w:val="001E612E"/>
    <w:rsid w:val="002021E4"/>
    <w:rsid w:val="00231AAC"/>
    <w:rsid w:val="0028547E"/>
    <w:rsid w:val="00361CC2"/>
    <w:rsid w:val="0037561C"/>
    <w:rsid w:val="0040329F"/>
    <w:rsid w:val="00413754"/>
    <w:rsid w:val="004416ED"/>
    <w:rsid w:val="004962AB"/>
    <w:rsid w:val="004B0CFD"/>
    <w:rsid w:val="004E60AC"/>
    <w:rsid w:val="00525A6B"/>
    <w:rsid w:val="005735A1"/>
    <w:rsid w:val="00594BD9"/>
    <w:rsid w:val="005D1488"/>
    <w:rsid w:val="006158C0"/>
    <w:rsid w:val="00625DF3"/>
    <w:rsid w:val="00641B89"/>
    <w:rsid w:val="006A255F"/>
    <w:rsid w:val="00735E60"/>
    <w:rsid w:val="00736D46"/>
    <w:rsid w:val="00743DA6"/>
    <w:rsid w:val="00776B23"/>
    <w:rsid w:val="007B03C3"/>
    <w:rsid w:val="007D48BA"/>
    <w:rsid w:val="00861134"/>
    <w:rsid w:val="00884F75"/>
    <w:rsid w:val="00891769"/>
    <w:rsid w:val="008A592D"/>
    <w:rsid w:val="008C5D06"/>
    <w:rsid w:val="008D26A4"/>
    <w:rsid w:val="008D3585"/>
    <w:rsid w:val="009158C9"/>
    <w:rsid w:val="00964ED9"/>
    <w:rsid w:val="009D0B52"/>
    <w:rsid w:val="009F4D3C"/>
    <w:rsid w:val="00A13AD0"/>
    <w:rsid w:val="00B42C7B"/>
    <w:rsid w:val="00BC246C"/>
    <w:rsid w:val="00C263E1"/>
    <w:rsid w:val="00C563D3"/>
    <w:rsid w:val="00C66878"/>
    <w:rsid w:val="00CB1E13"/>
    <w:rsid w:val="00CD0262"/>
    <w:rsid w:val="00D36627"/>
    <w:rsid w:val="00D85CAF"/>
    <w:rsid w:val="00D92A10"/>
    <w:rsid w:val="00E026C4"/>
    <w:rsid w:val="00E15545"/>
    <w:rsid w:val="00E473F1"/>
    <w:rsid w:val="00E77EC4"/>
    <w:rsid w:val="00E91E8F"/>
    <w:rsid w:val="00EC2A20"/>
    <w:rsid w:val="00ED26F6"/>
    <w:rsid w:val="00EF1943"/>
    <w:rsid w:val="00EF33E7"/>
    <w:rsid w:val="00F70581"/>
    <w:rsid w:val="00F71791"/>
    <w:rsid w:val="00FA1EFC"/>
    <w:rsid w:val="00FB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D5CF"/>
  <w15:docId w15:val="{2248BB4E-78AE-423F-B5C2-4AB948C6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05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0581"/>
    <w:rPr>
      <w:sz w:val="20"/>
      <w:szCs w:val="20"/>
    </w:rPr>
  </w:style>
  <w:style w:type="character" w:styleId="FootnoteReference">
    <w:name w:val="footnote reference"/>
    <w:basedOn w:val="DefaultParagraphFont"/>
    <w:uiPriority w:val="99"/>
    <w:semiHidden/>
    <w:unhideWhenUsed/>
    <w:rsid w:val="00F70581"/>
    <w:rPr>
      <w:vertAlign w:val="superscript"/>
    </w:rPr>
  </w:style>
  <w:style w:type="character" w:styleId="CommentReference">
    <w:name w:val="annotation reference"/>
    <w:basedOn w:val="DefaultParagraphFont"/>
    <w:uiPriority w:val="99"/>
    <w:semiHidden/>
    <w:unhideWhenUsed/>
    <w:rsid w:val="00082AE6"/>
    <w:rPr>
      <w:sz w:val="16"/>
      <w:szCs w:val="16"/>
    </w:rPr>
  </w:style>
  <w:style w:type="paragraph" w:styleId="CommentText">
    <w:name w:val="annotation text"/>
    <w:basedOn w:val="Normal"/>
    <w:link w:val="CommentTextChar"/>
    <w:uiPriority w:val="99"/>
    <w:semiHidden/>
    <w:unhideWhenUsed/>
    <w:rsid w:val="00082AE6"/>
    <w:pPr>
      <w:spacing w:line="240" w:lineRule="auto"/>
    </w:pPr>
    <w:rPr>
      <w:sz w:val="20"/>
      <w:szCs w:val="20"/>
    </w:rPr>
  </w:style>
  <w:style w:type="character" w:customStyle="1" w:styleId="CommentTextChar">
    <w:name w:val="Comment Text Char"/>
    <w:basedOn w:val="DefaultParagraphFont"/>
    <w:link w:val="CommentText"/>
    <w:uiPriority w:val="99"/>
    <w:semiHidden/>
    <w:rsid w:val="00082AE6"/>
    <w:rPr>
      <w:sz w:val="20"/>
      <w:szCs w:val="20"/>
    </w:rPr>
  </w:style>
  <w:style w:type="paragraph" w:styleId="CommentSubject">
    <w:name w:val="annotation subject"/>
    <w:basedOn w:val="CommentText"/>
    <w:next w:val="CommentText"/>
    <w:link w:val="CommentSubjectChar"/>
    <w:uiPriority w:val="99"/>
    <w:semiHidden/>
    <w:unhideWhenUsed/>
    <w:rsid w:val="00082AE6"/>
    <w:rPr>
      <w:b/>
      <w:bCs/>
    </w:rPr>
  </w:style>
  <w:style w:type="character" w:customStyle="1" w:styleId="CommentSubjectChar">
    <w:name w:val="Comment Subject Char"/>
    <w:basedOn w:val="CommentTextChar"/>
    <w:link w:val="CommentSubject"/>
    <w:uiPriority w:val="99"/>
    <w:semiHidden/>
    <w:rsid w:val="00082AE6"/>
    <w:rPr>
      <w:b/>
      <w:bCs/>
      <w:sz w:val="20"/>
      <w:szCs w:val="20"/>
    </w:rPr>
  </w:style>
  <w:style w:type="paragraph" w:styleId="BalloonText">
    <w:name w:val="Balloon Text"/>
    <w:basedOn w:val="Normal"/>
    <w:link w:val="BalloonTextChar"/>
    <w:uiPriority w:val="99"/>
    <w:semiHidden/>
    <w:unhideWhenUsed/>
    <w:rsid w:val="00082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AE6"/>
    <w:rPr>
      <w:rFonts w:ascii="Segoe UI" w:hAnsi="Segoe UI" w:cs="Segoe UI"/>
      <w:sz w:val="18"/>
      <w:szCs w:val="18"/>
    </w:rPr>
  </w:style>
  <w:style w:type="table" w:styleId="TableGrid">
    <w:name w:val="Table Grid"/>
    <w:basedOn w:val="TableNormal"/>
    <w:uiPriority w:val="39"/>
    <w:rsid w:val="00102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4D0D"/>
    <w:rPr>
      <w:color w:val="0563C1" w:themeColor="hyperlink"/>
      <w:u w:val="single"/>
    </w:rPr>
  </w:style>
  <w:style w:type="paragraph" w:styleId="PlainText">
    <w:name w:val="Plain Text"/>
    <w:basedOn w:val="Normal"/>
    <w:link w:val="PlainTextChar"/>
    <w:uiPriority w:val="99"/>
    <w:unhideWhenUsed/>
    <w:rsid w:val="00154D0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54D0D"/>
    <w:rPr>
      <w:rFonts w:ascii="Calibri" w:hAnsi="Calibri" w:cs="Consolas"/>
      <w:szCs w:val="21"/>
    </w:rPr>
  </w:style>
  <w:style w:type="paragraph" w:styleId="ListBullet">
    <w:name w:val="List Bullet"/>
    <w:basedOn w:val="Normal"/>
    <w:uiPriority w:val="99"/>
    <w:unhideWhenUsed/>
    <w:rsid w:val="00154D0D"/>
    <w:pPr>
      <w:numPr>
        <w:numId w:val="1"/>
      </w:numPr>
      <w:contextualSpacing/>
    </w:pPr>
  </w:style>
  <w:style w:type="paragraph" w:styleId="Header">
    <w:name w:val="header"/>
    <w:basedOn w:val="Normal"/>
    <w:link w:val="HeaderChar"/>
    <w:uiPriority w:val="99"/>
    <w:unhideWhenUsed/>
    <w:rsid w:val="001D0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A76"/>
  </w:style>
  <w:style w:type="paragraph" w:styleId="Footer">
    <w:name w:val="footer"/>
    <w:basedOn w:val="Normal"/>
    <w:link w:val="FooterChar"/>
    <w:uiPriority w:val="99"/>
    <w:unhideWhenUsed/>
    <w:rsid w:val="001D0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625413">
      <w:bodyDiv w:val="1"/>
      <w:marLeft w:val="0"/>
      <w:marRight w:val="0"/>
      <w:marTop w:val="0"/>
      <w:marBottom w:val="0"/>
      <w:divBdr>
        <w:top w:val="none" w:sz="0" w:space="0" w:color="auto"/>
        <w:left w:val="none" w:sz="0" w:space="0" w:color="auto"/>
        <w:bottom w:val="none" w:sz="0" w:space="0" w:color="auto"/>
        <w:right w:val="none" w:sz="0" w:space="0" w:color="auto"/>
      </w:divBdr>
    </w:div>
    <w:div w:id="1001591641">
      <w:bodyDiv w:val="1"/>
      <w:marLeft w:val="0"/>
      <w:marRight w:val="0"/>
      <w:marTop w:val="0"/>
      <w:marBottom w:val="0"/>
      <w:divBdr>
        <w:top w:val="none" w:sz="0" w:space="0" w:color="auto"/>
        <w:left w:val="none" w:sz="0" w:space="0" w:color="auto"/>
        <w:bottom w:val="none" w:sz="0" w:space="0" w:color="auto"/>
        <w:right w:val="none" w:sz="0" w:space="0" w:color="auto"/>
      </w:divBdr>
    </w:div>
    <w:div w:id="1151866033">
      <w:bodyDiv w:val="1"/>
      <w:marLeft w:val="0"/>
      <w:marRight w:val="0"/>
      <w:marTop w:val="0"/>
      <w:marBottom w:val="0"/>
      <w:divBdr>
        <w:top w:val="none" w:sz="0" w:space="0" w:color="auto"/>
        <w:left w:val="none" w:sz="0" w:space="0" w:color="auto"/>
        <w:bottom w:val="none" w:sz="0" w:space="0" w:color="auto"/>
        <w:right w:val="none" w:sz="0" w:space="0" w:color="auto"/>
      </w:divBdr>
    </w:div>
    <w:div w:id="177408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nightin@utc.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2013-09-12T07:00:00+00:00</OpenedDate>
    <Date1 xmlns="dc463f71-b30c-4ab2-9473-d307f9d35888">2015-08-07T07:00:00+00:00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55FDB-9ABE-4FF1-A0AE-7C70D0347F33}"/>
</file>

<file path=customXml/itemProps2.xml><?xml version="1.0" encoding="utf-8"?>
<ds:datastoreItem xmlns:ds="http://schemas.openxmlformats.org/officeDocument/2006/customXml" ds:itemID="{3EAB6DCA-8777-4364-97EF-F0B761FC1BA6}"/>
</file>

<file path=customXml/itemProps3.xml><?xml version="1.0" encoding="utf-8"?>
<ds:datastoreItem xmlns:ds="http://schemas.openxmlformats.org/officeDocument/2006/customXml" ds:itemID="{4D1D622A-7EBF-4FD1-A960-804D3B533068}"/>
</file>

<file path=customXml/itemProps4.xml><?xml version="1.0" encoding="utf-8"?>
<ds:datastoreItem xmlns:ds="http://schemas.openxmlformats.org/officeDocument/2006/customXml" ds:itemID="{8B2E5688-EEA2-4C6E-8632-5A4B8B6EA75C}"/>
</file>

<file path=customXml/itemProps5.xml><?xml version="1.0" encoding="utf-8"?>
<ds:datastoreItem xmlns:ds="http://schemas.openxmlformats.org/officeDocument/2006/customXml" ds:itemID="{F695C8E0-B72F-4BF5-AF83-948CDB63957C}"/>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Nightingale, David (UTC)</dc:creator>
  <cp:lastModifiedBy>Nightingale, David (UTC)</cp:lastModifiedBy>
  <cp:revision>2</cp:revision>
  <dcterms:created xsi:type="dcterms:W3CDTF">2015-08-07T17:21:00Z</dcterms:created>
  <dcterms:modified xsi:type="dcterms:W3CDTF">2015-08-07T17:21:00Z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