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04C5D" w14:textId="77777777" w:rsidR="0048039D" w:rsidRPr="00383668" w:rsidRDefault="0048039D" w:rsidP="0048039D">
      <w:pPr>
        <w:ind w:left="-180" w:right="-162"/>
        <w:jc w:val="center"/>
        <w:rPr>
          <w:rFonts w:cs="Times New Roman"/>
        </w:rPr>
      </w:pPr>
      <w:r w:rsidRPr="00383668">
        <w:rPr>
          <w:rFonts w:cs="Times New Roman"/>
        </w:rPr>
        <w:t>BEFORE THE WASHINGTON UTILITIES AND TRANSPORTATION COMMISSION</w:t>
      </w:r>
    </w:p>
    <w:p w14:paraId="337E749C" w14:textId="77777777" w:rsidR="0048039D" w:rsidRPr="00383668" w:rsidRDefault="0048039D" w:rsidP="0048039D">
      <w:pPr>
        <w:ind w:right="18"/>
        <w:jc w:val="both"/>
        <w:rPr>
          <w:rFonts w:cs="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48039D" w:rsidRPr="00383668" w14:paraId="0F04F9B9" w14:textId="77777777" w:rsidTr="001D2C01">
        <w:tc>
          <w:tcPr>
            <w:tcW w:w="4590" w:type="dxa"/>
            <w:tcBorders>
              <w:top w:val="single" w:sz="6" w:space="0" w:color="FFFFFF"/>
              <w:left w:val="single" w:sz="6" w:space="0" w:color="FFFFFF"/>
              <w:bottom w:val="single" w:sz="7" w:space="0" w:color="000000"/>
              <w:right w:val="single" w:sz="6" w:space="0" w:color="FFFFFF"/>
            </w:tcBorders>
          </w:tcPr>
          <w:p w14:paraId="154C6302" w14:textId="77777777" w:rsidR="0048039D" w:rsidRPr="00383668" w:rsidRDefault="0048039D" w:rsidP="001D2C01">
            <w:pPr>
              <w:ind w:right="18"/>
              <w:rPr>
                <w:rFonts w:cs="Times New Roman"/>
              </w:rPr>
            </w:pPr>
            <w:r w:rsidRPr="00383668">
              <w:rPr>
                <w:rFonts w:cs="Times New Roman"/>
              </w:rPr>
              <w:t xml:space="preserve">WASHINGTON UTILITIES AND TRANSPORTATION COMMISSION, </w:t>
            </w:r>
          </w:p>
          <w:p w14:paraId="2E7F1181" w14:textId="77777777" w:rsidR="0048039D" w:rsidRPr="00383668" w:rsidRDefault="0048039D" w:rsidP="001D2C01">
            <w:pPr>
              <w:ind w:right="18"/>
              <w:rPr>
                <w:rFonts w:cs="Times New Roman"/>
              </w:rPr>
            </w:pPr>
          </w:p>
          <w:p w14:paraId="5BCF4A2B" w14:textId="77777777" w:rsidR="0048039D" w:rsidRPr="00383668" w:rsidRDefault="0048039D" w:rsidP="001D2C01">
            <w:pPr>
              <w:ind w:right="18"/>
              <w:rPr>
                <w:rFonts w:cs="Times New Roman"/>
              </w:rPr>
            </w:pPr>
            <w:r w:rsidRPr="00383668">
              <w:rPr>
                <w:rFonts w:cs="Times New Roman"/>
              </w:rPr>
              <w:tab/>
            </w:r>
            <w:r w:rsidRPr="00383668">
              <w:rPr>
                <w:rFonts w:cs="Times New Roman"/>
              </w:rPr>
              <w:tab/>
              <w:t>Complainant,</w:t>
            </w:r>
          </w:p>
          <w:p w14:paraId="3A5D3853" w14:textId="77777777" w:rsidR="0048039D" w:rsidRPr="00383668" w:rsidRDefault="0048039D" w:rsidP="001D2C01">
            <w:pPr>
              <w:ind w:right="18"/>
              <w:rPr>
                <w:rFonts w:cs="Times New Roman"/>
              </w:rPr>
            </w:pPr>
          </w:p>
          <w:p w14:paraId="2546A6CA" w14:textId="77777777" w:rsidR="0048039D" w:rsidRPr="00383668" w:rsidRDefault="0048039D" w:rsidP="001D2C01">
            <w:pPr>
              <w:ind w:right="18"/>
              <w:rPr>
                <w:rFonts w:cs="Times New Roman"/>
              </w:rPr>
            </w:pPr>
            <w:r w:rsidRPr="00383668">
              <w:rPr>
                <w:rFonts w:cs="Times New Roman"/>
              </w:rPr>
              <w:tab/>
              <w:t>v.</w:t>
            </w:r>
          </w:p>
          <w:p w14:paraId="227956AC" w14:textId="77777777" w:rsidR="0048039D" w:rsidRPr="00383668" w:rsidRDefault="0048039D" w:rsidP="001D2C01">
            <w:pPr>
              <w:ind w:right="18"/>
              <w:rPr>
                <w:rFonts w:cs="Times New Roman"/>
              </w:rPr>
            </w:pPr>
          </w:p>
          <w:p w14:paraId="23FEBC4F" w14:textId="77777777" w:rsidR="0048039D" w:rsidRPr="00383668" w:rsidRDefault="0048039D" w:rsidP="001D2C01">
            <w:pPr>
              <w:ind w:right="18"/>
              <w:rPr>
                <w:rFonts w:cs="Times New Roman"/>
              </w:rPr>
            </w:pPr>
            <w:r w:rsidRPr="00383668">
              <w:rPr>
                <w:rFonts w:cs="Times New Roman"/>
              </w:rPr>
              <w:t xml:space="preserve">PACIFICORP d/b/a PACIFIC POWER &amp; LIGHT COMPANY, </w:t>
            </w:r>
          </w:p>
          <w:p w14:paraId="7E8AE289" w14:textId="77777777" w:rsidR="0048039D" w:rsidRPr="00383668" w:rsidRDefault="0048039D" w:rsidP="001D2C01">
            <w:pPr>
              <w:ind w:right="18"/>
              <w:rPr>
                <w:rFonts w:cs="Times New Roman"/>
              </w:rPr>
            </w:pPr>
          </w:p>
          <w:p w14:paraId="312198AF" w14:textId="77777777" w:rsidR="0048039D" w:rsidRPr="00383668" w:rsidRDefault="0048039D" w:rsidP="001D2C01">
            <w:pPr>
              <w:ind w:right="18"/>
              <w:rPr>
                <w:rFonts w:cs="Times New Roman"/>
              </w:rPr>
            </w:pPr>
            <w:r w:rsidRPr="00383668">
              <w:rPr>
                <w:rFonts w:cs="Times New Roman"/>
              </w:rPr>
              <w:tab/>
            </w:r>
            <w:r w:rsidRPr="00383668">
              <w:rPr>
                <w:rFonts w:cs="Times New Roman"/>
              </w:rPr>
              <w:tab/>
              <w:t>Respondent.</w:t>
            </w:r>
          </w:p>
          <w:p w14:paraId="70EB2F3D" w14:textId="77777777" w:rsidR="0048039D" w:rsidRPr="00383668" w:rsidRDefault="0048039D" w:rsidP="001D2C01">
            <w:pPr>
              <w:ind w:right="18"/>
              <w:rPr>
                <w:rFonts w:cs="Times New Roman"/>
              </w:rPr>
            </w:pPr>
          </w:p>
        </w:tc>
        <w:tc>
          <w:tcPr>
            <w:tcW w:w="4590" w:type="dxa"/>
            <w:tcBorders>
              <w:top w:val="single" w:sz="6" w:space="0" w:color="FFFFFF"/>
              <w:left w:val="single" w:sz="7" w:space="0" w:color="000000"/>
              <w:bottom w:val="single" w:sz="6" w:space="0" w:color="FFFFFF"/>
              <w:right w:val="single" w:sz="6" w:space="0" w:color="FFFFFF"/>
            </w:tcBorders>
          </w:tcPr>
          <w:p w14:paraId="098023CF" w14:textId="77777777" w:rsidR="0048039D" w:rsidRPr="00383668" w:rsidRDefault="0048039D" w:rsidP="001D2C01">
            <w:pPr>
              <w:ind w:right="18" w:firstLine="416"/>
              <w:rPr>
                <w:rFonts w:cs="Times New Roman"/>
              </w:rPr>
            </w:pPr>
            <w:r w:rsidRPr="00383668">
              <w:rPr>
                <w:rFonts w:cs="Times New Roman"/>
              </w:rPr>
              <w:t xml:space="preserve">DOCKET UE-100749 </w:t>
            </w:r>
          </w:p>
          <w:p w14:paraId="13EA7E5D" w14:textId="77777777" w:rsidR="0048039D" w:rsidRPr="00383668" w:rsidRDefault="0048039D" w:rsidP="001D2C01">
            <w:pPr>
              <w:ind w:right="18" w:firstLine="416"/>
              <w:rPr>
                <w:rFonts w:cs="Times New Roman"/>
              </w:rPr>
            </w:pPr>
          </w:p>
          <w:p w14:paraId="25FE782C" w14:textId="77777777" w:rsidR="0048039D" w:rsidRPr="00383668" w:rsidRDefault="0048039D" w:rsidP="001D2C01">
            <w:pPr>
              <w:ind w:left="416"/>
              <w:rPr>
                <w:rFonts w:cs="Times New Roman"/>
              </w:rPr>
            </w:pPr>
            <w:r w:rsidRPr="00383668">
              <w:rPr>
                <w:rFonts w:cs="Times New Roman"/>
              </w:rPr>
              <w:t>COMMISSION STAFF</w:t>
            </w:r>
            <w:r>
              <w:rPr>
                <w:rFonts w:cs="Times New Roman"/>
              </w:rPr>
              <w:t>’S</w:t>
            </w:r>
            <w:r w:rsidRPr="00383668">
              <w:rPr>
                <w:rFonts w:cs="Times New Roman"/>
              </w:rPr>
              <w:t xml:space="preserve"> </w:t>
            </w:r>
            <w:r>
              <w:rPr>
                <w:rFonts w:cs="Times New Roman"/>
              </w:rPr>
              <w:t xml:space="preserve">REPLY TO </w:t>
            </w:r>
            <w:r w:rsidR="00AD08F6">
              <w:rPr>
                <w:rFonts w:cs="Times New Roman"/>
              </w:rPr>
              <w:t>THE</w:t>
            </w:r>
            <w:r>
              <w:rPr>
                <w:rFonts w:cs="Times New Roman"/>
              </w:rPr>
              <w:t xml:space="preserve"> </w:t>
            </w:r>
            <w:r w:rsidRPr="00383668">
              <w:rPr>
                <w:rFonts w:cs="Times New Roman"/>
              </w:rPr>
              <w:t>RESPONSE</w:t>
            </w:r>
            <w:r>
              <w:rPr>
                <w:rFonts w:cs="Times New Roman"/>
              </w:rPr>
              <w:t>S</w:t>
            </w:r>
            <w:r w:rsidRPr="00383668">
              <w:rPr>
                <w:rFonts w:cs="Times New Roman"/>
              </w:rPr>
              <w:t xml:space="preserve"> TO PACIFICORP’S COMPLIANCE FILING </w:t>
            </w:r>
            <w:r>
              <w:rPr>
                <w:rFonts w:cs="Times New Roman"/>
              </w:rPr>
              <w:t xml:space="preserve">OF </w:t>
            </w:r>
            <w:r w:rsidRPr="00383668">
              <w:rPr>
                <w:rFonts w:cs="Times New Roman"/>
              </w:rPr>
              <w:t>OCTOBER 3, 2014</w:t>
            </w:r>
          </w:p>
          <w:p w14:paraId="2E550747" w14:textId="77777777" w:rsidR="0048039D" w:rsidRPr="00383668" w:rsidRDefault="0048039D" w:rsidP="001D2C01">
            <w:pPr>
              <w:ind w:right="18"/>
              <w:rPr>
                <w:rFonts w:cs="Times New Roman"/>
              </w:rPr>
            </w:pPr>
          </w:p>
        </w:tc>
      </w:tr>
    </w:tbl>
    <w:p w14:paraId="4CECFA42" w14:textId="77777777" w:rsidR="0048039D" w:rsidRPr="009D608C" w:rsidRDefault="0048039D" w:rsidP="0048039D">
      <w:pPr>
        <w:ind w:right="18"/>
        <w:jc w:val="both"/>
        <w:rPr>
          <w:rFonts w:cs="Times New Roman"/>
          <w:szCs w:val="24"/>
        </w:rPr>
      </w:pPr>
    </w:p>
    <w:p w14:paraId="3A499DD4" w14:textId="77777777" w:rsidR="0048039D" w:rsidRPr="002149CD" w:rsidRDefault="0048039D" w:rsidP="0048039D">
      <w:pPr>
        <w:pStyle w:val="ListParagraph"/>
        <w:numPr>
          <w:ilvl w:val="0"/>
          <w:numId w:val="3"/>
        </w:numPr>
        <w:spacing w:line="480" w:lineRule="auto"/>
        <w:ind w:left="0" w:firstLine="0"/>
        <w:jc w:val="center"/>
        <w:rPr>
          <w:b/>
          <w:szCs w:val="24"/>
        </w:rPr>
      </w:pPr>
      <w:r w:rsidRPr="002149CD">
        <w:rPr>
          <w:b/>
          <w:szCs w:val="24"/>
        </w:rPr>
        <w:t>INTRODUCTION</w:t>
      </w:r>
    </w:p>
    <w:p w14:paraId="35389E6A" w14:textId="55D28D36" w:rsidR="0048039D" w:rsidRPr="000C4AEE" w:rsidRDefault="0048039D" w:rsidP="0048039D">
      <w:pPr>
        <w:pStyle w:val="ListParagraph"/>
        <w:numPr>
          <w:ilvl w:val="0"/>
          <w:numId w:val="1"/>
        </w:numPr>
        <w:spacing w:line="480" w:lineRule="auto"/>
        <w:rPr>
          <w:szCs w:val="24"/>
        </w:rPr>
      </w:pPr>
      <w:r w:rsidRPr="00D317D1">
        <w:rPr>
          <w:szCs w:val="24"/>
        </w:rPr>
        <w:tab/>
        <w:t>Commission Staff submits these comments in reply to the responses of the Industrial Customers of Northwest Util</w:t>
      </w:r>
      <w:r>
        <w:rPr>
          <w:szCs w:val="24"/>
        </w:rPr>
        <w:t>ities (“ICNU”) and Public Counse</w:t>
      </w:r>
      <w:r w:rsidRPr="00D317D1">
        <w:rPr>
          <w:szCs w:val="24"/>
        </w:rPr>
        <w:t>l to PacifiCorp’s Renewable Energy Revenue Adjustment compliance filing</w:t>
      </w:r>
      <w:r>
        <w:rPr>
          <w:szCs w:val="24"/>
        </w:rPr>
        <w:t xml:space="preserve"> of October 3, 2014 (“Compliance Filing”).  </w:t>
      </w:r>
      <w:r w:rsidRPr="000C4AEE">
        <w:rPr>
          <w:szCs w:val="24"/>
        </w:rPr>
        <w:t>Staff does not object to further limit</w:t>
      </w:r>
      <w:r w:rsidR="005A7997">
        <w:rPr>
          <w:szCs w:val="24"/>
        </w:rPr>
        <w:t>ing</w:t>
      </w:r>
      <w:r>
        <w:rPr>
          <w:szCs w:val="24"/>
        </w:rPr>
        <w:t>, beyond Staff’s own recommendation,</w:t>
      </w:r>
      <w:r w:rsidRPr="000C4AEE">
        <w:rPr>
          <w:szCs w:val="24"/>
        </w:rPr>
        <w:t xml:space="preserve"> the amount of </w:t>
      </w:r>
      <w:r>
        <w:rPr>
          <w:szCs w:val="24"/>
        </w:rPr>
        <w:t xml:space="preserve">accrued </w:t>
      </w:r>
      <w:r w:rsidRPr="000C4AEE">
        <w:rPr>
          <w:szCs w:val="24"/>
        </w:rPr>
        <w:t xml:space="preserve">interest that PacifiCorp may </w:t>
      </w:r>
      <w:r w:rsidR="00E75DC5">
        <w:rPr>
          <w:szCs w:val="24"/>
        </w:rPr>
        <w:t xml:space="preserve">be authorized to </w:t>
      </w:r>
      <w:r w:rsidRPr="000C4AEE">
        <w:rPr>
          <w:szCs w:val="24"/>
        </w:rPr>
        <w:t xml:space="preserve">collect on the over-credited </w:t>
      </w:r>
      <w:r>
        <w:rPr>
          <w:szCs w:val="24"/>
        </w:rPr>
        <w:t>renewable energy credit (“REC”)</w:t>
      </w:r>
      <w:r w:rsidRPr="000C4AEE">
        <w:rPr>
          <w:szCs w:val="24"/>
        </w:rPr>
        <w:t xml:space="preserve"> proceeds.  Staff however believes that this issue should be resolved without further delay, and </w:t>
      </w:r>
      <w:r>
        <w:rPr>
          <w:szCs w:val="24"/>
        </w:rPr>
        <w:t>therefore</w:t>
      </w:r>
      <w:r w:rsidRPr="000C4AEE">
        <w:rPr>
          <w:szCs w:val="24"/>
        </w:rPr>
        <w:t xml:space="preserve"> objects to ICNU’s </w:t>
      </w:r>
      <w:r w:rsidR="00AD08F6">
        <w:rPr>
          <w:szCs w:val="24"/>
        </w:rPr>
        <w:t>request</w:t>
      </w:r>
      <w:r w:rsidRPr="000C4AEE">
        <w:rPr>
          <w:szCs w:val="24"/>
        </w:rPr>
        <w:t xml:space="preserve"> that the Commission either reject PacifiCorp’s Compliance Filing or suspend </w:t>
      </w:r>
      <w:r w:rsidR="00AD08F6">
        <w:rPr>
          <w:szCs w:val="24"/>
        </w:rPr>
        <w:t>it</w:t>
      </w:r>
      <w:r w:rsidRPr="000C4AEE">
        <w:rPr>
          <w:szCs w:val="24"/>
        </w:rPr>
        <w:t xml:space="preserve"> to allow all parties to </w:t>
      </w:r>
      <w:r w:rsidR="00AD08F6">
        <w:rPr>
          <w:szCs w:val="24"/>
        </w:rPr>
        <w:t xml:space="preserve">more </w:t>
      </w:r>
      <w:r w:rsidRPr="000C4AEE">
        <w:rPr>
          <w:szCs w:val="24"/>
        </w:rPr>
        <w:t xml:space="preserve">fully investigate it.  </w:t>
      </w:r>
    </w:p>
    <w:p w14:paraId="58221E86" w14:textId="77777777" w:rsidR="0048039D" w:rsidRDefault="0048039D" w:rsidP="0048039D">
      <w:pPr>
        <w:pStyle w:val="ListParagraph"/>
        <w:numPr>
          <w:ilvl w:val="0"/>
          <w:numId w:val="3"/>
        </w:numPr>
        <w:spacing w:line="480" w:lineRule="auto"/>
        <w:ind w:left="0" w:firstLine="0"/>
        <w:jc w:val="center"/>
        <w:rPr>
          <w:b/>
          <w:szCs w:val="24"/>
        </w:rPr>
      </w:pPr>
      <w:r>
        <w:rPr>
          <w:b/>
          <w:szCs w:val="24"/>
        </w:rPr>
        <w:t>BACKGROUND</w:t>
      </w:r>
    </w:p>
    <w:p w14:paraId="2FF9E89A" w14:textId="77777777" w:rsidR="0048039D" w:rsidRPr="00161699" w:rsidRDefault="0048039D" w:rsidP="0048039D">
      <w:pPr>
        <w:pStyle w:val="ListParagraph"/>
        <w:numPr>
          <w:ilvl w:val="0"/>
          <w:numId w:val="1"/>
        </w:numPr>
        <w:spacing w:line="480" w:lineRule="auto"/>
        <w:rPr>
          <w:b/>
          <w:szCs w:val="24"/>
        </w:rPr>
      </w:pPr>
      <w:r>
        <w:rPr>
          <w:b/>
          <w:szCs w:val="24"/>
        </w:rPr>
        <w:tab/>
      </w:r>
      <w:r>
        <w:rPr>
          <w:szCs w:val="24"/>
        </w:rPr>
        <w:t xml:space="preserve">Public Counsel, ICNU, and Staff all urge the Commission to limit the amount of accrued interest that PacifiCorp is allowed to recover for </w:t>
      </w:r>
      <w:r w:rsidR="00AD08F6">
        <w:rPr>
          <w:szCs w:val="24"/>
        </w:rPr>
        <w:t xml:space="preserve">the </w:t>
      </w:r>
      <w:r>
        <w:rPr>
          <w:szCs w:val="24"/>
        </w:rPr>
        <w:t xml:space="preserve">over-credited REC proceeds.  Public Counsel and ICNU each recommend that the Commission limit the </w:t>
      </w:r>
      <w:r w:rsidR="00AD08F6">
        <w:rPr>
          <w:szCs w:val="24"/>
        </w:rPr>
        <w:t xml:space="preserve">amount of </w:t>
      </w:r>
      <w:r>
        <w:rPr>
          <w:szCs w:val="24"/>
        </w:rPr>
        <w:t>accrued interest to a greater extent than Staff proposed</w:t>
      </w:r>
      <w:r w:rsidR="00E75DC5">
        <w:rPr>
          <w:szCs w:val="24"/>
        </w:rPr>
        <w:t xml:space="preserve"> in its comments dated October </w:t>
      </w:r>
      <w:r w:rsidR="00E74679">
        <w:rPr>
          <w:szCs w:val="24"/>
        </w:rPr>
        <w:t>17</w:t>
      </w:r>
      <w:r w:rsidR="00E75DC5">
        <w:rPr>
          <w:i/>
          <w:szCs w:val="24"/>
        </w:rPr>
        <w:t xml:space="preserve">, </w:t>
      </w:r>
      <w:r w:rsidR="00E75DC5">
        <w:rPr>
          <w:szCs w:val="24"/>
        </w:rPr>
        <w:t>2014</w:t>
      </w:r>
      <w:r>
        <w:rPr>
          <w:szCs w:val="24"/>
        </w:rPr>
        <w:t xml:space="preserve">.  </w:t>
      </w:r>
    </w:p>
    <w:p w14:paraId="215D2155" w14:textId="0A90CE99" w:rsidR="0048039D" w:rsidRPr="006B5536" w:rsidRDefault="0048039D" w:rsidP="0048039D">
      <w:pPr>
        <w:pStyle w:val="ListParagraph"/>
        <w:numPr>
          <w:ilvl w:val="0"/>
          <w:numId w:val="1"/>
        </w:numPr>
        <w:spacing w:line="480" w:lineRule="auto"/>
        <w:rPr>
          <w:b/>
          <w:szCs w:val="24"/>
        </w:rPr>
      </w:pPr>
      <w:r>
        <w:rPr>
          <w:szCs w:val="24"/>
        </w:rPr>
        <w:lastRenderedPageBreak/>
        <w:t xml:space="preserve"> </w:t>
      </w:r>
      <w:r>
        <w:rPr>
          <w:szCs w:val="24"/>
        </w:rPr>
        <w:tab/>
        <w:t xml:space="preserve">Public Counsel and ICNU both assert that PacifiCorp was required to make a true-up filing in 2013 and 2014 as part of its REC revenue annual report pursuant to paragraph 8 </w:t>
      </w:r>
      <w:r w:rsidR="00E75DC5">
        <w:rPr>
          <w:szCs w:val="24"/>
        </w:rPr>
        <w:t>of</w:t>
      </w:r>
      <w:r>
        <w:rPr>
          <w:szCs w:val="24"/>
        </w:rPr>
        <w:t xml:space="preserve"> Order 13, and failed to do so.</w:t>
      </w:r>
      <w:r>
        <w:rPr>
          <w:rStyle w:val="FootnoteReference"/>
          <w:szCs w:val="24"/>
        </w:rPr>
        <w:footnoteReference w:id="1"/>
      </w:r>
      <w:r>
        <w:rPr>
          <w:szCs w:val="24"/>
        </w:rPr>
        <w:t xml:space="preserve">  Public Counsel and ICNU each further </w:t>
      </w:r>
      <w:r w:rsidR="00AD08F6">
        <w:rPr>
          <w:szCs w:val="24"/>
        </w:rPr>
        <w:t>argue</w:t>
      </w:r>
      <w:r>
        <w:rPr>
          <w:szCs w:val="24"/>
        </w:rPr>
        <w:t xml:space="preserve"> that PacifiCorp also failed to abide by the Multiparty Agreement, which </w:t>
      </w:r>
      <w:r w:rsidR="00E75DC5">
        <w:rPr>
          <w:szCs w:val="24"/>
        </w:rPr>
        <w:t xml:space="preserve">they assert </w:t>
      </w:r>
      <w:r>
        <w:rPr>
          <w:szCs w:val="24"/>
        </w:rPr>
        <w:t>clearly calls for annual true-ups on May 1 of each year</w:t>
      </w:r>
      <w:r w:rsidR="003F0105">
        <w:rPr>
          <w:szCs w:val="24"/>
        </w:rPr>
        <w:t>.</w:t>
      </w:r>
      <w:r w:rsidR="003F0105">
        <w:rPr>
          <w:rStyle w:val="FootnoteReference"/>
          <w:szCs w:val="24"/>
        </w:rPr>
        <w:footnoteReference w:id="2"/>
      </w:r>
      <w:r w:rsidR="003F0105">
        <w:rPr>
          <w:szCs w:val="24"/>
        </w:rPr>
        <w:t xml:space="preserve">  The Multiparty Agreement </w:t>
      </w:r>
      <w:r w:rsidR="00E75DC5">
        <w:rPr>
          <w:szCs w:val="24"/>
        </w:rPr>
        <w:t xml:space="preserve">referenced by these parties </w:t>
      </w:r>
      <w:r>
        <w:rPr>
          <w:szCs w:val="24"/>
        </w:rPr>
        <w:t>was implicitly recognized</w:t>
      </w:r>
      <w:r w:rsidR="000D41D8">
        <w:rPr>
          <w:szCs w:val="24"/>
        </w:rPr>
        <w:t>,</w:t>
      </w:r>
      <w:r w:rsidRPr="007D1B5B">
        <w:rPr>
          <w:szCs w:val="24"/>
        </w:rPr>
        <w:t xml:space="preserve"> </w:t>
      </w:r>
      <w:r>
        <w:rPr>
          <w:szCs w:val="24"/>
        </w:rPr>
        <w:t>although not formally approved</w:t>
      </w:r>
      <w:r w:rsidR="000D41D8">
        <w:rPr>
          <w:szCs w:val="24"/>
        </w:rPr>
        <w:t>,</w:t>
      </w:r>
      <w:r w:rsidR="000D41D8" w:rsidRPr="000D41D8">
        <w:rPr>
          <w:szCs w:val="24"/>
        </w:rPr>
        <w:t xml:space="preserve"> </w:t>
      </w:r>
      <w:r w:rsidR="000D41D8">
        <w:rPr>
          <w:szCs w:val="24"/>
        </w:rPr>
        <w:t>by the Commission</w:t>
      </w:r>
      <w:r>
        <w:rPr>
          <w:szCs w:val="24"/>
        </w:rPr>
        <w:t>.</w:t>
      </w:r>
      <w:r>
        <w:rPr>
          <w:rStyle w:val="FootnoteReference"/>
          <w:szCs w:val="24"/>
        </w:rPr>
        <w:footnoteReference w:id="3"/>
      </w:r>
      <w:r w:rsidR="005A7997">
        <w:rPr>
          <w:szCs w:val="24"/>
        </w:rPr>
        <w:t xml:space="preserve">  </w:t>
      </w:r>
      <w:r w:rsidR="00E75DC5">
        <w:rPr>
          <w:szCs w:val="24"/>
        </w:rPr>
        <w:t xml:space="preserve">While Public Counsel and ICNU seem to agree as to the import of the Multiparty Agreement, each recommends a different remedy.   </w:t>
      </w:r>
      <w:r>
        <w:rPr>
          <w:szCs w:val="24"/>
        </w:rPr>
        <w:t xml:space="preserve"> </w:t>
      </w:r>
    </w:p>
    <w:p w14:paraId="0CD47500" w14:textId="17E5F69E" w:rsidR="0048039D" w:rsidRPr="00DE1F3B" w:rsidRDefault="0048039D" w:rsidP="0048039D">
      <w:pPr>
        <w:pStyle w:val="ListParagraph"/>
        <w:numPr>
          <w:ilvl w:val="0"/>
          <w:numId w:val="1"/>
        </w:numPr>
        <w:spacing w:line="480" w:lineRule="auto"/>
        <w:rPr>
          <w:b/>
          <w:szCs w:val="24"/>
        </w:rPr>
      </w:pPr>
      <w:r>
        <w:rPr>
          <w:szCs w:val="24"/>
        </w:rPr>
        <w:t xml:space="preserve"> </w:t>
      </w:r>
      <w:r>
        <w:rPr>
          <w:szCs w:val="24"/>
        </w:rPr>
        <w:tab/>
      </w:r>
      <w:r w:rsidRPr="006B5536">
        <w:rPr>
          <w:szCs w:val="24"/>
        </w:rPr>
        <w:t>Public Counsel does not oppose PacifiCorp’s recovery of the principle</w:t>
      </w:r>
      <w:r w:rsidR="00B607ED" w:rsidRPr="00B607ED">
        <w:rPr>
          <w:szCs w:val="24"/>
        </w:rPr>
        <w:t xml:space="preserve"> </w:t>
      </w:r>
      <w:r w:rsidR="00B607ED">
        <w:rPr>
          <w:szCs w:val="24"/>
        </w:rPr>
        <w:t xml:space="preserve">of the </w:t>
      </w:r>
      <w:r w:rsidR="00B607ED" w:rsidRPr="006B5536">
        <w:rPr>
          <w:szCs w:val="24"/>
        </w:rPr>
        <w:t>over-credited REC proceeds</w:t>
      </w:r>
      <w:r w:rsidRPr="006B5536">
        <w:rPr>
          <w:szCs w:val="24"/>
        </w:rPr>
        <w:t>, but</w:t>
      </w:r>
      <w:r w:rsidR="00B607ED">
        <w:rPr>
          <w:szCs w:val="24"/>
        </w:rPr>
        <w:t xml:space="preserve"> it</w:t>
      </w:r>
      <w:r w:rsidRPr="006B5536">
        <w:rPr>
          <w:szCs w:val="24"/>
        </w:rPr>
        <w:t xml:space="preserve"> recommends that the total interest accrued on the balance beginning May 1, 2013, through the requested effective date of this filing, be disallowed for recovery.</w:t>
      </w:r>
      <w:r>
        <w:rPr>
          <w:rStyle w:val="FootnoteReference"/>
          <w:szCs w:val="24"/>
        </w:rPr>
        <w:footnoteReference w:id="4"/>
      </w:r>
      <w:r w:rsidRPr="006B5536">
        <w:rPr>
          <w:szCs w:val="24"/>
        </w:rPr>
        <w:t xml:space="preserve"> </w:t>
      </w:r>
      <w:r w:rsidR="00B607ED">
        <w:rPr>
          <w:szCs w:val="24"/>
        </w:rPr>
        <w:t xml:space="preserve"> </w:t>
      </w:r>
      <w:r>
        <w:rPr>
          <w:szCs w:val="24"/>
        </w:rPr>
        <w:t>ICNU</w:t>
      </w:r>
      <w:r w:rsidR="00B607ED">
        <w:rPr>
          <w:szCs w:val="24"/>
        </w:rPr>
        <w:t xml:space="preserve"> </w:t>
      </w:r>
      <w:r>
        <w:rPr>
          <w:szCs w:val="24"/>
        </w:rPr>
        <w:t xml:space="preserve">requests that the Commission reject PacifiCorp’s Compliance Filing and require the Company to follow the processes established </w:t>
      </w:r>
      <w:r w:rsidRPr="000C4AEE">
        <w:rPr>
          <w:szCs w:val="24"/>
        </w:rPr>
        <w:t>by Order</w:t>
      </w:r>
      <w:r>
        <w:rPr>
          <w:szCs w:val="24"/>
        </w:rPr>
        <w:t xml:space="preserve"> 6 and Order</w:t>
      </w:r>
      <w:r w:rsidRPr="000C4AEE">
        <w:rPr>
          <w:szCs w:val="24"/>
        </w:rPr>
        <w:t xml:space="preserve"> 13, or suspend the filing to allow all parties to fully investigate it</w:t>
      </w:r>
      <w:r w:rsidR="00E74679">
        <w:rPr>
          <w:szCs w:val="24"/>
        </w:rPr>
        <w:t>s facts and possible remedies</w:t>
      </w:r>
      <w:r w:rsidRPr="000C4AEE">
        <w:rPr>
          <w:szCs w:val="24"/>
        </w:rPr>
        <w:t>.</w:t>
      </w:r>
      <w:r>
        <w:rPr>
          <w:rStyle w:val="FootnoteReference"/>
          <w:szCs w:val="24"/>
        </w:rPr>
        <w:footnoteReference w:id="5"/>
      </w:r>
      <w:r>
        <w:rPr>
          <w:szCs w:val="24"/>
        </w:rPr>
        <w:t xml:space="preserve">  ICNU additionally recommends that “[i]f interest is allowed, it should, consistent with the Multiparty Agreement, only apply to one year’s balance in the account.”</w:t>
      </w:r>
      <w:r>
        <w:rPr>
          <w:rStyle w:val="FootnoteReference"/>
          <w:szCs w:val="24"/>
        </w:rPr>
        <w:footnoteReference w:id="6"/>
      </w:r>
      <w:r>
        <w:rPr>
          <w:szCs w:val="24"/>
        </w:rPr>
        <w:t xml:space="preserve"> </w:t>
      </w:r>
    </w:p>
    <w:p w14:paraId="06E3514B" w14:textId="77777777" w:rsidR="00DE1F3B" w:rsidRDefault="00DE1F3B" w:rsidP="00DE1F3B">
      <w:pPr>
        <w:pStyle w:val="ListParagraph"/>
        <w:spacing w:line="480" w:lineRule="auto"/>
        <w:ind w:left="0"/>
        <w:rPr>
          <w:b/>
          <w:szCs w:val="24"/>
        </w:rPr>
      </w:pPr>
    </w:p>
    <w:p w14:paraId="4D99408A" w14:textId="77777777" w:rsidR="0048039D" w:rsidRPr="0028718A" w:rsidRDefault="0048039D" w:rsidP="00380835">
      <w:pPr>
        <w:pStyle w:val="ListParagraph"/>
        <w:keepNext/>
        <w:numPr>
          <w:ilvl w:val="0"/>
          <w:numId w:val="3"/>
        </w:numPr>
        <w:spacing w:line="480" w:lineRule="auto"/>
        <w:ind w:left="0" w:firstLine="0"/>
        <w:jc w:val="center"/>
        <w:rPr>
          <w:b/>
          <w:szCs w:val="24"/>
        </w:rPr>
      </w:pPr>
      <w:r>
        <w:rPr>
          <w:b/>
          <w:szCs w:val="24"/>
        </w:rPr>
        <w:t>DISCUSSION</w:t>
      </w:r>
    </w:p>
    <w:p w14:paraId="4DFA432F" w14:textId="7D114063" w:rsidR="001D2C01" w:rsidRDefault="0048039D" w:rsidP="001D2C01">
      <w:pPr>
        <w:pStyle w:val="ListParagraph"/>
        <w:keepNext/>
        <w:numPr>
          <w:ilvl w:val="0"/>
          <w:numId w:val="5"/>
        </w:numPr>
        <w:ind w:hanging="720"/>
        <w:rPr>
          <w:b/>
          <w:szCs w:val="24"/>
        </w:rPr>
      </w:pPr>
      <w:r w:rsidRPr="00640003">
        <w:rPr>
          <w:b/>
          <w:szCs w:val="24"/>
        </w:rPr>
        <w:t xml:space="preserve">Staff </w:t>
      </w:r>
      <w:r w:rsidR="00605D43">
        <w:rPr>
          <w:b/>
          <w:szCs w:val="24"/>
        </w:rPr>
        <w:t>A</w:t>
      </w:r>
      <w:r>
        <w:rPr>
          <w:b/>
          <w:szCs w:val="24"/>
        </w:rPr>
        <w:t xml:space="preserve">grees </w:t>
      </w:r>
      <w:r w:rsidR="00380835">
        <w:rPr>
          <w:b/>
          <w:szCs w:val="24"/>
        </w:rPr>
        <w:t>t</w:t>
      </w:r>
      <w:r>
        <w:rPr>
          <w:b/>
          <w:szCs w:val="24"/>
        </w:rPr>
        <w:t xml:space="preserve">hat PacifiCorp </w:t>
      </w:r>
      <w:r w:rsidR="00380835">
        <w:rPr>
          <w:b/>
          <w:szCs w:val="24"/>
        </w:rPr>
        <w:t>s</w:t>
      </w:r>
      <w:r>
        <w:rPr>
          <w:b/>
          <w:szCs w:val="24"/>
        </w:rPr>
        <w:t xml:space="preserve">hould </w:t>
      </w:r>
      <w:r w:rsidR="00380835">
        <w:rPr>
          <w:b/>
          <w:szCs w:val="24"/>
        </w:rPr>
        <w:t>h</w:t>
      </w:r>
      <w:r>
        <w:rPr>
          <w:b/>
          <w:szCs w:val="24"/>
        </w:rPr>
        <w:t xml:space="preserve">ave </w:t>
      </w:r>
      <w:r w:rsidR="00605D43">
        <w:rPr>
          <w:b/>
          <w:szCs w:val="24"/>
        </w:rPr>
        <w:t>R</w:t>
      </w:r>
      <w:r>
        <w:rPr>
          <w:b/>
          <w:szCs w:val="24"/>
        </w:rPr>
        <w:t xml:space="preserve">equested </w:t>
      </w:r>
      <w:r w:rsidR="00605D43">
        <w:rPr>
          <w:b/>
          <w:szCs w:val="24"/>
        </w:rPr>
        <w:t>A</w:t>
      </w:r>
      <w:r>
        <w:rPr>
          <w:b/>
          <w:szCs w:val="24"/>
        </w:rPr>
        <w:t xml:space="preserve">nnual </w:t>
      </w:r>
      <w:r w:rsidR="00605D43">
        <w:rPr>
          <w:b/>
          <w:szCs w:val="24"/>
        </w:rPr>
        <w:t>T</w:t>
      </w:r>
      <w:r>
        <w:rPr>
          <w:b/>
          <w:szCs w:val="24"/>
        </w:rPr>
        <w:t>rue-</w:t>
      </w:r>
      <w:r w:rsidR="00605D43">
        <w:rPr>
          <w:b/>
          <w:szCs w:val="24"/>
        </w:rPr>
        <w:t>U</w:t>
      </w:r>
      <w:r w:rsidR="00380835">
        <w:rPr>
          <w:b/>
          <w:szCs w:val="24"/>
        </w:rPr>
        <w:t>ps o</w:t>
      </w:r>
      <w:r>
        <w:rPr>
          <w:b/>
          <w:szCs w:val="24"/>
        </w:rPr>
        <w:t xml:space="preserve">f </w:t>
      </w:r>
      <w:r w:rsidR="00380835">
        <w:rPr>
          <w:b/>
          <w:szCs w:val="24"/>
        </w:rPr>
        <w:t>i</w:t>
      </w:r>
      <w:r>
        <w:rPr>
          <w:b/>
          <w:szCs w:val="24"/>
        </w:rPr>
        <w:t xml:space="preserve">ts REC </w:t>
      </w:r>
      <w:r w:rsidR="00605D43">
        <w:rPr>
          <w:b/>
          <w:szCs w:val="24"/>
        </w:rPr>
        <w:t>S</w:t>
      </w:r>
      <w:r>
        <w:rPr>
          <w:b/>
          <w:szCs w:val="24"/>
        </w:rPr>
        <w:t>ale</w:t>
      </w:r>
      <w:r w:rsidR="00E71AD3">
        <w:rPr>
          <w:b/>
          <w:szCs w:val="24"/>
        </w:rPr>
        <w:t>s</w:t>
      </w:r>
      <w:r w:rsidR="00380835">
        <w:rPr>
          <w:b/>
          <w:szCs w:val="24"/>
        </w:rPr>
        <w:t xml:space="preserve"> </w:t>
      </w:r>
      <w:r w:rsidR="00605D43">
        <w:rPr>
          <w:b/>
          <w:szCs w:val="24"/>
        </w:rPr>
        <w:t>P</w:t>
      </w:r>
      <w:r>
        <w:rPr>
          <w:b/>
          <w:szCs w:val="24"/>
        </w:rPr>
        <w:t>roceeds.</w:t>
      </w:r>
    </w:p>
    <w:p w14:paraId="0B4DC92D" w14:textId="14F02FC7" w:rsidR="0048039D" w:rsidRPr="00640003" w:rsidRDefault="0048039D" w:rsidP="001D2C01">
      <w:pPr>
        <w:pStyle w:val="ListParagraph"/>
        <w:keepNext/>
        <w:rPr>
          <w:b/>
          <w:szCs w:val="24"/>
        </w:rPr>
      </w:pPr>
      <w:r w:rsidRPr="00640003">
        <w:rPr>
          <w:b/>
          <w:szCs w:val="24"/>
        </w:rPr>
        <w:t xml:space="preserve"> </w:t>
      </w:r>
    </w:p>
    <w:p w14:paraId="422B6B0F" w14:textId="0B415737" w:rsidR="0048039D" w:rsidRDefault="0048039D" w:rsidP="00381562">
      <w:pPr>
        <w:pStyle w:val="ListParagraph"/>
        <w:keepNext/>
        <w:numPr>
          <w:ilvl w:val="0"/>
          <w:numId w:val="1"/>
        </w:numPr>
        <w:spacing w:line="480" w:lineRule="auto"/>
        <w:rPr>
          <w:szCs w:val="24"/>
        </w:rPr>
      </w:pPr>
      <w:r w:rsidRPr="00475FA9">
        <w:rPr>
          <w:szCs w:val="24"/>
        </w:rPr>
        <w:t xml:space="preserve"> </w:t>
      </w:r>
      <w:r w:rsidRPr="00475FA9">
        <w:rPr>
          <w:szCs w:val="24"/>
        </w:rPr>
        <w:tab/>
        <w:t>Staff agrees with Public Counsel and ICNU that</w:t>
      </w:r>
      <w:r w:rsidR="009C3647">
        <w:rPr>
          <w:szCs w:val="24"/>
        </w:rPr>
        <w:t xml:space="preserve"> Order 13 obligated</w:t>
      </w:r>
      <w:r w:rsidRPr="00475FA9">
        <w:rPr>
          <w:szCs w:val="24"/>
        </w:rPr>
        <w:t xml:space="preserve"> PacifiCorp</w:t>
      </w:r>
      <w:r>
        <w:rPr>
          <w:szCs w:val="24"/>
        </w:rPr>
        <w:t xml:space="preserve"> to true-up the over-credited REC revenues, and </w:t>
      </w:r>
      <w:r w:rsidR="009C3647">
        <w:rPr>
          <w:szCs w:val="24"/>
        </w:rPr>
        <w:t xml:space="preserve">that </w:t>
      </w:r>
      <w:r>
        <w:rPr>
          <w:szCs w:val="24"/>
        </w:rPr>
        <w:t xml:space="preserve">the Multiparty Agreement </w:t>
      </w:r>
      <w:r w:rsidRPr="00807C5A">
        <w:rPr>
          <w:szCs w:val="24"/>
        </w:rPr>
        <w:t>reinforce</w:t>
      </w:r>
      <w:r>
        <w:rPr>
          <w:szCs w:val="24"/>
        </w:rPr>
        <w:t>d the Company’s responsibility to do so.  Staff in particu</w:t>
      </w:r>
      <w:r w:rsidR="009C3647">
        <w:rPr>
          <w:szCs w:val="24"/>
        </w:rPr>
        <w:t>lar agrees with Public Counsel</w:t>
      </w:r>
      <w:r>
        <w:rPr>
          <w:szCs w:val="24"/>
        </w:rPr>
        <w:t xml:space="preserve"> that PacifiCorp’s basis for why it did not purse recovery until now—due to the ongoing appeal over REC revenues pre-April 2011—is without merit.  </w:t>
      </w:r>
      <w:r w:rsidR="003F0105">
        <w:rPr>
          <w:szCs w:val="24"/>
        </w:rPr>
        <w:t>As Public Counsel notes:</w:t>
      </w:r>
      <w:r w:rsidR="001D2C01">
        <w:rPr>
          <w:szCs w:val="24"/>
        </w:rPr>
        <w:t xml:space="preserve"> </w:t>
      </w:r>
      <w:r>
        <w:rPr>
          <w:szCs w:val="24"/>
        </w:rPr>
        <w:t xml:space="preserve"> </w:t>
      </w:r>
      <w:r w:rsidR="003F0105">
        <w:rPr>
          <w:szCs w:val="24"/>
        </w:rPr>
        <w:t xml:space="preserve">(i) </w:t>
      </w:r>
      <w:r>
        <w:rPr>
          <w:szCs w:val="24"/>
        </w:rPr>
        <w:t>the appeal was initiated pr</w:t>
      </w:r>
      <w:r w:rsidR="003F0105">
        <w:rPr>
          <w:szCs w:val="24"/>
        </w:rPr>
        <w:t>ior to the Multiparty Agreement; (ii)</w:t>
      </w:r>
      <w:r>
        <w:rPr>
          <w:szCs w:val="24"/>
        </w:rPr>
        <w:t xml:space="preserve"> the appeal did not implicate the over-credited REC revenues for which t</w:t>
      </w:r>
      <w:r w:rsidR="003F0105">
        <w:rPr>
          <w:szCs w:val="24"/>
        </w:rPr>
        <w:t>he Company now seeks to recover;</w:t>
      </w:r>
      <w:r>
        <w:rPr>
          <w:szCs w:val="24"/>
        </w:rPr>
        <w:t xml:space="preserve"> and </w:t>
      </w:r>
      <w:r w:rsidR="003F0105">
        <w:rPr>
          <w:szCs w:val="24"/>
        </w:rPr>
        <w:t xml:space="preserve">(iii) </w:t>
      </w:r>
      <w:r>
        <w:rPr>
          <w:szCs w:val="24"/>
        </w:rPr>
        <w:t>the Commission provided explicit guidance to PacifiCorp regarding its 2014 REC compliance that directed the Company to make a</w:t>
      </w:r>
      <w:r w:rsidR="001D2C01">
        <w:rPr>
          <w:szCs w:val="24"/>
        </w:rPr>
        <w:t>n</w:t>
      </w:r>
      <w:r>
        <w:rPr>
          <w:szCs w:val="24"/>
        </w:rPr>
        <w:t xml:space="preserve"> REC compliance filing and true-up by May 1, 2014.</w:t>
      </w:r>
      <w:r>
        <w:rPr>
          <w:rStyle w:val="FootnoteReference"/>
          <w:szCs w:val="24"/>
        </w:rPr>
        <w:footnoteReference w:id="7"/>
      </w:r>
      <w:r>
        <w:rPr>
          <w:szCs w:val="24"/>
        </w:rPr>
        <w:t xml:space="preserve">  Moreover, the fact that no p</w:t>
      </w:r>
      <w:r w:rsidR="00B61CC9">
        <w:rPr>
          <w:szCs w:val="24"/>
        </w:rPr>
        <w:t>arty contested the information</w:t>
      </w:r>
      <w:r>
        <w:rPr>
          <w:szCs w:val="24"/>
        </w:rPr>
        <w:t xml:space="preserve">-only REC compliance filings </w:t>
      </w:r>
      <w:r w:rsidR="003F0105">
        <w:rPr>
          <w:szCs w:val="24"/>
        </w:rPr>
        <w:t>submitted</w:t>
      </w:r>
      <w:r>
        <w:rPr>
          <w:szCs w:val="24"/>
        </w:rPr>
        <w:t xml:space="preserve"> in May 2013 and </w:t>
      </w:r>
      <w:r w:rsidR="000D41D8">
        <w:rPr>
          <w:szCs w:val="24"/>
        </w:rPr>
        <w:t xml:space="preserve">May </w:t>
      </w:r>
      <w:r>
        <w:rPr>
          <w:szCs w:val="24"/>
        </w:rPr>
        <w:t>2014 does not excuse the Company’s failure to request</w:t>
      </w:r>
      <w:r w:rsidR="0031084C">
        <w:rPr>
          <w:szCs w:val="24"/>
        </w:rPr>
        <w:t xml:space="preserve"> a true-up with those filings.  </w:t>
      </w:r>
      <w:r w:rsidR="00E74679">
        <w:rPr>
          <w:szCs w:val="24"/>
        </w:rPr>
        <w:t>As noted by</w:t>
      </w:r>
      <w:r>
        <w:rPr>
          <w:szCs w:val="24"/>
        </w:rPr>
        <w:t xml:space="preserve"> Public Counsel</w:t>
      </w:r>
      <w:r w:rsidR="00B61CC9">
        <w:rPr>
          <w:szCs w:val="24"/>
        </w:rPr>
        <w:t>:</w:t>
      </w:r>
      <w:r w:rsidR="001D2C01">
        <w:rPr>
          <w:szCs w:val="24"/>
        </w:rPr>
        <w:t xml:space="preserve"> </w:t>
      </w:r>
      <w:r w:rsidR="00B61CC9">
        <w:rPr>
          <w:szCs w:val="24"/>
        </w:rPr>
        <w:t xml:space="preserve"> </w:t>
      </w:r>
      <w:r>
        <w:rPr>
          <w:szCs w:val="24"/>
        </w:rPr>
        <w:t>“PacifiCorp has the obligation to make reasonable and prudent decisions on regulatory matters and to minimize costs to its customers.”</w:t>
      </w:r>
      <w:r>
        <w:rPr>
          <w:rStyle w:val="FootnoteReference"/>
          <w:szCs w:val="24"/>
        </w:rPr>
        <w:footnoteReference w:id="8"/>
      </w:r>
      <w:r w:rsidR="0031084C">
        <w:rPr>
          <w:szCs w:val="24"/>
        </w:rPr>
        <w:t xml:space="preserve">  </w:t>
      </w:r>
      <w:r w:rsidR="00E74679">
        <w:rPr>
          <w:szCs w:val="24"/>
        </w:rPr>
        <w:t>Staff agrees with Public Counsel.</w:t>
      </w:r>
      <w:r w:rsidR="001D2C01">
        <w:rPr>
          <w:szCs w:val="24"/>
        </w:rPr>
        <w:t xml:space="preserve"> </w:t>
      </w:r>
      <w:r w:rsidR="00E74679">
        <w:rPr>
          <w:szCs w:val="24"/>
        </w:rPr>
        <w:t xml:space="preserve"> </w:t>
      </w:r>
      <w:r>
        <w:rPr>
          <w:szCs w:val="24"/>
        </w:rPr>
        <w:t xml:space="preserve">PacifiCorp should have requested true-ups of the post-April 2011 over-credited REC </w:t>
      </w:r>
      <w:r w:rsidR="00B61CC9">
        <w:rPr>
          <w:szCs w:val="24"/>
        </w:rPr>
        <w:t>proceeds</w:t>
      </w:r>
      <w:r>
        <w:rPr>
          <w:szCs w:val="24"/>
        </w:rPr>
        <w:t xml:space="preserve"> in 2013</w:t>
      </w:r>
      <w:r w:rsidR="003F0105">
        <w:rPr>
          <w:szCs w:val="24"/>
        </w:rPr>
        <w:t>,</w:t>
      </w:r>
      <w:r>
        <w:rPr>
          <w:szCs w:val="24"/>
        </w:rPr>
        <w:t xml:space="preserve"> and </w:t>
      </w:r>
      <w:r w:rsidR="003F0105">
        <w:rPr>
          <w:szCs w:val="24"/>
        </w:rPr>
        <w:t xml:space="preserve">again in </w:t>
      </w:r>
      <w:r>
        <w:rPr>
          <w:szCs w:val="24"/>
        </w:rPr>
        <w:t>2014</w:t>
      </w:r>
      <w:r w:rsidR="003F0105">
        <w:rPr>
          <w:szCs w:val="24"/>
        </w:rPr>
        <w:t>,</w:t>
      </w:r>
      <w:r>
        <w:rPr>
          <w:szCs w:val="24"/>
        </w:rPr>
        <w:t xml:space="preserve"> when it made its compliance filings </w:t>
      </w:r>
      <w:r w:rsidR="00B61CC9">
        <w:rPr>
          <w:szCs w:val="24"/>
        </w:rPr>
        <w:t>pursuant to Order 13</w:t>
      </w:r>
      <w:r>
        <w:rPr>
          <w:szCs w:val="24"/>
        </w:rPr>
        <w:t xml:space="preserve">. </w:t>
      </w:r>
      <w:r w:rsidR="002C2548">
        <w:rPr>
          <w:szCs w:val="24"/>
        </w:rPr>
        <w:t xml:space="preserve"> </w:t>
      </w:r>
    </w:p>
    <w:p w14:paraId="16B702A2" w14:textId="7E061C24" w:rsidR="00DD2D74" w:rsidRDefault="00646BAA" w:rsidP="0048039D">
      <w:pPr>
        <w:pStyle w:val="ListParagraph"/>
        <w:numPr>
          <w:ilvl w:val="0"/>
          <w:numId w:val="1"/>
        </w:numPr>
        <w:spacing w:line="480" w:lineRule="auto"/>
        <w:rPr>
          <w:szCs w:val="24"/>
        </w:rPr>
      </w:pPr>
      <w:r>
        <w:rPr>
          <w:szCs w:val="24"/>
        </w:rPr>
        <w:t xml:space="preserve"> </w:t>
      </w:r>
      <w:r>
        <w:rPr>
          <w:szCs w:val="24"/>
        </w:rPr>
        <w:tab/>
      </w:r>
      <w:r w:rsidR="00DD2D74">
        <w:rPr>
          <w:szCs w:val="24"/>
        </w:rPr>
        <w:t>As Public Counsel correctly notes, the Commission tasked the parties to develop a mechanism for crediting to customers the proceeds from the sale of RECs.  The parties agreed to such a mechanism in the Multiparty Agreement that was submitted to the Commission via a joint letter on February 28, 2013.</w:t>
      </w:r>
      <w:r w:rsidR="00DD2D74">
        <w:rPr>
          <w:rStyle w:val="FootnoteReference"/>
          <w:szCs w:val="24"/>
        </w:rPr>
        <w:footnoteReference w:id="9"/>
      </w:r>
      <w:r w:rsidR="00DD2D74">
        <w:rPr>
          <w:szCs w:val="24"/>
        </w:rPr>
        <w:t xml:space="preserve">  The Multiparty Agreement allowed interest to accrue on the net balance of the REC revenues at the Company’s Washington after-tax authorized rate of return.</w:t>
      </w:r>
      <w:r w:rsidR="00DD2D74">
        <w:rPr>
          <w:rStyle w:val="FootnoteReference"/>
          <w:szCs w:val="24"/>
        </w:rPr>
        <w:footnoteReference w:id="10"/>
      </w:r>
      <w:r w:rsidR="00DD2D74">
        <w:rPr>
          <w:szCs w:val="24"/>
        </w:rPr>
        <w:t xml:space="preserve">  It also called for annual true-ups of the net balance in the REC revenue account.</w:t>
      </w:r>
      <w:r w:rsidR="00DD2D74" w:rsidRPr="001D2C01">
        <w:rPr>
          <w:rStyle w:val="FootnoteReference"/>
          <w:sz w:val="20"/>
          <w:szCs w:val="20"/>
        </w:rPr>
        <w:footnoteReference w:id="11"/>
      </w:r>
      <w:r w:rsidR="00DD2D74">
        <w:rPr>
          <w:szCs w:val="24"/>
        </w:rPr>
        <w:t xml:space="preserve"> </w:t>
      </w:r>
      <w:r w:rsidR="001D2C01">
        <w:rPr>
          <w:szCs w:val="24"/>
        </w:rPr>
        <w:t xml:space="preserve"> </w:t>
      </w:r>
      <w:r w:rsidR="00DD2D74">
        <w:rPr>
          <w:szCs w:val="24"/>
        </w:rPr>
        <w:t xml:space="preserve">Accordingly, the Multiparty Agreement allowed for interest to accrue as the balance accumulated over the course of the compliance year and over the course of the subsequent year as the balance was paid off.  </w:t>
      </w:r>
      <w:r w:rsidR="00DD2D74" w:rsidRPr="009D7AF3">
        <w:rPr>
          <w:szCs w:val="24"/>
        </w:rPr>
        <w:t>While the Commission did not formally approve the Multiparty Agreement,</w:t>
      </w:r>
      <w:r w:rsidR="00DD2D74" w:rsidRPr="009D7AF3">
        <w:rPr>
          <w:rStyle w:val="FootnoteReference"/>
          <w:szCs w:val="24"/>
        </w:rPr>
        <w:footnoteReference w:id="12"/>
      </w:r>
      <w:r w:rsidR="00DD2D74" w:rsidRPr="009D7AF3">
        <w:rPr>
          <w:szCs w:val="24"/>
        </w:rPr>
        <w:t xml:space="preserve"> it subsequently recognized </w:t>
      </w:r>
      <w:r>
        <w:rPr>
          <w:szCs w:val="24"/>
        </w:rPr>
        <w:t>it</w:t>
      </w:r>
      <w:r w:rsidR="00DD2D74">
        <w:rPr>
          <w:szCs w:val="24"/>
        </w:rPr>
        <w:t xml:space="preserve"> and acted consistent with its </w:t>
      </w:r>
      <w:r w:rsidR="0031084C">
        <w:rPr>
          <w:szCs w:val="24"/>
        </w:rPr>
        <w:t>filing date</w:t>
      </w:r>
      <w:r w:rsidR="00DD2D74">
        <w:rPr>
          <w:szCs w:val="24"/>
        </w:rPr>
        <w:t xml:space="preserve"> when it extended the deadline for the Company to comply with Order 13.</w:t>
      </w:r>
      <w:r w:rsidR="00DD2D74">
        <w:rPr>
          <w:rStyle w:val="FootnoteReference"/>
          <w:szCs w:val="24"/>
        </w:rPr>
        <w:footnoteReference w:id="13"/>
      </w:r>
    </w:p>
    <w:p w14:paraId="01D208B4" w14:textId="1CE71DE7" w:rsidR="001D2C01" w:rsidRDefault="00380835" w:rsidP="001D2C01">
      <w:pPr>
        <w:pStyle w:val="ListParagraph"/>
        <w:numPr>
          <w:ilvl w:val="0"/>
          <w:numId w:val="5"/>
        </w:numPr>
        <w:ind w:hanging="720"/>
        <w:rPr>
          <w:b/>
          <w:szCs w:val="24"/>
        </w:rPr>
      </w:pPr>
      <w:r>
        <w:rPr>
          <w:b/>
          <w:szCs w:val="24"/>
        </w:rPr>
        <w:t>S</w:t>
      </w:r>
      <w:r w:rsidRPr="00C75498">
        <w:rPr>
          <w:b/>
          <w:szCs w:val="24"/>
        </w:rPr>
        <w:t xml:space="preserve">taff does not </w:t>
      </w:r>
      <w:r w:rsidR="00605D43">
        <w:rPr>
          <w:b/>
          <w:szCs w:val="24"/>
        </w:rPr>
        <w:t>O</w:t>
      </w:r>
      <w:r w:rsidRPr="00C75498">
        <w:rPr>
          <w:b/>
          <w:szCs w:val="24"/>
        </w:rPr>
        <w:t xml:space="preserve">bject to </w:t>
      </w:r>
      <w:r w:rsidR="00605D43">
        <w:rPr>
          <w:b/>
          <w:szCs w:val="24"/>
        </w:rPr>
        <w:t>Li</w:t>
      </w:r>
      <w:r w:rsidRPr="00C75498">
        <w:rPr>
          <w:b/>
          <w:szCs w:val="24"/>
        </w:rPr>
        <w:t xml:space="preserve">miting </w:t>
      </w:r>
      <w:r w:rsidR="00605D43">
        <w:rPr>
          <w:b/>
          <w:szCs w:val="24"/>
        </w:rPr>
        <w:t>B</w:t>
      </w:r>
      <w:r>
        <w:rPr>
          <w:b/>
          <w:szCs w:val="24"/>
        </w:rPr>
        <w:t>eyond</w:t>
      </w:r>
      <w:r w:rsidR="00605D43">
        <w:rPr>
          <w:b/>
          <w:szCs w:val="24"/>
        </w:rPr>
        <w:t xml:space="preserve"> its I</w:t>
      </w:r>
      <w:r w:rsidRPr="00C75498">
        <w:rPr>
          <w:b/>
          <w:szCs w:val="24"/>
        </w:rPr>
        <w:t xml:space="preserve">nitial </w:t>
      </w:r>
      <w:r w:rsidR="00605D43">
        <w:rPr>
          <w:b/>
          <w:szCs w:val="24"/>
        </w:rPr>
        <w:t>R</w:t>
      </w:r>
      <w:r>
        <w:rPr>
          <w:b/>
          <w:szCs w:val="24"/>
        </w:rPr>
        <w:t>ecommendation</w:t>
      </w:r>
      <w:r w:rsidRPr="00C75498">
        <w:rPr>
          <w:b/>
          <w:szCs w:val="24"/>
        </w:rPr>
        <w:t xml:space="preserve"> the </w:t>
      </w:r>
      <w:r w:rsidR="00605D43">
        <w:rPr>
          <w:b/>
          <w:szCs w:val="24"/>
        </w:rPr>
        <w:t>A</w:t>
      </w:r>
      <w:r w:rsidRPr="00C75498">
        <w:rPr>
          <w:b/>
          <w:szCs w:val="24"/>
        </w:rPr>
        <w:t xml:space="preserve">ccrued </w:t>
      </w:r>
      <w:r w:rsidR="00605D43">
        <w:rPr>
          <w:b/>
          <w:szCs w:val="24"/>
        </w:rPr>
        <w:t>I</w:t>
      </w:r>
      <w:r w:rsidRPr="00C75498">
        <w:rPr>
          <w:b/>
          <w:szCs w:val="24"/>
        </w:rPr>
        <w:t xml:space="preserve">nterest that </w:t>
      </w:r>
      <w:r>
        <w:rPr>
          <w:b/>
          <w:szCs w:val="24"/>
        </w:rPr>
        <w:t>PacifiC</w:t>
      </w:r>
      <w:r w:rsidRPr="00C75498">
        <w:rPr>
          <w:b/>
          <w:szCs w:val="24"/>
        </w:rPr>
        <w:t xml:space="preserve">orp is </w:t>
      </w:r>
      <w:r w:rsidR="00605D43">
        <w:rPr>
          <w:b/>
          <w:szCs w:val="24"/>
        </w:rPr>
        <w:t>Allowed to R</w:t>
      </w:r>
      <w:r w:rsidRPr="00C75498">
        <w:rPr>
          <w:b/>
          <w:szCs w:val="24"/>
        </w:rPr>
        <w:t>ecover.</w:t>
      </w:r>
    </w:p>
    <w:p w14:paraId="05ECAEB6" w14:textId="71A48AC0" w:rsidR="0048039D" w:rsidRPr="00940102" w:rsidRDefault="0048039D" w:rsidP="001D2C01">
      <w:pPr>
        <w:pStyle w:val="ListParagraph"/>
        <w:rPr>
          <w:b/>
          <w:szCs w:val="24"/>
        </w:rPr>
      </w:pPr>
      <w:r w:rsidRPr="00C75498">
        <w:rPr>
          <w:b/>
          <w:szCs w:val="24"/>
        </w:rPr>
        <w:t xml:space="preserve"> </w:t>
      </w:r>
    </w:p>
    <w:p w14:paraId="1DDB2108" w14:textId="283AF4C1" w:rsidR="0048039D" w:rsidRPr="0031084C" w:rsidRDefault="0048039D" w:rsidP="0031084C">
      <w:pPr>
        <w:pStyle w:val="ListParagraph"/>
        <w:numPr>
          <w:ilvl w:val="0"/>
          <w:numId w:val="1"/>
        </w:numPr>
        <w:spacing w:line="480" w:lineRule="auto"/>
        <w:rPr>
          <w:szCs w:val="24"/>
        </w:rPr>
      </w:pPr>
      <w:r>
        <w:rPr>
          <w:szCs w:val="24"/>
        </w:rPr>
        <w:t xml:space="preserve"> </w:t>
      </w:r>
      <w:r>
        <w:rPr>
          <w:szCs w:val="24"/>
        </w:rPr>
        <w:tab/>
        <w:t xml:space="preserve">Public Counsel, ICNU, and Staff agree that the Commission should limit the amount of accrued interest that PacifiCorp is allowed to recover on the over-credited REC </w:t>
      </w:r>
      <w:r w:rsidR="00B61CC9">
        <w:rPr>
          <w:szCs w:val="24"/>
        </w:rPr>
        <w:t>proceeds</w:t>
      </w:r>
      <w:r>
        <w:rPr>
          <w:szCs w:val="24"/>
        </w:rPr>
        <w:t xml:space="preserve">.  Public Counsel and ICNU however </w:t>
      </w:r>
      <w:r w:rsidR="002C2548">
        <w:rPr>
          <w:szCs w:val="24"/>
        </w:rPr>
        <w:t xml:space="preserve">would further </w:t>
      </w:r>
      <w:r>
        <w:rPr>
          <w:szCs w:val="24"/>
        </w:rPr>
        <w:t>limit the accrued interest</w:t>
      </w:r>
      <w:r w:rsidR="002C2548" w:rsidRPr="002C2548">
        <w:rPr>
          <w:szCs w:val="24"/>
        </w:rPr>
        <w:t xml:space="preserve"> </w:t>
      </w:r>
      <w:r w:rsidR="002C2548">
        <w:rPr>
          <w:szCs w:val="24"/>
        </w:rPr>
        <w:t xml:space="preserve">the Company is authorized to recover. </w:t>
      </w:r>
      <w:r>
        <w:rPr>
          <w:szCs w:val="24"/>
        </w:rPr>
        <w:t xml:space="preserve">  </w:t>
      </w:r>
      <w:r w:rsidRPr="0031084C">
        <w:rPr>
          <w:szCs w:val="24"/>
        </w:rPr>
        <w:t xml:space="preserve"> </w:t>
      </w:r>
    </w:p>
    <w:p w14:paraId="7A8EE208" w14:textId="405425CE" w:rsidR="0048039D" w:rsidRDefault="0048039D" w:rsidP="0048039D">
      <w:pPr>
        <w:pStyle w:val="ListParagraph"/>
        <w:numPr>
          <w:ilvl w:val="0"/>
          <w:numId w:val="1"/>
        </w:numPr>
        <w:spacing w:line="480" w:lineRule="auto"/>
        <w:rPr>
          <w:szCs w:val="24"/>
        </w:rPr>
      </w:pPr>
      <w:r w:rsidRPr="00D60F64">
        <w:rPr>
          <w:szCs w:val="24"/>
        </w:rPr>
        <w:t xml:space="preserve"> </w:t>
      </w:r>
      <w:r w:rsidRPr="00D60F64">
        <w:rPr>
          <w:szCs w:val="24"/>
        </w:rPr>
        <w:tab/>
        <w:t>Public Counsel does not oppose PacifiCorp’s recovery of the principle, but recommends that the Commission disallow for recovery the total interest accrued on the over-credited REC revenues balance</w:t>
      </w:r>
      <w:r w:rsidR="00017CDF">
        <w:rPr>
          <w:szCs w:val="24"/>
        </w:rPr>
        <w:t xml:space="preserve"> beginning May 1, 2013—the date </w:t>
      </w:r>
      <w:r w:rsidR="00DD2D74">
        <w:rPr>
          <w:szCs w:val="24"/>
        </w:rPr>
        <w:t>upon</w:t>
      </w:r>
      <w:r w:rsidRPr="00D60F64">
        <w:rPr>
          <w:szCs w:val="24"/>
        </w:rPr>
        <w:t xml:space="preserve"> which PacifiCorp should have first requested a true-up in accordance with the Multiparty Agreement.</w:t>
      </w:r>
      <w:r w:rsidR="009C3647">
        <w:rPr>
          <w:szCs w:val="24"/>
        </w:rPr>
        <w:t xml:space="preserve"> </w:t>
      </w:r>
      <w:r w:rsidRPr="00D60F64">
        <w:rPr>
          <w:szCs w:val="24"/>
        </w:rPr>
        <w:t xml:space="preserve"> Staff acknowledges that the vast majority of the accrued interest that PacifiCorp </w:t>
      </w:r>
      <w:r w:rsidR="00DD2D74">
        <w:rPr>
          <w:szCs w:val="24"/>
        </w:rPr>
        <w:t xml:space="preserve">now </w:t>
      </w:r>
      <w:r w:rsidRPr="00D60F64">
        <w:rPr>
          <w:szCs w:val="24"/>
        </w:rPr>
        <w:t xml:space="preserve">seeks to </w:t>
      </w:r>
      <w:r w:rsidR="000D41D8">
        <w:rPr>
          <w:szCs w:val="24"/>
        </w:rPr>
        <w:t>recover</w:t>
      </w:r>
      <w:r w:rsidRPr="00D60F64">
        <w:rPr>
          <w:szCs w:val="24"/>
        </w:rPr>
        <w:t xml:space="preserve"> is a result of the Company’s failure to request a true-up on May 1, 2013, </w:t>
      </w:r>
      <w:r w:rsidR="002F39FB">
        <w:rPr>
          <w:szCs w:val="24"/>
        </w:rPr>
        <w:t>as required by</w:t>
      </w:r>
      <w:r w:rsidRPr="00D60F64">
        <w:rPr>
          <w:szCs w:val="24"/>
        </w:rPr>
        <w:t xml:space="preserve"> the Multiparty Agreement.  However, under the </w:t>
      </w:r>
      <w:r w:rsidR="002F39FB" w:rsidRPr="00D60F64">
        <w:rPr>
          <w:szCs w:val="24"/>
        </w:rPr>
        <w:t>Multiparty Agreement</w:t>
      </w:r>
      <w:r w:rsidRPr="00D60F64">
        <w:rPr>
          <w:szCs w:val="24"/>
        </w:rPr>
        <w:t xml:space="preserve"> as Staff understands it, this treatment would also deny the Company a marginal amount of interest that would have accrued during the year period</w:t>
      </w:r>
      <w:r w:rsidR="00BE403F">
        <w:rPr>
          <w:szCs w:val="24"/>
        </w:rPr>
        <w:t xml:space="preserve"> over which the annual true-ups took place</w:t>
      </w:r>
      <w:r w:rsidRPr="00D60F64">
        <w:rPr>
          <w:szCs w:val="24"/>
        </w:rPr>
        <w:t xml:space="preserve"> and on any over-credited REC proceeds that occurred from May 1, 2013, through December 31, 2014.  </w:t>
      </w:r>
    </w:p>
    <w:p w14:paraId="773B24CD" w14:textId="77777777" w:rsidR="00017CDF" w:rsidRDefault="0048039D" w:rsidP="0048039D">
      <w:pPr>
        <w:pStyle w:val="ListParagraph"/>
        <w:numPr>
          <w:ilvl w:val="0"/>
          <w:numId w:val="1"/>
        </w:numPr>
        <w:spacing w:line="480" w:lineRule="auto"/>
        <w:rPr>
          <w:szCs w:val="24"/>
        </w:rPr>
      </w:pPr>
      <w:r w:rsidRPr="001F3AF2">
        <w:rPr>
          <w:szCs w:val="24"/>
        </w:rPr>
        <w:t xml:space="preserve"> </w:t>
      </w:r>
      <w:r w:rsidRPr="001F3AF2">
        <w:rPr>
          <w:szCs w:val="24"/>
        </w:rPr>
        <w:tab/>
        <w:t>ICNU suggests that if interest is allowed, it should only apply to one year’s balance in the account.</w:t>
      </w:r>
      <w:r>
        <w:rPr>
          <w:rStyle w:val="FootnoteReference"/>
          <w:szCs w:val="24"/>
        </w:rPr>
        <w:footnoteReference w:id="14"/>
      </w:r>
      <w:r w:rsidRPr="001F3AF2">
        <w:rPr>
          <w:szCs w:val="24"/>
        </w:rPr>
        <w:t xml:space="preserve">  ICNU proposes that the year to which interest applies “should either be the 2014 balance . . . which reflects the intent of the annual true-up process envisioned by the Multipart Agreement, or, because PacifiCorp has delayed the true-up process Order 06 originally contemplated, the first year immediately following that order (April 2011-March</w:t>
      </w:r>
      <w:r w:rsidR="00C02CC2">
        <w:rPr>
          <w:szCs w:val="24"/>
        </w:rPr>
        <w:t xml:space="preserve"> </w:t>
      </w:r>
      <w:r w:rsidRPr="001F3AF2">
        <w:rPr>
          <w:szCs w:val="24"/>
        </w:rPr>
        <w:t>2012), which would result in $9,981 in interest.”</w:t>
      </w:r>
      <w:r>
        <w:rPr>
          <w:rStyle w:val="FootnoteReference"/>
          <w:szCs w:val="24"/>
        </w:rPr>
        <w:footnoteReference w:id="15"/>
      </w:r>
      <w:r w:rsidRPr="001F3AF2">
        <w:rPr>
          <w:szCs w:val="24"/>
        </w:rPr>
        <w:t xml:space="preserve">  </w:t>
      </w:r>
    </w:p>
    <w:p w14:paraId="029A9AA8" w14:textId="677C9877" w:rsidR="00750939" w:rsidRDefault="00017CDF" w:rsidP="0048039D">
      <w:pPr>
        <w:pStyle w:val="ListParagraph"/>
        <w:numPr>
          <w:ilvl w:val="0"/>
          <w:numId w:val="1"/>
        </w:numPr>
        <w:spacing w:line="480" w:lineRule="auto"/>
        <w:rPr>
          <w:szCs w:val="24"/>
        </w:rPr>
      </w:pPr>
      <w:r>
        <w:rPr>
          <w:szCs w:val="24"/>
        </w:rPr>
        <w:t xml:space="preserve"> </w:t>
      </w:r>
      <w:r>
        <w:rPr>
          <w:szCs w:val="24"/>
        </w:rPr>
        <w:tab/>
      </w:r>
      <w:r w:rsidR="00E657D8">
        <w:rPr>
          <w:szCs w:val="24"/>
        </w:rPr>
        <w:t>I</w:t>
      </w:r>
      <w:r>
        <w:rPr>
          <w:szCs w:val="24"/>
        </w:rPr>
        <w:t xml:space="preserve">nterest was to accrue </w:t>
      </w:r>
      <w:r w:rsidR="007C7821">
        <w:rPr>
          <w:szCs w:val="24"/>
        </w:rPr>
        <w:t xml:space="preserve">on the over-credited REC proceeds </w:t>
      </w:r>
      <w:r w:rsidR="00791412">
        <w:rPr>
          <w:szCs w:val="24"/>
        </w:rPr>
        <w:t>balance</w:t>
      </w:r>
      <w:r>
        <w:rPr>
          <w:szCs w:val="24"/>
        </w:rPr>
        <w:t xml:space="preserve"> in accordance with the terms of the Multiparty Agreement.  </w:t>
      </w:r>
      <w:r w:rsidR="0048039D" w:rsidRPr="001F3AF2">
        <w:rPr>
          <w:szCs w:val="24"/>
        </w:rPr>
        <w:t xml:space="preserve">Staff’s understanding of the Multiparty Agreement is explained above.  </w:t>
      </w:r>
      <w:r w:rsidR="00750939" w:rsidRPr="00D60F64">
        <w:rPr>
          <w:szCs w:val="24"/>
        </w:rPr>
        <w:t xml:space="preserve">As a matter of policy, Staff does not </w:t>
      </w:r>
      <w:r w:rsidR="00750939">
        <w:rPr>
          <w:szCs w:val="24"/>
        </w:rPr>
        <w:t xml:space="preserve">object to </w:t>
      </w:r>
      <w:r w:rsidR="007C7821">
        <w:rPr>
          <w:szCs w:val="24"/>
        </w:rPr>
        <w:t>the proposals of Public Counsel</w:t>
      </w:r>
      <w:r w:rsidR="00750939">
        <w:rPr>
          <w:szCs w:val="24"/>
        </w:rPr>
        <w:t xml:space="preserve"> or ICNU.  Staff </w:t>
      </w:r>
      <w:r w:rsidR="007C7821">
        <w:rPr>
          <w:szCs w:val="24"/>
        </w:rPr>
        <w:t>is satisfied</w:t>
      </w:r>
      <w:r w:rsidR="00750939">
        <w:rPr>
          <w:szCs w:val="24"/>
        </w:rPr>
        <w:t xml:space="preserve"> </w:t>
      </w:r>
      <w:r w:rsidR="007C7821">
        <w:rPr>
          <w:szCs w:val="24"/>
        </w:rPr>
        <w:t xml:space="preserve">with </w:t>
      </w:r>
      <w:r w:rsidR="00750939">
        <w:rPr>
          <w:szCs w:val="24"/>
        </w:rPr>
        <w:t xml:space="preserve">any alternate proposal that would further </w:t>
      </w:r>
      <w:r w:rsidR="007C7821">
        <w:rPr>
          <w:szCs w:val="24"/>
        </w:rPr>
        <w:t>disallow</w:t>
      </w:r>
      <w:r w:rsidR="00750939">
        <w:rPr>
          <w:szCs w:val="24"/>
        </w:rPr>
        <w:t xml:space="preserve">, beyond its own recommendation, the amount of </w:t>
      </w:r>
      <w:r w:rsidR="007C7821">
        <w:rPr>
          <w:szCs w:val="24"/>
        </w:rPr>
        <w:t xml:space="preserve">accrued interest that PacifiCorp may recover </w:t>
      </w:r>
      <w:r w:rsidR="00750939">
        <w:rPr>
          <w:szCs w:val="24"/>
        </w:rPr>
        <w:t xml:space="preserve">as a consequence for </w:t>
      </w:r>
      <w:r w:rsidR="007C7821">
        <w:rPr>
          <w:szCs w:val="24"/>
        </w:rPr>
        <w:t>the Company’s</w:t>
      </w:r>
      <w:r w:rsidR="00750939">
        <w:rPr>
          <w:szCs w:val="24"/>
        </w:rPr>
        <w:t xml:space="preserve"> failure to make a timely true-up request.   </w:t>
      </w:r>
    </w:p>
    <w:p w14:paraId="5D0EFCC9" w14:textId="2D8304E7" w:rsidR="0048039D" w:rsidRDefault="00380835" w:rsidP="001D2C01">
      <w:pPr>
        <w:pStyle w:val="ListParagraph"/>
        <w:numPr>
          <w:ilvl w:val="0"/>
          <w:numId w:val="5"/>
        </w:numPr>
        <w:ind w:hanging="720"/>
        <w:rPr>
          <w:b/>
          <w:szCs w:val="24"/>
        </w:rPr>
      </w:pPr>
      <w:r>
        <w:rPr>
          <w:b/>
          <w:szCs w:val="24"/>
        </w:rPr>
        <w:t>T</w:t>
      </w:r>
      <w:r w:rsidRPr="008976DD">
        <w:rPr>
          <w:b/>
          <w:szCs w:val="24"/>
        </w:rPr>
        <w:t xml:space="preserve">he </w:t>
      </w:r>
      <w:r>
        <w:rPr>
          <w:b/>
          <w:szCs w:val="24"/>
        </w:rPr>
        <w:t>C</w:t>
      </w:r>
      <w:r w:rsidRPr="008976DD">
        <w:rPr>
          <w:b/>
          <w:szCs w:val="24"/>
        </w:rPr>
        <w:t xml:space="preserve">ommission should </w:t>
      </w:r>
      <w:r w:rsidR="00605D43">
        <w:rPr>
          <w:b/>
          <w:szCs w:val="24"/>
        </w:rPr>
        <w:t>R</w:t>
      </w:r>
      <w:r w:rsidRPr="008976DD">
        <w:rPr>
          <w:b/>
          <w:szCs w:val="24"/>
        </w:rPr>
        <w:t xml:space="preserve">eject </w:t>
      </w:r>
      <w:r>
        <w:rPr>
          <w:b/>
          <w:szCs w:val="24"/>
        </w:rPr>
        <w:t>ICNU</w:t>
      </w:r>
      <w:r w:rsidRPr="008976DD">
        <w:rPr>
          <w:b/>
          <w:szCs w:val="24"/>
        </w:rPr>
        <w:t>’s</w:t>
      </w:r>
      <w:r>
        <w:rPr>
          <w:b/>
          <w:szCs w:val="24"/>
        </w:rPr>
        <w:t xml:space="preserve"> </w:t>
      </w:r>
      <w:r w:rsidR="00605D43">
        <w:rPr>
          <w:b/>
          <w:szCs w:val="24"/>
        </w:rPr>
        <w:t>R</w:t>
      </w:r>
      <w:r>
        <w:rPr>
          <w:b/>
          <w:szCs w:val="24"/>
        </w:rPr>
        <w:t xml:space="preserve">equest to </w:t>
      </w:r>
      <w:r w:rsidR="00605D43">
        <w:rPr>
          <w:b/>
          <w:szCs w:val="24"/>
        </w:rPr>
        <w:t>R</w:t>
      </w:r>
      <w:r>
        <w:rPr>
          <w:b/>
          <w:szCs w:val="24"/>
        </w:rPr>
        <w:t xml:space="preserve">eject PacifiCorp’s </w:t>
      </w:r>
      <w:r w:rsidR="00605D43">
        <w:rPr>
          <w:b/>
          <w:szCs w:val="24"/>
        </w:rPr>
        <w:t>C</w:t>
      </w:r>
      <w:r w:rsidRPr="008976DD">
        <w:rPr>
          <w:b/>
          <w:szCs w:val="24"/>
        </w:rPr>
        <w:t xml:space="preserve">ompliance </w:t>
      </w:r>
      <w:r w:rsidR="00605D43">
        <w:rPr>
          <w:b/>
          <w:szCs w:val="24"/>
        </w:rPr>
        <w:t>F</w:t>
      </w:r>
      <w:r w:rsidRPr="008976DD">
        <w:rPr>
          <w:b/>
          <w:szCs w:val="24"/>
        </w:rPr>
        <w:t xml:space="preserve">iling, or to </w:t>
      </w:r>
      <w:r w:rsidR="00605D43">
        <w:rPr>
          <w:b/>
          <w:szCs w:val="24"/>
        </w:rPr>
        <w:t>S</w:t>
      </w:r>
      <w:r w:rsidRPr="008976DD">
        <w:rPr>
          <w:b/>
          <w:szCs w:val="24"/>
        </w:rPr>
        <w:t xml:space="preserve">uspend it to </w:t>
      </w:r>
      <w:r w:rsidR="00605D43">
        <w:rPr>
          <w:b/>
          <w:szCs w:val="24"/>
        </w:rPr>
        <w:t>A</w:t>
      </w:r>
      <w:r w:rsidRPr="008976DD">
        <w:rPr>
          <w:b/>
          <w:szCs w:val="24"/>
        </w:rPr>
        <w:t xml:space="preserve">llow for </w:t>
      </w:r>
      <w:r w:rsidR="00605D43">
        <w:rPr>
          <w:b/>
          <w:szCs w:val="24"/>
        </w:rPr>
        <w:t>F</w:t>
      </w:r>
      <w:r w:rsidRPr="008976DD">
        <w:rPr>
          <w:b/>
          <w:szCs w:val="24"/>
        </w:rPr>
        <w:t xml:space="preserve">urther </w:t>
      </w:r>
      <w:r w:rsidR="00605D43">
        <w:rPr>
          <w:b/>
          <w:szCs w:val="24"/>
        </w:rPr>
        <w:t>I</w:t>
      </w:r>
      <w:r w:rsidRPr="008976DD">
        <w:rPr>
          <w:b/>
          <w:szCs w:val="24"/>
        </w:rPr>
        <w:t xml:space="preserve">nvestigation, and </w:t>
      </w:r>
      <w:r w:rsidR="00605D43">
        <w:rPr>
          <w:b/>
          <w:szCs w:val="24"/>
        </w:rPr>
        <w:t>I</w:t>
      </w:r>
      <w:r w:rsidRPr="008976DD">
        <w:rPr>
          <w:b/>
          <w:szCs w:val="24"/>
        </w:rPr>
        <w:t xml:space="preserve">nstead </w:t>
      </w:r>
      <w:r w:rsidR="00605D43">
        <w:rPr>
          <w:b/>
          <w:szCs w:val="24"/>
        </w:rPr>
        <w:t>R</w:t>
      </w:r>
      <w:r w:rsidRPr="008976DD">
        <w:rPr>
          <w:b/>
          <w:szCs w:val="24"/>
        </w:rPr>
        <w:t xml:space="preserve">esolve this </w:t>
      </w:r>
      <w:r w:rsidR="00605D43">
        <w:rPr>
          <w:b/>
          <w:szCs w:val="24"/>
        </w:rPr>
        <w:t>I</w:t>
      </w:r>
      <w:r w:rsidRPr="008976DD">
        <w:rPr>
          <w:b/>
          <w:szCs w:val="24"/>
        </w:rPr>
        <w:t>ssu</w:t>
      </w:r>
      <w:r w:rsidR="00605D43">
        <w:rPr>
          <w:b/>
          <w:szCs w:val="24"/>
        </w:rPr>
        <w:t>e without F</w:t>
      </w:r>
      <w:r w:rsidRPr="008976DD">
        <w:rPr>
          <w:b/>
          <w:szCs w:val="24"/>
        </w:rPr>
        <w:t xml:space="preserve">urther </w:t>
      </w:r>
      <w:r w:rsidR="00605D43">
        <w:rPr>
          <w:b/>
          <w:szCs w:val="24"/>
        </w:rPr>
        <w:t>D</w:t>
      </w:r>
      <w:r w:rsidRPr="008976DD">
        <w:rPr>
          <w:b/>
          <w:szCs w:val="24"/>
        </w:rPr>
        <w:t>elay.</w:t>
      </w:r>
    </w:p>
    <w:p w14:paraId="581D85A1" w14:textId="77777777" w:rsidR="001D2C01" w:rsidRPr="008976DD" w:rsidRDefault="001D2C01" w:rsidP="001D2C01">
      <w:pPr>
        <w:pStyle w:val="ListParagraph"/>
        <w:rPr>
          <w:b/>
          <w:szCs w:val="24"/>
        </w:rPr>
      </w:pPr>
    </w:p>
    <w:p w14:paraId="230498DE" w14:textId="605E8012" w:rsidR="0048039D" w:rsidRDefault="0048039D" w:rsidP="0048039D">
      <w:pPr>
        <w:pStyle w:val="ListParagraph"/>
        <w:numPr>
          <w:ilvl w:val="0"/>
          <w:numId w:val="1"/>
        </w:numPr>
        <w:spacing w:line="480" w:lineRule="auto"/>
        <w:rPr>
          <w:szCs w:val="24"/>
        </w:rPr>
      </w:pPr>
      <w:r>
        <w:rPr>
          <w:szCs w:val="24"/>
        </w:rPr>
        <w:t xml:space="preserve"> </w:t>
      </w:r>
      <w:r>
        <w:rPr>
          <w:szCs w:val="24"/>
        </w:rPr>
        <w:tab/>
        <w:t xml:space="preserve">ICNU requests that the Commission reject PacifiCorp’s Compliance Filing and require the Company to follow the processes established </w:t>
      </w:r>
      <w:r w:rsidRPr="000C4AEE">
        <w:rPr>
          <w:szCs w:val="24"/>
        </w:rPr>
        <w:t>by Order</w:t>
      </w:r>
      <w:r>
        <w:rPr>
          <w:szCs w:val="24"/>
        </w:rPr>
        <w:t xml:space="preserve"> 6 and Order</w:t>
      </w:r>
      <w:r w:rsidRPr="000C4AEE">
        <w:rPr>
          <w:szCs w:val="24"/>
        </w:rPr>
        <w:t xml:space="preserve"> 13</w:t>
      </w:r>
      <w:r w:rsidR="00DD2D74">
        <w:rPr>
          <w:szCs w:val="24"/>
        </w:rPr>
        <w:t xml:space="preserve">. These orders would require the Company to file its </w:t>
      </w:r>
      <w:r>
        <w:rPr>
          <w:szCs w:val="24"/>
        </w:rPr>
        <w:t xml:space="preserve">annual report and true-up filing </w:t>
      </w:r>
      <w:r w:rsidR="004A3B57">
        <w:rPr>
          <w:szCs w:val="24"/>
        </w:rPr>
        <w:t xml:space="preserve">for 2014 REC revenues </w:t>
      </w:r>
      <w:r>
        <w:rPr>
          <w:szCs w:val="24"/>
        </w:rPr>
        <w:t>by January 31, 2015—or May 1, 2015, if the Commission decides to</w:t>
      </w:r>
      <w:r w:rsidR="004A3B57">
        <w:rPr>
          <w:szCs w:val="24"/>
        </w:rPr>
        <w:t xml:space="preserve"> adopt the Multiparty Agreement</w:t>
      </w:r>
      <w:r>
        <w:rPr>
          <w:szCs w:val="24"/>
        </w:rPr>
        <w:t>.</w:t>
      </w:r>
      <w:r>
        <w:rPr>
          <w:rStyle w:val="FootnoteReference"/>
          <w:szCs w:val="24"/>
        </w:rPr>
        <w:footnoteReference w:id="16"/>
      </w:r>
      <w:r>
        <w:rPr>
          <w:szCs w:val="24"/>
        </w:rPr>
        <w:t xml:space="preserve">  If the Commission </w:t>
      </w:r>
      <w:r w:rsidR="004A3B57">
        <w:rPr>
          <w:szCs w:val="24"/>
        </w:rPr>
        <w:t>decides</w:t>
      </w:r>
      <w:r>
        <w:rPr>
          <w:szCs w:val="24"/>
        </w:rPr>
        <w:t xml:space="preserve"> not to reject the Compliance Filing, ICNU request</w:t>
      </w:r>
      <w:r w:rsidR="00506A06">
        <w:rPr>
          <w:szCs w:val="24"/>
        </w:rPr>
        <w:t>s</w:t>
      </w:r>
      <w:r>
        <w:rPr>
          <w:szCs w:val="24"/>
        </w:rPr>
        <w:t xml:space="preserve"> that it suspend the filing to a</w:t>
      </w:r>
      <w:r w:rsidRPr="000C4AEE">
        <w:rPr>
          <w:szCs w:val="24"/>
        </w:rPr>
        <w:t xml:space="preserve">llow all parties </w:t>
      </w:r>
      <w:r w:rsidR="00E76397">
        <w:rPr>
          <w:szCs w:val="24"/>
        </w:rPr>
        <w:t xml:space="preserve">the opportunity </w:t>
      </w:r>
      <w:r w:rsidRPr="000C4AEE">
        <w:rPr>
          <w:szCs w:val="24"/>
        </w:rPr>
        <w:t>to fully investigate it.</w:t>
      </w:r>
      <w:r>
        <w:rPr>
          <w:rStyle w:val="FootnoteReference"/>
          <w:szCs w:val="24"/>
        </w:rPr>
        <w:footnoteReference w:id="17"/>
      </w:r>
      <w:r>
        <w:rPr>
          <w:szCs w:val="24"/>
        </w:rPr>
        <w:t xml:space="preserve"> The Commission should reject</w:t>
      </w:r>
      <w:r w:rsidR="00C02CC2">
        <w:rPr>
          <w:szCs w:val="24"/>
        </w:rPr>
        <w:t xml:space="preserve"> </w:t>
      </w:r>
      <w:r>
        <w:rPr>
          <w:szCs w:val="24"/>
        </w:rPr>
        <w:t>ICNU’s request</w:t>
      </w:r>
      <w:r w:rsidR="00506A06">
        <w:rPr>
          <w:szCs w:val="24"/>
        </w:rPr>
        <w:t>s</w:t>
      </w:r>
      <w:r w:rsidR="00E76397">
        <w:rPr>
          <w:szCs w:val="24"/>
        </w:rPr>
        <w:t xml:space="preserve"> to reject or suspend the Compliance Filing</w:t>
      </w:r>
      <w:r>
        <w:rPr>
          <w:szCs w:val="24"/>
        </w:rPr>
        <w:t xml:space="preserve">, and instead resolve this matter without further delay, for several reasons. </w:t>
      </w:r>
    </w:p>
    <w:p w14:paraId="492DB423" w14:textId="77777777" w:rsidR="001D2C01" w:rsidRDefault="0048039D" w:rsidP="001D2C01">
      <w:pPr>
        <w:pStyle w:val="ListParagraph"/>
        <w:numPr>
          <w:ilvl w:val="0"/>
          <w:numId w:val="6"/>
        </w:numPr>
        <w:ind w:left="1440" w:hanging="720"/>
        <w:rPr>
          <w:b/>
          <w:szCs w:val="24"/>
        </w:rPr>
      </w:pPr>
      <w:r w:rsidRPr="001D2C01">
        <w:rPr>
          <w:b/>
          <w:szCs w:val="24"/>
        </w:rPr>
        <w:t>The Commission has the authority to dispense of this issue without the need for further filings or investigation.</w:t>
      </w:r>
    </w:p>
    <w:p w14:paraId="02693B11" w14:textId="79648B50" w:rsidR="0048039D" w:rsidRPr="001D2C01" w:rsidRDefault="0048039D" w:rsidP="001D2C01">
      <w:pPr>
        <w:pStyle w:val="ListParagraph"/>
        <w:ind w:left="1440"/>
        <w:rPr>
          <w:b/>
          <w:szCs w:val="24"/>
        </w:rPr>
      </w:pPr>
      <w:r w:rsidRPr="001D2C01">
        <w:rPr>
          <w:b/>
          <w:szCs w:val="24"/>
        </w:rPr>
        <w:t xml:space="preserve">  </w:t>
      </w:r>
    </w:p>
    <w:p w14:paraId="1A0BBA6B" w14:textId="62148BE3" w:rsidR="0048039D" w:rsidRPr="00DE1F3B" w:rsidRDefault="0048039D" w:rsidP="00290B4B">
      <w:pPr>
        <w:pStyle w:val="ListParagraph"/>
        <w:numPr>
          <w:ilvl w:val="0"/>
          <w:numId w:val="1"/>
        </w:numPr>
        <w:spacing w:line="480" w:lineRule="auto"/>
        <w:rPr>
          <w:rFonts w:cs="Times New Roman"/>
          <w:color w:val="000000"/>
        </w:rPr>
      </w:pPr>
      <w:r>
        <w:rPr>
          <w:szCs w:val="24"/>
        </w:rPr>
        <w:t xml:space="preserve"> </w:t>
      </w:r>
      <w:r>
        <w:rPr>
          <w:szCs w:val="24"/>
        </w:rPr>
        <w:tab/>
      </w:r>
      <w:r w:rsidRPr="006C0748">
        <w:rPr>
          <w:szCs w:val="24"/>
        </w:rPr>
        <w:t xml:space="preserve">ICNU notes that under WAC </w:t>
      </w:r>
      <w:r w:rsidRPr="006C0748">
        <w:rPr>
          <w:rFonts w:cs="Times New Roman"/>
          <w:color w:val="000000"/>
        </w:rPr>
        <w:t>§ 480-07-883,</w:t>
      </w:r>
      <w:r w:rsidRPr="006C0748">
        <w:rPr>
          <w:szCs w:val="24"/>
        </w:rPr>
        <w:t xml:space="preserve"> “A party must strictly limit the scope of its compliance filing to the requirements of the final order to which it relates. </w:t>
      </w:r>
      <w:r w:rsidR="00E657D8">
        <w:rPr>
          <w:szCs w:val="24"/>
        </w:rPr>
        <w:t xml:space="preserve"> </w:t>
      </w:r>
      <w:r w:rsidRPr="006C0748">
        <w:rPr>
          <w:szCs w:val="24"/>
        </w:rPr>
        <w:t xml:space="preserve">If the commission finds that a compliance filing varies from the requirements or conditions of the order authorizing or requiring it . . . the commission </w:t>
      </w:r>
      <w:r w:rsidRPr="006C0748">
        <w:rPr>
          <w:i/>
          <w:szCs w:val="24"/>
          <w:u w:val="single"/>
        </w:rPr>
        <w:t>may</w:t>
      </w:r>
      <w:r w:rsidRPr="006C0748">
        <w:rPr>
          <w:szCs w:val="24"/>
        </w:rPr>
        <w:t xml:space="preserve"> reject the filing . . .</w:t>
      </w:r>
      <w:r w:rsidR="001D2C01">
        <w:rPr>
          <w:szCs w:val="24"/>
        </w:rPr>
        <w:t xml:space="preserve"> .</w:t>
      </w:r>
      <w:r w:rsidRPr="006C0748">
        <w:rPr>
          <w:szCs w:val="24"/>
        </w:rPr>
        <w:t>”</w:t>
      </w:r>
      <w:r>
        <w:rPr>
          <w:rStyle w:val="FootnoteReference"/>
          <w:szCs w:val="24"/>
        </w:rPr>
        <w:footnoteReference w:id="18"/>
      </w:r>
      <w:r w:rsidRPr="006C0748">
        <w:rPr>
          <w:szCs w:val="24"/>
        </w:rPr>
        <w:t xml:space="preserve"> </w:t>
      </w:r>
      <w:r w:rsidR="001D2C01">
        <w:rPr>
          <w:szCs w:val="24"/>
        </w:rPr>
        <w:t xml:space="preserve"> </w:t>
      </w:r>
      <w:r w:rsidRPr="006C0748">
        <w:rPr>
          <w:szCs w:val="24"/>
        </w:rPr>
        <w:t>While the Commission may choose to reject the filing for not strictly complying with the order authorizing or requiring it, the Commission i</w:t>
      </w:r>
      <w:r>
        <w:rPr>
          <w:szCs w:val="24"/>
        </w:rPr>
        <w:t xml:space="preserve">s </w:t>
      </w:r>
      <w:r w:rsidR="00BE403F">
        <w:rPr>
          <w:szCs w:val="24"/>
        </w:rPr>
        <w:t>not obligated</w:t>
      </w:r>
      <w:r>
        <w:rPr>
          <w:szCs w:val="24"/>
        </w:rPr>
        <w:t xml:space="preserve"> to </w:t>
      </w:r>
      <w:r w:rsidR="0064433E">
        <w:rPr>
          <w:szCs w:val="24"/>
        </w:rPr>
        <w:t>do so.</w:t>
      </w:r>
      <w:r w:rsidR="00DE1F3B">
        <w:rPr>
          <w:szCs w:val="24"/>
        </w:rPr>
        <w:t xml:space="preserve">  As more fully explained below, the record is developed sufficiently for the Commission to make a decision regarding the Company’s recovery of the over-credited REC revenues.</w:t>
      </w:r>
      <w:r w:rsidR="00CA2F09">
        <w:rPr>
          <w:szCs w:val="24"/>
        </w:rPr>
        <w:t xml:space="preserve"> </w:t>
      </w:r>
      <w:r w:rsidRPr="00290B4B">
        <w:rPr>
          <w:szCs w:val="24"/>
        </w:rPr>
        <w:t xml:space="preserve"> Given the unique circumstances that surround this issue—namely that the Commission did not formally approve the Multiparty Agreement because it sought a solution that addressed all REC revenues (both prior and subsequent to April 2011) and that the REC revenues prior to April 2011 were the subject of a lengthy appeal—the Commission should not reject the Company’s Compliance Filing even if it finds that it did not strictly comply with </w:t>
      </w:r>
      <w:r w:rsidR="00290B4B">
        <w:rPr>
          <w:szCs w:val="24"/>
        </w:rPr>
        <w:t>its</w:t>
      </w:r>
      <w:r w:rsidRPr="00290B4B">
        <w:rPr>
          <w:szCs w:val="24"/>
        </w:rPr>
        <w:t xml:space="preserve"> orders. </w:t>
      </w:r>
    </w:p>
    <w:p w14:paraId="699F9415" w14:textId="44F6CA45" w:rsidR="00DE1F3B" w:rsidRPr="005B6F2D" w:rsidRDefault="00DE1F3B" w:rsidP="00DE1F3B">
      <w:pPr>
        <w:pStyle w:val="ListParagraph"/>
        <w:numPr>
          <w:ilvl w:val="0"/>
          <w:numId w:val="1"/>
        </w:numPr>
        <w:spacing w:line="480" w:lineRule="auto"/>
        <w:rPr>
          <w:szCs w:val="24"/>
        </w:rPr>
      </w:pPr>
      <w:r>
        <w:rPr>
          <w:szCs w:val="24"/>
        </w:rPr>
        <w:t xml:space="preserve"> </w:t>
      </w:r>
      <w:r>
        <w:rPr>
          <w:szCs w:val="24"/>
        </w:rPr>
        <w:tab/>
        <w:t xml:space="preserve">ICNU also </w:t>
      </w:r>
      <w:r w:rsidRPr="00ED2BBA">
        <w:rPr>
          <w:rFonts w:cs="Times New Roman"/>
          <w:szCs w:val="24"/>
        </w:rPr>
        <w:t xml:space="preserve">asserts that </w:t>
      </w:r>
      <w:r>
        <w:rPr>
          <w:rFonts w:cs="Times New Roman"/>
          <w:szCs w:val="24"/>
        </w:rPr>
        <w:t>“[</w:t>
      </w:r>
      <w:r w:rsidRPr="00ED2BBA">
        <w:rPr>
          <w:rFonts w:cs="Times New Roman"/>
          <w:szCs w:val="24"/>
        </w:rPr>
        <w:t>u</w:t>
      </w:r>
      <w:r>
        <w:rPr>
          <w:rFonts w:cs="Times New Roman"/>
          <w:szCs w:val="24"/>
        </w:rPr>
        <w:t>]</w:t>
      </w:r>
      <w:r w:rsidRPr="00ED2BBA">
        <w:rPr>
          <w:rFonts w:cs="Times New Roman"/>
          <w:szCs w:val="24"/>
        </w:rPr>
        <w:t xml:space="preserve">nder RCW </w:t>
      </w:r>
      <w:r w:rsidRPr="00ED2BBA">
        <w:rPr>
          <w:rFonts w:cs="Times New Roman"/>
          <w:color w:val="000000"/>
        </w:rPr>
        <w:t>§</w:t>
      </w:r>
      <w:r>
        <w:rPr>
          <w:rFonts w:cs="Times New Roman"/>
          <w:color w:val="000000"/>
        </w:rPr>
        <w:t xml:space="preserve"> 80.28.060(1), the Commission may either: (1) approve the proposed rate change as filed after 30-days’ notice; or (2) suspend the proposed rate change for further investigation.”</w:t>
      </w:r>
      <w:r>
        <w:rPr>
          <w:rStyle w:val="FootnoteReference"/>
          <w:rFonts w:cs="Times New Roman"/>
          <w:color w:val="000000"/>
        </w:rPr>
        <w:footnoteReference w:id="19"/>
      </w:r>
      <w:r>
        <w:rPr>
          <w:rFonts w:cs="Times New Roman"/>
          <w:color w:val="000000"/>
        </w:rPr>
        <w:t xml:space="preserve"> </w:t>
      </w:r>
      <w:r w:rsidR="001D2C01">
        <w:rPr>
          <w:rFonts w:cs="Times New Roman"/>
          <w:color w:val="000000"/>
        </w:rPr>
        <w:t xml:space="preserve"> </w:t>
      </w:r>
      <w:r>
        <w:rPr>
          <w:rFonts w:cs="Times New Roman"/>
          <w:color w:val="000000"/>
        </w:rPr>
        <w:t xml:space="preserve">The Commission however is not limited to those two options as ICNU implies.  </w:t>
      </w:r>
      <w:r w:rsidRPr="00ED2BBA">
        <w:rPr>
          <w:rFonts w:cs="Times New Roman"/>
          <w:szCs w:val="24"/>
        </w:rPr>
        <w:t xml:space="preserve">RCW </w:t>
      </w:r>
      <w:r>
        <w:rPr>
          <w:rFonts w:cs="Times New Roman"/>
          <w:color w:val="000000"/>
        </w:rPr>
        <w:t>80.28.060(1) is qualified by its opening clause, which states, “</w:t>
      </w:r>
      <w:r w:rsidRPr="003036B6">
        <w:rPr>
          <w:rFonts w:cs="Times New Roman"/>
          <w:color w:val="000000"/>
        </w:rPr>
        <w:t>Unless the commission otherwise orders</w:t>
      </w:r>
      <w:r>
        <w:rPr>
          <w:rFonts w:cs="Times New Roman"/>
          <w:color w:val="000000"/>
        </w:rPr>
        <w:t xml:space="preserve"> . . . .”</w:t>
      </w:r>
      <w:r>
        <w:rPr>
          <w:rStyle w:val="FootnoteReference"/>
          <w:rFonts w:cs="Times New Roman"/>
          <w:color w:val="000000"/>
        </w:rPr>
        <w:footnoteReference w:id="20"/>
      </w:r>
      <w:r>
        <w:rPr>
          <w:rFonts w:cs="Times New Roman"/>
          <w:color w:val="000000"/>
        </w:rPr>
        <w:t xml:space="preserve">  Moreover, </w:t>
      </w:r>
      <w:r w:rsidRPr="00ED2BBA">
        <w:rPr>
          <w:rFonts w:cs="Times New Roman"/>
          <w:szCs w:val="24"/>
        </w:rPr>
        <w:t xml:space="preserve">RCW </w:t>
      </w:r>
      <w:r>
        <w:rPr>
          <w:rFonts w:cs="Times New Roman"/>
          <w:color w:val="000000"/>
        </w:rPr>
        <w:t>80.28.060(1) provides:</w:t>
      </w:r>
      <w:r w:rsidRPr="000E19A4">
        <w:rPr>
          <w:szCs w:val="24"/>
        </w:rPr>
        <w:t xml:space="preserve"> </w:t>
      </w:r>
    </w:p>
    <w:p w14:paraId="7DB5FD77" w14:textId="44CE210B" w:rsidR="00DE1F3B" w:rsidRDefault="00DE1F3B" w:rsidP="001D2C01">
      <w:pPr>
        <w:pStyle w:val="ListParagraph"/>
        <w:ind w:right="648"/>
        <w:rPr>
          <w:rFonts w:cs="Times New Roman"/>
          <w:color w:val="000000"/>
        </w:rPr>
      </w:pPr>
      <w:r w:rsidRPr="005B6F2D">
        <w:rPr>
          <w:rFonts w:cs="Times New Roman"/>
          <w:color w:val="000000"/>
        </w:rPr>
        <w:t>The commission, for good cause shown, may allow changes without requiring the thirty days' notice by duly filing, in such manner as it may direct, an order specifying the changes so to be made and the time when it takes effect. All such changes must be immediately indicated upon its schedules by the company affected.</w:t>
      </w:r>
      <w:r>
        <w:rPr>
          <w:rStyle w:val="FootnoteReference"/>
          <w:rFonts w:cs="Times New Roman"/>
          <w:color w:val="000000"/>
        </w:rPr>
        <w:footnoteReference w:id="21"/>
      </w:r>
    </w:p>
    <w:p w14:paraId="56639168" w14:textId="77777777" w:rsidR="001D2C01" w:rsidRDefault="001D2C01" w:rsidP="001D2C01">
      <w:pPr>
        <w:pStyle w:val="ListParagraph"/>
        <w:ind w:right="648"/>
        <w:rPr>
          <w:szCs w:val="24"/>
        </w:rPr>
      </w:pPr>
    </w:p>
    <w:p w14:paraId="1050E53E" w14:textId="4798AD9C" w:rsidR="00DE1F3B" w:rsidRPr="00290B4B" w:rsidRDefault="00E657D8" w:rsidP="00DE1F3B">
      <w:pPr>
        <w:spacing w:line="480" w:lineRule="auto"/>
        <w:rPr>
          <w:rFonts w:cs="Times New Roman"/>
          <w:color w:val="000000"/>
        </w:rPr>
      </w:pPr>
      <w:r>
        <w:rPr>
          <w:szCs w:val="24"/>
        </w:rPr>
        <w:t>Thus</w:t>
      </w:r>
      <w:r w:rsidR="00DE1F3B">
        <w:rPr>
          <w:szCs w:val="24"/>
        </w:rPr>
        <w:t xml:space="preserve">, the Commission has clear discretion to </w:t>
      </w:r>
      <w:r w:rsidR="00DE1F3B">
        <w:rPr>
          <w:rFonts w:cs="Times New Roman"/>
          <w:color w:val="000000"/>
        </w:rPr>
        <w:t xml:space="preserve">stray from the framework the subsection established for providing notice of a change in tariff rates or charges if necessary.  </w:t>
      </w:r>
      <w:r w:rsidR="00DE1F3B">
        <w:rPr>
          <w:szCs w:val="24"/>
        </w:rPr>
        <w:t xml:space="preserve">Here, in addition to the unique circumstances that surround this issue, the Company’s Compliance Filing attests that it will published a notice to customers as required by </w:t>
      </w:r>
      <w:r w:rsidR="00DE1F3B" w:rsidRPr="00ED2BBA">
        <w:rPr>
          <w:rFonts w:cs="Times New Roman"/>
          <w:szCs w:val="24"/>
        </w:rPr>
        <w:t xml:space="preserve">RCW </w:t>
      </w:r>
      <w:r w:rsidR="00DE1F3B" w:rsidRPr="00ED2BBA">
        <w:rPr>
          <w:rFonts w:cs="Times New Roman"/>
          <w:color w:val="000000"/>
        </w:rPr>
        <w:t>§</w:t>
      </w:r>
      <w:r w:rsidR="00DE1F3B">
        <w:rPr>
          <w:rFonts w:cs="Times New Roman"/>
          <w:color w:val="000000"/>
        </w:rPr>
        <w:t xml:space="preserve"> 80.28.060 of its intent to recover the $5.2 million in over-credited REC proceeds.</w:t>
      </w:r>
      <w:r w:rsidR="00DE1F3B">
        <w:rPr>
          <w:rStyle w:val="FootnoteReference"/>
          <w:rFonts w:cs="Times New Roman"/>
          <w:color w:val="000000"/>
        </w:rPr>
        <w:footnoteReference w:id="22"/>
      </w:r>
      <w:r w:rsidR="00DE1F3B">
        <w:rPr>
          <w:rFonts w:cs="Times New Roman"/>
          <w:color w:val="000000"/>
        </w:rPr>
        <w:t xml:space="preserve">  If the Commission decides to disallow a portion of the accrued interest on the REC proceeds as Public Council, ICNU, and Staff all urge, the rate increase would be reduced beyond that amount for which the Company provided notice.  The Company’s published notice is sufficient, even if the Commission decides to reduce that amount.</w:t>
      </w:r>
      <w:r w:rsidR="00DE1F3B">
        <w:rPr>
          <w:szCs w:val="24"/>
        </w:rPr>
        <w:t xml:space="preserve">  In sum, the </w:t>
      </w:r>
      <w:r w:rsidR="00DE1F3B" w:rsidRPr="00D4224D">
        <w:rPr>
          <w:szCs w:val="24"/>
        </w:rPr>
        <w:t>Commission has the authority to dispense of this issue without the need for further filings or investigation</w:t>
      </w:r>
      <w:r w:rsidR="00DE1F3B">
        <w:rPr>
          <w:szCs w:val="24"/>
        </w:rPr>
        <w:t>.</w:t>
      </w:r>
    </w:p>
    <w:p w14:paraId="062C802D" w14:textId="652696DF" w:rsidR="0048039D" w:rsidRDefault="008C0A48" w:rsidP="00380835">
      <w:pPr>
        <w:pStyle w:val="ListParagraph"/>
        <w:keepNext/>
        <w:numPr>
          <w:ilvl w:val="0"/>
          <w:numId w:val="6"/>
        </w:numPr>
        <w:ind w:left="1440" w:hanging="720"/>
        <w:rPr>
          <w:b/>
          <w:szCs w:val="24"/>
        </w:rPr>
      </w:pPr>
      <w:r w:rsidRPr="001D2C01">
        <w:rPr>
          <w:b/>
          <w:szCs w:val="24"/>
        </w:rPr>
        <w:t xml:space="preserve">The record is developed </w:t>
      </w:r>
      <w:r w:rsidR="00506A06" w:rsidRPr="001D2C01">
        <w:rPr>
          <w:b/>
          <w:szCs w:val="24"/>
        </w:rPr>
        <w:t xml:space="preserve">sufficiently </w:t>
      </w:r>
      <w:r w:rsidRPr="001D2C01">
        <w:rPr>
          <w:b/>
          <w:szCs w:val="24"/>
        </w:rPr>
        <w:t xml:space="preserve">for the Commission to make a decision regarding the Company’s recovery </w:t>
      </w:r>
      <w:r w:rsidR="0058098C" w:rsidRPr="001D2C01">
        <w:rPr>
          <w:b/>
          <w:szCs w:val="24"/>
        </w:rPr>
        <w:t>of the</w:t>
      </w:r>
      <w:r w:rsidRPr="001D2C01">
        <w:rPr>
          <w:b/>
          <w:szCs w:val="24"/>
        </w:rPr>
        <w:t xml:space="preserve"> over-credited REC revenues.</w:t>
      </w:r>
    </w:p>
    <w:p w14:paraId="43E80533" w14:textId="77777777" w:rsidR="001D2C01" w:rsidRPr="001D2C01" w:rsidRDefault="001D2C01" w:rsidP="001D2C01">
      <w:pPr>
        <w:pStyle w:val="ListParagraph"/>
        <w:keepNext/>
        <w:ind w:left="1080"/>
        <w:rPr>
          <w:b/>
          <w:szCs w:val="24"/>
        </w:rPr>
      </w:pPr>
    </w:p>
    <w:p w14:paraId="743DE515" w14:textId="77777777" w:rsidR="0048039D" w:rsidRPr="00A62EBE" w:rsidRDefault="008C0A48" w:rsidP="001D2C01">
      <w:pPr>
        <w:pStyle w:val="ListParagraph"/>
        <w:keepNext/>
        <w:numPr>
          <w:ilvl w:val="0"/>
          <w:numId w:val="1"/>
        </w:numPr>
        <w:spacing w:line="480" w:lineRule="auto"/>
        <w:rPr>
          <w:szCs w:val="24"/>
        </w:rPr>
      </w:pPr>
      <w:r w:rsidRPr="00A62EBE">
        <w:rPr>
          <w:szCs w:val="24"/>
        </w:rPr>
        <w:t xml:space="preserve"> </w:t>
      </w:r>
      <w:r w:rsidRPr="00A62EBE">
        <w:rPr>
          <w:szCs w:val="24"/>
        </w:rPr>
        <w:tab/>
      </w:r>
      <w:r w:rsidR="007D276B" w:rsidRPr="00A62EBE">
        <w:rPr>
          <w:szCs w:val="24"/>
        </w:rPr>
        <w:t xml:space="preserve">The facts </w:t>
      </w:r>
      <w:r w:rsidR="00C35996">
        <w:rPr>
          <w:szCs w:val="24"/>
        </w:rPr>
        <w:t>at</w:t>
      </w:r>
      <w:r w:rsidR="007D276B" w:rsidRPr="00A62EBE">
        <w:rPr>
          <w:szCs w:val="24"/>
        </w:rPr>
        <w:t xml:space="preserve"> issue </w:t>
      </w:r>
      <w:r w:rsidR="00C35996">
        <w:rPr>
          <w:szCs w:val="24"/>
        </w:rPr>
        <w:t xml:space="preserve">here </w:t>
      </w:r>
      <w:r w:rsidR="007D276B" w:rsidRPr="00A62EBE">
        <w:rPr>
          <w:szCs w:val="24"/>
        </w:rPr>
        <w:t>are not in dispute</w:t>
      </w:r>
      <w:r w:rsidR="00C17D13">
        <w:rPr>
          <w:szCs w:val="24"/>
        </w:rPr>
        <w:t>; the questions that remain are of law and policy.</w:t>
      </w:r>
      <w:r w:rsidR="007D276B" w:rsidRPr="00A62EBE">
        <w:rPr>
          <w:szCs w:val="24"/>
        </w:rPr>
        <w:t xml:space="preserve">  </w:t>
      </w:r>
      <w:r w:rsidR="0058098C" w:rsidRPr="00A62EBE">
        <w:rPr>
          <w:szCs w:val="24"/>
        </w:rPr>
        <w:t xml:space="preserve">The Company has </w:t>
      </w:r>
      <w:r w:rsidR="00C17D13">
        <w:rPr>
          <w:szCs w:val="24"/>
        </w:rPr>
        <w:t>provided a full accounting of</w:t>
      </w:r>
      <w:r w:rsidR="0058098C" w:rsidRPr="00A62EBE">
        <w:rPr>
          <w:szCs w:val="24"/>
        </w:rPr>
        <w:t xml:space="preserve"> the </w:t>
      </w:r>
      <w:r w:rsidR="001A5BAB" w:rsidRPr="00A62EBE">
        <w:rPr>
          <w:szCs w:val="24"/>
        </w:rPr>
        <w:t>revenues from the sale of</w:t>
      </w:r>
      <w:r w:rsidR="0058098C" w:rsidRPr="00A62EBE">
        <w:rPr>
          <w:szCs w:val="24"/>
        </w:rPr>
        <w:t xml:space="preserve"> REC</w:t>
      </w:r>
      <w:r w:rsidR="001A5BAB" w:rsidRPr="00A62EBE">
        <w:rPr>
          <w:szCs w:val="24"/>
        </w:rPr>
        <w:t>s</w:t>
      </w:r>
      <w:r w:rsidR="0058098C" w:rsidRPr="00A62EBE">
        <w:rPr>
          <w:szCs w:val="24"/>
        </w:rPr>
        <w:t xml:space="preserve"> </w:t>
      </w:r>
      <w:r w:rsidR="001A5BAB" w:rsidRPr="00A62EBE">
        <w:rPr>
          <w:szCs w:val="24"/>
        </w:rPr>
        <w:t>that it has over-credited to customers</w:t>
      </w:r>
      <w:r w:rsidR="0058098C" w:rsidRPr="00A62EBE">
        <w:rPr>
          <w:szCs w:val="24"/>
        </w:rPr>
        <w:t xml:space="preserve"> in its Compliance Filing.</w:t>
      </w:r>
      <w:r w:rsidR="0058098C">
        <w:rPr>
          <w:rStyle w:val="FootnoteReference"/>
          <w:szCs w:val="24"/>
        </w:rPr>
        <w:footnoteReference w:id="23"/>
      </w:r>
      <w:r w:rsidR="0058098C" w:rsidRPr="00A62EBE">
        <w:rPr>
          <w:szCs w:val="24"/>
        </w:rPr>
        <w:t xml:space="preserve">  </w:t>
      </w:r>
      <w:r w:rsidR="001A5BAB" w:rsidRPr="00A62EBE">
        <w:rPr>
          <w:szCs w:val="24"/>
        </w:rPr>
        <w:t xml:space="preserve">The parties all agree that the Company is entitled to recover the principle of the </w:t>
      </w:r>
      <w:r w:rsidR="00C35996">
        <w:rPr>
          <w:szCs w:val="24"/>
        </w:rPr>
        <w:t xml:space="preserve">REC proceeds </w:t>
      </w:r>
      <w:r w:rsidR="001A5BAB" w:rsidRPr="00A62EBE">
        <w:rPr>
          <w:szCs w:val="24"/>
        </w:rPr>
        <w:t>balance, and they agree on the amount of the principle.  The parties ha</w:t>
      </w:r>
      <w:r w:rsidR="007D276B" w:rsidRPr="00A62EBE">
        <w:rPr>
          <w:szCs w:val="24"/>
        </w:rPr>
        <w:t xml:space="preserve">ve also already agreed in principle to how interest should </w:t>
      </w:r>
      <w:r w:rsidR="00C17D13">
        <w:rPr>
          <w:szCs w:val="24"/>
        </w:rPr>
        <w:t>accrue on the</w:t>
      </w:r>
      <w:r w:rsidR="007D276B" w:rsidRPr="00A62EBE">
        <w:rPr>
          <w:szCs w:val="24"/>
        </w:rPr>
        <w:t xml:space="preserve"> balance in the Multiparty Agreement.</w:t>
      </w:r>
      <w:r w:rsidR="007D276B">
        <w:rPr>
          <w:rStyle w:val="FootnoteReference"/>
          <w:szCs w:val="24"/>
        </w:rPr>
        <w:footnoteReference w:id="24"/>
      </w:r>
      <w:r w:rsidR="007D276B" w:rsidRPr="00A62EBE">
        <w:rPr>
          <w:szCs w:val="24"/>
        </w:rPr>
        <w:t xml:space="preserve">  The only issues in dispute </w:t>
      </w:r>
      <w:r w:rsidR="00C17D13">
        <w:rPr>
          <w:szCs w:val="24"/>
        </w:rPr>
        <w:t>are</w:t>
      </w:r>
      <w:r w:rsidR="007D276B" w:rsidRPr="00A62EBE">
        <w:rPr>
          <w:szCs w:val="24"/>
        </w:rPr>
        <w:t xml:space="preserve"> whether PacifiCorp should have requested a true-up of the balance </w:t>
      </w:r>
      <w:r w:rsidR="00C17D13">
        <w:rPr>
          <w:szCs w:val="24"/>
        </w:rPr>
        <w:t xml:space="preserve">of REC proceeds </w:t>
      </w:r>
      <w:r w:rsidR="007D276B" w:rsidRPr="00A62EBE">
        <w:rPr>
          <w:szCs w:val="24"/>
        </w:rPr>
        <w:t xml:space="preserve">sooner, and </w:t>
      </w:r>
      <w:r w:rsidR="00C17D13">
        <w:rPr>
          <w:szCs w:val="24"/>
        </w:rPr>
        <w:t>what</w:t>
      </w:r>
      <w:r w:rsidR="00836606" w:rsidRPr="00A62EBE">
        <w:rPr>
          <w:szCs w:val="24"/>
        </w:rPr>
        <w:t xml:space="preserve"> portion of the</w:t>
      </w:r>
      <w:r w:rsidR="00C17D13">
        <w:rPr>
          <w:szCs w:val="24"/>
        </w:rPr>
        <w:t xml:space="preserve"> accrued</w:t>
      </w:r>
      <w:r w:rsidR="00836606" w:rsidRPr="00A62EBE">
        <w:rPr>
          <w:szCs w:val="24"/>
        </w:rPr>
        <w:t xml:space="preserve"> interest</w:t>
      </w:r>
      <w:r w:rsidR="003E74E9">
        <w:rPr>
          <w:szCs w:val="24"/>
        </w:rPr>
        <w:t xml:space="preserve"> </w:t>
      </w:r>
      <w:r w:rsidR="00836606" w:rsidRPr="00A62EBE">
        <w:rPr>
          <w:szCs w:val="24"/>
        </w:rPr>
        <w:t>should be disallowed as a result of a</w:t>
      </w:r>
      <w:r w:rsidR="007D276B" w:rsidRPr="00A62EBE">
        <w:rPr>
          <w:szCs w:val="24"/>
        </w:rPr>
        <w:t xml:space="preserve"> delayed true-up request.  </w:t>
      </w:r>
      <w:r w:rsidR="00836606" w:rsidRPr="00A62EBE">
        <w:rPr>
          <w:szCs w:val="24"/>
        </w:rPr>
        <w:t>Postponing</w:t>
      </w:r>
      <w:r w:rsidR="007D276B" w:rsidRPr="00A62EBE">
        <w:rPr>
          <w:szCs w:val="24"/>
        </w:rPr>
        <w:t xml:space="preserve"> the Company’s recovery of the </w:t>
      </w:r>
      <w:r w:rsidR="00836606" w:rsidRPr="00A62EBE">
        <w:rPr>
          <w:szCs w:val="24"/>
        </w:rPr>
        <w:t xml:space="preserve">over-credited REC proceeds would not </w:t>
      </w:r>
      <w:r w:rsidR="00082E61">
        <w:rPr>
          <w:szCs w:val="24"/>
        </w:rPr>
        <w:t xml:space="preserve">serve justice by </w:t>
      </w:r>
      <w:r w:rsidR="00C17D13">
        <w:rPr>
          <w:szCs w:val="24"/>
        </w:rPr>
        <w:t>providing</w:t>
      </w:r>
      <w:r w:rsidR="00836606" w:rsidRPr="00A62EBE">
        <w:rPr>
          <w:szCs w:val="24"/>
        </w:rPr>
        <w:t xml:space="preserve"> the Commission with </w:t>
      </w:r>
      <w:r w:rsidR="00C17D13">
        <w:rPr>
          <w:szCs w:val="24"/>
        </w:rPr>
        <w:t>better</w:t>
      </w:r>
      <w:r w:rsidR="00836606" w:rsidRPr="00A62EBE">
        <w:rPr>
          <w:szCs w:val="24"/>
        </w:rPr>
        <w:t xml:space="preserve"> information on which to base its decision.  On the contrary, </w:t>
      </w:r>
      <w:r w:rsidR="00592010">
        <w:rPr>
          <w:szCs w:val="24"/>
        </w:rPr>
        <w:t xml:space="preserve">it would </w:t>
      </w:r>
      <w:r w:rsidR="00836606" w:rsidRPr="00A62EBE">
        <w:rPr>
          <w:szCs w:val="24"/>
        </w:rPr>
        <w:t xml:space="preserve">only harm the Company and its customers by </w:t>
      </w:r>
      <w:r w:rsidR="00A62EBE" w:rsidRPr="00A62EBE">
        <w:rPr>
          <w:szCs w:val="24"/>
        </w:rPr>
        <w:t>further delaying an issue that should</w:t>
      </w:r>
      <w:r w:rsidR="00C35996">
        <w:rPr>
          <w:szCs w:val="24"/>
        </w:rPr>
        <w:t xml:space="preserve"> have already been resolved; t</w:t>
      </w:r>
      <w:r w:rsidR="003E74E9">
        <w:rPr>
          <w:szCs w:val="24"/>
        </w:rPr>
        <w:t>he delay would</w:t>
      </w:r>
      <w:r w:rsidR="00A62EBE" w:rsidRPr="00A62EBE">
        <w:rPr>
          <w:szCs w:val="24"/>
        </w:rPr>
        <w:t xml:space="preserve"> </w:t>
      </w:r>
      <w:r w:rsidR="003E74E9">
        <w:rPr>
          <w:szCs w:val="24"/>
        </w:rPr>
        <w:t>exacerbate</w:t>
      </w:r>
      <w:r w:rsidR="00836606" w:rsidRPr="00A62EBE">
        <w:rPr>
          <w:szCs w:val="24"/>
        </w:rPr>
        <w:t xml:space="preserve"> the lost time-value-of-money for which the interest rate is designed to compensate.  Accordingly, the Commission should reject ICNU’s request to </w:t>
      </w:r>
      <w:r w:rsidR="003E74E9">
        <w:rPr>
          <w:szCs w:val="24"/>
        </w:rPr>
        <w:t>reject</w:t>
      </w:r>
      <w:r w:rsidR="00836606" w:rsidRPr="00A62EBE">
        <w:rPr>
          <w:szCs w:val="24"/>
        </w:rPr>
        <w:t xml:space="preserve"> or</w:t>
      </w:r>
      <w:r w:rsidR="003E74E9">
        <w:rPr>
          <w:szCs w:val="24"/>
        </w:rPr>
        <w:t xml:space="preserve"> suspend the Compliance Filing, and instead resolved the issue without further delay.  </w:t>
      </w:r>
      <w:r w:rsidR="00836606" w:rsidRPr="00A62EBE">
        <w:rPr>
          <w:szCs w:val="24"/>
        </w:rPr>
        <w:t xml:space="preserve"> </w:t>
      </w:r>
    </w:p>
    <w:p w14:paraId="058A5350" w14:textId="0AB7ABE0" w:rsidR="0048039D" w:rsidRDefault="006C772A" w:rsidP="001D2C01">
      <w:pPr>
        <w:pStyle w:val="ListParagraph"/>
        <w:numPr>
          <w:ilvl w:val="0"/>
          <w:numId w:val="5"/>
        </w:numPr>
        <w:ind w:hanging="720"/>
        <w:rPr>
          <w:b/>
          <w:szCs w:val="24"/>
        </w:rPr>
      </w:pPr>
      <w:r w:rsidRPr="006C772A">
        <w:rPr>
          <w:b/>
          <w:szCs w:val="24"/>
        </w:rPr>
        <w:t xml:space="preserve">The Commission </w:t>
      </w:r>
      <w:r w:rsidR="00605D43">
        <w:rPr>
          <w:b/>
          <w:szCs w:val="24"/>
        </w:rPr>
        <w:t>S</w:t>
      </w:r>
      <w:r w:rsidRPr="006C772A">
        <w:rPr>
          <w:b/>
          <w:szCs w:val="24"/>
        </w:rPr>
        <w:t xml:space="preserve">hould </w:t>
      </w:r>
      <w:r w:rsidR="00605D43">
        <w:rPr>
          <w:b/>
          <w:szCs w:val="24"/>
        </w:rPr>
        <w:t>A</w:t>
      </w:r>
      <w:r w:rsidRPr="006C772A">
        <w:rPr>
          <w:b/>
          <w:szCs w:val="24"/>
        </w:rPr>
        <w:t xml:space="preserve">llow </w:t>
      </w:r>
      <w:r w:rsidR="00380835">
        <w:rPr>
          <w:b/>
          <w:szCs w:val="24"/>
        </w:rPr>
        <w:t>f</w:t>
      </w:r>
      <w:r w:rsidRPr="006C772A">
        <w:rPr>
          <w:b/>
          <w:szCs w:val="24"/>
        </w:rPr>
        <w:t xml:space="preserve">or </w:t>
      </w:r>
      <w:r w:rsidR="00605D43">
        <w:rPr>
          <w:b/>
          <w:szCs w:val="24"/>
        </w:rPr>
        <w:t>R</w:t>
      </w:r>
      <w:r w:rsidRPr="006C772A">
        <w:rPr>
          <w:b/>
          <w:szCs w:val="24"/>
        </w:rPr>
        <w:t xml:space="preserve">ecovery </w:t>
      </w:r>
      <w:r w:rsidR="00380835">
        <w:rPr>
          <w:b/>
          <w:szCs w:val="24"/>
        </w:rPr>
        <w:t>o</w:t>
      </w:r>
      <w:r w:rsidRPr="006C772A">
        <w:rPr>
          <w:b/>
          <w:szCs w:val="24"/>
        </w:rPr>
        <w:t xml:space="preserve">f </w:t>
      </w:r>
      <w:r w:rsidR="00380835">
        <w:rPr>
          <w:b/>
          <w:szCs w:val="24"/>
        </w:rPr>
        <w:t>t</w:t>
      </w:r>
      <w:r w:rsidRPr="006C772A">
        <w:rPr>
          <w:b/>
          <w:szCs w:val="24"/>
        </w:rPr>
        <w:t xml:space="preserve">he </w:t>
      </w:r>
      <w:r w:rsidR="00605D43">
        <w:rPr>
          <w:b/>
          <w:szCs w:val="24"/>
        </w:rPr>
        <w:t>O</w:t>
      </w:r>
      <w:r w:rsidRPr="006C772A">
        <w:rPr>
          <w:b/>
          <w:szCs w:val="24"/>
        </w:rPr>
        <w:t>ver-</w:t>
      </w:r>
      <w:r w:rsidR="00605D43">
        <w:rPr>
          <w:b/>
          <w:szCs w:val="24"/>
        </w:rPr>
        <w:t>C</w:t>
      </w:r>
      <w:r w:rsidRPr="006C772A">
        <w:rPr>
          <w:b/>
          <w:szCs w:val="24"/>
        </w:rPr>
        <w:t xml:space="preserve">redited REC </w:t>
      </w:r>
      <w:r w:rsidR="00605D43">
        <w:rPr>
          <w:b/>
          <w:szCs w:val="24"/>
        </w:rPr>
        <w:t>P</w:t>
      </w:r>
      <w:r w:rsidRPr="006C772A">
        <w:rPr>
          <w:b/>
          <w:szCs w:val="24"/>
        </w:rPr>
        <w:t xml:space="preserve">roceeds, </w:t>
      </w:r>
      <w:r w:rsidR="00380835">
        <w:rPr>
          <w:b/>
          <w:szCs w:val="24"/>
        </w:rPr>
        <w:t>b</w:t>
      </w:r>
      <w:r w:rsidRPr="006C772A">
        <w:rPr>
          <w:b/>
          <w:szCs w:val="24"/>
        </w:rPr>
        <w:t xml:space="preserve">ut </w:t>
      </w:r>
      <w:r w:rsidR="00605D43">
        <w:rPr>
          <w:b/>
          <w:szCs w:val="24"/>
        </w:rPr>
        <w:t>D</w:t>
      </w:r>
      <w:r w:rsidR="00380835">
        <w:rPr>
          <w:b/>
          <w:szCs w:val="24"/>
        </w:rPr>
        <w:t>i</w:t>
      </w:r>
      <w:r w:rsidRPr="006C772A">
        <w:rPr>
          <w:b/>
          <w:szCs w:val="24"/>
        </w:rPr>
        <w:t xml:space="preserve">sallow </w:t>
      </w:r>
      <w:r w:rsidR="00380835">
        <w:rPr>
          <w:b/>
          <w:szCs w:val="24"/>
        </w:rPr>
        <w:t>a</w:t>
      </w:r>
      <w:r w:rsidRPr="006C772A">
        <w:rPr>
          <w:b/>
          <w:szCs w:val="24"/>
        </w:rPr>
        <w:t xml:space="preserve"> </w:t>
      </w:r>
      <w:r w:rsidR="00605D43">
        <w:rPr>
          <w:b/>
          <w:szCs w:val="24"/>
        </w:rPr>
        <w:t>P</w:t>
      </w:r>
      <w:r w:rsidRPr="006C772A">
        <w:rPr>
          <w:b/>
          <w:szCs w:val="24"/>
        </w:rPr>
        <w:t xml:space="preserve">ortion </w:t>
      </w:r>
      <w:r w:rsidR="00380835">
        <w:rPr>
          <w:b/>
          <w:szCs w:val="24"/>
        </w:rPr>
        <w:t>o</w:t>
      </w:r>
      <w:r w:rsidRPr="006C772A">
        <w:rPr>
          <w:b/>
          <w:szCs w:val="24"/>
        </w:rPr>
        <w:t xml:space="preserve">f </w:t>
      </w:r>
      <w:r w:rsidR="00380835">
        <w:rPr>
          <w:b/>
          <w:szCs w:val="24"/>
        </w:rPr>
        <w:t>t</w:t>
      </w:r>
      <w:r w:rsidRPr="006C772A">
        <w:rPr>
          <w:b/>
          <w:szCs w:val="24"/>
        </w:rPr>
        <w:t xml:space="preserve">he </w:t>
      </w:r>
      <w:r w:rsidR="00605D43">
        <w:rPr>
          <w:b/>
          <w:szCs w:val="24"/>
        </w:rPr>
        <w:t>A</w:t>
      </w:r>
      <w:r w:rsidR="00913EE2">
        <w:rPr>
          <w:b/>
          <w:szCs w:val="24"/>
        </w:rPr>
        <w:t xml:space="preserve">ccumulated </w:t>
      </w:r>
      <w:r w:rsidR="00605D43">
        <w:rPr>
          <w:b/>
          <w:szCs w:val="24"/>
        </w:rPr>
        <w:t>I</w:t>
      </w:r>
      <w:r w:rsidR="00913EE2">
        <w:rPr>
          <w:b/>
          <w:szCs w:val="24"/>
        </w:rPr>
        <w:t xml:space="preserve">nterest </w:t>
      </w:r>
      <w:r w:rsidR="00380835">
        <w:rPr>
          <w:b/>
          <w:szCs w:val="24"/>
        </w:rPr>
        <w:t>t</w:t>
      </w:r>
      <w:r w:rsidR="00913EE2">
        <w:rPr>
          <w:b/>
          <w:szCs w:val="24"/>
        </w:rPr>
        <w:t>hat PacifiC</w:t>
      </w:r>
      <w:r w:rsidRPr="006C772A">
        <w:rPr>
          <w:b/>
          <w:szCs w:val="24"/>
        </w:rPr>
        <w:t xml:space="preserve">orp </w:t>
      </w:r>
      <w:r w:rsidR="00605D43">
        <w:rPr>
          <w:b/>
          <w:szCs w:val="24"/>
        </w:rPr>
        <w:t>R</w:t>
      </w:r>
      <w:r w:rsidRPr="006C772A">
        <w:rPr>
          <w:b/>
          <w:szCs w:val="24"/>
        </w:rPr>
        <w:t xml:space="preserve">equests, </w:t>
      </w:r>
      <w:r w:rsidR="00605D43">
        <w:rPr>
          <w:b/>
          <w:szCs w:val="24"/>
        </w:rPr>
        <w:t>E</w:t>
      </w:r>
      <w:bookmarkStart w:id="0" w:name="_GoBack"/>
      <w:bookmarkEnd w:id="0"/>
      <w:r w:rsidRPr="006C772A">
        <w:rPr>
          <w:b/>
          <w:szCs w:val="24"/>
        </w:rPr>
        <w:t xml:space="preserve">ffective November 16, 2014. </w:t>
      </w:r>
    </w:p>
    <w:p w14:paraId="171677A1" w14:textId="77777777" w:rsidR="001D2C01" w:rsidRPr="00913EE2" w:rsidRDefault="001D2C01" w:rsidP="001D2C01">
      <w:pPr>
        <w:pStyle w:val="ListParagraph"/>
        <w:rPr>
          <w:b/>
          <w:szCs w:val="24"/>
        </w:rPr>
      </w:pPr>
    </w:p>
    <w:p w14:paraId="26AAE122" w14:textId="55D3A8DD" w:rsidR="007A08BA" w:rsidRPr="00FF755E" w:rsidRDefault="0048039D" w:rsidP="009D7AF3">
      <w:pPr>
        <w:pStyle w:val="ListParagraph"/>
        <w:numPr>
          <w:ilvl w:val="0"/>
          <w:numId w:val="1"/>
        </w:numPr>
        <w:spacing w:line="480" w:lineRule="auto"/>
        <w:rPr>
          <w:szCs w:val="24"/>
        </w:rPr>
      </w:pPr>
      <w:r w:rsidRPr="00B34DBB">
        <w:rPr>
          <w:szCs w:val="24"/>
        </w:rPr>
        <w:t xml:space="preserve">  </w:t>
      </w:r>
      <w:r w:rsidRPr="00B34DBB">
        <w:rPr>
          <w:szCs w:val="24"/>
        </w:rPr>
        <w:tab/>
        <w:t xml:space="preserve">Staff continues to support a rate adjustment </w:t>
      </w:r>
      <w:r w:rsidR="00C51BDA">
        <w:rPr>
          <w:szCs w:val="24"/>
        </w:rPr>
        <w:t xml:space="preserve">that is recovered through monthly bill adjustments over a two-year period and </w:t>
      </w:r>
      <w:r w:rsidRPr="00B34DBB">
        <w:rPr>
          <w:szCs w:val="24"/>
        </w:rPr>
        <w:t>is limited to $5,063,704 with interest accrued until November 16, 2014—the day the Company requests to begin recover</w:t>
      </w:r>
      <w:r w:rsidR="00C51BDA">
        <w:rPr>
          <w:szCs w:val="24"/>
        </w:rPr>
        <w:t>y</w:t>
      </w:r>
      <w:r w:rsidRPr="00B34DBB">
        <w:rPr>
          <w:szCs w:val="24"/>
        </w:rPr>
        <w:t xml:space="preserve">.  </w:t>
      </w:r>
      <w:r w:rsidR="00913EE2" w:rsidRPr="00B34DBB">
        <w:rPr>
          <w:szCs w:val="24"/>
        </w:rPr>
        <w:t xml:space="preserve">Staff’s proposal is </w:t>
      </w:r>
      <w:r w:rsidRPr="00B34DBB">
        <w:rPr>
          <w:szCs w:val="24"/>
        </w:rPr>
        <w:t>based on the mechanism in the Multiparty Agreement to credit customers for REC proceeds</w:t>
      </w:r>
      <w:r w:rsidR="00913EE2" w:rsidRPr="00B34DBB">
        <w:rPr>
          <w:szCs w:val="24"/>
        </w:rPr>
        <w:t xml:space="preserve">, </w:t>
      </w:r>
      <w:r w:rsidRPr="00B34DBB">
        <w:rPr>
          <w:szCs w:val="24"/>
        </w:rPr>
        <w:t xml:space="preserve">which both </w:t>
      </w:r>
      <w:r w:rsidR="00913EE2" w:rsidRPr="00B34DBB">
        <w:rPr>
          <w:szCs w:val="24"/>
        </w:rPr>
        <w:t>anticipated</w:t>
      </w:r>
      <w:r w:rsidRPr="00B34DBB">
        <w:rPr>
          <w:szCs w:val="24"/>
        </w:rPr>
        <w:t xml:space="preserve"> the accrual of interest and </w:t>
      </w:r>
      <w:r w:rsidR="00B34DBB" w:rsidRPr="00B34DBB">
        <w:rPr>
          <w:szCs w:val="24"/>
        </w:rPr>
        <w:t xml:space="preserve">would have </w:t>
      </w:r>
      <w:r w:rsidRPr="00B34DBB">
        <w:rPr>
          <w:szCs w:val="24"/>
        </w:rPr>
        <w:t xml:space="preserve">effectively limited that accrual via </w:t>
      </w:r>
      <w:r w:rsidR="00B34DBB" w:rsidRPr="00B34DBB">
        <w:rPr>
          <w:szCs w:val="24"/>
        </w:rPr>
        <w:t xml:space="preserve">annual </w:t>
      </w:r>
      <w:r w:rsidRPr="00B34DBB">
        <w:rPr>
          <w:szCs w:val="24"/>
        </w:rPr>
        <w:t>true-up</w:t>
      </w:r>
      <w:r w:rsidR="00B34DBB" w:rsidRPr="00B34DBB">
        <w:rPr>
          <w:szCs w:val="24"/>
        </w:rPr>
        <w:t>s</w:t>
      </w:r>
      <w:r w:rsidRPr="00B34DBB">
        <w:rPr>
          <w:szCs w:val="24"/>
        </w:rPr>
        <w:t>.</w:t>
      </w:r>
      <w:r w:rsidR="00FF755E">
        <w:rPr>
          <w:szCs w:val="24"/>
        </w:rPr>
        <w:t xml:space="preserve">  The annual true-ups would have also served to extend the amount of time in which customers would </w:t>
      </w:r>
      <w:r w:rsidR="00592010">
        <w:rPr>
          <w:szCs w:val="24"/>
        </w:rPr>
        <w:t>have repaid</w:t>
      </w:r>
      <w:r w:rsidR="00FF755E">
        <w:rPr>
          <w:szCs w:val="24"/>
        </w:rPr>
        <w:t xml:space="preserve"> the over-credited REC proceeds by limiting the amount customers would have to pay</w:t>
      </w:r>
      <w:r w:rsidR="001E1381">
        <w:rPr>
          <w:szCs w:val="24"/>
        </w:rPr>
        <w:t xml:space="preserve"> per year</w:t>
      </w:r>
      <w:r w:rsidR="00FF755E">
        <w:rPr>
          <w:szCs w:val="24"/>
        </w:rPr>
        <w:t xml:space="preserve"> to the balance </w:t>
      </w:r>
      <w:r w:rsidR="00592010">
        <w:rPr>
          <w:szCs w:val="24"/>
        </w:rPr>
        <w:t>that accumulated over</w:t>
      </w:r>
      <w:r w:rsidR="00FF755E">
        <w:rPr>
          <w:szCs w:val="24"/>
        </w:rPr>
        <w:t xml:space="preserve"> the previous year.  </w:t>
      </w:r>
      <w:r w:rsidR="00B34DBB" w:rsidRPr="00FF755E">
        <w:rPr>
          <w:szCs w:val="24"/>
        </w:rPr>
        <w:t>Staff</w:t>
      </w:r>
      <w:r w:rsidR="00E12E54" w:rsidRPr="00FF755E">
        <w:rPr>
          <w:szCs w:val="24"/>
        </w:rPr>
        <w:t>’s</w:t>
      </w:r>
      <w:r w:rsidR="001E1381">
        <w:rPr>
          <w:szCs w:val="24"/>
        </w:rPr>
        <w:t xml:space="preserve"> proposal is a</w:t>
      </w:r>
      <w:r w:rsidR="00B34DBB" w:rsidRPr="00FF755E">
        <w:rPr>
          <w:szCs w:val="24"/>
        </w:rPr>
        <w:t xml:space="preserve"> compromise that serves to both reasonably approximate the interest that should have accrued on the balance of REC proceeds according to the Multiparty Agreement, and mitigate the rate impact on customers</w:t>
      </w:r>
      <w:r w:rsidR="007A08BA" w:rsidRPr="00FF755E">
        <w:rPr>
          <w:szCs w:val="24"/>
        </w:rPr>
        <w:t xml:space="preserve"> </w:t>
      </w:r>
      <w:r w:rsidR="00FF755E">
        <w:rPr>
          <w:szCs w:val="24"/>
        </w:rPr>
        <w:t>that would result from having to pay the</w:t>
      </w:r>
      <w:r w:rsidR="007A08BA" w:rsidRPr="00FF755E">
        <w:rPr>
          <w:szCs w:val="24"/>
        </w:rPr>
        <w:t xml:space="preserve"> entire sum over a one-year period. </w:t>
      </w:r>
    </w:p>
    <w:p w14:paraId="048B8A41" w14:textId="77777777" w:rsidR="007A08BA" w:rsidRPr="007A08BA" w:rsidRDefault="007A08BA" w:rsidP="00995B96">
      <w:pPr>
        <w:pStyle w:val="ListParagraph"/>
        <w:numPr>
          <w:ilvl w:val="0"/>
          <w:numId w:val="3"/>
        </w:numPr>
        <w:spacing w:line="480" w:lineRule="auto"/>
        <w:ind w:left="0" w:firstLine="0"/>
        <w:jc w:val="center"/>
        <w:rPr>
          <w:b/>
          <w:szCs w:val="24"/>
        </w:rPr>
      </w:pPr>
      <w:r w:rsidRPr="007A08BA">
        <w:rPr>
          <w:b/>
          <w:szCs w:val="24"/>
        </w:rPr>
        <w:t>CONCLUSION</w:t>
      </w:r>
    </w:p>
    <w:p w14:paraId="78439C3A" w14:textId="77777777" w:rsidR="0059617C" w:rsidRPr="0059617C" w:rsidRDefault="007A08BA" w:rsidP="009D7AF3">
      <w:pPr>
        <w:pStyle w:val="ListParagraph"/>
        <w:numPr>
          <w:ilvl w:val="0"/>
          <w:numId w:val="1"/>
        </w:numPr>
        <w:spacing w:line="480" w:lineRule="auto"/>
        <w:rPr>
          <w:szCs w:val="24"/>
        </w:rPr>
      </w:pPr>
      <w:r w:rsidRPr="0059617C">
        <w:rPr>
          <w:szCs w:val="24"/>
        </w:rPr>
        <w:tab/>
        <w:t xml:space="preserve">Staff requests that the Commission allow for recovery of the over-credited REC proceeds effective November 16, 2014, through monthly bill adjustments over a two-year period.  Staff does not object to any alternate proposal that would further limit, beyond Staff’s own recommendation, the amount of accrued interest that PacifiCorp may recover on the over-credited REC proceeds.  </w:t>
      </w:r>
      <w:r w:rsidR="0059617C" w:rsidRPr="0059617C">
        <w:rPr>
          <w:szCs w:val="24"/>
        </w:rPr>
        <w:t>The Commission however should reject ICNU’s request that it either reject or suspend PacifiCorp’s Compliance F</w:t>
      </w:r>
      <w:r w:rsidR="0059617C">
        <w:rPr>
          <w:szCs w:val="24"/>
        </w:rPr>
        <w:t>iling.</w:t>
      </w:r>
    </w:p>
    <w:p w14:paraId="54CD5B40" w14:textId="77777777" w:rsidR="0048039D" w:rsidRPr="009D608C" w:rsidRDefault="0048039D" w:rsidP="0048039D">
      <w:pPr>
        <w:pStyle w:val="ListParagraph"/>
        <w:spacing w:line="480" w:lineRule="auto"/>
        <w:ind w:left="0" w:firstLine="720"/>
        <w:rPr>
          <w:rFonts w:cs="Times New Roman"/>
          <w:szCs w:val="24"/>
        </w:rPr>
      </w:pPr>
      <w:r w:rsidRPr="009D608C">
        <w:rPr>
          <w:rFonts w:cs="Times New Roman"/>
          <w:szCs w:val="24"/>
        </w:rPr>
        <w:t xml:space="preserve">DATED this </w:t>
      </w:r>
      <w:r>
        <w:rPr>
          <w:rFonts w:cs="Times New Roman"/>
          <w:szCs w:val="24"/>
        </w:rPr>
        <w:t>28</w:t>
      </w:r>
      <w:r w:rsidRPr="009D608C">
        <w:rPr>
          <w:rFonts w:cs="Times New Roman"/>
          <w:szCs w:val="24"/>
          <w:vertAlign w:val="superscript"/>
        </w:rPr>
        <w:t>th</w:t>
      </w:r>
      <w:r w:rsidRPr="009D608C">
        <w:rPr>
          <w:rFonts w:cs="Times New Roman"/>
          <w:szCs w:val="24"/>
        </w:rPr>
        <w:t xml:space="preserve"> day of October 2014.</w:t>
      </w:r>
    </w:p>
    <w:p w14:paraId="65327B97" w14:textId="77777777" w:rsidR="0048039D" w:rsidRPr="009D608C" w:rsidRDefault="0048039D" w:rsidP="0048039D">
      <w:pPr>
        <w:ind w:left="720"/>
        <w:rPr>
          <w:rFonts w:cs="Times New Roman"/>
          <w:szCs w:val="24"/>
        </w:rPr>
      </w:pPr>
      <w:r w:rsidRPr="009D608C">
        <w:rPr>
          <w:rFonts w:cs="Times New Roman"/>
          <w:szCs w:val="24"/>
        </w:rPr>
        <w:tab/>
      </w:r>
      <w:r w:rsidRPr="009D608C">
        <w:rPr>
          <w:rFonts w:cs="Times New Roman"/>
          <w:szCs w:val="24"/>
        </w:rPr>
        <w:tab/>
      </w:r>
      <w:r w:rsidRPr="009D608C">
        <w:rPr>
          <w:rFonts w:cs="Times New Roman"/>
          <w:szCs w:val="24"/>
        </w:rPr>
        <w:tab/>
      </w:r>
      <w:r w:rsidRPr="009D608C">
        <w:rPr>
          <w:rFonts w:cs="Times New Roman"/>
          <w:szCs w:val="24"/>
        </w:rPr>
        <w:tab/>
      </w:r>
      <w:r w:rsidRPr="009D608C">
        <w:rPr>
          <w:rFonts w:cs="Times New Roman"/>
          <w:szCs w:val="24"/>
        </w:rPr>
        <w:tab/>
      </w:r>
      <w:r w:rsidRPr="009D608C">
        <w:rPr>
          <w:rFonts w:cs="Times New Roman"/>
          <w:szCs w:val="24"/>
        </w:rPr>
        <w:tab/>
        <w:t xml:space="preserve">Respectfully submitted, </w:t>
      </w:r>
    </w:p>
    <w:p w14:paraId="5CBC4BC9" w14:textId="77777777" w:rsidR="0048039D" w:rsidRPr="009D608C" w:rsidRDefault="0048039D" w:rsidP="0048039D">
      <w:pPr>
        <w:pStyle w:val="BodyTextIndent2"/>
        <w:rPr>
          <w:rFonts w:ascii="Times New Roman" w:hAnsi="Times New Roman"/>
        </w:rPr>
      </w:pPr>
    </w:p>
    <w:p w14:paraId="3EB4487E" w14:textId="77777777" w:rsidR="0048039D" w:rsidRPr="009D608C" w:rsidRDefault="0048039D" w:rsidP="0048039D">
      <w:pPr>
        <w:ind w:left="5040"/>
        <w:jc w:val="both"/>
        <w:rPr>
          <w:rFonts w:cs="Times New Roman"/>
          <w:szCs w:val="24"/>
        </w:rPr>
      </w:pPr>
      <w:r w:rsidRPr="009D608C">
        <w:rPr>
          <w:rFonts w:cs="Times New Roman"/>
          <w:szCs w:val="24"/>
        </w:rPr>
        <w:t xml:space="preserve">ROBERT W. FERGUSON </w:t>
      </w:r>
    </w:p>
    <w:p w14:paraId="254DE7E3" w14:textId="77777777" w:rsidR="0048039D" w:rsidRPr="009D608C" w:rsidRDefault="0048039D" w:rsidP="0048039D">
      <w:pPr>
        <w:ind w:firstLine="5040"/>
        <w:jc w:val="both"/>
        <w:rPr>
          <w:rFonts w:cs="Times New Roman"/>
          <w:szCs w:val="24"/>
        </w:rPr>
      </w:pPr>
      <w:r w:rsidRPr="009D608C">
        <w:rPr>
          <w:rFonts w:cs="Times New Roman"/>
          <w:szCs w:val="24"/>
        </w:rPr>
        <w:t>Attorney General</w:t>
      </w:r>
    </w:p>
    <w:p w14:paraId="38C5A856" w14:textId="77777777" w:rsidR="0048039D" w:rsidRPr="009D608C" w:rsidRDefault="0048039D" w:rsidP="0048039D">
      <w:pPr>
        <w:jc w:val="both"/>
        <w:rPr>
          <w:rFonts w:cs="Times New Roman"/>
          <w:szCs w:val="24"/>
        </w:rPr>
      </w:pPr>
    </w:p>
    <w:p w14:paraId="11D7BFEA" w14:textId="77777777" w:rsidR="0048039D" w:rsidRPr="009D608C" w:rsidRDefault="0048039D" w:rsidP="0048039D">
      <w:pPr>
        <w:jc w:val="both"/>
        <w:rPr>
          <w:rFonts w:cs="Times New Roman"/>
          <w:szCs w:val="24"/>
        </w:rPr>
      </w:pPr>
    </w:p>
    <w:p w14:paraId="1CEA313A" w14:textId="77777777" w:rsidR="0048039D" w:rsidRPr="009D608C" w:rsidRDefault="0048039D" w:rsidP="0048039D">
      <w:pPr>
        <w:ind w:left="1440" w:firstLine="3600"/>
        <w:jc w:val="both"/>
        <w:rPr>
          <w:rFonts w:cs="Times New Roman"/>
          <w:szCs w:val="24"/>
        </w:rPr>
      </w:pPr>
      <w:r w:rsidRPr="009D608C">
        <w:rPr>
          <w:rFonts w:cs="Times New Roman"/>
          <w:szCs w:val="24"/>
        </w:rPr>
        <w:t>______________________________</w:t>
      </w:r>
    </w:p>
    <w:p w14:paraId="5F6F40E8" w14:textId="77777777" w:rsidR="0048039D" w:rsidRPr="009D608C" w:rsidRDefault="0048039D" w:rsidP="0048039D">
      <w:pPr>
        <w:ind w:firstLine="5040"/>
        <w:jc w:val="both"/>
        <w:rPr>
          <w:rFonts w:cs="Times New Roman"/>
          <w:szCs w:val="24"/>
        </w:rPr>
      </w:pPr>
      <w:r w:rsidRPr="009D608C">
        <w:rPr>
          <w:rFonts w:cs="Times New Roman"/>
          <w:szCs w:val="24"/>
        </w:rPr>
        <w:t>CHRISTOPHER M. CASEY</w:t>
      </w:r>
    </w:p>
    <w:p w14:paraId="4A19DF05" w14:textId="77777777" w:rsidR="0048039D" w:rsidRPr="009D608C" w:rsidRDefault="0048039D" w:rsidP="0048039D">
      <w:pPr>
        <w:ind w:left="1440" w:firstLine="3600"/>
        <w:jc w:val="both"/>
        <w:rPr>
          <w:rFonts w:cs="Times New Roman"/>
          <w:szCs w:val="24"/>
        </w:rPr>
      </w:pPr>
      <w:r w:rsidRPr="009D608C">
        <w:rPr>
          <w:rFonts w:cs="Times New Roman"/>
          <w:szCs w:val="24"/>
        </w:rPr>
        <w:t>Assistant Attorney General</w:t>
      </w:r>
    </w:p>
    <w:p w14:paraId="5D8D9B61" w14:textId="77777777" w:rsidR="0048039D" w:rsidRPr="009D608C" w:rsidRDefault="0048039D" w:rsidP="0048039D">
      <w:pPr>
        <w:ind w:left="2160" w:firstLine="2880"/>
        <w:jc w:val="both"/>
        <w:rPr>
          <w:rFonts w:cs="Times New Roman"/>
          <w:szCs w:val="24"/>
        </w:rPr>
      </w:pPr>
      <w:r w:rsidRPr="009D608C">
        <w:rPr>
          <w:rFonts w:cs="Times New Roman"/>
          <w:szCs w:val="24"/>
        </w:rPr>
        <w:t>Counsel for Washington Utilities and</w:t>
      </w:r>
    </w:p>
    <w:p w14:paraId="1C8ECCE7" w14:textId="77777777" w:rsidR="0048039D" w:rsidRPr="009D608C" w:rsidRDefault="0048039D" w:rsidP="0048039D">
      <w:pPr>
        <w:ind w:left="2880" w:firstLine="2160"/>
        <w:jc w:val="both"/>
        <w:rPr>
          <w:szCs w:val="24"/>
        </w:rPr>
      </w:pPr>
      <w:r w:rsidRPr="009D608C">
        <w:rPr>
          <w:rFonts w:cs="Times New Roman"/>
          <w:szCs w:val="24"/>
        </w:rPr>
        <w:t>Transportation Commission Staff</w:t>
      </w:r>
    </w:p>
    <w:p w14:paraId="2D578CA4" w14:textId="77777777" w:rsidR="00100F18" w:rsidRPr="0048039D" w:rsidRDefault="00100F18" w:rsidP="0048039D"/>
    <w:sectPr w:rsidR="00100F18" w:rsidRPr="0048039D" w:rsidSect="001D2C01">
      <w:footerReference w:type="default" r:id="rId12"/>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C647A" w14:textId="77777777" w:rsidR="001D2C01" w:rsidRDefault="001D2C01" w:rsidP="009749FA">
      <w:r>
        <w:separator/>
      </w:r>
    </w:p>
  </w:endnote>
  <w:endnote w:type="continuationSeparator" w:id="0">
    <w:p w14:paraId="6C259549" w14:textId="77777777" w:rsidR="001D2C01" w:rsidRDefault="001D2C01" w:rsidP="0097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24F1A" w14:textId="77777777" w:rsidR="001D2C01" w:rsidRPr="001F1935" w:rsidRDefault="001D2C01">
    <w:pPr>
      <w:pStyle w:val="Footer"/>
      <w:rPr>
        <w:sz w:val="20"/>
        <w:szCs w:val="20"/>
      </w:rPr>
    </w:pPr>
  </w:p>
  <w:p w14:paraId="58116CE3" w14:textId="77777777" w:rsidR="001D2C01" w:rsidRDefault="001D2C01">
    <w:pPr>
      <w:pStyle w:val="Footer"/>
      <w:rPr>
        <w:sz w:val="20"/>
        <w:szCs w:val="20"/>
      </w:rPr>
    </w:pPr>
    <w:r w:rsidRPr="00262003">
      <w:rPr>
        <w:sz w:val="20"/>
        <w:szCs w:val="20"/>
      </w:rPr>
      <w:t>COMMISSION STAFF’S</w:t>
    </w:r>
    <w:r>
      <w:rPr>
        <w:sz w:val="20"/>
        <w:szCs w:val="20"/>
      </w:rPr>
      <w:t xml:space="preserve"> REPLY TO THE</w:t>
    </w:r>
    <w:r w:rsidRPr="00262003">
      <w:rPr>
        <w:sz w:val="20"/>
        <w:szCs w:val="20"/>
      </w:rPr>
      <w:t xml:space="preserve"> RESPONSES TO </w:t>
    </w:r>
  </w:p>
  <w:p w14:paraId="2F8B3581" w14:textId="77777777" w:rsidR="001D2C01" w:rsidRPr="001F1935" w:rsidRDefault="001D2C01">
    <w:pPr>
      <w:pStyle w:val="Footer"/>
      <w:rPr>
        <w:sz w:val="20"/>
        <w:szCs w:val="20"/>
      </w:rPr>
    </w:pPr>
    <w:r w:rsidRPr="00262003">
      <w:rPr>
        <w:sz w:val="20"/>
        <w:szCs w:val="20"/>
      </w:rPr>
      <w:t>PACIFICORP’S COMPLIANCE FILING OF OCTOBER 3, 2014</w:t>
    </w:r>
    <w:r>
      <w:rPr>
        <w:sz w:val="20"/>
        <w:szCs w:val="20"/>
      </w:rPr>
      <w:t xml:space="preserve"> </w:t>
    </w:r>
    <w:r w:rsidRPr="009332F6">
      <w:rPr>
        <w:sz w:val="20"/>
        <w:szCs w:val="20"/>
      </w:rPr>
      <w:t xml:space="preserve">- </w:t>
    </w:r>
    <w:r w:rsidRPr="009332F6">
      <w:rPr>
        <w:sz w:val="20"/>
        <w:szCs w:val="20"/>
      </w:rPr>
      <w:fldChar w:fldCharType="begin"/>
    </w:r>
    <w:r w:rsidRPr="009332F6">
      <w:rPr>
        <w:sz w:val="20"/>
        <w:szCs w:val="20"/>
      </w:rPr>
      <w:instrText xml:space="preserve"> PAGE   \* MERGEFORMAT </w:instrText>
    </w:r>
    <w:r w:rsidRPr="009332F6">
      <w:rPr>
        <w:sz w:val="20"/>
        <w:szCs w:val="20"/>
      </w:rPr>
      <w:fldChar w:fldCharType="separate"/>
    </w:r>
    <w:r w:rsidR="00605D43">
      <w:rPr>
        <w:noProof/>
        <w:sz w:val="20"/>
        <w:szCs w:val="20"/>
      </w:rPr>
      <w:t>9</w:t>
    </w:r>
    <w:r w:rsidRPr="009332F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71206" w14:textId="77777777" w:rsidR="001D2C01" w:rsidRDefault="001D2C01" w:rsidP="009749FA">
      <w:r>
        <w:separator/>
      </w:r>
    </w:p>
  </w:footnote>
  <w:footnote w:type="continuationSeparator" w:id="0">
    <w:p w14:paraId="7084C797" w14:textId="77777777" w:rsidR="001D2C01" w:rsidRDefault="001D2C01" w:rsidP="009749FA">
      <w:r>
        <w:continuationSeparator/>
      </w:r>
    </w:p>
  </w:footnote>
  <w:footnote w:id="1">
    <w:p w14:paraId="73F168BA" w14:textId="77777777" w:rsidR="001D2C01" w:rsidRDefault="001D2C01" w:rsidP="0048039D">
      <w:pPr>
        <w:pStyle w:val="FootnoteText"/>
      </w:pPr>
      <w:r>
        <w:rPr>
          <w:rStyle w:val="FootnoteReference"/>
        </w:rPr>
        <w:footnoteRef/>
      </w:r>
      <w:r>
        <w:t xml:space="preserve"> </w:t>
      </w:r>
      <w:r w:rsidRPr="006E2486">
        <w:rPr>
          <w:i/>
        </w:rPr>
        <w:t>WUTC v. PacifiCorp, d/b/a Pacific Power &amp; Light Co.</w:t>
      </w:r>
      <w:r w:rsidRPr="006E2486">
        <w:t>, Docket UE-100749,</w:t>
      </w:r>
      <w:r>
        <w:t xml:space="preserve"> Comments of Public Counsel to PacifiCorp Compliance Filing (Confidential), p. 2 (Oct. 17, 2014); </w:t>
      </w:r>
      <w:r>
        <w:rPr>
          <w:i/>
        </w:rPr>
        <w:t>WUTC v. PacifiCorp</w:t>
      </w:r>
      <w:r w:rsidRPr="006E2486">
        <w:t>, Docket UE-100749,</w:t>
      </w:r>
      <w:r>
        <w:t xml:space="preserve"> Comments of Industrial Customers of Northwest Utilities in Response to PacifiCorp’s October 3, 2014 Compliance Filing, </w:t>
      </w:r>
      <w:r w:rsidRPr="001A1F7A">
        <w:t>¶</w:t>
      </w:r>
      <w:r>
        <w:t xml:space="preserve"> 5 (Oct. 17, 2014).</w:t>
      </w:r>
    </w:p>
  </w:footnote>
  <w:footnote w:id="2">
    <w:p w14:paraId="0F4B8D54" w14:textId="77777777" w:rsidR="001D2C01" w:rsidRDefault="001D2C01" w:rsidP="003F0105">
      <w:pPr>
        <w:pStyle w:val="FootnoteText"/>
      </w:pPr>
      <w:r>
        <w:rPr>
          <w:rStyle w:val="FootnoteReference"/>
        </w:rPr>
        <w:footnoteRef/>
      </w:r>
      <w:r>
        <w:t xml:space="preserve"> </w:t>
      </w:r>
      <w:r w:rsidRPr="00F454C3">
        <w:rPr>
          <w:i/>
        </w:rPr>
        <w:t>Id</w:t>
      </w:r>
      <w:r>
        <w:t xml:space="preserve">. at p. 3-4; </w:t>
      </w:r>
      <w:r w:rsidRPr="00F454C3">
        <w:rPr>
          <w:i/>
        </w:rPr>
        <w:t>Id</w:t>
      </w:r>
      <w:r>
        <w:t xml:space="preserve">. at </w:t>
      </w:r>
      <w:r w:rsidRPr="001A1F7A">
        <w:t>¶</w:t>
      </w:r>
      <w:r>
        <w:t xml:space="preserve"> 6-7. </w:t>
      </w:r>
    </w:p>
  </w:footnote>
  <w:footnote w:id="3">
    <w:p w14:paraId="60797667" w14:textId="77777777" w:rsidR="001D2C01" w:rsidRDefault="001D2C01" w:rsidP="0048039D">
      <w:pPr>
        <w:pStyle w:val="FootnoteText"/>
      </w:pPr>
      <w:r>
        <w:rPr>
          <w:rStyle w:val="FootnoteReference"/>
        </w:rPr>
        <w:footnoteRef/>
      </w:r>
      <w:r>
        <w:t xml:space="preserve"> </w:t>
      </w:r>
      <w:r w:rsidRPr="00145EBD">
        <w:rPr>
          <w:i/>
        </w:rPr>
        <w:t>See</w:t>
      </w:r>
      <w:r>
        <w:t xml:space="preserve"> </w:t>
      </w:r>
      <w:r w:rsidRPr="00F454C3">
        <w:rPr>
          <w:i/>
        </w:rPr>
        <w:t>WUTC v. PacifiCorp</w:t>
      </w:r>
      <w:r w:rsidRPr="00F454C3">
        <w:t xml:space="preserve">, Docket UE-100749, </w:t>
      </w:r>
      <w:r>
        <w:t>Notice of Extension of Deadline for Compliance Filing (Jan. 23, 2014)</w:t>
      </w:r>
      <w:r w:rsidRPr="00F454C3">
        <w:t>.</w:t>
      </w:r>
    </w:p>
  </w:footnote>
  <w:footnote w:id="4">
    <w:p w14:paraId="2EC031AC" w14:textId="77777777" w:rsidR="001D2C01" w:rsidRPr="00A32D5A" w:rsidRDefault="001D2C01" w:rsidP="0048039D">
      <w:pPr>
        <w:pStyle w:val="FootnoteText"/>
      </w:pPr>
      <w:r>
        <w:rPr>
          <w:rStyle w:val="FootnoteReference"/>
        </w:rPr>
        <w:footnoteRef/>
      </w:r>
      <w:r>
        <w:t xml:space="preserve"> </w:t>
      </w:r>
      <w:r>
        <w:rPr>
          <w:i/>
        </w:rPr>
        <w:t>WUTC v. PacifiCorp</w:t>
      </w:r>
      <w:r>
        <w:t>, Docket UE-100749, Comments of Public Counsel in Response to PacifiCorp Compliance Filing (Confidential), p. 1 (Oct. 17, 2014).</w:t>
      </w:r>
    </w:p>
  </w:footnote>
  <w:footnote w:id="5">
    <w:p w14:paraId="1E3E6EAD" w14:textId="77777777" w:rsidR="001D2C01" w:rsidRDefault="001D2C01" w:rsidP="0048039D">
      <w:pPr>
        <w:pStyle w:val="FootnoteText"/>
      </w:pPr>
      <w:r>
        <w:rPr>
          <w:rStyle w:val="FootnoteReference"/>
        </w:rPr>
        <w:footnoteRef/>
      </w:r>
      <w:r>
        <w:t xml:space="preserve"> </w:t>
      </w:r>
      <w:r>
        <w:rPr>
          <w:i/>
        </w:rPr>
        <w:t>WUTC v. PacifiCorp</w:t>
      </w:r>
      <w:r w:rsidRPr="006E2486">
        <w:t>, Docket UE-100749,</w:t>
      </w:r>
      <w:r>
        <w:t xml:space="preserve"> Comments of Industrial Customers of Northwest Utilities in Response to PacifiCorp’s October 3, 2014 Compliance Filing, </w:t>
      </w:r>
      <w:r w:rsidRPr="001A1F7A">
        <w:t>¶</w:t>
      </w:r>
      <w:r>
        <w:t xml:space="preserve"> 11 (Oct. 17, 2014).</w:t>
      </w:r>
    </w:p>
  </w:footnote>
  <w:footnote w:id="6">
    <w:p w14:paraId="5C28987F" w14:textId="77777777" w:rsidR="001D2C01" w:rsidRDefault="001D2C01" w:rsidP="0048039D">
      <w:pPr>
        <w:pStyle w:val="FootnoteText"/>
      </w:pPr>
      <w:r>
        <w:rPr>
          <w:rStyle w:val="FootnoteReference"/>
        </w:rPr>
        <w:footnoteRef/>
      </w:r>
      <w:r>
        <w:t xml:space="preserve"> </w:t>
      </w:r>
      <w:r>
        <w:rPr>
          <w:i/>
        </w:rPr>
        <w:t>Id.</w:t>
      </w:r>
    </w:p>
  </w:footnote>
  <w:footnote w:id="7">
    <w:p w14:paraId="1C6F1C14" w14:textId="77777777" w:rsidR="001D2C01" w:rsidRDefault="001D2C01" w:rsidP="0048039D">
      <w:pPr>
        <w:pStyle w:val="FootnoteText"/>
      </w:pPr>
      <w:r>
        <w:rPr>
          <w:rStyle w:val="FootnoteReference"/>
        </w:rPr>
        <w:footnoteRef/>
      </w:r>
      <w:r>
        <w:t xml:space="preserve"> </w:t>
      </w:r>
      <w:r>
        <w:rPr>
          <w:i/>
        </w:rPr>
        <w:t>WUTC v. PacifiCorp</w:t>
      </w:r>
      <w:r w:rsidRPr="006E2486">
        <w:t>, Docket UE-100749,</w:t>
      </w:r>
      <w:r>
        <w:t xml:space="preserve"> Comments of Public Counsel to PacifiCorp Compliance Filing (Confidential), p. 5 (Oct. 17, 2014).</w:t>
      </w:r>
    </w:p>
  </w:footnote>
  <w:footnote w:id="8">
    <w:p w14:paraId="6D94D9DE" w14:textId="77777777" w:rsidR="001D2C01" w:rsidRDefault="001D2C01" w:rsidP="0048039D">
      <w:pPr>
        <w:pStyle w:val="FootnoteText"/>
      </w:pPr>
      <w:r>
        <w:rPr>
          <w:rStyle w:val="FootnoteReference"/>
        </w:rPr>
        <w:footnoteRef/>
      </w:r>
      <w:r>
        <w:t xml:space="preserve"> </w:t>
      </w:r>
      <w:r w:rsidRPr="00E37E43">
        <w:rPr>
          <w:i/>
        </w:rPr>
        <w:t>Id</w:t>
      </w:r>
      <w:r>
        <w:t xml:space="preserve">. at p. 6. </w:t>
      </w:r>
    </w:p>
  </w:footnote>
  <w:footnote w:id="9">
    <w:p w14:paraId="0277191B" w14:textId="77777777" w:rsidR="001D2C01" w:rsidRDefault="001D2C01" w:rsidP="00DD2D74">
      <w:pPr>
        <w:pStyle w:val="FootnoteText"/>
      </w:pPr>
      <w:r>
        <w:rPr>
          <w:rStyle w:val="FootnoteReference"/>
        </w:rPr>
        <w:footnoteRef/>
      </w:r>
      <w:r>
        <w:t xml:space="preserve"> </w:t>
      </w:r>
      <w:r>
        <w:rPr>
          <w:i/>
        </w:rPr>
        <w:t>WUTC v. PacifiCorp</w:t>
      </w:r>
      <w:r>
        <w:t xml:space="preserve">, Docket UE-100749, Joint Letter </w:t>
      </w:r>
      <w:r w:rsidRPr="009332F6">
        <w:t>re:  Renewable</w:t>
      </w:r>
      <w:r>
        <w:t xml:space="preserve"> Energy Revenue Tracking Mechanism (Feb. 28, 2013).  </w:t>
      </w:r>
    </w:p>
  </w:footnote>
  <w:footnote w:id="10">
    <w:p w14:paraId="2E0AD33D" w14:textId="77777777" w:rsidR="001D2C01" w:rsidRDefault="001D2C01" w:rsidP="00DD2D74">
      <w:pPr>
        <w:pStyle w:val="FootnoteText"/>
      </w:pPr>
      <w:r>
        <w:rPr>
          <w:rStyle w:val="FootnoteReference"/>
        </w:rPr>
        <w:footnoteRef/>
      </w:r>
      <w:r>
        <w:t xml:space="preserve"> </w:t>
      </w:r>
      <w:r w:rsidRPr="00E37E43">
        <w:rPr>
          <w:i/>
        </w:rPr>
        <w:t>Id</w:t>
      </w:r>
      <w:r>
        <w:t xml:space="preserve">. at p. 2. </w:t>
      </w:r>
    </w:p>
  </w:footnote>
  <w:footnote w:id="11">
    <w:p w14:paraId="70568800" w14:textId="77777777" w:rsidR="001D2C01" w:rsidRPr="00E37E43" w:rsidRDefault="001D2C01" w:rsidP="00DD2D74">
      <w:pPr>
        <w:pStyle w:val="FootnoteText"/>
      </w:pPr>
      <w:r>
        <w:rPr>
          <w:rStyle w:val="FootnoteReference"/>
        </w:rPr>
        <w:footnoteRef/>
      </w:r>
      <w:r>
        <w:t xml:space="preserve"> </w:t>
      </w:r>
      <w:r>
        <w:rPr>
          <w:i/>
        </w:rPr>
        <w:t>Id</w:t>
      </w:r>
      <w:r>
        <w:t xml:space="preserve">. at p. 1.  The first annual true-up should have occurred one-year and thirty days after the Company’s May 1 compliance filing. </w:t>
      </w:r>
    </w:p>
  </w:footnote>
  <w:footnote w:id="12">
    <w:p w14:paraId="42AC6BB9" w14:textId="77777777" w:rsidR="001D2C01" w:rsidRDefault="001D2C01" w:rsidP="00DD2D74">
      <w:pPr>
        <w:pStyle w:val="FootnoteText"/>
      </w:pPr>
      <w:r>
        <w:rPr>
          <w:rStyle w:val="FootnoteReference"/>
        </w:rPr>
        <w:footnoteRef/>
      </w:r>
      <w:r>
        <w:t xml:space="preserve"> </w:t>
      </w:r>
      <w:r>
        <w:rPr>
          <w:i/>
        </w:rPr>
        <w:t>WUTC v. PacifiCorp</w:t>
      </w:r>
      <w:r>
        <w:t>, Docket UE-100749, Notice Providing Opportunity to File in Compliance with Orders 10 and 11 (Mar. 8, 2013).</w:t>
      </w:r>
    </w:p>
  </w:footnote>
  <w:footnote w:id="13">
    <w:p w14:paraId="6BAD7EA2" w14:textId="77777777" w:rsidR="001D2C01" w:rsidRDefault="001D2C01" w:rsidP="00DD2D74">
      <w:pPr>
        <w:pStyle w:val="FootnoteText"/>
      </w:pPr>
      <w:r>
        <w:rPr>
          <w:rStyle w:val="FootnoteReference"/>
        </w:rPr>
        <w:footnoteRef/>
      </w:r>
      <w:r>
        <w:t xml:space="preserve"> </w:t>
      </w:r>
      <w:r w:rsidRPr="00F454C3">
        <w:rPr>
          <w:i/>
        </w:rPr>
        <w:t>WUTC v. PacifiCorp</w:t>
      </w:r>
      <w:r w:rsidRPr="00F454C3">
        <w:t xml:space="preserve">, Docket UE-100749, </w:t>
      </w:r>
      <w:r>
        <w:t>Notice of Extension of Deadline for Compliance Filing (Jan. 23, 2014)</w:t>
      </w:r>
      <w:r w:rsidRPr="00F454C3">
        <w:t>.</w:t>
      </w:r>
    </w:p>
  </w:footnote>
  <w:footnote w:id="14">
    <w:p w14:paraId="42D50462" w14:textId="77777777" w:rsidR="001D2C01" w:rsidRDefault="001D2C01" w:rsidP="0048039D">
      <w:pPr>
        <w:pStyle w:val="FootnoteText"/>
      </w:pPr>
      <w:r>
        <w:rPr>
          <w:rStyle w:val="FootnoteReference"/>
        </w:rPr>
        <w:footnoteRef/>
      </w:r>
      <w:r>
        <w:t xml:space="preserve"> </w:t>
      </w:r>
      <w:r>
        <w:rPr>
          <w:i/>
        </w:rPr>
        <w:t>WUTC v. PacifiCorp</w:t>
      </w:r>
      <w:r w:rsidRPr="006E2486">
        <w:t>, Docket UE-100749,</w:t>
      </w:r>
      <w:r>
        <w:t xml:space="preserve"> Comments of Industrial Customers of Northwest Utilities in Response to PacifiCorp’s October 3, 2014 Compliance Filing, </w:t>
      </w:r>
      <w:r w:rsidRPr="001A1F7A">
        <w:t>¶</w:t>
      </w:r>
      <w:r>
        <w:t xml:space="preserve"> 11 (Oct. 17, 2014).</w:t>
      </w:r>
    </w:p>
  </w:footnote>
  <w:footnote w:id="15">
    <w:p w14:paraId="0115F49A" w14:textId="77777777" w:rsidR="001D2C01" w:rsidRPr="00A33B20" w:rsidRDefault="001D2C01" w:rsidP="0048039D">
      <w:pPr>
        <w:pStyle w:val="FootnoteText"/>
      </w:pPr>
      <w:r>
        <w:rPr>
          <w:rStyle w:val="FootnoteReference"/>
        </w:rPr>
        <w:footnoteRef/>
      </w:r>
      <w:r>
        <w:t xml:space="preserve"> </w:t>
      </w:r>
      <w:r>
        <w:rPr>
          <w:i/>
        </w:rPr>
        <w:t>Id</w:t>
      </w:r>
      <w:r>
        <w:t>.</w:t>
      </w:r>
    </w:p>
  </w:footnote>
  <w:footnote w:id="16">
    <w:p w14:paraId="425578FC" w14:textId="77777777" w:rsidR="001D2C01" w:rsidRPr="00A33B20" w:rsidRDefault="001D2C01" w:rsidP="0048039D">
      <w:pPr>
        <w:pStyle w:val="FootnoteText"/>
      </w:pPr>
      <w:r>
        <w:rPr>
          <w:rStyle w:val="FootnoteReference"/>
        </w:rPr>
        <w:footnoteRef/>
      </w:r>
      <w:r>
        <w:t xml:space="preserve"> </w:t>
      </w:r>
      <w:r>
        <w:rPr>
          <w:i/>
        </w:rPr>
        <w:t>Id</w:t>
      </w:r>
      <w:r>
        <w:t>.</w:t>
      </w:r>
    </w:p>
  </w:footnote>
  <w:footnote w:id="17">
    <w:p w14:paraId="640F287F" w14:textId="77777777" w:rsidR="001D2C01" w:rsidRDefault="001D2C01" w:rsidP="0048039D">
      <w:pPr>
        <w:pStyle w:val="FootnoteText"/>
      </w:pPr>
      <w:r>
        <w:rPr>
          <w:rStyle w:val="FootnoteReference"/>
        </w:rPr>
        <w:footnoteRef/>
      </w:r>
      <w:r>
        <w:t xml:space="preserve"> </w:t>
      </w:r>
      <w:r>
        <w:rPr>
          <w:i/>
        </w:rPr>
        <w:t>Id</w:t>
      </w:r>
      <w:r>
        <w:t>.</w:t>
      </w:r>
    </w:p>
  </w:footnote>
  <w:footnote w:id="18">
    <w:p w14:paraId="34918A59" w14:textId="77777777" w:rsidR="001D2C01" w:rsidRDefault="001D2C01" w:rsidP="0048039D">
      <w:pPr>
        <w:pStyle w:val="FootnoteText"/>
      </w:pPr>
      <w:r>
        <w:rPr>
          <w:rStyle w:val="FootnoteReference"/>
        </w:rPr>
        <w:footnoteRef/>
      </w:r>
      <w:r>
        <w:t xml:space="preserve"> </w:t>
      </w:r>
      <w:r w:rsidRPr="006C0748">
        <w:rPr>
          <w:szCs w:val="24"/>
        </w:rPr>
        <w:t xml:space="preserve">WAC </w:t>
      </w:r>
      <w:r w:rsidRPr="006C0748">
        <w:rPr>
          <w:rFonts w:cs="Times New Roman"/>
          <w:color w:val="000000"/>
        </w:rPr>
        <w:t>§ 480-07-883</w:t>
      </w:r>
      <w:r>
        <w:t xml:space="preserve"> (emphasis added).</w:t>
      </w:r>
    </w:p>
  </w:footnote>
  <w:footnote w:id="19">
    <w:p w14:paraId="69186E3C" w14:textId="77777777" w:rsidR="001D2C01" w:rsidRDefault="001D2C01" w:rsidP="00DE1F3B">
      <w:pPr>
        <w:pStyle w:val="FootnoteText"/>
      </w:pPr>
      <w:r>
        <w:rPr>
          <w:rStyle w:val="FootnoteReference"/>
        </w:rPr>
        <w:footnoteRef/>
      </w:r>
      <w:r>
        <w:t xml:space="preserve"> </w:t>
      </w:r>
      <w:r w:rsidRPr="00ED2BBA">
        <w:rPr>
          <w:rFonts w:cs="Times New Roman"/>
          <w:szCs w:val="24"/>
        </w:rPr>
        <w:t xml:space="preserve">RCW </w:t>
      </w:r>
      <w:r w:rsidRPr="00ED2BBA">
        <w:rPr>
          <w:rFonts w:cs="Times New Roman"/>
          <w:color w:val="000000"/>
        </w:rPr>
        <w:t>§</w:t>
      </w:r>
      <w:r>
        <w:rPr>
          <w:rFonts w:cs="Times New Roman"/>
          <w:color w:val="000000"/>
        </w:rPr>
        <w:t xml:space="preserve"> 80.28.060(1).</w:t>
      </w:r>
    </w:p>
  </w:footnote>
  <w:footnote w:id="20">
    <w:p w14:paraId="6949DCEB" w14:textId="77777777" w:rsidR="001D2C01" w:rsidRPr="00A33B20" w:rsidRDefault="001D2C01" w:rsidP="00DE1F3B">
      <w:pPr>
        <w:pStyle w:val="FootnoteText"/>
      </w:pPr>
      <w:r>
        <w:rPr>
          <w:rStyle w:val="FootnoteReference"/>
        </w:rPr>
        <w:footnoteRef/>
      </w:r>
      <w:r>
        <w:t xml:space="preserve"> </w:t>
      </w:r>
      <w:r>
        <w:rPr>
          <w:i/>
        </w:rPr>
        <w:t>Id</w:t>
      </w:r>
      <w:r>
        <w:t>.</w:t>
      </w:r>
    </w:p>
  </w:footnote>
  <w:footnote w:id="21">
    <w:p w14:paraId="51AD1D81" w14:textId="77777777" w:rsidR="001D2C01" w:rsidRDefault="001D2C01" w:rsidP="00DE1F3B">
      <w:pPr>
        <w:pStyle w:val="FootnoteText"/>
      </w:pPr>
      <w:r>
        <w:rPr>
          <w:rStyle w:val="FootnoteReference"/>
        </w:rPr>
        <w:footnoteRef/>
      </w:r>
      <w:r>
        <w:t xml:space="preserve"> </w:t>
      </w:r>
      <w:r>
        <w:rPr>
          <w:i/>
        </w:rPr>
        <w:t>Id</w:t>
      </w:r>
      <w:r>
        <w:t>.</w:t>
      </w:r>
    </w:p>
  </w:footnote>
  <w:footnote w:id="22">
    <w:p w14:paraId="7951BA8C" w14:textId="77777777" w:rsidR="001D2C01" w:rsidRDefault="001D2C01" w:rsidP="00DE1F3B">
      <w:pPr>
        <w:pStyle w:val="FootnoteText"/>
      </w:pPr>
      <w:r>
        <w:rPr>
          <w:rStyle w:val="FootnoteReference"/>
        </w:rPr>
        <w:footnoteRef/>
      </w:r>
      <w:r>
        <w:t xml:space="preserve"> </w:t>
      </w:r>
      <w:r>
        <w:rPr>
          <w:i/>
        </w:rPr>
        <w:t>WUTC v. PacifiCorp</w:t>
      </w:r>
      <w:r>
        <w:t>, Docket UE-100749, Renewable Energy Revenue Adjustment Compliance Filing, p. 1, Attachment A (Oct. 3, 2014).</w:t>
      </w:r>
    </w:p>
  </w:footnote>
  <w:footnote w:id="23">
    <w:p w14:paraId="004B9C8A" w14:textId="77777777" w:rsidR="001D2C01" w:rsidRPr="00A92FC3" w:rsidRDefault="001D2C01">
      <w:pPr>
        <w:pStyle w:val="FootnoteText"/>
      </w:pPr>
      <w:r>
        <w:rPr>
          <w:rStyle w:val="FootnoteReference"/>
        </w:rPr>
        <w:footnoteRef/>
      </w:r>
      <w:r>
        <w:t xml:space="preserve"> </w:t>
      </w:r>
      <w:r>
        <w:rPr>
          <w:i/>
        </w:rPr>
        <w:t>Id</w:t>
      </w:r>
      <w:r>
        <w:t>. at Attachment C, Confidential Attachment D.</w:t>
      </w:r>
    </w:p>
  </w:footnote>
  <w:footnote w:id="24">
    <w:p w14:paraId="6FC1007E" w14:textId="77777777" w:rsidR="001D2C01" w:rsidRDefault="001D2C01">
      <w:pPr>
        <w:pStyle w:val="FootnoteText"/>
      </w:pPr>
      <w:r>
        <w:rPr>
          <w:rStyle w:val="FootnoteReference"/>
        </w:rPr>
        <w:footnoteRef/>
      </w:r>
      <w:r>
        <w:t xml:space="preserve"> </w:t>
      </w:r>
      <w:r>
        <w:rPr>
          <w:i/>
        </w:rPr>
        <w:t>WUTC v. PacifiCorp</w:t>
      </w:r>
      <w:r>
        <w:t xml:space="preserve">, Docket UE-100749, Joint Letter </w:t>
      </w:r>
      <w:r w:rsidRPr="009332F6">
        <w:t>re:  Renewable</w:t>
      </w:r>
      <w:r>
        <w:t xml:space="preserve"> Energy Revenue Tracking Mechanism (Feb. 28, 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2944"/>
    <w:multiLevelType w:val="hybridMultilevel"/>
    <w:tmpl w:val="742677AA"/>
    <w:lvl w:ilvl="0" w:tplc="6ADE5250">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5140042"/>
    <w:multiLevelType w:val="hybridMultilevel"/>
    <w:tmpl w:val="B68C9E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A54ABB"/>
    <w:multiLevelType w:val="hybridMultilevel"/>
    <w:tmpl w:val="5D2A664C"/>
    <w:lvl w:ilvl="0" w:tplc="0254CEC2">
      <w:start w:val="1"/>
      <w:numFmt w:val="upperRoman"/>
      <w:lvlText w:val="%1."/>
      <w:lvlJc w:val="left"/>
      <w:pPr>
        <w:ind w:left="37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8E308F"/>
    <w:multiLevelType w:val="hybridMultilevel"/>
    <w:tmpl w:val="E33AA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D66514"/>
    <w:multiLevelType w:val="hybridMultilevel"/>
    <w:tmpl w:val="20BE7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C27D24"/>
    <w:multiLevelType w:val="hybridMultilevel"/>
    <w:tmpl w:val="9E489712"/>
    <w:lvl w:ilvl="0" w:tplc="52C4A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FA"/>
    <w:rsid w:val="00017CDF"/>
    <w:rsid w:val="000546CA"/>
    <w:rsid w:val="00071D9A"/>
    <w:rsid w:val="00082E61"/>
    <w:rsid w:val="00085FF0"/>
    <w:rsid w:val="00092D88"/>
    <w:rsid w:val="000964C0"/>
    <w:rsid w:val="000A2B22"/>
    <w:rsid w:val="000B1B76"/>
    <w:rsid w:val="000B7146"/>
    <w:rsid w:val="000C4AEE"/>
    <w:rsid w:val="000D41D8"/>
    <w:rsid w:val="00100F18"/>
    <w:rsid w:val="001041D5"/>
    <w:rsid w:val="0014218B"/>
    <w:rsid w:val="00145EBD"/>
    <w:rsid w:val="00161699"/>
    <w:rsid w:val="0016538E"/>
    <w:rsid w:val="001A1F7A"/>
    <w:rsid w:val="001A5BAB"/>
    <w:rsid w:val="001B1452"/>
    <w:rsid w:val="001C2014"/>
    <w:rsid w:val="001D2C01"/>
    <w:rsid w:val="001E1381"/>
    <w:rsid w:val="00202D2D"/>
    <w:rsid w:val="002149CD"/>
    <w:rsid w:val="00225BF6"/>
    <w:rsid w:val="00262003"/>
    <w:rsid w:val="0028718A"/>
    <w:rsid w:val="00290B4B"/>
    <w:rsid w:val="00296215"/>
    <w:rsid w:val="002B02DF"/>
    <w:rsid w:val="002C2548"/>
    <w:rsid w:val="002D11BC"/>
    <w:rsid w:val="002F1CA8"/>
    <w:rsid w:val="002F39FB"/>
    <w:rsid w:val="0031084C"/>
    <w:rsid w:val="00311EED"/>
    <w:rsid w:val="00321072"/>
    <w:rsid w:val="00371766"/>
    <w:rsid w:val="00380835"/>
    <w:rsid w:val="00381562"/>
    <w:rsid w:val="00383668"/>
    <w:rsid w:val="003B4E27"/>
    <w:rsid w:val="003B60D0"/>
    <w:rsid w:val="003D3F88"/>
    <w:rsid w:val="003E74E9"/>
    <w:rsid w:val="003F0105"/>
    <w:rsid w:val="00417006"/>
    <w:rsid w:val="00423883"/>
    <w:rsid w:val="00435D01"/>
    <w:rsid w:val="0045401A"/>
    <w:rsid w:val="0046121C"/>
    <w:rsid w:val="00475FA9"/>
    <w:rsid w:val="0048039D"/>
    <w:rsid w:val="00481B25"/>
    <w:rsid w:val="004A3B57"/>
    <w:rsid w:val="004A56B2"/>
    <w:rsid w:val="00506A06"/>
    <w:rsid w:val="005763A6"/>
    <w:rsid w:val="0058098C"/>
    <w:rsid w:val="0058552C"/>
    <w:rsid w:val="00592010"/>
    <w:rsid w:val="00593466"/>
    <w:rsid w:val="0059617C"/>
    <w:rsid w:val="005A7997"/>
    <w:rsid w:val="005C135E"/>
    <w:rsid w:val="00605BEE"/>
    <w:rsid w:val="00605D43"/>
    <w:rsid w:val="00634540"/>
    <w:rsid w:val="0063566F"/>
    <w:rsid w:val="00640003"/>
    <w:rsid w:val="0064433E"/>
    <w:rsid w:val="00646BAA"/>
    <w:rsid w:val="0066210A"/>
    <w:rsid w:val="006674AD"/>
    <w:rsid w:val="006720FF"/>
    <w:rsid w:val="006724B5"/>
    <w:rsid w:val="006817C4"/>
    <w:rsid w:val="006833B8"/>
    <w:rsid w:val="006955A2"/>
    <w:rsid w:val="006B5536"/>
    <w:rsid w:val="006C772A"/>
    <w:rsid w:val="006E2486"/>
    <w:rsid w:val="007045B5"/>
    <w:rsid w:val="00716ED0"/>
    <w:rsid w:val="00750939"/>
    <w:rsid w:val="00757A63"/>
    <w:rsid w:val="00773EEB"/>
    <w:rsid w:val="00774663"/>
    <w:rsid w:val="00791412"/>
    <w:rsid w:val="007A08BA"/>
    <w:rsid w:val="007A7D04"/>
    <w:rsid w:val="007B0004"/>
    <w:rsid w:val="007B2524"/>
    <w:rsid w:val="007B25FB"/>
    <w:rsid w:val="007C7821"/>
    <w:rsid w:val="007D261C"/>
    <w:rsid w:val="007D276B"/>
    <w:rsid w:val="00836606"/>
    <w:rsid w:val="008976DD"/>
    <w:rsid w:val="008B1317"/>
    <w:rsid w:val="008B4F6A"/>
    <w:rsid w:val="008C0A48"/>
    <w:rsid w:val="008E7C0C"/>
    <w:rsid w:val="00913EE2"/>
    <w:rsid w:val="00914A79"/>
    <w:rsid w:val="009332F6"/>
    <w:rsid w:val="00940844"/>
    <w:rsid w:val="00940DE2"/>
    <w:rsid w:val="0094589B"/>
    <w:rsid w:val="00954634"/>
    <w:rsid w:val="00962CDB"/>
    <w:rsid w:val="009749FA"/>
    <w:rsid w:val="00993D48"/>
    <w:rsid w:val="00995B96"/>
    <w:rsid w:val="009A6DB7"/>
    <w:rsid w:val="009C3647"/>
    <w:rsid w:val="009D608C"/>
    <w:rsid w:val="009D7AF3"/>
    <w:rsid w:val="00A32D5A"/>
    <w:rsid w:val="00A33B20"/>
    <w:rsid w:val="00A42DB9"/>
    <w:rsid w:val="00A62EBE"/>
    <w:rsid w:val="00A6454F"/>
    <w:rsid w:val="00A834FC"/>
    <w:rsid w:val="00A92FC3"/>
    <w:rsid w:val="00A95105"/>
    <w:rsid w:val="00AD08F6"/>
    <w:rsid w:val="00B14D0A"/>
    <w:rsid w:val="00B34DBB"/>
    <w:rsid w:val="00B42C7C"/>
    <w:rsid w:val="00B45A3A"/>
    <w:rsid w:val="00B54E6B"/>
    <w:rsid w:val="00B607ED"/>
    <w:rsid w:val="00B61CC9"/>
    <w:rsid w:val="00B73E52"/>
    <w:rsid w:val="00B766AA"/>
    <w:rsid w:val="00B848C9"/>
    <w:rsid w:val="00B87A42"/>
    <w:rsid w:val="00BB5E69"/>
    <w:rsid w:val="00BE403F"/>
    <w:rsid w:val="00C02CC2"/>
    <w:rsid w:val="00C17D13"/>
    <w:rsid w:val="00C25948"/>
    <w:rsid w:val="00C35996"/>
    <w:rsid w:val="00C51BDA"/>
    <w:rsid w:val="00C54E3A"/>
    <w:rsid w:val="00C664EA"/>
    <w:rsid w:val="00C75498"/>
    <w:rsid w:val="00C8308D"/>
    <w:rsid w:val="00CA2F09"/>
    <w:rsid w:val="00CA3E35"/>
    <w:rsid w:val="00CA459D"/>
    <w:rsid w:val="00D010E9"/>
    <w:rsid w:val="00D317D1"/>
    <w:rsid w:val="00D414DF"/>
    <w:rsid w:val="00D64552"/>
    <w:rsid w:val="00D66F53"/>
    <w:rsid w:val="00D94B5F"/>
    <w:rsid w:val="00DC3132"/>
    <w:rsid w:val="00DD2D74"/>
    <w:rsid w:val="00DE0DF0"/>
    <w:rsid w:val="00DE1F3B"/>
    <w:rsid w:val="00DE3D1D"/>
    <w:rsid w:val="00E12E54"/>
    <w:rsid w:val="00E14684"/>
    <w:rsid w:val="00E21A1F"/>
    <w:rsid w:val="00E24A70"/>
    <w:rsid w:val="00E37E43"/>
    <w:rsid w:val="00E41215"/>
    <w:rsid w:val="00E43BAF"/>
    <w:rsid w:val="00E507CD"/>
    <w:rsid w:val="00E657D8"/>
    <w:rsid w:val="00E71AD3"/>
    <w:rsid w:val="00E74679"/>
    <w:rsid w:val="00E75DC5"/>
    <w:rsid w:val="00E76397"/>
    <w:rsid w:val="00E83AD5"/>
    <w:rsid w:val="00EC3CF1"/>
    <w:rsid w:val="00F2250E"/>
    <w:rsid w:val="00F234DA"/>
    <w:rsid w:val="00F35CEB"/>
    <w:rsid w:val="00F3773F"/>
    <w:rsid w:val="00F454C3"/>
    <w:rsid w:val="00F4723B"/>
    <w:rsid w:val="00F611DD"/>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C0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9F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9FA"/>
    <w:pPr>
      <w:ind w:left="720"/>
      <w:contextualSpacing/>
    </w:pPr>
  </w:style>
  <w:style w:type="paragraph" w:styleId="Footer">
    <w:name w:val="footer"/>
    <w:basedOn w:val="Normal"/>
    <w:link w:val="FooterChar"/>
    <w:uiPriority w:val="99"/>
    <w:unhideWhenUsed/>
    <w:rsid w:val="009749FA"/>
    <w:pPr>
      <w:tabs>
        <w:tab w:val="center" w:pos="4680"/>
        <w:tab w:val="right" w:pos="9360"/>
      </w:tabs>
    </w:pPr>
  </w:style>
  <w:style w:type="character" w:customStyle="1" w:styleId="FooterChar">
    <w:name w:val="Footer Char"/>
    <w:basedOn w:val="DefaultParagraphFont"/>
    <w:link w:val="Footer"/>
    <w:uiPriority w:val="99"/>
    <w:rsid w:val="009749FA"/>
    <w:rPr>
      <w:rFonts w:ascii="Times New Roman" w:hAnsi="Times New Roman"/>
      <w:sz w:val="24"/>
    </w:rPr>
  </w:style>
  <w:style w:type="paragraph" w:styleId="BodyTextIndent2">
    <w:name w:val="Body Text Indent 2"/>
    <w:basedOn w:val="Normal"/>
    <w:link w:val="BodyTextIndent2Char"/>
    <w:rsid w:val="009749F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9749FA"/>
    <w:rPr>
      <w:rFonts w:ascii="Palatino Linotype" w:eastAsia="Times New Roman" w:hAnsi="Palatino Linotype" w:cs="Times New Roman"/>
      <w:sz w:val="24"/>
      <w:szCs w:val="24"/>
    </w:rPr>
  </w:style>
  <w:style w:type="paragraph" w:styleId="Header">
    <w:name w:val="header"/>
    <w:basedOn w:val="Normal"/>
    <w:link w:val="HeaderChar"/>
    <w:uiPriority w:val="99"/>
    <w:unhideWhenUsed/>
    <w:rsid w:val="009749FA"/>
    <w:pPr>
      <w:tabs>
        <w:tab w:val="center" w:pos="4680"/>
        <w:tab w:val="right" w:pos="9360"/>
      </w:tabs>
    </w:pPr>
  </w:style>
  <w:style w:type="character" w:customStyle="1" w:styleId="HeaderChar">
    <w:name w:val="Header Char"/>
    <w:basedOn w:val="DefaultParagraphFont"/>
    <w:link w:val="Header"/>
    <w:uiPriority w:val="99"/>
    <w:rsid w:val="009749FA"/>
    <w:rPr>
      <w:rFonts w:ascii="Times New Roman" w:hAnsi="Times New Roman"/>
      <w:sz w:val="24"/>
    </w:rPr>
  </w:style>
  <w:style w:type="paragraph" w:styleId="FootnoteText">
    <w:name w:val="footnote text"/>
    <w:basedOn w:val="Normal"/>
    <w:link w:val="FootnoteTextChar"/>
    <w:uiPriority w:val="99"/>
    <w:unhideWhenUsed/>
    <w:rsid w:val="001A1F7A"/>
    <w:rPr>
      <w:sz w:val="20"/>
      <w:szCs w:val="20"/>
    </w:rPr>
  </w:style>
  <w:style w:type="character" w:customStyle="1" w:styleId="FootnoteTextChar">
    <w:name w:val="Footnote Text Char"/>
    <w:basedOn w:val="DefaultParagraphFont"/>
    <w:link w:val="FootnoteText"/>
    <w:uiPriority w:val="99"/>
    <w:rsid w:val="001A1F7A"/>
    <w:rPr>
      <w:rFonts w:ascii="Times New Roman" w:hAnsi="Times New Roman"/>
      <w:sz w:val="20"/>
      <w:szCs w:val="20"/>
    </w:rPr>
  </w:style>
  <w:style w:type="character" w:styleId="FootnoteReference">
    <w:name w:val="footnote reference"/>
    <w:basedOn w:val="DefaultParagraphFont"/>
    <w:uiPriority w:val="99"/>
    <w:unhideWhenUsed/>
    <w:rsid w:val="001A1F7A"/>
    <w:rPr>
      <w:vertAlign w:val="superscript"/>
    </w:rPr>
  </w:style>
  <w:style w:type="paragraph" w:styleId="BalloonText">
    <w:name w:val="Balloon Text"/>
    <w:basedOn w:val="Normal"/>
    <w:link w:val="BalloonTextChar"/>
    <w:uiPriority w:val="99"/>
    <w:semiHidden/>
    <w:unhideWhenUsed/>
    <w:rsid w:val="00371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766"/>
    <w:rPr>
      <w:rFonts w:ascii="Segoe UI" w:hAnsi="Segoe UI" w:cs="Segoe UI"/>
      <w:sz w:val="18"/>
      <w:szCs w:val="18"/>
    </w:rPr>
  </w:style>
  <w:style w:type="paragraph" w:styleId="Revision">
    <w:name w:val="Revision"/>
    <w:hidden/>
    <w:uiPriority w:val="99"/>
    <w:semiHidden/>
    <w:rsid w:val="002962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1C2014"/>
    <w:rPr>
      <w:sz w:val="16"/>
      <w:szCs w:val="16"/>
    </w:rPr>
  </w:style>
  <w:style w:type="paragraph" w:styleId="CommentText">
    <w:name w:val="annotation text"/>
    <w:basedOn w:val="Normal"/>
    <w:link w:val="CommentTextChar"/>
    <w:uiPriority w:val="99"/>
    <w:semiHidden/>
    <w:unhideWhenUsed/>
    <w:rsid w:val="001C2014"/>
    <w:rPr>
      <w:sz w:val="20"/>
      <w:szCs w:val="20"/>
    </w:rPr>
  </w:style>
  <w:style w:type="character" w:customStyle="1" w:styleId="CommentTextChar">
    <w:name w:val="Comment Text Char"/>
    <w:basedOn w:val="DefaultParagraphFont"/>
    <w:link w:val="CommentText"/>
    <w:uiPriority w:val="99"/>
    <w:semiHidden/>
    <w:rsid w:val="001C201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C2014"/>
    <w:rPr>
      <w:b/>
      <w:bCs/>
    </w:rPr>
  </w:style>
  <w:style w:type="character" w:customStyle="1" w:styleId="CommentSubjectChar">
    <w:name w:val="Comment Subject Char"/>
    <w:basedOn w:val="CommentTextChar"/>
    <w:link w:val="CommentSubject"/>
    <w:uiPriority w:val="99"/>
    <w:semiHidden/>
    <w:rsid w:val="001C2014"/>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9F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9FA"/>
    <w:pPr>
      <w:ind w:left="720"/>
      <w:contextualSpacing/>
    </w:pPr>
  </w:style>
  <w:style w:type="paragraph" w:styleId="Footer">
    <w:name w:val="footer"/>
    <w:basedOn w:val="Normal"/>
    <w:link w:val="FooterChar"/>
    <w:uiPriority w:val="99"/>
    <w:unhideWhenUsed/>
    <w:rsid w:val="009749FA"/>
    <w:pPr>
      <w:tabs>
        <w:tab w:val="center" w:pos="4680"/>
        <w:tab w:val="right" w:pos="9360"/>
      </w:tabs>
    </w:pPr>
  </w:style>
  <w:style w:type="character" w:customStyle="1" w:styleId="FooterChar">
    <w:name w:val="Footer Char"/>
    <w:basedOn w:val="DefaultParagraphFont"/>
    <w:link w:val="Footer"/>
    <w:uiPriority w:val="99"/>
    <w:rsid w:val="009749FA"/>
    <w:rPr>
      <w:rFonts w:ascii="Times New Roman" w:hAnsi="Times New Roman"/>
      <w:sz w:val="24"/>
    </w:rPr>
  </w:style>
  <w:style w:type="paragraph" w:styleId="BodyTextIndent2">
    <w:name w:val="Body Text Indent 2"/>
    <w:basedOn w:val="Normal"/>
    <w:link w:val="BodyTextIndent2Char"/>
    <w:rsid w:val="009749F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9749FA"/>
    <w:rPr>
      <w:rFonts w:ascii="Palatino Linotype" w:eastAsia="Times New Roman" w:hAnsi="Palatino Linotype" w:cs="Times New Roman"/>
      <w:sz w:val="24"/>
      <w:szCs w:val="24"/>
    </w:rPr>
  </w:style>
  <w:style w:type="paragraph" w:styleId="Header">
    <w:name w:val="header"/>
    <w:basedOn w:val="Normal"/>
    <w:link w:val="HeaderChar"/>
    <w:uiPriority w:val="99"/>
    <w:unhideWhenUsed/>
    <w:rsid w:val="009749FA"/>
    <w:pPr>
      <w:tabs>
        <w:tab w:val="center" w:pos="4680"/>
        <w:tab w:val="right" w:pos="9360"/>
      </w:tabs>
    </w:pPr>
  </w:style>
  <w:style w:type="character" w:customStyle="1" w:styleId="HeaderChar">
    <w:name w:val="Header Char"/>
    <w:basedOn w:val="DefaultParagraphFont"/>
    <w:link w:val="Header"/>
    <w:uiPriority w:val="99"/>
    <w:rsid w:val="009749FA"/>
    <w:rPr>
      <w:rFonts w:ascii="Times New Roman" w:hAnsi="Times New Roman"/>
      <w:sz w:val="24"/>
    </w:rPr>
  </w:style>
  <w:style w:type="paragraph" w:styleId="FootnoteText">
    <w:name w:val="footnote text"/>
    <w:basedOn w:val="Normal"/>
    <w:link w:val="FootnoteTextChar"/>
    <w:uiPriority w:val="99"/>
    <w:unhideWhenUsed/>
    <w:rsid w:val="001A1F7A"/>
    <w:rPr>
      <w:sz w:val="20"/>
      <w:szCs w:val="20"/>
    </w:rPr>
  </w:style>
  <w:style w:type="character" w:customStyle="1" w:styleId="FootnoteTextChar">
    <w:name w:val="Footnote Text Char"/>
    <w:basedOn w:val="DefaultParagraphFont"/>
    <w:link w:val="FootnoteText"/>
    <w:uiPriority w:val="99"/>
    <w:rsid w:val="001A1F7A"/>
    <w:rPr>
      <w:rFonts w:ascii="Times New Roman" w:hAnsi="Times New Roman"/>
      <w:sz w:val="20"/>
      <w:szCs w:val="20"/>
    </w:rPr>
  </w:style>
  <w:style w:type="character" w:styleId="FootnoteReference">
    <w:name w:val="footnote reference"/>
    <w:basedOn w:val="DefaultParagraphFont"/>
    <w:uiPriority w:val="99"/>
    <w:unhideWhenUsed/>
    <w:rsid w:val="001A1F7A"/>
    <w:rPr>
      <w:vertAlign w:val="superscript"/>
    </w:rPr>
  </w:style>
  <w:style w:type="paragraph" w:styleId="BalloonText">
    <w:name w:val="Balloon Text"/>
    <w:basedOn w:val="Normal"/>
    <w:link w:val="BalloonTextChar"/>
    <w:uiPriority w:val="99"/>
    <w:semiHidden/>
    <w:unhideWhenUsed/>
    <w:rsid w:val="00371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766"/>
    <w:rPr>
      <w:rFonts w:ascii="Segoe UI" w:hAnsi="Segoe UI" w:cs="Segoe UI"/>
      <w:sz w:val="18"/>
      <w:szCs w:val="18"/>
    </w:rPr>
  </w:style>
  <w:style w:type="paragraph" w:styleId="Revision">
    <w:name w:val="Revision"/>
    <w:hidden/>
    <w:uiPriority w:val="99"/>
    <w:semiHidden/>
    <w:rsid w:val="002962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1C2014"/>
    <w:rPr>
      <w:sz w:val="16"/>
      <w:szCs w:val="16"/>
    </w:rPr>
  </w:style>
  <w:style w:type="paragraph" w:styleId="CommentText">
    <w:name w:val="annotation text"/>
    <w:basedOn w:val="Normal"/>
    <w:link w:val="CommentTextChar"/>
    <w:uiPriority w:val="99"/>
    <w:semiHidden/>
    <w:unhideWhenUsed/>
    <w:rsid w:val="001C2014"/>
    <w:rPr>
      <w:sz w:val="20"/>
      <w:szCs w:val="20"/>
    </w:rPr>
  </w:style>
  <w:style w:type="character" w:customStyle="1" w:styleId="CommentTextChar">
    <w:name w:val="Comment Text Char"/>
    <w:basedOn w:val="DefaultParagraphFont"/>
    <w:link w:val="CommentText"/>
    <w:uiPriority w:val="99"/>
    <w:semiHidden/>
    <w:rsid w:val="001C201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C2014"/>
    <w:rPr>
      <w:b/>
      <w:bCs/>
    </w:rPr>
  </w:style>
  <w:style w:type="character" w:customStyle="1" w:styleId="CommentSubjectChar">
    <w:name w:val="Comment Subject Char"/>
    <w:basedOn w:val="CommentTextChar"/>
    <w:link w:val="CommentSubject"/>
    <w:uiPriority w:val="99"/>
    <w:semiHidden/>
    <w:rsid w:val="001C201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35195">
      <w:bodyDiv w:val="1"/>
      <w:marLeft w:val="0"/>
      <w:marRight w:val="0"/>
      <w:marTop w:val="0"/>
      <w:marBottom w:val="0"/>
      <w:divBdr>
        <w:top w:val="none" w:sz="0" w:space="0" w:color="auto"/>
        <w:left w:val="none" w:sz="0" w:space="0" w:color="auto"/>
        <w:bottom w:val="none" w:sz="0" w:space="0" w:color="auto"/>
        <w:right w:val="none" w:sz="0" w:space="0" w:color="auto"/>
      </w:divBdr>
      <w:divsChild>
        <w:div w:id="843591372">
          <w:marLeft w:val="150"/>
          <w:marRight w:val="0"/>
          <w:marTop w:val="0"/>
          <w:marBottom w:val="0"/>
          <w:divBdr>
            <w:top w:val="none" w:sz="0" w:space="0" w:color="auto"/>
            <w:left w:val="none" w:sz="0" w:space="0" w:color="auto"/>
            <w:bottom w:val="none" w:sz="0" w:space="0" w:color="auto"/>
            <w:right w:val="none" w:sz="0" w:space="0" w:color="auto"/>
          </w:divBdr>
          <w:divsChild>
            <w:div w:id="1829052751">
              <w:marLeft w:val="0"/>
              <w:marRight w:val="0"/>
              <w:marTop w:val="0"/>
              <w:marBottom w:val="0"/>
              <w:divBdr>
                <w:top w:val="none" w:sz="0" w:space="0" w:color="auto"/>
                <w:left w:val="none" w:sz="0" w:space="0" w:color="auto"/>
                <w:bottom w:val="none" w:sz="0" w:space="0" w:color="auto"/>
                <w:right w:val="none" w:sz="0" w:space="0" w:color="auto"/>
              </w:divBdr>
            </w:div>
            <w:div w:id="18088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2014-10-28T22:52:01+00:00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42926-22D6-412B-B5E2-7B57C432D9F4}"/>
</file>

<file path=customXml/itemProps2.xml><?xml version="1.0" encoding="utf-8"?>
<ds:datastoreItem xmlns:ds="http://schemas.openxmlformats.org/officeDocument/2006/customXml" ds:itemID="{3A858F5E-105C-4DB5-95B0-D5C110F726E6}"/>
</file>

<file path=customXml/itemProps3.xml><?xml version="1.0" encoding="utf-8"?>
<ds:datastoreItem xmlns:ds="http://schemas.openxmlformats.org/officeDocument/2006/customXml" ds:itemID="{84B03350-68F6-495A-9264-50EDE35BA723}"/>
</file>

<file path=customXml/itemProps4.xml><?xml version="1.0" encoding="utf-8"?>
<ds:datastoreItem xmlns:ds="http://schemas.openxmlformats.org/officeDocument/2006/customXml" ds:itemID="{B8CA8B41-0FB3-4083-A70D-9840E5263F2E}"/>
</file>

<file path=customXml/itemProps5.xml><?xml version="1.0" encoding="utf-8"?>
<ds:datastoreItem xmlns:ds="http://schemas.openxmlformats.org/officeDocument/2006/customXml" ds:itemID="{FFF0E4CA-B1A7-4ADD-BFB6-3784F625148A}"/>
</file>

<file path=docProps/app.xml><?xml version="1.0" encoding="utf-8"?>
<Properties xmlns="http://schemas.openxmlformats.org/officeDocument/2006/extended-properties" xmlns:vt="http://schemas.openxmlformats.org/officeDocument/2006/docPropsVTypes">
  <Template>Normal.dotm</Template>
  <TotalTime>105</TotalTime>
  <Pages>9</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Chris (UTC)</dc:creator>
  <cp:lastModifiedBy>DeMarco, Betsy (UTC)</cp:lastModifiedBy>
  <cp:revision>13</cp:revision>
  <cp:lastPrinted>2014-10-28T21:48:00Z</cp:lastPrinted>
  <dcterms:created xsi:type="dcterms:W3CDTF">2014-10-28T20:25:00Z</dcterms:created>
  <dcterms:modified xsi:type="dcterms:W3CDTF">2014-10-28T22:35:00Z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