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AA705" w14:textId="569136EC" w:rsidR="004026AD" w:rsidRPr="00F720F8" w:rsidRDefault="004026AD" w:rsidP="004026AD">
      <w:pPr>
        <w:tabs>
          <w:tab w:val="center" w:pos="4680"/>
        </w:tabs>
        <w:ind w:right="-252" w:hanging="360"/>
        <w:jc w:val="both"/>
        <w:rPr>
          <w:rFonts w:eastAsia="Times New Roman"/>
          <w:b/>
          <w:bCs/>
        </w:rPr>
      </w:pPr>
      <w:r w:rsidRPr="00F720F8">
        <w:rPr>
          <w:rFonts w:eastAsia="Times New Roman"/>
          <w:b/>
          <w:bCs/>
        </w:rPr>
        <w:tab/>
      </w:r>
      <w:r w:rsidRPr="00F720F8">
        <w:rPr>
          <w:rFonts w:eastAsia="Times New Roman"/>
          <w:b/>
          <w:bCs/>
        </w:rPr>
        <w:tab/>
      </w:r>
      <w:r w:rsidRPr="00F720F8">
        <w:rPr>
          <w:rFonts w:eastAsia="Times New Roman"/>
          <w:b/>
          <w:bCs/>
        </w:rPr>
        <w:tab/>
      </w:r>
      <w:r w:rsidR="006355F2">
        <w:rPr>
          <w:rFonts w:eastAsia="Times New Roman"/>
          <w:b/>
          <w:bCs/>
        </w:rPr>
        <w:tab/>
      </w:r>
      <w:r w:rsidRPr="00F720F8">
        <w:rPr>
          <w:rFonts w:eastAsia="Times New Roman"/>
          <w:b/>
          <w:bCs/>
        </w:rPr>
        <w:t xml:space="preserve">Exh. </w:t>
      </w:r>
      <w:r w:rsidR="00471368">
        <w:rPr>
          <w:rFonts w:eastAsia="Times New Roman"/>
          <w:b/>
          <w:bCs/>
        </w:rPr>
        <w:t>ECO-</w:t>
      </w:r>
      <w:r w:rsidR="001633C4">
        <w:rPr>
          <w:rFonts w:eastAsia="Times New Roman"/>
          <w:b/>
          <w:bCs/>
        </w:rPr>
        <w:t>1</w:t>
      </w:r>
      <w:r w:rsidR="00304BF2">
        <w:rPr>
          <w:rFonts w:eastAsia="Times New Roman"/>
          <w:b/>
          <w:bCs/>
        </w:rPr>
        <w:t>C</w:t>
      </w:r>
      <w:r w:rsidR="001633C4">
        <w:rPr>
          <w:rFonts w:eastAsia="Times New Roman"/>
          <w:b/>
          <w:bCs/>
        </w:rPr>
        <w:t>T</w:t>
      </w:r>
      <w:r w:rsidRPr="00F720F8">
        <w:rPr>
          <w:rFonts w:eastAsia="Times New Roman"/>
          <w:b/>
          <w:bCs/>
        </w:rPr>
        <w:t xml:space="preserve"> </w:t>
      </w:r>
    </w:p>
    <w:p w14:paraId="0B0AA706" w14:textId="011FEEAB" w:rsidR="004026AD" w:rsidRPr="001633C4" w:rsidRDefault="004026AD" w:rsidP="006355F2">
      <w:pPr>
        <w:tabs>
          <w:tab w:val="center" w:pos="4680"/>
        </w:tabs>
        <w:ind w:right="-252" w:hanging="360"/>
        <w:jc w:val="both"/>
        <w:rPr>
          <w:rFonts w:eastAsia="Times New Roman"/>
          <w:b/>
          <w:bCs/>
        </w:rPr>
      </w:pPr>
      <w:r w:rsidRPr="00F720F8">
        <w:rPr>
          <w:rFonts w:eastAsia="Times New Roman"/>
          <w:b/>
          <w:bCs/>
        </w:rPr>
        <w:tab/>
      </w:r>
      <w:r w:rsidRPr="00F720F8">
        <w:rPr>
          <w:rFonts w:eastAsia="Times New Roman"/>
          <w:b/>
          <w:bCs/>
        </w:rPr>
        <w:tab/>
      </w:r>
      <w:r w:rsidRPr="00F720F8">
        <w:rPr>
          <w:rFonts w:eastAsia="Times New Roman"/>
          <w:b/>
          <w:bCs/>
        </w:rPr>
        <w:tab/>
      </w:r>
      <w:r w:rsidR="006355F2" w:rsidRPr="001633C4">
        <w:rPr>
          <w:rFonts w:eastAsia="Times New Roman"/>
          <w:b/>
          <w:bCs/>
        </w:rPr>
        <w:tab/>
      </w:r>
      <w:r w:rsidRPr="001633C4">
        <w:rPr>
          <w:rFonts w:eastAsia="Times New Roman"/>
          <w:b/>
          <w:bCs/>
        </w:rPr>
        <w:t>Docket</w:t>
      </w:r>
      <w:r w:rsidR="00BD533D" w:rsidRPr="001633C4">
        <w:rPr>
          <w:rFonts w:eastAsia="Times New Roman"/>
          <w:b/>
          <w:bCs/>
        </w:rPr>
        <w:t>s</w:t>
      </w:r>
      <w:r w:rsidRPr="001633C4">
        <w:rPr>
          <w:rFonts w:eastAsia="Times New Roman"/>
          <w:b/>
          <w:bCs/>
        </w:rPr>
        <w:t xml:space="preserve"> </w:t>
      </w:r>
      <w:r w:rsidR="001633C4" w:rsidRPr="001633C4">
        <w:rPr>
          <w:b/>
          <w:lang w:val="fr-FR"/>
        </w:rPr>
        <w:t>UE-170033/UG-170034</w:t>
      </w:r>
    </w:p>
    <w:p w14:paraId="0B0AA707" w14:textId="75974C22" w:rsidR="004026AD" w:rsidRPr="001633C4" w:rsidRDefault="004026AD" w:rsidP="004026AD">
      <w:pPr>
        <w:tabs>
          <w:tab w:val="center" w:pos="4680"/>
        </w:tabs>
        <w:ind w:right="-252" w:hanging="360"/>
        <w:jc w:val="both"/>
        <w:rPr>
          <w:rFonts w:eastAsia="Times New Roman"/>
          <w:b/>
          <w:bCs/>
        </w:rPr>
      </w:pPr>
      <w:r w:rsidRPr="001633C4">
        <w:rPr>
          <w:rFonts w:eastAsia="Times New Roman"/>
          <w:b/>
          <w:bCs/>
        </w:rPr>
        <w:tab/>
      </w:r>
      <w:r w:rsidRPr="001633C4">
        <w:rPr>
          <w:rFonts w:eastAsia="Times New Roman"/>
          <w:b/>
          <w:bCs/>
        </w:rPr>
        <w:tab/>
      </w:r>
      <w:r w:rsidRPr="001633C4">
        <w:rPr>
          <w:rFonts w:eastAsia="Times New Roman"/>
          <w:b/>
          <w:bCs/>
        </w:rPr>
        <w:tab/>
      </w:r>
      <w:r w:rsidR="006355F2" w:rsidRPr="001633C4">
        <w:rPr>
          <w:rFonts w:eastAsia="Times New Roman"/>
          <w:b/>
          <w:bCs/>
        </w:rPr>
        <w:tab/>
      </w:r>
      <w:r w:rsidRPr="001633C4">
        <w:rPr>
          <w:rFonts w:eastAsia="Times New Roman"/>
          <w:b/>
          <w:bCs/>
        </w:rPr>
        <w:t xml:space="preserve">Witness: </w:t>
      </w:r>
      <w:r w:rsidR="00471368" w:rsidRPr="001633C4">
        <w:rPr>
          <w:rFonts w:eastAsia="Times New Roman"/>
          <w:b/>
          <w:bCs/>
        </w:rPr>
        <w:t>Elizabeth C. O’Connell</w:t>
      </w:r>
    </w:p>
    <w:p w14:paraId="0B0AA708" w14:textId="2ADA8193" w:rsidR="004026AD" w:rsidRPr="00F720F8" w:rsidRDefault="004026AD" w:rsidP="004026AD">
      <w:pPr>
        <w:tabs>
          <w:tab w:val="center" w:pos="4680"/>
        </w:tabs>
        <w:ind w:right="-252" w:hanging="360"/>
        <w:jc w:val="both"/>
        <w:rPr>
          <w:rFonts w:eastAsia="Times New Roman"/>
          <w:b/>
          <w:bCs/>
        </w:rPr>
      </w:pPr>
      <w:r w:rsidRPr="00F720F8">
        <w:rPr>
          <w:rFonts w:eastAsia="Times New Roman"/>
          <w:b/>
          <w:bCs/>
        </w:rPr>
        <w:tab/>
      </w:r>
      <w:r w:rsidRPr="00F720F8">
        <w:rPr>
          <w:rFonts w:eastAsia="Times New Roman"/>
          <w:b/>
          <w:bCs/>
        </w:rPr>
        <w:tab/>
      </w:r>
      <w:r w:rsidRPr="00F720F8">
        <w:rPr>
          <w:rFonts w:eastAsia="Times New Roman"/>
          <w:b/>
          <w:bCs/>
        </w:rPr>
        <w:tab/>
      </w:r>
      <w:r w:rsidR="00304BF2">
        <w:rPr>
          <w:rFonts w:eastAsia="Times New Roman"/>
          <w:b/>
          <w:bCs/>
        </w:rPr>
        <w:tab/>
        <w:t xml:space="preserve">CONFIDENTIAL VERSION </w:t>
      </w:r>
    </w:p>
    <w:p w14:paraId="0B0AA709" w14:textId="77777777" w:rsidR="004026AD" w:rsidRPr="00F720F8" w:rsidRDefault="004026AD" w:rsidP="004026AD">
      <w:pPr>
        <w:tabs>
          <w:tab w:val="center" w:pos="4680"/>
        </w:tabs>
        <w:ind w:right="-252" w:hanging="360"/>
        <w:jc w:val="both"/>
        <w:rPr>
          <w:rFonts w:eastAsia="Times New Roman"/>
          <w:b/>
          <w:bCs/>
        </w:rPr>
      </w:pPr>
    </w:p>
    <w:p w14:paraId="0B0AA70A" w14:textId="77777777" w:rsidR="004026AD" w:rsidRPr="00F720F8" w:rsidRDefault="004026AD" w:rsidP="004026AD">
      <w:pPr>
        <w:tabs>
          <w:tab w:val="center" w:pos="4680"/>
        </w:tabs>
        <w:ind w:right="-252" w:hanging="360"/>
        <w:jc w:val="both"/>
        <w:rPr>
          <w:rFonts w:eastAsia="Times New Roman"/>
          <w:b/>
          <w:bCs/>
        </w:rPr>
      </w:pPr>
    </w:p>
    <w:p w14:paraId="4B26C46E" w14:textId="77777777" w:rsidR="001A7B47" w:rsidRDefault="00FA0296" w:rsidP="006355F2">
      <w:pPr>
        <w:tabs>
          <w:tab w:val="center" w:pos="4680"/>
        </w:tabs>
        <w:ind w:right="-432" w:hanging="720"/>
        <w:jc w:val="center"/>
        <w:rPr>
          <w:b/>
        </w:rPr>
      </w:pPr>
      <w:r w:rsidRPr="00F720F8">
        <w:rPr>
          <w:b/>
        </w:rPr>
        <w:t xml:space="preserve">BEFORE THE WASHINGTON </w:t>
      </w:r>
    </w:p>
    <w:p w14:paraId="2C1AAA0F" w14:textId="294A9138" w:rsidR="00FA0296" w:rsidRPr="00F720F8" w:rsidRDefault="00FA0296" w:rsidP="006355F2">
      <w:pPr>
        <w:tabs>
          <w:tab w:val="center" w:pos="4680"/>
        </w:tabs>
        <w:ind w:right="-432" w:hanging="720"/>
        <w:jc w:val="center"/>
        <w:rPr>
          <w:b/>
        </w:rPr>
      </w:pPr>
      <w:r w:rsidRPr="00F720F8">
        <w:rPr>
          <w:b/>
        </w:rPr>
        <w:t>STATE UTILITIES AND TRANSPORTATION COMMISSION</w:t>
      </w:r>
    </w:p>
    <w:p w14:paraId="15FABFDE" w14:textId="77777777" w:rsidR="00FA0296" w:rsidRPr="00F720F8" w:rsidRDefault="00FA0296" w:rsidP="00FA0296">
      <w:pPr>
        <w:jc w:val="both"/>
        <w:rPr>
          <w:b/>
        </w:rPr>
      </w:pPr>
    </w:p>
    <w:tbl>
      <w:tblPr>
        <w:tblW w:w="9180" w:type="dxa"/>
        <w:tblInd w:w="124" w:type="dxa"/>
        <w:tblLayout w:type="fixed"/>
        <w:tblCellMar>
          <w:left w:w="124" w:type="dxa"/>
          <w:right w:w="124" w:type="dxa"/>
        </w:tblCellMar>
        <w:tblLook w:val="0000" w:firstRow="0" w:lastRow="0" w:firstColumn="0" w:lastColumn="0" w:noHBand="0" w:noVBand="0"/>
      </w:tblPr>
      <w:tblGrid>
        <w:gridCol w:w="4590"/>
        <w:gridCol w:w="4590"/>
      </w:tblGrid>
      <w:tr w:rsidR="00FA0296" w:rsidRPr="00F720F8" w14:paraId="1145D9F2" w14:textId="77777777" w:rsidTr="009D4E52">
        <w:tc>
          <w:tcPr>
            <w:tcW w:w="4590" w:type="dxa"/>
            <w:tcBorders>
              <w:top w:val="single" w:sz="6" w:space="0" w:color="FFFFFF"/>
              <w:left w:val="single" w:sz="6" w:space="0" w:color="FFFFFF"/>
              <w:bottom w:val="single" w:sz="6" w:space="0" w:color="000000"/>
              <w:right w:val="single" w:sz="6" w:space="0" w:color="FFFFFF"/>
            </w:tcBorders>
          </w:tcPr>
          <w:p w14:paraId="7405A748" w14:textId="77777777" w:rsidR="006355F2" w:rsidRPr="006355F2" w:rsidRDefault="006355F2" w:rsidP="006355F2">
            <w:pPr>
              <w:pStyle w:val="Header"/>
              <w:tabs>
                <w:tab w:val="left" w:pos="681"/>
                <w:tab w:val="left" w:pos="1401"/>
              </w:tabs>
              <w:rPr>
                <w:b/>
              </w:rPr>
            </w:pPr>
            <w:r w:rsidRPr="006355F2">
              <w:rPr>
                <w:b/>
              </w:rPr>
              <w:t>WASHINGTON UTILITIES AND TRANSPORTATION COMMISSION,</w:t>
            </w:r>
          </w:p>
          <w:p w14:paraId="17EF7750" w14:textId="77777777" w:rsidR="006355F2" w:rsidRPr="006355F2" w:rsidRDefault="006355F2" w:rsidP="006355F2">
            <w:pPr>
              <w:pStyle w:val="Header"/>
              <w:tabs>
                <w:tab w:val="left" w:pos="681"/>
                <w:tab w:val="left" w:pos="1401"/>
              </w:tabs>
              <w:rPr>
                <w:b/>
              </w:rPr>
            </w:pPr>
          </w:p>
          <w:p w14:paraId="58C0EFBC" w14:textId="50985C8E" w:rsidR="006355F2" w:rsidRPr="006355F2" w:rsidRDefault="006355F2" w:rsidP="006355F2">
            <w:pPr>
              <w:pStyle w:val="Header"/>
              <w:tabs>
                <w:tab w:val="left" w:pos="681"/>
                <w:tab w:val="left" w:pos="1401"/>
              </w:tabs>
              <w:rPr>
                <w:b/>
              </w:rPr>
            </w:pPr>
            <w:r w:rsidRPr="006355F2">
              <w:rPr>
                <w:b/>
              </w:rPr>
              <w:tab/>
            </w:r>
            <w:r w:rsidR="001A7B47">
              <w:rPr>
                <w:b/>
              </w:rPr>
              <w:t xml:space="preserve">                  </w:t>
            </w:r>
            <w:r w:rsidRPr="006355F2">
              <w:rPr>
                <w:b/>
              </w:rPr>
              <w:t>Complainant,</w:t>
            </w:r>
          </w:p>
          <w:p w14:paraId="7CB9D78F" w14:textId="77777777" w:rsidR="006355F2" w:rsidRPr="006355F2" w:rsidRDefault="006355F2" w:rsidP="006355F2">
            <w:pPr>
              <w:pStyle w:val="Header"/>
              <w:tabs>
                <w:tab w:val="left" w:pos="681"/>
                <w:tab w:val="left" w:pos="1401"/>
              </w:tabs>
              <w:rPr>
                <w:b/>
              </w:rPr>
            </w:pPr>
          </w:p>
          <w:p w14:paraId="008F881B" w14:textId="77777777" w:rsidR="006355F2" w:rsidRPr="006355F2" w:rsidRDefault="006355F2" w:rsidP="006355F2">
            <w:pPr>
              <w:pStyle w:val="Header"/>
              <w:tabs>
                <w:tab w:val="left" w:pos="681"/>
                <w:tab w:val="left" w:pos="1401"/>
              </w:tabs>
              <w:rPr>
                <w:b/>
              </w:rPr>
            </w:pPr>
            <w:r w:rsidRPr="006355F2">
              <w:rPr>
                <w:b/>
              </w:rPr>
              <w:t>v.</w:t>
            </w:r>
          </w:p>
          <w:p w14:paraId="1D6530BA" w14:textId="77777777" w:rsidR="006355F2" w:rsidRPr="006355F2" w:rsidRDefault="006355F2" w:rsidP="006355F2">
            <w:pPr>
              <w:pStyle w:val="Header"/>
              <w:tabs>
                <w:tab w:val="left" w:pos="681"/>
                <w:tab w:val="left" w:pos="1401"/>
              </w:tabs>
              <w:rPr>
                <w:b/>
              </w:rPr>
            </w:pPr>
          </w:p>
          <w:p w14:paraId="68E3BAFC" w14:textId="2BB8129D" w:rsidR="001B53AE" w:rsidRPr="001B53AE" w:rsidRDefault="00AB6C2E" w:rsidP="001B53AE">
            <w:pPr>
              <w:spacing w:line="240" w:lineRule="exact"/>
              <w:rPr>
                <w:b/>
              </w:rPr>
            </w:pPr>
            <w:r>
              <w:rPr>
                <w:b/>
              </w:rPr>
              <w:t>PUGET SOUND ENERGY</w:t>
            </w:r>
            <w:r w:rsidR="001B53AE" w:rsidRPr="001B53AE">
              <w:rPr>
                <w:b/>
              </w:rPr>
              <w:t>,</w:t>
            </w:r>
          </w:p>
          <w:p w14:paraId="5E4BBDC2" w14:textId="77777777" w:rsidR="006355F2" w:rsidRPr="006355F2" w:rsidRDefault="006355F2" w:rsidP="006355F2">
            <w:pPr>
              <w:pStyle w:val="Header"/>
              <w:tabs>
                <w:tab w:val="left" w:pos="681"/>
                <w:tab w:val="left" w:pos="1401"/>
              </w:tabs>
              <w:rPr>
                <w:b/>
              </w:rPr>
            </w:pPr>
          </w:p>
          <w:p w14:paraId="1ABBAEF2" w14:textId="1296E0FE" w:rsidR="006355F2" w:rsidRPr="006355F2" w:rsidRDefault="006355F2" w:rsidP="006355F2">
            <w:pPr>
              <w:pStyle w:val="Header"/>
              <w:tabs>
                <w:tab w:val="left" w:pos="681"/>
                <w:tab w:val="left" w:pos="1401"/>
              </w:tabs>
              <w:rPr>
                <w:b/>
              </w:rPr>
            </w:pPr>
            <w:r w:rsidRPr="006355F2">
              <w:rPr>
                <w:b/>
              </w:rPr>
              <w:tab/>
            </w:r>
            <w:r w:rsidR="001A7B47">
              <w:rPr>
                <w:b/>
              </w:rPr>
              <w:t xml:space="preserve">                  </w:t>
            </w:r>
            <w:r w:rsidRPr="006355F2">
              <w:rPr>
                <w:b/>
              </w:rPr>
              <w:t>Respondent.</w:t>
            </w:r>
          </w:p>
          <w:p w14:paraId="04A83310" w14:textId="39E68132" w:rsidR="00FA0296" w:rsidRPr="00F720F8" w:rsidRDefault="00FA0296" w:rsidP="001B5C88">
            <w:pPr>
              <w:pStyle w:val="Header"/>
              <w:tabs>
                <w:tab w:val="left" w:pos="681"/>
                <w:tab w:val="left" w:pos="1401"/>
              </w:tabs>
              <w:rPr>
                <w:b/>
              </w:rPr>
            </w:pPr>
          </w:p>
        </w:tc>
        <w:tc>
          <w:tcPr>
            <w:tcW w:w="4590" w:type="dxa"/>
            <w:tcBorders>
              <w:top w:val="single" w:sz="6" w:space="0" w:color="FFFFFF"/>
              <w:left w:val="single" w:sz="6" w:space="0" w:color="000000"/>
              <w:bottom w:val="single" w:sz="6" w:space="0" w:color="FFFFFF"/>
              <w:right w:val="single" w:sz="6" w:space="0" w:color="FFFFFF"/>
            </w:tcBorders>
          </w:tcPr>
          <w:p w14:paraId="37855DE3" w14:textId="77777777" w:rsidR="00B0066B" w:rsidRDefault="001B5C88" w:rsidP="00B0066B">
            <w:pPr>
              <w:ind w:left="734" w:hanging="14"/>
              <w:rPr>
                <w:b/>
              </w:rPr>
            </w:pPr>
            <w:r w:rsidRPr="00F720F8">
              <w:rPr>
                <w:b/>
              </w:rPr>
              <w:t>DOCKET</w:t>
            </w:r>
            <w:r w:rsidR="00AB6C2E">
              <w:rPr>
                <w:b/>
              </w:rPr>
              <w:t>S</w:t>
            </w:r>
            <w:r w:rsidRPr="00F720F8">
              <w:rPr>
                <w:b/>
              </w:rPr>
              <w:t xml:space="preserve"> UE-</w:t>
            </w:r>
            <w:r w:rsidR="00E93B37">
              <w:rPr>
                <w:b/>
              </w:rPr>
              <w:t>170033 and</w:t>
            </w:r>
          </w:p>
          <w:p w14:paraId="43BBA8C1" w14:textId="5EF99DF3" w:rsidR="002752E0" w:rsidRPr="002752E0" w:rsidRDefault="00E93B37" w:rsidP="00B0066B">
            <w:pPr>
              <w:ind w:left="734" w:hanging="14"/>
              <w:rPr>
                <w:b/>
                <w:i/>
              </w:rPr>
            </w:pPr>
            <w:r>
              <w:rPr>
                <w:b/>
              </w:rPr>
              <w:t>UG-170034</w:t>
            </w:r>
            <w:r w:rsidR="006355F2">
              <w:rPr>
                <w:b/>
                <w:i/>
              </w:rPr>
              <w:t xml:space="preserve"> </w:t>
            </w:r>
            <w:r w:rsidR="002752E0" w:rsidRPr="00B0066B">
              <w:rPr>
                <w:b/>
              </w:rPr>
              <w:t>(</w:t>
            </w:r>
            <w:r w:rsidR="002752E0" w:rsidRPr="002752E0">
              <w:rPr>
                <w:b/>
                <w:i/>
              </w:rPr>
              <w:t>Consolidated</w:t>
            </w:r>
            <w:r w:rsidR="002752E0" w:rsidRPr="00B0066B">
              <w:rPr>
                <w:b/>
              </w:rPr>
              <w:t>)</w:t>
            </w:r>
          </w:p>
        </w:tc>
      </w:tr>
    </w:tbl>
    <w:p w14:paraId="0B0AA722" w14:textId="77777777" w:rsidR="004026AD" w:rsidRDefault="004026AD" w:rsidP="004026AD">
      <w:pPr>
        <w:rPr>
          <w:rFonts w:eastAsia="Times New Roman"/>
          <w:b/>
          <w:bCs/>
        </w:rPr>
      </w:pPr>
    </w:p>
    <w:p w14:paraId="608401A0" w14:textId="77777777" w:rsidR="006355F2" w:rsidRPr="00F720F8" w:rsidRDefault="006355F2" w:rsidP="004026AD">
      <w:pPr>
        <w:rPr>
          <w:rFonts w:eastAsia="Times New Roman"/>
          <w:b/>
          <w:bCs/>
        </w:rPr>
      </w:pPr>
    </w:p>
    <w:p w14:paraId="0B0AA723" w14:textId="77777777" w:rsidR="00D50AB7" w:rsidRPr="00F720F8" w:rsidRDefault="00D50AB7" w:rsidP="004026AD">
      <w:pPr>
        <w:jc w:val="center"/>
        <w:rPr>
          <w:rFonts w:eastAsia="Times New Roman"/>
          <w:b/>
          <w:bCs/>
        </w:rPr>
      </w:pPr>
    </w:p>
    <w:p w14:paraId="0B0AA724" w14:textId="77777777" w:rsidR="004026AD" w:rsidRPr="00F720F8" w:rsidRDefault="004026AD" w:rsidP="004026AD">
      <w:pPr>
        <w:jc w:val="center"/>
        <w:rPr>
          <w:rFonts w:eastAsia="Times New Roman"/>
          <w:b/>
          <w:bCs/>
        </w:rPr>
      </w:pPr>
      <w:r w:rsidRPr="00F720F8">
        <w:rPr>
          <w:rFonts w:eastAsia="Times New Roman"/>
          <w:b/>
          <w:bCs/>
        </w:rPr>
        <w:t>TESTIMONY OF</w:t>
      </w:r>
    </w:p>
    <w:p w14:paraId="0B0AA725" w14:textId="77777777" w:rsidR="004026AD" w:rsidRPr="00F720F8" w:rsidRDefault="004026AD" w:rsidP="004026AD">
      <w:pPr>
        <w:jc w:val="center"/>
        <w:rPr>
          <w:rFonts w:eastAsia="Times New Roman"/>
          <w:b/>
          <w:bCs/>
        </w:rPr>
      </w:pPr>
    </w:p>
    <w:p w14:paraId="0B0AA726" w14:textId="2B8B85DB" w:rsidR="004026AD" w:rsidRPr="00F720F8" w:rsidRDefault="00E941B1" w:rsidP="004026AD">
      <w:pPr>
        <w:jc w:val="center"/>
        <w:rPr>
          <w:rFonts w:eastAsia="Times New Roman"/>
          <w:b/>
          <w:bCs/>
        </w:rPr>
      </w:pPr>
      <w:r>
        <w:rPr>
          <w:rFonts w:eastAsia="Times New Roman"/>
          <w:b/>
          <w:bCs/>
        </w:rPr>
        <w:t>Elizabeth C. O’Connell</w:t>
      </w:r>
    </w:p>
    <w:p w14:paraId="0B0AA727" w14:textId="77777777" w:rsidR="004026AD" w:rsidRPr="00F720F8" w:rsidRDefault="004026AD" w:rsidP="004026AD">
      <w:pPr>
        <w:jc w:val="center"/>
        <w:rPr>
          <w:rFonts w:eastAsia="Times New Roman"/>
          <w:b/>
          <w:bCs/>
        </w:rPr>
      </w:pPr>
    </w:p>
    <w:p w14:paraId="0B0AA728" w14:textId="77777777" w:rsidR="004026AD" w:rsidRPr="00F720F8" w:rsidRDefault="004026AD" w:rsidP="004026AD">
      <w:pPr>
        <w:jc w:val="center"/>
        <w:rPr>
          <w:rFonts w:eastAsia="Times New Roman"/>
          <w:b/>
          <w:bCs/>
        </w:rPr>
      </w:pPr>
      <w:r w:rsidRPr="00F720F8">
        <w:rPr>
          <w:rFonts w:eastAsia="Times New Roman"/>
          <w:b/>
          <w:bCs/>
        </w:rPr>
        <w:t>STAFF OF</w:t>
      </w:r>
    </w:p>
    <w:p w14:paraId="0B0AA729" w14:textId="77777777" w:rsidR="004026AD" w:rsidRPr="00F720F8" w:rsidRDefault="004026AD" w:rsidP="004026AD">
      <w:pPr>
        <w:jc w:val="center"/>
        <w:rPr>
          <w:rFonts w:eastAsia="Times New Roman"/>
          <w:b/>
          <w:bCs/>
        </w:rPr>
      </w:pPr>
      <w:r w:rsidRPr="00F720F8">
        <w:rPr>
          <w:rFonts w:eastAsia="Times New Roman"/>
          <w:b/>
          <w:bCs/>
        </w:rPr>
        <w:t>WASHINGTON UTILITIES AND</w:t>
      </w:r>
    </w:p>
    <w:p w14:paraId="0B0AA72A" w14:textId="77777777" w:rsidR="004026AD" w:rsidRPr="00F720F8" w:rsidRDefault="004026AD" w:rsidP="004026AD">
      <w:pPr>
        <w:jc w:val="center"/>
        <w:rPr>
          <w:rFonts w:eastAsia="Times New Roman"/>
          <w:b/>
          <w:bCs/>
        </w:rPr>
      </w:pPr>
      <w:r w:rsidRPr="00F720F8">
        <w:rPr>
          <w:rFonts w:eastAsia="Times New Roman"/>
          <w:b/>
          <w:bCs/>
        </w:rPr>
        <w:t>TRANSPORTATION COMMISSION</w:t>
      </w:r>
    </w:p>
    <w:p w14:paraId="0B0AA72B" w14:textId="77777777" w:rsidR="004026AD" w:rsidRDefault="004026AD" w:rsidP="004026AD">
      <w:pPr>
        <w:jc w:val="center"/>
        <w:rPr>
          <w:rFonts w:eastAsia="Times New Roman"/>
          <w:b/>
          <w:bCs/>
        </w:rPr>
      </w:pPr>
    </w:p>
    <w:p w14:paraId="0B0AA72C" w14:textId="77777777" w:rsidR="004026AD" w:rsidRPr="00F720F8" w:rsidRDefault="004026AD" w:rsidP="004026AD">
      <w:pPr>
        <w:jc w:val="center"/>
        <w:rPr>
          <w:rFonts w:eastAsia="Times New Roman"/>
          <w:b/>
          <w:bCs/>
        </w:rPr>
      </w:pPr>
    </w:p>
    <w:p w14:paraId="47096B65" w14:textId="301BB96D" w:rsidR="004879D7" w:rsidRDefault="00101846" w:rsidP="004026AD">
      <w:pPr>
        <w:jc w:val="center"/>
        <w:rPr>
          <w:rFonts w:eastAsia="Times New Roman"/>
          <w:b/>
          <w:bCs/>
          <w:i/>
        </w:rPr>
      </w:pPr>
      <w:r w:rsidRPr="00101846">
        <w:rPr>
          <w:rFonts w:eastAsia="Times New Roman"/>
          <w:b/>
          <w:bCs/>
          <w:i/>
        </w:rPr>
        <w:t>Adjustments 11.19 and 13.19</w:t>
      </w:r>
      <w:r>
        <w:rPr>
          <w:rFonts w:eastAsia="Times New Roman"/>
          <w:b/>
          <w:bCs/>
          <w:i/>
        </w:rPr>
        <w:t xml:space="preserve"> </w:t>
      </w:r>
      <w:r w:rsidR="00AB6C2E">
        <w:rPr>
          <w:rFonts w:eastAsia="Times New Roman"/>
          <w:b/>
          <w:bCs/>
          <w:i/>
        </w:rPr>
        <w:t>Environmental Remediation Projects</w:t>
      </w:r>
      <w:r w:rsidR="00531BE8">
        <w:rPr>
          <w:rFonts w:eastAsia="Times New Roman"/>
          <w:b/>
          <w:bCs/>
          <w:i/>
        </w:rPr>
        <w:t xml:space="preserve">, Rentals, </w:t>
      </w:r>
      <w:r w:rsidR="00257755">
        <w:rPr>
          <w:rFonts w:eastAsia="Times New Roman"/>
          <w:b/>
          <w:bCs/>
          <w:i/>
        </w:rPr>
        <w:t xml:space="preserve">and </w:t>
      </w:r>
      <w:r>
        <w:rPr>
          <w:rFonts w:eastAsia="Times New Roman"/>
          <w:b/>
          <w:bCs/>
          <w:i/>
        </w:rPr>
        <w:t xml:space="preserve">Adjustments 11.24 and 13.24 </w:t>
      </w:r>
      <w:r w:rsidR="002A042F">
        <w:rPr>
          <w:rFonts w:eastAsia="Times New Roman"/>
          <w:b/>
          <w:bCs/>
          <w:i/>
        </w:rPr>
        <w:t>Legal Costs</w:t>
      </w:r>
    </w:p>
    <w:p w14:paraId="55542595" w14:textId="77777777" w:rsidR="002752E0" w:rsidRDefault="002752E0" w:rsidP="004026AD">
      <w:pPr>
        <w:jc w:val="center"/>
        <w:rPr>
          <w:rFonts w:eastAsia="Times New Roman"/>
          <w:b/>
          <w:bCs/>
          <w:i/>
        </w:rPr>
      </w:pPr>
    </w:p>
    <w:p w14:paraId="0B0AA730" w14:textId="79DAAF5D" w:rsidR="004026AD" w:rsidRPr="00F720F8" w:rsidRDefault="004026AD" w:rsidP="004026AD">
      <w:pPr>
        <w:jc w:val="center"/>
        <w:rPr>
          <w:rFonts w:eastAsia="Times New Roman"/>
          <w:b/>
          <w:bCs/>
        </w:rPr>
      </w:pPr>
    </w:p>
    <w:p w14:paraId="0B0AA731" w14:textId="0DB27D83" w:rsidR="004026AD" w:rsidRPr="00F720F8" w:rsidRDefault="00FF30A4" w:rsidP="004026AD">
      <w:pPr>
        <w:jc w:val="center"/>
        <w:rPr>
          <w:rFonts w:eastAsia="Times New Roman"/>
          <w:b/>
          <w:bCs/>
        </w:rPr>
      </w:pPr>
      <w:r>
        <w:rPr>
          <w:rFonts w:eastAsia="Times New Roman"/>
          <w:b/>
          <w:bCs/>
        </w:rPr>
        <w:t>June 30</w:t>
      </w:r>
      <w:r w:rsidR="00AB6C2E">
        <w:rPr>
          <w:rFonts w:eastAsia="Times New Roman"/>
          <w:b/>
          <w:bCs/>
        </w:rPr>
        <w:t>, 2017</w:t>
      </w:r>
    </w:p>
    <w:p w14:paraId="0B0AA732" w14:textId="77777777" w:rsidR="004026AD" w:rsidRPr="00F720F8" w:rsidRDefault="004026AD" w:rsidP="004026AD">
      <w:pPr>
        <w:jc w:val="center"/>
        <w:rPr>
          <w:rFonts w:eastAsia="Times New Roman"/>
          <w:b/>
          <w:bCs/>
        </w:rPr>
      </w:pPr>
    </w:p>
    <w:p w14:paraId="0B0AA733" w14:textId="77777777" w:rsidR="004026AD" w:rsidRPr="00F720F8" w:rsidRDefault="004026AD" w:rsidP="004026AD">
      <w:pPr>
        <w:jc w:val="center"/>
        <w:rPr>
          <w:rFonts w:eastAsia="Times New Roman"/>
          <w:b/>
          <w:bCs/>
        </w:rPr>
      </w:pPr>
    </w:p>
    <w:p w14:paraId="0B0AA734" w14:textId="1B057B6A" w:rsidR="004026AD" w:rsidRPr="00F720F8" w:rsidRDefault="00304BF2" w:rsidP="004026AD">
      <w:pPr>
        <w:jc w:val="center"/>
        <w:rPr>
          <w:rFonts w:eastAsia="Times New Roman"/>
          <w:b/>
          <w:bCs/>
        </w:rPr>
      </w:pPr>
      <w:r>
        <w:rPr>
          <w:rFonts w:eastAsia="Times New Roman"/>
          <w:b/>
          <w:bCs/>
        </w:rPr>
        <w:t xml:space="preserve">CONFIDENTIAL PER PROTECTIVE ORDER </w:t>
      </w:r>
    </w:p>
    <w:p w14:paraId="0B0AA735" w14:textId="77777777" w:rsidR="004026AD" w:rsidRPr="00F720F8" w:rsidRDefault="004026AD" w:rsidP="004026AD">
      <w:pPr>
        <w:jc w:val="center"/>
        <w:rPr>
          <w:rFonts w:eastAsia="Times New Roman"/>
          <w:b/>
          <w:bCs/>
        </w:rPr>
      </w:pPr>
    </w:p>
    <w:p w14:paraId="0B0AA737" w14:textId="77777777" w:rsidR="004026AD" w:rsidRPr="00F720F8" w:rsidRDefault="004026AD" w:rsidP="004026AD">
      <w:pPr>
        <w:tabs>
          <w:tab w:val="center" w:pos="4680"/>
        </w:tabs>
        <w:rPr>
          <w:rFonts w:eastAsia="Times New Roman"/>
          <w:b/>
          <w:bCs/>
        </w:rPr>
      </w:pPr>
    </w:p>
    <w:p w14:paraId="0B0AA738" w14:textId="77777777" w:rsidR="004026AD" w:rsidRPr="00F720F8" w:rsidRDefault="004026AD" w:rsidP="004026AD">
      <w:pPr>
        <w:jc w:val="center"/>
        <w:rPr>
          <w:rFonts w:eastAsia="Times New Roman"/>
          <w:b/>
        </w:rPr>
        <w:sectPr w:rsidR="004026AD" w:rsidRPr="00F720F8" w:rsidSect="00BD533D">
          <w:footerReference w:type="default" r:id="rId11"/>
          <w:type w:val="continuous"/>
          <w:pgSz w:w="12240" w:h="15840" w:code="1"/>
          <w:pgMar w:top="1440" w:right="1440" w:bottom="1440" w:left="1872" w:header="720" w:footer="720" w:gutter="0"/>
          <w:pgNumType w:start="1"/>
          <w:cols w:space="720"/>
          <w:titlePg/>
          <w:docGrid w:linePitch="360"/>
        </w:sectPr>
      </w:pPr>
    </w:p>
    <w:p w14:paraId="3401842D" w14:textId="03890F59" w:rsidR="007F3100" w:rsidRPr="001A7B47" w:rsidRDefault="001A7B47" w:rsidP="000D3B70">
      <w:pPr>
        <w:spacing w:after="240" w:line="480" w:lineRule="auto"/>
        <w:jc w:val="center"/>
        <w:rPr>
          <w:rFonts w:eastAsia="Times New Roman"/>
          <w:b/>
        </w:rPr>
      </w:pPr>
      <w:r>
        <w:rPr>
          <w:rFonts w:eastAsia="Times New Roman"/>
          <w:b/>
        </w:rPr>
        <w:lastRenderedPageBreak/>
        <w:t>TABLE OF CONTENTS</w:t>
      </w:r>
    </w:p>
    <w:p w14:paraId="222177BD" w14:textId="7F85A061" w:rsidR="00C71192" w:rsidRPr="009A0C10" w:rsidRDefault="00BA2B83" w:rsidP="009A0C10">
      <w:pPr>
        <w:pStyle w:val="TOC1"/>
        <w:rPr>
          <w:rFonts w:ascii="Times New Roman" w:hAnsi="Times New Roman"/>
        </w:rPr>
      </w:pPr>
      <w:r w:rsidRPr="009A0C10">
        <w:rPr>
          <w:rFonts w:ascii="Times New Roman" w:hAnsi="Times New Roman"/>
          <w:bCs/>
        </w:rPr>
        <w:fldChar w:fldCharType="begin"/>
      </w:r>
      <w:r w:rsidRPr="009A0C10">
        <w:rPr>
          <w:rFonts w:ascii="Times New Roman" w:hAnsi="Times New Roman"/>
          <w:bCs/>
        </w:rPr>
        <w:instrText xml:space="preserve"> TOC \o "1-3" \u </w:instrText>
      </w:r>
      <w:r w:rsidRPr="009A0C10">
        <w:rPr>
          <w:rFonts w:ascii="Times New Roman" w:hAnsi="Times New Roman"/>
          <w:bCs/>
        </w:rPr>
        <w:fldChar w:fldCharType="separate"/>
      </w:r>
      <w:r w:rsidR="00C71192" w:rsidRPr="009A0C10">
        <w:rPr>
          <w:rFonts w:ascii="Times New Roman" w:hAnsi="Times New Roman"/>
        </w:rPr>
        <w:t>I.</w:t>
      </w:r>
      <w:r w:rsidR="00C71192" w:rsidRPr="009A0C10">
        <w:rPr>
          <w:rFonts w:ascii="Times New Roman" w:hAnsi="Times New Roman"/>
          <w:sz w:val="22"/>
          <w:szCs w:val="22"/>
          <w:lang w:eastAsia="en-US"/>
        </w:rPr>
        <w:tab/>
      </w:r>
      <w:r w:rsidR="000D3B70" w:rsidRPr="009A0C10">
        <w:rPr>
          <w:rFonts w:ascii="Times New Roman" w:hAnsi="Times New Roman"/>
          <w:sz w:val="22"/>
          <w:szCs w:val="22"/>
          <w:lang w:eastAsia="en-US"/>
        </w:rPr>
        <w:tab/>
      </w:r>
      <w:r w:rsidR="00C71192" w:rsidRPr="009A0C10">
        <w:rPr>
          <w:rFonts w:ascii="Times New Roman" w:hAnsi="Times New Roman"/>
        </w:rPr>
        <w:t>Introduction</w:t>
      </w:r>
      <w:r w:rsidR="00C71192" w:rsidRPr="009A0C10">
        <w:rPr>
          <w:rFonts w:ascii="Times New Roman" w:hAnsi="Times New Roman"/>
        </w:rPr>
        <w:tab/>
      </w:r>
      <w:r w:rsidR="00C77894">
        <w:rPr>
          <w:rFonts w:ascii="Times New Roman" w:hAnsi="Times New Roman"/>
        </w:rPr>
        <w:t>1</w:t>
      </w:r>
    </w:p>
    <w:p w14:paraId="3E9114AB" w14:textId="77777777" w:rsidR="009A0C10" w:rsidRPr="009A0C10" w:rsidRDefault="009A0C10" w:rsidP="009A0C10">
      <w:pPr>
        <w:rPr>
          <w:lang w:eastAsia="ja-JP"/>
        </w:rPr>
      </w:pPr>
    </w:p>
    <w:p w14:paraId="78FB46D4" w14:textId="1BC93867" w:rsidR="00C71192" w:rsidRPr="009A0C10" w:rsidRDefault="00C71192" w:rsidP="009A0C10">
      <w:pPr>
        <w:pStyle w:val="TOC1"/>
        <w:rPr>
          <w:rFonts w:ascii="Times New Roman" w:hAnsi="Times New Roman"/>
        </w:rPr>
      </w:pPr>
      <w:r w:rsidRPr="009A0C10">
        <w:rPr>
          <w:rFonts w:ascii="Times New Roman" w:hAnsi="Times New Roman"/>
        </w:rPr>
        <w:t>II.</w:t>
      </w:r>
      <w:r w:rsidRPr="009A0C10">
        <w:rPr>
          <w:rFonts w:ascii="Times New Roman" w:hAnsi="Times New Roman"/>
          <w:sz w:val="22"/>
          <w:szCs w:val="22"/>
          <w:lang w:eastAsia="en-US"/>
        </w:rPr>
        <w:tab/>
      </w:r>
      <w:r w:rsidR="000D3B70" w:rsidRPr="009A0C10">
        <w:rPr>
          <w:rFonts w:ascii="Times New Roman" w:hAnsi="Times New Roman"/>
          <w:sz w:val="22"/>
          <w:szCs w:val="22"/>
          <w:lang w:eastAsia="en-US"/>
        </w:rPr>
        <w:tab/>
      </w:r>
      <w:r w:rsidRPr="009A0C10">
        <w:rPr>
          <w:rFonts w:ascii="Times New Roman" w:hAnsi="Times New Roman"/>
        </w:rPr>
        <w:t>Scope AND SUmmary of Testimony</w:t>
      </w:r>
      <w:r w:rsidRPr="009A0C10">
        <w:rPr>
          <w:rFonts w:ascii="Times New Roman" w:hAnsi="Times New Roman"/>
        </w:rPr>
        <w:tab/>
      </w:r>
      <w:r w:rsidRPr="009A0C10">
        <w:rPr>
          <w:rFonts w:ascii="Times New Roman" w:hAnsi="Times New Roman"/>
        </w:rPr>
        <w:fldChar w:fldCharType="begin"/>
      </w:r>
      <w:r w:rsidRPr="009A0C10">
        <w:rPr>
          <w:rFonts w:ascii="Times New Roman" w:hAnsi="Times New Roman"/>
        </w:rPr>
        <w:instrText xml:space="preserve"> PAGEREF _Toc486434754 \h </w:instrText>
      </w:r>
      <w:r w:rsidRPr="009A0C10">
        <w:rPr>
          <w:rFonts w:ascii="Times New Roman" w:hAnsi="Times New Roman"/>
        </w:rPr>
      </w:r>
      <w:r w:rsidRPr="009A0C10">
        <w:rPr>
          <w:rFonts w:ascii="Times New Roman" w:hAnsi="Times New Roman"/>
        </w:rPr>
        <w:fldChar w:fldCharType="separate"/>
      </w:r>
      <w:r w:rsidR="00C77894">
        <w:rPr>
          <w:rFonts w:ascii="Times New Roman" w:hAnsi="Times New Roman"/>
        </w:rPr>
        <w:t>2</w:t>
      </w:r>
      <w:r w:rsidRPr="009A0C10">
        <w:rPr>
          <w:rFonts w:ascii="Times New Roman" w:hAnsi="Times New Roman"/>
        </w:rPr>
        <w:fldChar w:fldCharType="end"/>
      </w:r>
    </w:p>
    <w:p w14:paraId="1FCA1124" w14:textId="77777777" w:rsidR="009A0C10" w:rsidRPr="009A0C10" w:rsidRDefault="009A0C10" w:rsidP="009A0C10">
      <w:pPr>
        <w:rPr>
          <w:lang w:eastAsia="ja-JP"/>
        </w:rPr>
      </w:pPr>
    </w:p>
    <w:p w14:paraId="5AD92F0F" w14:textId="18489A30" w:rsidR="00C71192" w:rsidRPr="009A0C10" w:rsidRDefault="00C71192" w:rsidP="009A0C10">
      <w:pPr>
        <w:pStyle w:val="TOC1"/>
        <w:rPr>
          <w:rFonts w:ascii="Times New Roman" w:hAnsi="Times New Roman"/>
        </w:rPr>
      </w:pPr>
      <w:r w:rsidRPr="009A0C10">
        <w:rPr>
          <w:rFonts w:ascii="Times New Roman" w:hAnsi="Times New Roman"/>
        </w:rPr>
        <w:t>III.</w:t>
      </w:r>
      <w:r w:rsidRPr="009A0C10">
        <w:rPr>
          <w:rFonts w:ascii="Times New Roman" w:hAnsi="Times New Roman"/>
          <w:sz w:val="22"/>
          <w:szCs w:val="22"/>
          <w:lang w:eastAsia="en-US"/>
        </w:rPr>
        <w:tab/>
      </w:r>
      <w:r w:rsidR="000D3B70" w:rsidRPr="009A0C10">
        <w:rPr>
          <w:rFonts w:ascii="Times New Roman" w:hAnsi="Times New Roman"/>
          <w:sz w:val="22"/>
          <w:szCs w:val="22"/>
          <w:lang w:eastAsia="en-US"/>
        </w:rPr>
        <w:tab/>
      </w:r>
      <w:r w:rsidRPr="009A0C10">
        <w:rPr>
          <w:rFonts w:ascii="Times New Roman" w:hAnsi="Times New Roman"/>
        </w:rPr>
        <w:t>RECOVERY OF ENVIRONMENTAL REMEDIATION PROJECTS COSTS</w:t>
      </w:r>
      <w:r w:rsidRPr="009A0C10">
        <w:rPr>
          <w:rFonts w:ascii="Times New Roman" w:hAnsi="Times New Roman"/>
        </w:rPr>
        <w:tab/>
      </w:r>
      <w:r w:rsidRPr="009A0C10">
        <w:rPr>
          <w:rFonts w:ascii="Times New Roman" w:hAnsi="Times New Roman"/>
        </w:rPr>
        <w:fldChar w:fldCharType="begin"/>
      </w:r>
      <w:r w:rsidRPr="009A0C10">
        <w:rPr>
          <w:rFonts w:ascii="Times New Roman" w:hAnsi="Times New Roman"/>
        </w:rPr>
        <w:instrText xml:space="preserve"> PAGEREF _Toc486434755 \h </w:instrText>
      </w:r>
      <w:r w:rsidRPr="009A0C10">
        <w:rPr>
          <w:rFonts w:ascii="Times New Roman" w:hAnsi="Times New Roman"/>
        </w:rPr>
      </w:r>
      <w:r w:rsidRPr="009A0C10">
        <w:rPr>
          <w:rFonts w:ascii="Times New Roman" w:hAnsi="Times New Roman"/>
        </w:rPr>
        <w:fldChar w:fldCharType="separate"/>
      </w:r>
      <w:r w:rsidR="00C77894">
        <w:rPr>
          <w:rFonts w:ascii="Times New Roman" w:hAnsi="Times New Roman"/>
        </w:rPr>
        <w:t>6</w:t>
      </w:r>
      <w:r w:rsidRPr="009A0C10">
        <w:rPr>
          <w:rFonts w:ascii="Times New Roman" w:hAnsi="Times New Roman"/>
        </w:rPr>
        <w:fldChar w:fldCharType="end"/>
      </w:r>
    </w:p>
    <w:p w14:paraId="260050CC" w14:textId="77777777" w:rsidR="009A0C10" w:rsidRPr="009A0C10" w:rsidRDefault="009A0C10" w:rsidP="009A0C10">
      <w:pPr>
        <w:rPr>
          <w:lang w:eastAsia="ja-JP"/>
        </w:rPr>
      </w:pPr>
    </w:p>
    <w:p w14:paraId="3AD71DFC" w14:textId="752856DB" w:rsidR="002508E1" w:rsidRDefault="002508E1" w:rsidP="009A0C10">
      <w:pPr>
        <w:pStyle w:val="TOC2"/>
      </w:pPr>
      <w:r w:rsidRPr="009A0C10">
        <w:t>A.</w:t>
      </w:r>
      <w:r w:rsidR="009A0C10" w:rsidRPr="009A0C10">
        <w:tab/>
      </w:r>
      <w:r w:rsidRPr="009A0C10">
        <w:t>Overview of the Company's Proposal</w:t>
      </w:r>
      <w:r w:rsidRPr="009A0C10">
        <w:tab/>
        <w:t>6</w:t>
      </w:r>
    </w:p>
    <w:p w14:paraId="00A31A44" w14:textId="77777777" w:rsidR="009A0C10" w:rsidRPr="009A0C10" w:rsidRDefault="009A0C10" w:rsidP="009A0C10"/>
    <w:p w14:paraId="41702075" w14:textId="27990AF8" w:rsidR="002508E1" w:rsidRDefault="002508E1" w:rsidP="009A0C10">
      <w:pPr>
        <w:pStyle w:val="TOC2"/>
      </w:pPr>
      <w:r w:rsidRPr="009A0C10">
        <w:t>B.</w:t>
      </w:r>
      <w:r w:rsidR="009A0C10" w:rsidRPr="009A0C10">
        <w:tab/>
      </w:r>
      <w:r w:rsidRPr="009A0C10">
        <w:t>Staff's review and recommended changes to PSE's ER proposals</w:t>
      </w:r>
      <w:r w:rsidRPr="009A0C10">
        <w:tab/>
        <w:t>8</w:t>
      </w:r>
    </w:p>
    <w:p w14:paraId="65942D84" w14:textId="77777777" w:rsidR="009A0C10" w:rsidRPr="009A0C10" w:rsidRDefault="009A0C10" w:rsidP="009A0C10"/>
    <w:p w14:paraId="58EF343B" w14:textId="17690EAF" w:rsidR="00C71192" w:rsidRDefault="009A0C10" w:rsidP="009A0C10">
      <w:pPr>
        <w:pStyle w:val="TOC2"/>
      </w:pPr>
      <w:r>
        <w:t>1.</w:t>
      </w:r>
      <w:r>
        <w:tab/>
      </w:r>
      <w:r w:rsidR="00C71192" w:rsidRPr="009A0C10">
        <w:t>PSE’s ER projects are prudent.</w:t>
      </w:r>
      <w:r w:rsidR="00C71192" w:rsidRPr="009A0C10">
        <w:tab/>
      </w:r>
      <w:r w:rsidR="00C71192" w:rsidRPr="009A0C10">
        <w:fldChar w:fldCharType="begin"/>
      </w:r>
      <w:r w:rsidR="00C71192" w:rsidRPr="009A0C10">
        <w:instrText xml:space="preserve"> PAGEREF _Toc486434756 \h </w:instrText>
      </w:r>
      <w:r w:rsidR="00C71192" w:rsidRPr="009A0C10">
        <w:fldChar w:fldCharType="separate"/>
      </w:r>
      <w:r w:rsidR="00C77894">
        <w:t>11</w:t>
      </w:r>
      <w:r w:rsidR="00C71192" w:rsidRPr="009A0C10">
        <w:fldChar w:fldCharType="end"/>
      </w:r>
    </w:p>
    <w:p w14:paraId="72774B64" w14:textId="77777777" w:rsidR="009A0C10" w:rsidRPr="009A0C10" w:rsidRDefault="009A0C10" w:rsidP="009A0C10"/>
    <w:p w14:paraId="6B238546" w14:textId="77777777" w:rsidR="009A0C10" w:rsidRDefault="009A0C10" w:rsidP="009A0C10">
      <w:pPr>
        <w:pStyle w:val="TOC2"/>
      </w:pPr>
      <w:r>
        <w:t>2.</w:t>
      </w:r>
      <w:r>
        <w:tab/>
      </w:r>
      <w:r w:rsidR="00C71192" w:rsidRPr="009A0C10">
        <w:t xml:space="preserve">Staff proposed changes to accounting methodologies for the management </w:t>
      </w:r>
    </w:p>
    <w:p w14:paraId="05F66914" w14:textId="01671927" w:rsidR="002508E1" w:rsidRDefault="009A0C10" w:rsidP="009A0C10">
      <w:pPr>
        <w:pStyle w:val="TOC2"/>
      </w:pPr>
      <w:r>
        <w:tab/>
      </w:r>
      <w:r w:rsidR="00C71192" w:rsidRPr="009A0C10">
        <w:t>of third party and insurance recoveries.</w:t>
      </w:r>
      <w:r w:rsidR="00C71192" w:rsidRPr="009A0C10">
        <w:tab/>
      </w:r>
      <w:r w:rsidR="00C71192" w:rsidRPr="009A0C10">
        <w:fldChar w:fldCharType="begin"/>
      </w:r>
      <w:r w:rsidR="00C71192" w:rsidRPr="009A0C10">
        <w:instrText xml:space="preserve"> PAGEREF _Toc486434757 \h </w:instrText>
      </w:r>
      <w:r w:rsidR="00C71192" w:rsidRPr="009A0C10">
        <w:fldChar w:fldCharType="separate"/>
      </w:r>
      <w:r w:rsidR="00C77894">
        <w:t>15</w:t>
      </w:r>
      <w:r w:rsidR="00C71192" w:rsidRPr="009A0C10">
        <w:fldChar w:fldCharType="end"/>
      </w:r>
    </w:p>
    <w:p w14:paraId="2DECDA16" w14:textId="77777777" w:rsidR="009A0C10" w:rsidRPr="009A0C10" w:rsidRDefault="009A0C10" w:rsidP="009A0C10"/>
    <w:p w14:paraId="6B3CA2AA" w14:textId="77777777" w:rsidR="009A0C10" w:rsidRDefault="009A0C10" w:rsidP="009A0C10">
      <w:pPr>
        <w:pStyle w:val="TOC2"/>
      </w:pPr>
      <w:r>
        <w:t>3.</w:t>
      </w:r>
      <w:r>
        <w:tab/>
      </w:r>
      <w:r w:rsidR="002508E1" w:rsidRPr="009A0C10">
        <w:t xml:space="preserve">The Commission should exclude the recoveries and ER costs associated </w:t>
      </w:r>
    </w:p>
    <w:p w14:paraId="5272E0A3" w14:textId="0090B617" w:rsidR="002508E1" w:rsidRDefault="009A0C10" w:rsidP="009A0C10">
      <w:pPr>
        <w:pStyle w:val="TOC2"/>
      </w:pPr>
      <w:r>
        <w:tab/>
      </w:r>
      <w:r w:rsidR="002508E1" w:rsidRPr="009A0C10">
        <w:t>with the Tacoma Tar Pits/Tacoma Tide Flats</w:t>
      </w:r>
      <w:r w:rsidR="002508E1" w:rsidRPr="009A0C10">
        <w:tab/>
      </w:r>
      <w:r w:rsidR="002508E1" w:rsidRPr="009A0C10">
        <w:fldChar w:fldCharType="begin"/>
      </w:r>
      <w:r w:rsidR="002508E1" w:rsidRPr="009A0C10">
        <w:instrText xml:space="preserve"> PAGEREF _Toc486434757 \h </w:instrText>
      </w:r>
      <w:r w:rsidR="002508E1" w:rsidRPr="009A0C10">
        <w:fldChar w:fldCharType="separate"/>
      </w:r>
      <w:r w:rsidR="00C77894">
        <w:t>15</w:t>
      </w:r>
      <w:r w:rsidR="002508E1" w:rsidRPr="009A0C10">
        <w:fldChar w:fldCharType="end"/>
      </w:r>
    </w:p>
    <w:p w14:paraId="409EFA15" w14:textId="77777777" w:rsidR="009A0C10" w:rsidRPr="009A0C10" w:rsidRDefault="009A0C10" w:rsidP="009A0C10"/>
    <w:p w14:paraId="63AECD62" w14:textId="57ED2BC3" w:rsidR="00C71192" w:rsidRDefault="009A0C10" w:rsidP="009A0C10">
      <w:pPr>
        <w:pStyle w:val="TOC2"/>
      </w:pPr>
      <w:r>
        <w:t>4.</w:t>
      </w:r>
      <w:r>
        <w:tab/>
      </w:r>
      <w:r w:rsidR="00C71192" w:rsidRPr="009A0C10">
        <w:t>Costs eligible for deferral.</w:t>
      </w:r>
      <w:r w:rsidR="00C71192" w:rsidRPr="009A0C10">
        <w:tab/>
      </w:r>
      <w:r w:rsidR="00C71192" w:rsidRPr="009A0C10">
        <w:fldChar w:fldCharType="begin"/>
      </w:r>
      <w:r w:rsidR="00C71192" w:rsidRPr="009A0C10">
        <w:instrText xml:space="preserve"> PAGEREF _Toc486434758 \h </w:instrText>
      </w:r>
      <w:r w:rsidR="00C71192" w:rsidRPr="009A0C10">
        <w:fldChar w:fldCharType="separate"/>
      </w:r>
      <w:r w:rsidR="00C77894">
        <w:t>20</w:t>
      </w:r>
      <w:r w:rsidR="00C71192" w:rsidRPr="009A0C10">
        <w:fldChar w:fldCharType="end"/>
      </w:r>
    </w:p>
    <w:p w14:paraId="4FDF3271" w14:textId="77777777" w:rsidR="009A0C10" w:rsidRPr="009A0C10" w:rsidRDefault="009A0C10" w:rsidP="009A0C10"/>
    <w:p w14:paraId="440A1E9D" w14:textId="0DB81C54" w:rsidR="00C71192" w:rsidRDefault="009A0C10" w:rsidP="009A0C10">
      <w:pPr>
        <w:pStyle w:val="TOC2"/>
      </w:pPr>
      <w:r>
        <w:t>5.</w:t>
      </w:r>
      <w:r>
        <w:tab/>
      </w:r>
      <w:r w:rsidR="00C71192" w:rsidRPr="009A0C10">
        <w:t>Working capital treatment of environmental remediation projects.</w:t>
      </w:r>
      <w:r w:rsidR="00C71192" w:rsidRPr="009A0C10">
        <w:tab/>
      </w:r>
      <w:r w:rsidR="00C71192" w:rsidRPr="009A0C10">
        <w:fldChar w:fldCharType="begin"/>
      </w:r>
      <w:r w:rsidR="00C71192" w:rsidRPr="009A0C10">
        <w:instrText xml:space="preserve"> PAGEREF _Toc486434759 \h </w:instrText>
      </w:r>
      <w:r w:rsidR="00C71192" w:rsidRPr="009A0C10">
        <w:fldChar w:fldCharType="separate"/>
      </w:r>
      <w:r w:rsidR="00C77894">
        <w:t>22</w:t>
      </w:r>
      <w:r w:rsidR="00C71192" w:rsidRPr="009A0C10">
        <w:fldChar w:fldCharType="end"/>
      </w:r>
    </w:p>
    <w:p w14:paraId="7691BBD1" w14:textId="77777777" w:rsidR="009A0C10" w:rsidRPr="009A0C10" w:rsidRDefault="009A0C10" w:rsidP="009A0C10"/>
    <w:p w14:paraId="53454A18" w14:textId="115E023E" w:rsidR="00C71192" w:rsidRDefault="00C71192" w:rsidP="009A0C10">
      <w:pPr>
        <w:pStyle w:val="TOC1"/>
        <w:rPr>
          <w:rFonts w:ascii="Times New Roman" w:hAnsi="Times New Roman"/>
        </w:rPr>
      </w:pPr>
      <w:r w:rsidRPr="009A0C10">
        <w:rPr>
          <w:rFonts w:ascii="Times New Roman" w:hAnsi="Times New Roman"/>
        </w:rPr>
        <w:t>IV.</w:t>
      </w:r>
      <w:r w:rsidRPr="009A0C10">
        <w:rPr>
          <w:rFonts w:ascii="Times New Roman" w:hAnsi="Times New Roman"/>
        </w:rPr>
        <w:tab/>
        <w:t>RECOMMENDATIONS FOR IMPROVING THE PROCEDURAL REQUIREMENTS AND REPORTING PROCESSES FOR DEFERRAL OF ENVIRONMENTAL REMEDIATION PROJECTS COSTS</w:t>
      </w:r>
      <w:r w:rsidRPr="009A0C10">
        <w:rPr>
          <w:rFonts w:ascii="Times New Roman" w:hAnsi="Times New Roman"/>
        </w:rPr>
        <w:tab/>
      </w:r>
      <w:r w:rsidRPr="009A0C10">
        <w:rPr>
          <w:rFonts w:ascii="Times New Roman" w:hAnsi="Times New Roman"/>
        </w:rPr>
        <w:fldChar w:fldCharType="begin"/>
      </w:r>
      <w:r w:rsidRPr="009A0C10">
        <w:rPr>
          <w:rFonts w:ascii="Times New Roman" w:hAnsi="Times New Roman"/>
        </w:rPr>
        <w:instrText xml:space="preserve"> PAGEREF _Toc486434760 \h </w:instrText>
      </w:r>
      <w:r w:rsidRPr="009A0C10">
        <w:rPr>
          <w:rFonts w:ascii="Times New Roman" w:hAnsi="Times New Roman"/>
        </w:rPr>
      </w:r>
      <w:r w:rsidRPr="009A0C10">
        <w:rPr>
          <w:rFonts w:ascii="Times New Roman" w:hAnsi="Times New Roman"/>
        </w:rPr>
        <w:fldChar w:fldCharType="separate"/>
      </w:r>
      <w:r w:rsidR="00C77894">
        <w:rPr>
          <w:rFonts w:ascii="Times New Roman" w:hAnsi="Times New Roman"/>
        </w:rPr>
        <w:t>23</w:t>
      </w:r>
      <w:r w:rsidRPr="009A0C10">
        <w:rPr>
          <w:rFonts w:ascii="Times New Roman" w:hAnsi="Times New Roman"/>
        </w:rPr>
        <w:fldChar w:fldCharType="end"/>
      </w:r>
    </w:p>
    <w:p w14:paraId="2A804FE8" w14:textId="77777777" w:rsidR="009A0C10" w:rsidRPr="009A0C10" w:rsidRDefault="009A0C10" w:rsidP="009A0C10">
      <w:pPr>
        <w:rPr>
          <w:lang w:eastAsia="ja-JP"/>
        </w:rPr>
      </w:pPr>
    </w:p>
    <w:p w14:paraId="24386B7D" w14:textId="77777777" w:rsidR="00C71192" w:rsidRDefault="00C71192" w:rsidP="009A0C10">
      <w:pPr>
        <w:pStyle w:val="TOC1"/>
        <w:rPr>
          <w:rFonts w:ascii="Times New Roman" w:hAnsi="Times New Roman"/>
        </w:rPr>
      </w:pPr>
      <w:r w:rsidRPr="009A0C10">
        <w:rPr>
          <w:rFonts w:ascii="Times New Roman" w:hAnsi="Times New Roman"/>
        </w:rPr>
        <w:t>V.</w:t>
      </w:r>
      <w:r w:rsidRPr="009A0C10">
        <w:rPr>
          <w:rFonts w:ascii="Times New Roman" w:hAnsi="Times New Roman"/>
          <w:sz w:val="22"/>
          <w:szCs w:val="22"/>
          <w:lang w:eastAsia="en-US"/>
        </w:rPr>
        <w:tab/>
      </w:r>
      <w:r w:rsidRPr="009A0C10">
        <w:rPr>
          <w:rFonts w:ascii="Times New Roman" w:hAnsi="Times New Roman"/>
        </w:rPr>
        <w:t>phase out of THE RENTAl PROGRAM</w:t>
      </w:r>
      <w:r w:rsidRPr="009A0C10">
        <w:rPr>
          <w:rFonts w:ascii="Times New Roman" w:hAnsi="Times New Roman"/>
        </w:rPr>
        <w:tab/>
      </w:r>
      <w:r w:rsidRPr="009A0C10">
        <w:rPr>
          <w:rFonts w:ascii="Times New Roman" w:hAnsi="Times New Roman"/>
        </w:rPr>
        <w:fldChar w:fldCharType="begin"/>
      </w:r>
      <w:r w:rsidRPr="009A0C10">
        <w:rPr>
          <w:rFonts w:ascii="Times New Roman" w:hAnsi="Times New Roman"/>
        </w:rPr>
        <w:instrText xml:space="preserve"> PAGEREF _Toc486434761 \h </w:instrText>
      </w:r>
      <w:r w:rsidRPr="009A0C10">
        <w:rPr>
          <w:rFonts w:ascii="Times New Roman" w:hAnsi="Times New Roman"/>
        </w:rPr>
      </w:r>
      <w:r w:rsidRPr="009A0C10">
        <w:rPr>
          <w:rFonts w:ascii="Times New Roman" w:hAnsi="Times New Roman"/>
        </w:rPr>
        <w:fldChar w:fldCharType="separate"/>
      </w:r>
      <w:r w:rsidR="00C77894">
        <w:rPr>
          <w:rFonts w:ascii="Times New Roman" w:hAnsi="Times New Roman"/>
        </w:rPr>
        <w:t>25</w:t>
      </w:r>
      <w:r w:rsidRPr="009A0C10">
        <w:rPr>
          <w:rFonts w:ascii="Times New Roman" w:hAnsi="Times New Roman"/>
        </w:rPr>
        <w:fldChar w:fldCharType="end"/>
      </w:r>
    </w:p>
    <w:p w14:paraId="43E104C2" w14:textId="77777777" w:rsidR="009A0C10" w:rsidRPr="009A0C10" w:rsidRDefault="009A0C10" w:rsidP="009A0C10">
      <w:pPr>
        <w:rPr>
          <w:lang w:eastAsia="ja-JP"/>
        </w:rPr>
      </w:pPr>
    </w:p>
    <w:p w14:paraId="23805C0D" w14:textId="78225DFE" w:rsidR="00C71192" w:rsidRPr="009A0C10" w:rsidRDefault="00C71192" w:rsidP="009A0C10">
      <w:pPr>
        <w:pStyle w:val="TOC1"/>
        <w:rPr>
          <w:rFonts w:ascii="Times New Roman" w:hAnsi="Times New Roman"/>
          <w:sz w:val="22"/>
          <w:szCs w:val="22"/>
          <w:lang w:eastAsia="en-US"/>
        </w:rPr>
      </w:pPr>
      <w:r w:rsidRPr="009A0C10">
        <w:rPr>
          <w:rFonts w:ascii="Times New Roman" w:hAnsi="Times New Roman"/>
        </w:rPr>
        <w:t>VI.</w:t>
      </w:r>
      <w:r w:rsidRPr="009A0C10">
        <w:rPr>
          <w:rFonts w:ascii="Times New Roman" w:hAnsi="Times New Roman"/>
          <w:sz w:val="22"/>
          <w:szCs w:val="22"/>
          <w:lang w:eastAsia="en-US"/>
        </w:rPr>
        <w:tab/>
      </w:r>
      <w:r w:rsidRPr="009A0C10">
        <w:rPr>
          <w:rFonts w:ascii="Times New Roman" w:hAnsi="Times New Roman"/>
        </w:rPr>
        <w:t>RECOVERY OF LEASING SOLUTIONS AND LIQUIFIED NATURAL GAS LEGAL COSTS</w:t>
      </w:r>
      <w:r w:rsidRPr="009A0C10">
        <w:rPr>
          <w:rFonts w:ascii="Times New Roman" w:hAnsi="Times New Roman"/>
        </w:rPr>
        <w:tab/>
      </w:r>
      <w:r w:rsidRPr="009A0C10">
        <w:rPr>
          <w:rFonts w:ascii="Times New Roman" w:hAnsi="Times New Roman"/>
        </w:rPr>
        <w:fldChar w:fldCharType="begin"/>
      </w:r>
      <w:r w:rsidRPr="009A0C10">
        <w:rPr>
          <w:rFonts w:ascii="Times New Roman" w:hAnsi="Times New Roman"/>
        </w:rPr>
        <w:instrText xml:space="preserve"> PAGEREF _Toc486434762 \h </w:instrText>
      </w:r>
      <w:r w:rsidRPr="009A0C10">
        <w:rPr>
          <w:rFonts w:ascii="Times New Roman" w:hAnsi="Times New Roman"/>
        </w:rPr>
      </w:r>
      <w:r w:rsidRPr="009A0C10">
        <w:rPr>
          <w:rFonts w:ascii="Times New Roman" w:hAnsi="Times New Roman"/>
        </w:rPr>
        <w:fldChar w:fldCharType="separate"/>
      </w:r>
      <w:r w:rsidR="00C77894">
        <w:rPr>
          <w:rFonts w:ascii="Times New Roman" w:hAnsi="Times New Roman"/>
        </w:rPr>
        <w:t>31</w:t>
      </w:r>
      <w:r w:rsidRPr="009A0C10">
        <w:rPr>
          <w:rFonts w:ascii="Times New Roman" w:hAnsi="Times New Roman"/>
        </w:rPr>
        <w:fldChar w:fldCharType="end"/>
      </w:r>
    </w:p>
    <w:p w14:paraId="0DEF81B7" w14:textId="0D23D1CF" w:rsidR="00F442EB" w:rsidRDefault="00BA2B83" w:rsidP="009A0C10">
      <w:pPr>
        <w:pStyle w:val="TOC1"/>
      </w:pPr>
      <w:r w:rsidRPr="009A0C10">
        <w:rPr>
          <w:rFonts w:ascii="Times New Roman" w:hAnsi="Times New Roman"/>
        </w:rPr>
        <w:fldChar w:fldCharType="end"/>
      </w:r>
      <w:r w:rsidR="00F442EB">
        <w:br w:type="page"/>
      </w:r>
    </w:p>
    <w:p w14:paraId="4AD4EE4C" w14:textId="54642B70" w:rsidR="003B1A28" w:rsidRDefault="003B1A28" w:rsidP="003B1A28">
      <w:pPr>
        <w:spacing w:line="480" w:lineRule="auto"/>
        <w:jc w:val="center"/>
        <w:rPr>
          <w:b/>
          <w:bCs/>
          <w:noProof/>
        </w:rPr>
      </w:pPr>
      <w:r w:rsidRPr="00F720F8">
        <w:rPr>
          <w:b/>
          <w:bCs/>
          <w:noProof/>
        </w:rPr>
        <w:lastRenderedPageBreak/>
        <w:t>LIST OF EXHIBITS</w:t>
      </w:r>
    </w:p>
    <w:p w14:paraId="520CBE82" w14:textId="77785535" w:rsidR="00690DCD" w:rsidRDefault="00690DCD" w:rsidP="00B9305D">
      <w:pPr>
        <w:spacing w:line="260" w:lineRule="exact"/>
      </w:pPr>
      <w:r>
        <w:t xml:space="preserve">Exhibit No. ECO-2C, Confidential </w:t>
      </w:r>
      <w:r w:rsidRPr="00690DCD">
        <w:t>Staff’s proposed environmental remediation adjustments</w:t>
      </w:r>
      <w:r>
        <w:t>.</w:t>
      </w:r>
    </w:p>
    <w:p w14:paraId="269A1844" w14:textId="77777777" w:rsidR="00690DCD" w:rsidRDefault="00690DCD" w:rsidP="00B9305D">
      <w:pPr>
        <w:spacing w:line="260" w:lineRule="exact"/>
      </w:pPr>
    </w:p>
    <w:p w14:paraId="4DF55BAA" w14:textId="07E2C114" w:rsidR="00690DCD" w:rsidRPr="00A74C19" w:rsidRDefault="00690DCD" w:rsidP="00B9305D">
      <w:pPr>
        <w:spacing w:line="260" w:lineRule="exact"/>
      </w:pPr>
      <w:r>
        <w:t xml:space="preserve">Exhibit No. ECO-3, </w:t>
      </w:r>
      <w:r w:rsidRPr="00690DCD">
        <w:t>Environmental remediation Commission orders, start dates and costs.</w:t>
      </w:r>
    </w:p>
    <w:p w14:paraId="58CA6BD0" w14:textId="77777777" w:rsidR="00690DCD" w:rsidRDefault="00690DCD" w:rsidP="00B9305D">
      <w:pPr>
        <w:spacing w:line="260" w:lineRule="exact"/>
      </w:pPr>
    </w:p>
    <w:p w14:paraId="6896E958" w14:textId="615AE7B8" w:rsidR="00690DCD" w:rsidRPr="00F16007" w:rsidRDefault="00690DCD" w:rsidP="00B9305D">
      <w:pPr>
        <w:spacing w:line="260" w:lineRule="exact"/>
      </w:pPr>
      <w:r w:rsidRPr="00F16007">
        <w:t>Exhibit No. ECO</w:t>
      </w:r>
      <w:r>
        <w:t>-4</w:t>
      </w:r>
      <w:r w:rsidRPr="00F16007">
        <w:t xml:space="preserve">, </w:t>
      </w:r>
      <w:r w:rsidRPr="00690DCD">
        <w:t>PSE Environmental remediation quarterly report, first quarter 2017</w:t>
      </w:r>
      <w:r>
        <w:t>.</w:t>
      </w:r>
    </w:p>
    <w:p w14:paraId="0082CC8F" w14:textId="77777777" w:rsidR="00690DCD" w:rsidRPr="00F16007" w:rsidRDefault="00690DCD" w:rsidP="00B9305D">
      <w:pPr>
        <w:spacing w:line="260" w:lineRule="exact"/>
      </w:pPr>
    </w:p>
    <w:p w14:paraId="34EE3988" w14:textId="5E328A62" w:rsidR="00690DCD" w:rsidRPr="00F16007" w:rsidRDefault="00690DCD" w:rsidP="00B9305D">
      <w:pPr>
        <w:spacing w:line="260" w:lineRule="exact"/>
      </w:pPr>
      <w:r w:rsidRPr="00F16007">
        <w:t>Exhibit No. ECO</w:t>
      </w:r>
      <w:r>
        <w:t>-5</w:t>
      </w:r>
      <w:r w:rsidRPr="00F16007">
        <w:t xml:space="preserve">, </w:t>
      </w:r>
      <w:r w:rsidR="00705DC5" w:rsidRPr="00705DC5">
        <w:t>PSE’s response to Staff data request 279.</w:t>
      </w:r>
    </w:p>
    <w:p w14:paraId="3221D6FF" w14:textId="77777777" w:rsidR="00690DCD" w:rsidRDefault="00690DCD" w:rsidP="00B9305D">
      <w:pPr>
        <w:spacing w:line="260" w:lineRule="exact"/>
      </w:pPr>
    </w:p>
    <w:p w14:paraId="5741C9A4" w14:textId="482D04E7" w:rsidR="00690DCD" w:rsidRPr="00F16007" w:rsidRDefault="00690DCD" w:rsidP="00B9305D">
      <w:pPr>
        <w:spacing w:line="260" w:lineRule="exact"/>
      </w:pPr>
      <w:r w:rsidRPr="00F16007">
        <w:t>Exhibit No. ECO</w:t>
      </w:r>
      <w:r>
        <w:t>-6</w:t>
      </w:r>
      <w:r w:rsidRPr="00F16007">
        <w:t xml:space="preserve">, </w:t>
      </w:r>
      <w:r w:rsidR="00705DC5" w:rsidRPr="00705DC5">
        <w:t>PSE’s response to Staff data request 274.</w:t>
      </w:r>
    </w:p>
    <w:p w14:paraId="11E18856" w14:textId="77777777" w:rsidR="00690DCD" w:rsidRPr="00F16007" w:rsidRDefault="00690DCD" w:rsidP="00B9305D">
      <w:pPr>
        <w:spacing w:line="260" w:lineRule="exact"/>
      </w:pPr>
    </w:p>
    <w:p w14:paraId="14380EAE" w14:textId="5B45915D" w:rsidR="00690DCD" w:rsidRPr="00F16007" w:rsidRDefault="00690DCD" w:rsidP="00B9305D">
      <w:pPr>
        <w:spacing w:line="260" w:lineRule="exact"/>
      </w:pPr>
      <w:r w:rsidRPr="00F16007">
        <w:t>Exhibit No. ECO</w:t>
      </w:r>
      <w:r>
        <w:t>-7</w:t>
      </w:r>
      <w:r w:rsidRPr="00F16007">
        <w:t xml:space="preserve">, </w:t>
      </w:r>
      <w:r w:rsidR="00705DC5" w:rsidRPr="00705DC5">
        <w:t>PSE’s response to Staff data request 282.</w:t>
      </w:r>
    </w:p>
    <w:p w14:paraId="4597EEF8" w14:textId="77777777" w:rsidR="00690DCD" w:rsidRDefault="00690DCD" w:rsidP="00B9305D">
      <w:pPr>
        <w:spacing w:line="260" w:lineRule="exact"/>
      </w:pPr>
    </w:p>
    <w:p w14:paraId="70B77E0D" w14:textId="592B39C7" w:rsidR="00690DCD" w:rsidRPr="00F16007" w:rsidRDefault="00690DCD" w:rsidP="00B9305D">
      <w:pPr>
        <w:spacing w:line="260" w:lineRule="exact"/>
      </w:pPr>
      <w:r w:rsidRPr="00F16007">
        <w:t>Exhibit No. ECO-</w:t>
      </w:r>
      <w:r>
        <w:t>8</w:t>
      </w:r>
      <w:r w:rsidRPr="00F16007">
        <w:t xml:space="preserve">, </w:t>
      </w:r>
      <w:r w:rsidR="00705DC5" w:rsidRPr="00705DC5">
        <w:t>PSE’s response to Staff data request 280.</w:t>
      </w:r>
    </w:p>
    <w:p w14:paraId="4A6BB062" w14:textId="77777777" w:rsidR="00690DCD" w:rsidRPr="00F16007" w:rsidRDefault="00690DCD" w:rsidP="00B9305D">
      <w:pPr>
        <w:spacing w:line="260" w:lineRule="exact"/>
      </w:pPr>
    </w:p>
    <w:p w14:paraId="205A7C97" w14:textId="3CF3EC00" w:rsidR="00690DCD" w:rsidRPr="00F16007" w:rsidRDefault="00690DCD" w:rsidP="00B9305D">
      <w:pPr>
        <w:spacing w:line="260" w:lineRule="exact"/>
      </w:pPr>
      <w:r w:rsidRPr="00F16007">
        <w:t>Exhibit No. ECO-</w:t>
      </w:r>
      <w:r>
        <w:t>9</w:t>
      </w:r>
      <w:r w:rsidRPr="00F16007">
        <w:t xml:space="preserve">, </w:t>
      </w:r>
      <w:r w:rsidR="00705DC5" w:rsidRPr="00705DC5">
        <w:t>PSE’s response to Staff data requests 270 and 271.</w:t>
      </w:r>
    </w:p>
    <w:p w14:paraId="4A6A704A" w14:textId="77777777" w:rsidR="00690DCD" w:rsidRDefault="00690DCD" w:rsidP="00B9305D">
      <w:pPr>
        <w:spacing w:line="260" w:lineRule="exact"/>
      </w:pPr>
    </w:p>
    <w:p w14:paraId="7062B300" w14:textId="2119BB4C" w:rsidR="00690DCD" w:rsidRPr="00F16007" w:rsidRDefault="00690DCD" w:rsidP="00B9305D">
      <w:pPr>
        <w:spacing w:line="260" w:lineRule="exact"/>
      </w:pPr>
      <w:r w:rsidRPr="00F16007">
        <w:t>Exhibit No. ECO</w:t>
      </w:r>
      <w:r>
        <w:t>-10</w:t>
      </w:r>
      <w:r w:rsidR="00705DC5">
        <w:t>C</w:t>
      </w:r>
      <w:r w:rsidRPr="00F16007">
        <w:t>,</w:t>
      </w:r>
      <w:r w:rsidR="00705DC5">
        <w:t xml:space="preserve"> Confidential</w:t>
      </w:r>
      <w:r w:rsidRPr="00F16007">
        <w:t xml:space="preserve"> </w:t>
      </w:r>
      <w:r w:rsidR="00705DC5" w:rsidRPr="00705DC5">
        <w:t>PSE’s response to Staff data request 401, attachment W.</w:t>
      </w:r>
    </w:p>
    <w:p w14:paraId="157A0B54" w14:textId="77777777" w:rsidR="00690DCD" w:rsidRPr="00F16007" w:rsidRDefault="00690DCD" w:rsidP="00B9305D">
      <w:pPr>
        <w:spacing w:line="260" w:lineRule="exact"/>
      </w:pPr>
    </w:p>
    <w:p w14:paraId="0611409A" w14:textId="256CE672" w:rsidR="00690DCD" w:rsidRPr="00F16007" w:rsidRDefault="00690DCD" w:rsidP="00B9305D">
      <w:pPr>
        <w:spacing w:line="260" w:lineRule="exact"/>
      </w:pPr>
      <w:r w:rsidRPr="00F16007">
        <w:t>Exhibit No. ECO</w:t>
      </w:r>
      <w:r>
        <w:t>-11</w:t>
      </w:r>
      <w:r w:rsidRPr="00F16007">
        <w:t xml:space="preserve">, </w:t>
      </w:r>
      <w:r w:rsidR="00705DC5" w:rsidRPr="00705DC5">
        <w:t>PSE’s response to Staff data request 278.</w:t>
      </w:r>
    </w:p>
    <w:p w14:paraId="5EE8186E" w14:textId="77777777" w:rsidR="00690DCD" w:rsidRDefault="00690DCD" w:rsidP="00B9305D">
      <w:pPr>
        <w:spacing w:line="260" w:lineRule="exact"/>
      </w:pPr>
    </w:p>
    <w:p w14:paraId="08FE0E8E" w14:textId="646AD9C3" w:rsidR="00690DCD" w:rsidRDefault="00690DCD" w:rsidP="00B9305D">
      <w:pPr>
        <w:spacing w:line="260" w:lineRule="exact"/>
      </w:pPr>
      <w:r>
        <w:t xml:space="preserve">Exhibit No. ECO-12, </w:t>
      </w:r>
      <w:r w:rsidR="00705DC5" w:rsidRPr="00705DC5">
        <w:t>PSE’s response to Staff data request 269, attachment A.</w:t>
      </w:r>
    </w:p>
    <w:p w14:paraId="158101DB" w14:textId="77777777" w:rsidR="00690DCD" w:rsidRDefault="00690DCD" w:rsidP="00B9305D">
      <w:pPr>
        <w:spacing w:line="260" w:lineRule="exact"/>
      </w:pPr>
    </w:p>
    <w:p w14:paraId="1130DEBE" w14:textId="2640E942" w:rsidR="00690DCD" w:rsidRDefault="00690DCD" w:rsidP="00B9305D">
      <w:pPr>
        <w:spacing w:line="260" w:lineRule="exact"/>
      </w:pPr>
      <w:r>
        <w:t xml:space="preserve">Exhibit No. ECO-13C, </w:t>
      </w:r>
      <w:r w:rsidR="00705DC5">
        <w:t xml:space="preserve">Confidential </w:t>
      </w:r>
      <w:r w:rsidR="00705DC5" w:rsidRPr="00705DC5">
        <w:t>Tacoma Tide Flats letter</w:t>
      </w:r>
      <w:r w:rsidR="00705DC5">
        <w:t>.</w:t>
      </w:r>
    </w:p>
    <w:p w14:paraId="1ADDCAA2" w14:textId="77777777" w:rsidR="00690DCD" w:rsidRDefault="00690DCD" w:rsidP="00B9305D">
      <w:pPr>
        <w:spacing w:line="260" w:lineRule="exact"/>
        <w:rPr>
          <w:rFonts w:eastAsia="Times New Roman"/>
          <w:b/>
        </w:rPr>
      </w:pPr>
    </w:p>
    <w:p w14:paraId="49B377C0" w14:textId="6822B0C1" w:rsidR="00690DCD" w:rsidRDefault="00690DCD" w:rsidP="00B9305D">
      <w:pPr>
        <w:spacing w:line="260" w:lineRule="exact"/>
      </w:pPr>
      <w:r>
        <w:t>Exhibit No. ECO-14</w:t>
      </w:r>
      <w:r w:rsidR="00856BD2">
        <w:t>C</w:t>
      </w:r>
      <w:r>
        <w:t>,</w:t>
      </w:r>
      <w:r w:rsidR="00856BD2">
        <w:t xml:space="preserve"> Confidential</w:t>
      </w:r>
      <w:r>
        <w:t xml:space="preserve"> </w:t>
      </w:r>
      <w:r w:rsidR="00856BD2" w:rsidRPr="00856BD2">
        <w:t>PSE’s response to Staff data request 401, attachment K.</w:t>
      </w:r>
    </w:p>
    <w:p w14:paraId="0505E4DC" w14:textId="77777777" w:rsidR="00690DCD" w:rsidRDefault="00690DCD" w:rsidP="00B9305D">
      <w:pPr>
        <w:spacing w:line="260" w:lineRule="exact"/>
      </w:pPr>
    </w:p>
    <w:p w14:paraId="4E2972CF" w14:textId="13758C6A" w:rsidR="00690DCD" w:rsidRDefault="00690DCD" w:rsidP="00B9305D">
      <w:pPr>
        <w:spacing w:line="260" w:lineRule="exact"/>
      </w:pPr>
      <w:r>
        <w:t xml:space="preserve">Exhibit No. ECO-15, </w:t>
      </w:r>
      <w:r w:rsidR="00856BD2" w:rsidRPr="00856BD2">
        <w:t>PSE’s response to Staff data request 281.</w:t>
      </w:r>
    </w:p>
    <w:p w14:paraId="27265375" w14:textId="77777777" w:rsidR="00690DCD" w:rsidRPr="00F16007" w:rsidRDefault="00690DCD" w:rsidP="00B9305D">
      <w:pPr>
        <w:spacing w:line="260" w:lineRule="exact"/>
        <w:rPr>
          <w:rFonts w:eastAsia="Times New Roman"/>
          <w:b/>
        </w:rPr>
      </w:pPr>
    </w:p>
    <w:p w14:paraId="045C6455" w14:textId="78B21358" w:rsidR="00690DCD" w:rsidRDefault="00690DCD" w:rsidP="00B9305D">
      <w:pPr>
        <w:spacing w:line="260" w:lineRule="exact"/>
      </w:pPr>
      <w:r>
        <w:t xml:space="preserve">Exhibit No. ECO-16, </w:t>
      </w:r>
      <w:r w:rsidR="00856BD2">
        <w:t>Washington Natural Gas and PSE’s Environmental Projects Quarterly reports excluding Tacoma Tide Flats.</w:t>
      </w:r>
    </w:p>
    <w:p w14:paraId="6781C687" w14:textId="77777777" w:rsidR="00690DCD" w:rsidRDefault="00690DCD" w:rsidP="00B9305D">
      <w:pPr>
        <w:spacing w:line="260" w:lineRule="exact"/>
      </w:pPr>
    </w:p>
    <w:p w14:paraId="78AA04FA" w14:textId="3A40DF44" w:rsidR="00690DCD" w:rsidRDefault="00690DCD" w:rsidP="00B9305D">
      <w:pPr>
        <w:spacing w:line="260" w:lineRule="exact"/>
      </w:pPr>
      <w:r>
        <w:t xml:space="preserve">Exhibit No. ECO-17, </w:t>
      </w:r>
      <w:r w:rsidR="00856BD2" w:rsidRPr="00856BD2">
        <w:t>PSE’s summary of environmental remediation costs for gas sites including Tacoma Tide Flats. December 31, 1997.</w:t>
      </w:r>
    </w:p>
    <w:p w14:paraId="2D8DE627" w14:textId="77777777" w:rsidR="00690DCD" w:rsidRDefault="00690DCD" w:rsidP="00B9305D">
      <w:pPr>
        <w:spacing w:line="260" w:lineRule="exact"/>
        <w:rPr>
          <w:rFonts w:eastAsia="Times New Roman"/>
        </w:rPr>
      </w:pPr>
    </w:p>
    <w:p w14:paraId="37C33F69" w14:textId="0A2C117A" w:rsidR="00690DCD" w:rsidRDefault="00690DCD" w:rsidP="00B9305D">
      <w:pPr>
        <w:spacing w:line="260" w:lineRule="exact"/>
      </w:pPr>
      <w:r>
        <w:t xml:space="preserve">Exhibit No. ECO-18, </w:t>
      </w:r>
      <w:r w:rsidR="00856BD2" w:rsidRPr="00856BD2">
        <w:t>PSE’s response to Staff data request 364, attachment A.</w:t>
      </w:r>
    </w:p>
    <w:p w14:paraId="58645F6F" w14:textId="77777777" w:rsidR="00690DCD" w:rsidRDefault="00690DCD" w:rsidP="00B9305D">
      <w:pPr>
        <w:spacing w:line="260" w:lineRule="exact"/>
      </w:pPr>
    </w:p>
    <w:p w14:paraId="36428A05" w14:textId="40077318" w:rsidR="00690DCD" w:rsidRDefault="00690DCD" w:rsidP="00B9305D">
      <w:pPr>
        <w:spacing w:line="260" w:lineRule="exact"/>
      </w:pPr>
      <w:r>
        <w:t xml:space="preserve">Exhibit No. ECO-19, </w:t>
      </w:r>
      <w:r w:rsidR="00856BD2" w:rsidRPr="00856BD2">
        <w:t>PSE’s response to Staff data request 364.</w:t>
      </w:r>
    </w:p>
    <w:p w14:paraId="413F9A18" w14:textId="77777777" w:rsidR="00856BD2" w:rsidRDefault="00856BD2" w:rsidP="00B9305D">
      <w:pPr>
        <w:spacing w:line="260" w:lineRule="exact"/>
      </w:pPr>
    </w:p>
    <w:p w14:paraId="31B5A361" w14:textId="3925F587" w:rsidR="00690DCD" w:rsidRDefault="00690DCD" w:rsidP="00B9305D">
      <w:pPr>
        <w:spacing w:line="260" w:lineRule="exact"/>
      </w:pPr>
      <w:r>
        <w:t xml:space="preserve">Exhibit No. ECO-20, </w:t>
      </w:r>
      <w:r w:rsidR="00856BD2" w:rsidRPr="00856BD2">
        <w:t>PSE’s response to Staff data request 221.</w:t>
      </w:r>
    </w:p>
    <w:p w14:paraId="2049979B" w14:textId="77777777" w:rsidR="00690DCD" w:rsidRDefault="00690DCD" w:rsidP="00B9305D">
      <w:pPr>
        <w:spacing w:line="260" w:lineRule="exact"/>
      </w:pPr>
    </w:p>
    <w:p w14:paraId="4249E735" w14:textId="0E5CB063" w:rsidR="00690DCD" w:rsidRDefault="00690DCD" w:rsidP="00B9305D">
      <w:pPr>
        <w:spacing w:line="260" w:lineRule="exact"/>
      </w:pPr>
      <w:r>
        <w:t xml:space="preserve">Exhibit No. ECO-21, </w:t>
      </w:r>
      <w:r w:rsidR="00856BD2" w:rsidRPr="00856BD2">
        <w:t>PSE’s response to Staff data requests 312 and 408.</w:t>
      </w:r>
    </w:p>
    <w:p w14:paraId="2837A430" w14:textId="77777777" w:rsidR="00690DCD" w:rsidRDefault="00690DCD" w:rsidP="00B9305D">
      <w:pPr>
        <w:spacing w:line="260" w:lineRule="exact"/>
      </w:pPr>
    </w:p>
    <w:p w14:paraId="3901D9BA" w14:textId="6BD6A9C1" w:rsidR="003B1A28" w:rsidRDefault="00690DCD" w:rsidP="00B9305D">
      <w:pPr>
        <w:spacing w:line="260" w:lineRule="exact"/>
      </w:pPr>
      <w:r>
        <w:t xml:space="preserve">Exhibit No. ECO-22, </w:t>
      </w:r>
      <w:r w:rsidR="00856BD2" w:rsidRPr="00856BD2">
        <w:t>Staff’s proposed legal costs adjustments</w:t>
      </w:r>
      <w:r w:rsidR="000D3B70">
        <w:t>.</w:t>
      </w:r>
    </w:p>
    <w:p w14:paraId="5D539DB9" w14:textId="77777777" w:rsidR="00B9305D" w:rsidRDefault="00B9305D" w:rsidP="00B9305D">
      <w:pPr>
        <w:spacing w:line="260" w:lineRule="exact"/>
      </w:pPr>
    </w:p>
    <w:p w14:paraId="1968046A" w14:textId="673F933E" w:rsidR="00A10E5B" w:rsidRPr="006355F2" w:rsidRDefault="00A10E5B" w:rsidP="00B9305D">
      <w:pPr>
        <w:spacing w:line="260" w:lineRule="exact"/>
        <w:sectPr w:rsidR="00A10E5B" w:rsidRPr="006355F2" w:rsidSect="00BD533D">
          <w:pgSz w:w="12240" w:h="15840" w:code="1"/>
          <w:pgMar w:top="1440" w:right="1440" w:bottom="1440" w:left="1440" w:header="720" w:footer="720" w:gutter="0"/>
          <w:pgNumType w:fmt="lowerRoman" w:start="1"/>
          <w:cols w:space="720"/>
          <w:docGrid w:linePitch="360"/>
        </w:sectPr>
      </w:pPr>
      <w:bookmarkStart w:id="0" w:name="_Toc424808464"/>
      <w:bookmarkStart w:id="1" w:name="_Toc424808485"/>
      <w:bookmarkStart w:id="2" w:name="_Toc486434753"/>
      <w:r>
        <w:t>Exhibit No. ECO-23</w:t>
      </w:r>
      <w:r w:rsidRPr="00A10E5B">
        <w:t>, PSE’s re</w:t>
      </w:r>
      <w:r>
        <w:t>sponse to Staff data request 218, attachment A</w:t>
      </w:r>
      <w:r w:rsidRPr="00A10E5B">
        <w:t>.</w:t>
      </w:r>
      <w:r w:rsidRPr="00A10E5B">
        <w:tab/>
      </w:r>
    </w:p>
    <w:p w14:paraId="0B0AA73E" w14:textId="505F31F4" w:rsidR="004026AD" w:rsidRPr="002752E0" w:rsidRDefault="00455AAB" w:rsidP="00292B1C">
      <w:pPr>
        <w:pStyle w:val="Heading1"/>
        <w:ind w:left="720"/>
        <w:rPr>
          <w:caps/>
        </w:rPr>
      </w:pPr>
      <w:r w:rsidRPr="002752E0">
        <w:rPr>
          <w:caps/>
        </w:rPr>
        <w:lastRenderedPageBreak/>
        <w:t>Introduction</w:t>
      </w:r>
      <w:bookmarkEnd w:id="0"/>
      <w:bookmarkEnd w:id="1"/>
      <w:bookmarkEnd w:id="2"/>
    </w:p>
    <w:p w14:paraId="0B79B8CF" w14:textId="77777777" w:rsidR="003E7CD6" w:rsidRDefault="003E7CD6" w:rsidP="003E7CD6">
      <w:pPr>
        <w:pStyle w:val="NoSpacing"/>
      </w:pPr>
      <w:bookmarkStart w:id="3" w:name="_Toc391989915"/>
      <w:bookmarkStart w:id="4" w:name="_Toc391990017"/>
      <w:bookmarkStart w:id="5" w:name="_Toc393023104"/>
      <w:bookmarkStart w:id="6" w:name="_Toc393023310"/>
    </w:p>
    <w:p w14:paraId="0B0AA73F" w14:textId="77777777" w:rsidR="004026AD" w:rsidRPr="00F720F8" w:rsidRDefault="004026AD" w:rsidP="008F38DE">
      <w:pPr>
        <w:pStyle w:val="Heading8"/>
      </w:pPr>
      <w:r w:rsidRPr="00F720F8">
        <w:t>Q.</w:t>
      </w:r>
      <w:r w:rsidRPr="00F720F8">
        <w:tab/>
        <w:t>Please state your name and business address.</w:t>
      </w:r>
      <w:bookmarkEnd w:id="3"/>
      <w:bookmarkEnd w:id="4"/>
      <w:bookmarkEnd w:id="5"/>
      <w:bookmarkEnd w:id="6"/>
      <w:r w:rsidRPr="00F720F8">
        <w:t xml:space="preserve">  </w:t>
      </w:r>
    </w:p>
    <w:p w14:paraId="0B0AA740" w14:textId="3B756338" w:rsidR="004026AD" w:rsidRPr="00F720F8" w:rsidRDefault="004026AD" w:rsidP="00713027">
      <w:pPr>
        <w:pStyle w:val="NoSpacing"/>
      </w:pPr>
      <w:r w:rsidRPr="00F720F8">
        <w:t>A.</w:t>
      </w:r>
      <w:r w:rsidRPr="00F720F8">
        <w:tab/>
      </w:r>
      <w:r w:rsidR="00AC132D" w:rsidRPr="00AC132D">
        <w:t xml:space="preserve">My name is </w:t>
      </w:r>
      <w:r w:rsidR="00B41C33">
        <w:t>Elizabeth C. O’Connell</w:t>
      </w:r>
      <w:r w:rsidR="00AC132D" w:rsidRPr="00AC132D">
        <w:t>.  My business address is The Richard Hemstad Building, 1300 S. Evergreen Park Drive S.W.,</w:t>
      </w:r>
      <w:r w:rsidR="00B41C33">
        <w:t xml:space="preserve"> P.O. Box 47250,</w:t>
      </w:r>
      <w:r w:rsidR="00AC132D" w:rsidRPr="00AC132D">
        <w:t xml:space="preserve"> Olympia, WA </w:t>
      </w:r>
      <w:r w:rsidR="000D3B70">
        <w:t xml:space="preserve"> </w:t>
      </w:r>
      <w:r w:rsidR="00AC132D" w:rsidRPr="00AC132D">
        <w:t>98504</w:t>
      </w:r>
      <w:r w:rsidR="00AC132D">
        <w:t>.</w:t>
      </w:r>
      <w:r w:rsidRPr="00F720F8">
        <w:t xml:space="preserve"> </w:t>
      </w:r>
    </w:p>
    <w:p w14:paraId="791F60E7" w14:textId="77777777" w:rsidR="00CD0188" w:rsidRPr="00F720F8" w:rsidRDefault="00CD0188" w:rsidP="00713027">
      <w:pPr>
        <w:pStyle w:val="NoSpacing"/>
      </w:pPr>
    </w:p>
    <w:p w14:paraId="0B0AA741" w14:textId="77777777" w:rsidR="004026AD" w:rsidRPr="00F720F8" w:rsidRDefault="004026AD" w:rsidP="006E4526">
      <w:pPr>
        <w:pStyle w:val="Heading8"/>
      </w:pPr>
      <w:bookmarkStart w:id="7" w:name="_Toc391989916"/>
      <w:bookmarkStart w:id="8" w:name="_Toc391990018"/>
      <w:bookmarkStart w:id="9" w:name="_Toc393023105"/>
      <w:bookmarkStart w:id="10" w:name="_Toc393023311"/>
      <w:r w:rsidRPr="00F720F8">
        <w:t>Q.</w:t>
      </w:r>
      <w:r w:rsidRPr="00F720F8">
        <w:tab/>
        <w:t xml:space="preserve">By whom are you employed </w:t>
      </w:r>
      <w:r w:rsidRPr="006E4526">
        <w:t>and</w:t>
      </w:r>
      <w:r w:rsidRPr="00F720F8">
        <w:t xml:space="preserve"> in what capacity?</w:t>
      </w:r>
      <w:bookmarkEnd w:id="7"/>
      <w:bookmarkEnd w:id="8"/>
      <w:bookmarkEnd w:id="9"/>
      <w:bookmarkEnd w:id="10"/>
      <w:r w:rsidRPr="00F720F8">
        <w:t xml:space="preserve">  </w:t>
      </w:r>
    </w:p>
    <w:p w14:paraId="0B0AA742" w14:textId="59BC9C6F" w:rsidR="004026AD" w:rsidRPr="00F720F8" w:rsidRDefault="004026AD" w:rsidP="00713027">
      <w:pPr>
        <w:pStyle w:val="NoSpacing"/>
      </w:pPr>
      <w:r w:rsidRPr="00F720F8">
        <w:t>A.</w:t>
      </w:r>
      <w:r w:rsidRPr="00F720F8">
        <w:tab/>
      </w:r>
      <w:r w:rsidR="00AC132D" w:rsidRPr="00AC132D">
        <w:t xml:space="preserve">I am employed by the Washington Utilities and Transportation Commission (Commission) as a Regulatory Analyst in the Energy Regulation Section of the Regulatory Services Division.  </w:t>
      </w:r>
      <w:r w:rsidR="009A7637">
        <w:t>Among other duties</w:t>
      </w:r>
      <w:r w:rsidR="00C5454F" w:rsidRPr="00C5454F">
        <w:t xml:space="preserve">, I am responsible for </w:t>
      </w:r>
      <w:r w:rsidR="00C5454F">
        <w:t>fin</w:t>
      </w:r>
      <w:r w:rsidR="009A7637">
        <w:t xml:space="preserve">ancial and accounting analysis, </w:t>
      </w:r>
      <w:r w:rsidR="00C5454F" w:rsidRPr="00C5454F">
        <w:t xml:space="preserve">auditing records of regulated companies, </w:t>
      </w:r>
      <w:r w:rsidR="00895E14">
        <w:t xml:space="preserve">rate design, </w:t>
      </w:r>
      <w:r w:rsidR="008249A5">
        <w:t xml:space="preserve">analyzing cost of service studies, </w:t>
      </w:r>
      <w:r w:rsidR="00C5454F" w:rsidRPr="00C5454F">
        <w:t xml:space="preserve">and </w:t>
      </w:r>
      <w:r w:rsidR="009A7637">
        <w:t>reviewing</w:t>
      </w:r>
      <w:r w:rsidR="00C5454F" w:rsidRPr="00C5454F">
        <w:t xml:space="preserve"> affiliated interest transactions.    </w:t>
      </w:r>
    </w:p>
    <w:p w14:paraId="52540BB8" w14:textId="77777777" w:rsidR="00CD0188" w:rsidRPr="00F720F8" w:rsidRDefault="00CD0188" w:rsidP="00713027">
      <w:pPr>
        <w:pStyle w:val="NoSpacing"/>
      </w:pPr>
    </w:p>
    <w:p w14:paraId="0B0AA743" w14:textId="77777777" w:rsidR="004026AD" w:rsidRPr="00F720F8" w:rsidRDefault="004026AD" w:rsidP="006E4526">
      <w:pPr>
        <w:pStyle w:val="Heading8"/>
      </w:pPr>
      <w:r w:rsidRPr="00F720F8">
        <w:t>Q.</w:t>
      </w:r>
      <w:r w:rsidRPr="00F720F8">
        <w:tab/>
        <w:t xml:space="preserve">How long have you been employed by </w:t>
      </w:r>
      <w:r w:rsidRPr="006E4526">
        <w:t>the</w:t>
      </w:r>
      <w:r w:rsidRPr="00F720F8">
        <w:t xml:space="preserve"> Commission?</w:t>
      </w:r>
    </w:p>
    <w:p w14:paraId="0B0AA744" w14:textId="7FBB7DF3" w:rsidR="004026AD" w:rsidRPr="00F720F8" w:rsidRDefault="004026AD" w:rsidP="00713027">
      <w:pPr>
        <w:pStyle w:val="NoSpacing"/>
      </w:pPr>
      <w:r w:rsidRPr="00F720F8">
        <w:t>A.</w:t>
      </w:r>
      <w:r w:rsidRPr="00F720F8">
        <w:tab/>
      </w:r>
      <w:r w:rsidR="00AC132D" w:rsidRPr="00AC132D">
        <w:t xml:space="preserve">I have been employed by the Commission since </w:t>
      </w:r>
      <w:r w:rsidR="00B41C33">
        <w:t>November</w:t>
      </w:r>
      <w:r w:rsidR="00AC132D" w:rsidRPr="00AC132D">
        <w:t xml:space="preserve"> 2015.</w:t>
      </w:r>
    </w:p>
    <w:p w14:paraId="462CE0CF" w14:textId="77777777" w:rsidR="00CD0188" w:rsidRPr="00F720F8" w:rsidRDefault="00CD0188" w:rsidP="00713027">
      <w:pPr>
        <w:pStyle w:val="NoSpacing"/>
      </w:pPr>
    </w:p>
    <w:p w14:paraId="0B0AA745" w14:textId="77777777" w:rsidR="004026AD" w:rsidRPr="00F720F8" w:rsidRDefault="004026AD" w:rsidP="006E4526">
      <w:pPr>
        <w:pStyle w:val="Heading8"/>
      </w:pPr>
      <w:bookmarkStart w:id="11" w:name="_Toc391989917"/>
      <w:bookmarkStart w:id="12" w:name="_Toc391990019"/>
      <w:bookmarkStart w:id="13" w:name="_Toc393023106"/>
      <w:bookmarkStart w:id="14" w:name="_Toc393023312"/>
      <w:r w:rsidRPr="00F720F8">
        <w:t>Q.</w:t>
      </w:r>
      <w:r w:rsidRPr="00F720F8">
        <w:tab/>
        <w:t xml:space="preserve">Would you please state your </w:t>
      </w:r>
      <w:r w:rsidRPr="006E4526">
        <w:t>educational</w:t>
      </w:r>
      <w:r w:rsidRPr="00F720F8">
        <w:t xml:space="preserve"> and professional background?</w:t>
      </w:r>
      <w:bookmarkEnd w:id="11"/>
      <w:bookmarkEnd w:id="12"/>
      <w:bookmarkEnd w:id="13"/>
      <w:bookmarkEnd w:id="14"/>
    </w:p>
    <w:p w14:paraId="0B0AA746" w14:textId="02ABC5F9" w:rsidR="00E91591" w:rsidRDefault="004026AD" w:rsidP="00AC132D">
      <w:pPr>
        <w:pStyle w:val="NoSpacing"/>
      </w:pPr>
      <w:r w:rsidRPr="00F720F8">
        <w:t>A.</w:t>
      </w:r>
      <w:r w:rsidRPr="00F720F8">
        <w:tab/>
      </w:r>
      <w:r w:rsidR="00AC132D" w:rsidRPr="00AC132D">
        <w:t>I</w:t>
      </w:r>
      <w:r w:rsidR="008238A8">
        <w:t>n 2009</w:t>
      </w:r>
      <w:r w:rsidR="00BD2C6E">
        <w:t>,</w:t>
      </w:r>
      <w:r w:rsidR="008238A8">
        <w:t xml:space="preserve"> I</w:t>
      </w:r>
      <w:r w:rsidR="00AC132D" w:rsidRPr="00AC132D">
        <w:t xml:space="preserve"> graduated from</w:t>
      </w:r>
      <w:r w:rsidR="00374932">
        <w:t xml:space="preserve"> Universidad Central de </w:t>
      </w:r>
      <w:r w:rsidR="008238A8">
        <w:t>Venezuela in Caracas, Venezuela</w:t>
      </w:r>
      <w:r w:rsidR="00864ABF">
        <w:t xml:space="preserve"> </w:t>
      </w:r>
      <w:r w:rsidR="00AC132D" w:rsidRPr="00AC132D">
        <w:t>with a Bach</w:t>
      </w:r>
      <w:r w:rsidR="00864ABF">
        <w:t xml:space="preserve">elor of Science in </w:t>
      </w:r>
      <w:r w:rsidR="00AC132D" w:rsidRPr="00AC132D">
        <w:t>Economics</w:t>
      </w:r>
      <w:r w:rsidR="00864ABF">
        <w:t xml:space="preserve">, </w:t>
      </w:r>
      <w:r w:rsidR="008238A8">
        <w:t>specializing</w:t>
      </w:r>
      <w:r w:rsidR="00864ABF">
        <w:t xml:space="preserve"> </w:t>
      </w:r>
      <w:r w:rsidR="00E71106">
        <w:t>in Banks</w:t>
      </w:r>
      <w:r w:rsidR="00864ABF">
        <w:t xml:space="preserve"> and Finance</w:t>
      </w:r>
      <w:r w:rsidR="008238A8">
        <w:t>.  In 2013</w:t>
      </w:r>
      <w:r w:rsidR="00BD2C6E">
        <w:t>,</w:t>
      </w:r>
      <w:r w:rsidR="00E379BA">
        <w:t xml:space="preserve"> </w:t>
      </w:r>
      <w:r w:rsidR="00AC132D" w:rsidRPr="00AC132D">
        <w:t xml:space="preserve">I graduated from </w:t>
      </w:r>
      <w:r w:rsidR="00631846">
        <w:t xml:space="preserve">the </w:t>
      </w:r>
      <w:r w:rsidR="008238A8">
        <w:t>University of Dundee in Dundee, United Kingdom with a Master of Business Administration</w:t>
      </w:r>
      <w:r w:rsidR="00AC132D" w:rsidRPr="00AC132D">
        <w:t xml:space="preserve"> in </w:t>
      </w:r>
      <w:r w:rsidR="00E71106">
        <w:t>International Oil and Gas Management</w:t>
      </w:r>
      <w:r w:rsidR="00AC132D" w:rsidRPr="00AC132D">
        <w:t>.</w:t>
      </w:r>
      <w:r w:rsidR="00E71106">
        <w:t xml:space="preserve">  In 2015</w:t>
      </w:r>
      <w:r w:rsidR="00BD2C6E">
        <w:t>,</w:t>
      </w:r>
      <w:r w:rsidR="00E71106">
        <w:t xml:space="preserve"> I graduated from the University of Was</w:t>
      </w:r>
      <w:r w:rsidR="00810EC6">
        <w:t xml:space="preserve">hington in Seattle, Washington with an </w:t>
      </w:r>
      <w:r w:rsidR="00810EC6">
        <w:lastRenderedPageBreak/>
        <w:t xml:space="preserve">Accounting Diploma. </w:t>
      </w:r>
      <w:r w:rsidR="000D3B70">
        <w:t xml:space="preserve"> </w:t>
      </w:r>
      <w:r w:rsidR="00C5454F" w:rsidRPr="00973D39">
        <w:t>Before joining the Commission</w:t>
      </w:r>
      <w:r w:rsidR="00C66C70">
        <w:t xml:space="preserve">, I worked for </w:t>
      </w:r>
      <w:r w:rsidR="000D3B70">
        <w:t>3</w:t>
      </w:r>
      <w:r w:rsidR="00C66C70">
        <w:t xml:space="preserve"> years in the financial s</w:t>
      </w:r>
      <w:r w:rsidR="00C5454F" w:rsidRPr="00973D39">
        <w:t>ector</w:t>
      </w:r>
      <w:r w:rsidR="00C5454F" w:rsidRPr="00AC132D">
        <w:t xml:space="preserve"> </w:t>
      </w:r>
      <w:r w:rsidR="00235EB1">
        <w:t>assisting with</w:t>
      </w:r>
      <w:r w:rsidR="00C66C70">
        <w:t xml:space="preserve"> brokerage of agricultural securities</w:t>
      </w:r>
      <w:r w:rsidR="0003404A">
        <w:t xml:space="preserve">.  </w:t>
      </w:r>
      <w:r w:rsidR="00BD2C6E">
        <w:t>I also p</w:t>
      </w:r>
      <w:r w:rsidR="00192375">
        <w:t>reviously</w:t>
      </w:r>
      <w:r w:rsidR="00BD2C6E">
        <w:t xml:space="preserve"> </w:t>
      </w:r>
      <w:r w:rsidR="008B004C">
        <w:t xml:space="preserve">worked for </w:t>
      </w:r>
      <w:r w:rsidR="000D3B70">
        <w:t>3</w:t>
      </w:r>
      <w:r w:rsidR="008B004C">
        <w:t xml:space="preserve"> years in the Real</w:t>
      </w:r>
      <w:r w:rsidR="00E379BA">
        <w:t xml:space="preserve"> Estate sector as an A</w:t>
      </w:r>
      <w:r w:rsidR="008B004C">
        <w:t>dvisor</w:t>
      </w:r>
      <w:r w:rsidR="00BD2C6E">
        <w:t>,</w:t>
      </w:r>
      <w:r w:rsidR="008B004C">
        <w:t xml:space="preserve"> specializing in the appraisal of</w:t>
      </w:r>
      <w:r w:rsidR="006C1AA7">
        <w:t xml:space="preserve"> realty</w:t>
      </w:r>
      <w:r w:rsidR="00014B6F">
        <w:t xml:space="preserve"> property</w:t>
      </w:r>
      <w:r w:rsidR="00AC132D" w:rsidRPr="00AC132D">
        <w:t>.</w:t>
      </w:r>
    </w:p>
    <w:p w14:paraId="7903146D" w14:textId="77777777" w:rsidR="00C31468" w:rsidRDefault="00C31468" w:rsidP="00AC132D">
      <w:pPr>
        <w:pStyle w:val="NoSpacing"/>
      </w:pPr>
    </w:p>
    <w:p w14:paraId="1164267C" w14:textId="56E485C8" w:rsidR="00C31468" w:rsidRDefault="00C31468" w:rsidP="006E4526">
      <w:pPr>
        <w:pStyle w:val="Heading8"/>
      </w:pPr>
      <w:r>
        <w:t>Q.</w:t>
      </w:r>
      <w:r>
        <w:tab/>
        <w:t>Have you previously testified before the Commission?</w:t>
      </w:r>
    </w:p>
    <w:p w14:paraId="0C9F509E" w14:textId="5EE7408F" w:rsidR="00C31468" w:rsidRPr="004B6148" w:rsidRDefault="00C31468" w:rsidP="004B6148">
      <w:pPr>
        <w:pStyle w:val="BodyTextIndent2"/>
        <w:ind w:hanging="720"/>
        <w:rPr>
          <w:color w:val="000000"/>
        </w:rPr>
      </w:pPr>
      <w:r w:rsidRPr="00C31468">
        <w:t>A.</w:t>
      </w:r>
      <w:r w:rsidRPr="00C31468">
        <w:tab/>
      </w:r>
      <w:r w:rsidR="004B6148" w:rsidRPr="003D7C85">
        <w:rPr>
          <w:color w:val="000000" w:themeColor="text1"/>
        </w:rPr>
        <w:t>Yes.</w:t>
      </w:r>
      <w:r w:rsidR="000D3B70">
        <w:rPr>
          <w:color w:val="000000" w:themeColor="text1"/>
        </w:rPr>
        <w:t xml:space="preserve"> </w:t>
      </w:r>
      <w:r w:rsidR="004B6148" w:rsidRPr="003D7C85">
        <w:rPr>
          <w:color w:val="000000" w:themeColor="text1"/>
        </w:rPr>
        <w:t xml:space="preserve"> I presented testimony related to prudence, pro forma ratemaking policy, property tax, and environmental remediation projects in Pacific Power’s General Rate Case in Docket UE-152253.</w:t>
      </w:r>
      <w:r w:rsidR="004B6148">
        <w:rPr>
          <w:color w:val="000000" w:themeColor="text1"/>
        </w:rPr>
        <w:t xml:space="preserve">  I also provided testimony related to leases</w:t>
      </w:r>
      <w:r w:rsidR="00FD1571">
        <w:rPr>
          <w:color w:val="000000" w:themeColor="text1"/>
        </w:rPr>
        <w:t>,</w:t>
      </w:r>
      <w:r w:rsidR="004B6148">
        <w:rPr>
          <w:color w:val="000000" w:themeColor="text1"/>
        </w:rPr>
        <w:t xml:space="preserve"> additions to rate base, regulatory accounting principles, and general rate design in</w:t>
      </w:r>
      <w:r w:rsidR="00D54622">
        <w:rPr>
          <w:color w:val="000000" w:themeColor="text1"/>
        </w:rPr>
        <w:t xml:space="preserve"> Puget Sound Energy’s </w:t>
      </w:r>
      <w:r w:rsidR="004B6148">
        <w:rPr>
          <w:color w:val="000000" w:themeColor="text1"/>
        </w:rPr>
        <w:t>Docket</w:t>
      </w:r>
      <w:r w:rsidR="00D54622">
        <w:rPr>
          <w:color w:val="000000" w:themeColor="text1"/>
        </w:rPr>
        <w:t>s</w:t>
      </w:r>
      <w:r w:rsidR="004B6148">
        <w:rPr>
          <w:color w:val="000000" w:themeColor="text1"/>
        </w:rPr>
        <w:t xml:space="preserve"> UE-151871</w:t>
      </w:r>
      <w:r w:rsidR="008249A5">
        <w:rPr>
          <w:color w:val="000000" w:themeColor="text1"/>
        </w:rPr>
        <w:t>/</w:t>
      </w:r>
      <w:r w:rsidR="004B6148">
        <w:rPr>
          <w:color w:val="000000" w:themeColor="text1"/>
        </w:rPr>
        <w:t>UG-151872.</w:t>
      </w:r>
      <w:r w:rsidR="004B6148" w:rsidRPr="004B6148">
        <w:rPr>
          <w:color w:val="000000"/>
        </w:rPr>
        <w:t xml:space="preserve"> </w:t>
      </w:r>
      <w:r w:rsidR="000D3B70">
        <w:rPr>
          <w:color w:val="000000"/>
        </w:rPr>
        <w:t xml:space="preserve"> </w:t>
      </w:r>
      <w:r w:rsidR="004B6148" w:rsidRPr="004B6148">
        <w:rPr>
          <w:color w:val="000000"/>
        </w:rPr>
        <w:t>Fi</w:t>
      </w:r>
      <w:r w:rsidR="004B6148">
        <w:rPr>
          <w:color w:val="000000"/>
        </w:rPr>
        <w:t>nally I provided</w:t>
      </w:r>
      <w:r w:rsidR="004B6148" w:rsidRPr="004B6148">
        <w:rPr>
          <w:color w:val="000000"/>
        </w:rPr>
        <w:t xml:space="preserve"> testimony </w:t>
      </w:r>
      <w:r w:rsidR="004B6148">
        <w:rPr>
          <w:color w:val="000000"/>
        </w:rPr>
        <w:t xml:space="preserve">in </w:t>
      </w:r>
      <w:r w:rsidR="004B6148" w:rsidRPr="004B6148">
        <w:rPr>
          <w:color w:val="000000"/>
        </w:rPr>
        <w:t>Avista’s</w:t>
      </w:r>
      <w:r w:rsidR="004B6148">
        <w:rPr>
          <w:color w:val="000000"/>
        </w:rPr>
        <w:t xml:space="preserve"> last General Rate Case in Docket UE-160228</w:t>
      </w:r>
      <w:r w:rsidR="008249A5">
        <w:rPr>
          <w:color w:val="000000"/>
        </w:rPr>
        <w:t>/</w:t>
      </w:r>
      <w:r w:rsidR="004B6148">
        <w:rPr>
          <w:color w:val="000000"/>
        </w:rPr>
        <w:t>UG-160229</w:t>
      </w:r>
      <w:r w:rsidR="004B6148" w:rsidRPr="004B6148">
        <w:rPr>
          <w:color w:val="000000"/>
        </w:rPr>
        <w:t xml:space="preserve"> </w:t>
      </w:r>
      <w:r w:rsidR="004B6148">
        <w:rPr>
          <w:color w:val="000000"/>
        </w:rPr>
        <w:t xml:space="preserve">associated with plant </w:t>
      </w:r>
      <w:r w:rsidR="004B6148" w:rsidRPr="004B6148">
        <w:rPr>
          <w:color w:val="000000"/>
        </w:rPr>
        <w:t>held for future use in production and distribution activities</w:t>
      </w:r>
      <w:r w:rsidR="004B6148">
        <w:rPr>
          <w:color w:val="000000"/>
        </w:rPr>
        <w:t>, deferred debits and c</w:t>
      </w:r>
      <w:r w:rsidR="004B6148" w:rsidRPr="004B6148">
        <w:rPr>
          <w:color w:val="000000"/>
        </w:rPr>
        <w:t xml:space="preserve">redits </w:t>
      </w:r>
      <w:r w:rsidR="004B6148">
        <w:rPr>
          <w:color w:val="000000"/>
        </w:rPr>
        <w:t>adjustment, and pro</w:t>
      </w:r>
      <w:r w:rsidR="000D3B70">
        <w:rPr>
          <w:color w:val="000000"/>
        </w:rPr>
        <w:t xml:space="preserve"> </w:t>
      </w:r>
      <w:r w:rsidR="004B6148">
        <w:rPr>
          <w:color w:val="000000"/>
        </w:rPr>
        <w:t>forma regulatory amortization a</w:t>
      </w:r>
      <w:r w:rsidR="004B6148" w:rsidRPr="004B6148">
        <w:rPr>
          <w:color w:val="000000"/>
        </w:rPr>
        <w:t xml:space="preserve">djustment. </w:t>
      </w:r>
    </w:p>
    <w:p w14:paraId="18131F65" w14:textId="77777777" w:rsidR="00434D77" w:rsidRPr="00F720F8" w:rsidRDefault="00434D77" w:rsidP="00713027">
      <w:pPr>
        <w:pStyle w:val="NoSpacing"/>
      </w:pPr>
    </w:p>
    <w:p w14:paraId="05887D49" w14:textId="76722749" w:rsidR="00A31693" w:rsidRPr="002752E0" w:rsidRDefault="00A31693" w:rsidP="00292B1C">
      <w:pPr>
        <w:pStyle w:val="Heading1"/>
        <w:ind w:left="720"/>
        <w:rPr>
          <w:caps/>
        </w:rPr>
      </w:pPr>
      <w:bookmarkStart w:id="15" w:name="_Toc424808465"/>
      <w:bookmarkStart w:id="16" w:name="_Toc424808486"/>
      <w:bookmarkStart w:id="17" w:name="_Toc486434754"/>
      <w:r w:rsidRPr="002752E0">
        <w:rPr>
          <w:caps/>
        </w:rPr>
        <w:t xml:space="preserve">Scope </w:t>
      </w:r>
      <w:r w:rsidR="00C347EA">
        <w:rPr>
          <w:caps/>
        </w:rPr>
        <w:t xml:space="preserve">AND SUmmary </w:t>
      </w:r>
      <w:r w:rsidRPr="002752E0">
        <w:rPr>
          <w:caps/>
        </w:rPr>
        <w:t>of Testimony</w:t>
      </w:r>
      <w:bookmarkEnd w:id="15"/>
      <w:bookmarkEnd w:id="16"/>
      <w:bookmarkEnd w:id="17"/>
    </w:p>
    <w:p w14:paraId="5D9DC695" w14:textId="77777777" w:rsidR="003D686A" w:rsidRPr="00F720F8" w:rsidRDefault="003D686A" w:rsidP="00713027">
      <w:pPr>
        <w:pStyle w:val="NoSpacing"/>
      </w:pPr>
    </w:p>
    <w:p w14:paraId="5D88E85B" w14:textId="6EC2AAF2" w:rsidR="00D227E2" w:rsidRPr="00F720F8" w:rsidRDefault="00D227E2" w:rsidP="006E4526">
      <w:pPr>
        <w:pStyle w:val="Heading8"/>
      </w:pPr>
      <w:r w:rsidRPr="00F720F8">
        <w:t>Q.</w:t>
      </w:r>
      <w:r w:rsidRPr="00F720F8">
        <w:tab/>
      </w:r>
      <w:r w:rsidR="00670A21" w:rsidRPr="00670A21">
        <w:t xml:space="preserve">Please explain the purpose of </w:t>
      </w:r>
      <w:r w:rsidR="00670A21" w:rsidRPr="006E4526">
        <w:t>your</w:t>
      </w:r>
      <w:r w:rsidR="00670A21" w:rsidRPr="00670A21">
        <w:t xml:space="preserve"> testimony.</w:t>
      </w:r>
    </w:p>
    <w:p w14:paraId="0F548DBA" w14:textId="0F575D73" w:rsidR="004129E0" w:rsidRPr="00973D39" w:rsidRDefault="004129E0" w:rsidP="00C73986">
      <w:pPr>
        <w:pStyle w:val="BodyTextIndent2"/>
        <w:ind w:hanging="720"/>
      </w:pPr>
      <w:r w:rsidRPr="00973D39">
        <w:t>A.</w:t>
      </w:r>
      <w:r w:rsidRPr="00973D39">
        <w:tab/>
      </w:r>
      <w:r w:rsidR="00CC5A0C">
        <w:t>My</w:t>
      </w:r>
      <w:r w:rsidR="009812E1">
        <w:t xml:space="preserve"> testimony addresses </w:t>
      </w:r>
      <w:r w:rsidR="00CC5A0C">
        <w:t xml:space="preserve">three issues. </w:t>
      </w:r>
      <w:r w:rsidR="000D3B70">
        <w:t xml:space="preserve"> </w:t>
      </w:r>
      <w:r w:rsidR="009812E1">
        <w:t xml:space="preserve">Initially, </w:t>
      </w:r>
      <w:r w:rsidR="00CC5A0C">
        <w:t>I</w:t>
      </w:r>
      <w:r w:rsidR="009812E1">
        <w:t xml:space="preserve"> address </w:t>
      </w:r>
      <w:r w:rsidR="00CC5A0C">
        <w:t xml:space="preserve">Puget Sound </w:t>
      </w:r>
      <w:r w:rsidR="000D3B70">
        <w:t>Energy</w:t>
      </w:r>
      <w:r w:rsidR="00CC5A0C">
        <w:t>’s (“PSE” or “Company”) proposal to recover</w:t>
      </w:r>
      <w:r w:rsidR="009812E1">
        <w:t xml:space="preserve"> environmental remediation</w:t>
      </w:r>
      <w:r w:rsidR="00B7451F">
        <w:t xml:space="preserve"> </w:t>
      </w:r>
      <w:r w:rsidR="009812E1">
        <w:t>project</w:t>
      </w:r>
      <w:r w:rsidR="001553FE">
        <w:t xml:space="preserve"> costs</w:t>
      </w:r>
      <w:r w:rsidR="009812E1">
        <w:t xml:space="preserve"> </w:t>
      </w:r>
      <w:r w:rsidR="001553FE">
        <w:t>in rates</w:t>
      </w:r>
      <w:r w:rsidR="00D54622">
        <w:t xml:space="preserve">.  Then I </w:t>
      </w:r>
      <w:r w:rsidR="001553FE">
        <w:t>propose the</w:t>
      </w:r>
      <w:r w:rsidR="009F1A98">
        <w:t xml:space="preserve"> </w:t>
      </w:r>
      <w:r w:rsidR="00CC5A0C">
        <w:t xml:space="preserve">Commission order PSE to </w:t>
      </w:r>
      <w:r w:rsidR="009F1A98">
        <w:t xml:space="preserve">phase-out the </w:t>
      </w:r>
      <w:r w:rsidR="00C93035">
        <w:t xml:space="preserve">Company’s </w:t>
      </w:r>
      <w:r w:rsidR="00DE35CF">
        <w:t>natural gas water heater</w:t>
      </w:r>
      <w:r w:rsidR="00E37DC6">
        <w:t xml:space="preserve"> and conversion burner</w:t>
      </w:r>
      <w:r w:rsidR="00DE35CF">
        <w:t xml:space="preserve"> </w:t>
      </w:r>
      <w:r w:rsidR="009F1A98">
        <w:t>rental program</w:t>
      </w:r>
      <w:r w:rsidR="00DE35CF">
        <w:t xml:space="preserve"> (</w:t>
      </w:r>
      <w:r w:rsidR="00F50DC8">
        <w:t>“</w:t>
      </w:r>
      <w:r w:rsidR="00DE35CF">
        <w:t>rental program</w:t>
      </w:r>
      <w:r w:rsidR="00F50DC8">
        <w:t>”</w:t>
      </w:r>
      <w:r w:rsidR="00DE35CF">
        <w:t>)</w:t>
      </w:r>
      <w:r w:rsidR="00CC5A0C">
        <w:t xml:space="preserve">. </w:t>
      </w:r>
      <w:r w:rsidR="00CC5A0C">
        <w:lastRenderedPageBreak/>
        <w:t>Lastly,</w:t>
      </w:r>
      <w:r w:rsidR="00227454">
        <w:t xml:space="preserve"> I</w:t>
      </w:r>
      <w:r w:rsidR="001553FE">
        <w:t xml:space="preserve"> </w:t>
      </w:r>
      <w:r w:rsidR="00CC5A0C">
        <w:t>recommend</w:t>
      </w:r>
      <w:r w:rsidR="001553FE">
        <w:t xml:space="preserve"> </w:t>
      </w:r>
      <w:r w:rsidR="009F1A98">
        <w:t xml:space="preserve">the </w:t>
      </w:r>
      <w:r w:rsidR="00CC5A0C">
        <w:t xml:space="preserve">Commission disallow </w:t>
      </w:r>
      <w:r w:rsidR="009F1A98">
        <w:t>recovery of certain legal expenses incurred during the rate year</w:t>
      </w:r>
      <w:r w:rsidR="009812E1">
        <w:t>.</w:t>
      </w:r>
      <w:r w:rsidR="008F70DB">
        <w:t xml:space="preserve"> </w:t>
      </w:r>
    </w:p>
    <w:p w14:paraId="2FEA1248" w14:textId="1B017671" w:rsidR="00434D77" w:rsidRPr="00F720F8" w:rsidRDefault="00434D77" w:rsidP="00670A21">
      <w:pPr>
        <w:pStyle w:val="NoSpacing"/>
      </w:pPr>
    </w:p>
    <w:p w14:paraId="6F7D4501" w14:textId="354D4225" w:rsidR="00670A21" w:rsidRPr="00670A21" w:rsidRDefault="00EE534F" w:rsidP="006E4526">
      <w:pPr>
        <w:pStyle w:val="Heading8"/>
      </w:pPr>
      <w:r>
        <w:t>Q.</w:t>
      </w:r>
      <w:r w:rsidR="00670A21">
        <w:tab/>
      </w:r>
      <w:r w:rsidR="00BA74FB">
        <w:t xml:space="preserve">Please summarize your </w:t>
      </w:r>
      <w:r w:rsidR="00BA74FB" w:rsidRPr="006E4526">
        <w:t>conclusions</w:t>
      </w:r>
      <w:r w:rsidR="00BA74FB">
        <w:t xml:space="preserve"> on the issues addressed in your testimony.</w:t>
      </w:r>
    </w:p>
    <w:p w14:paraId="4506693F" w14:textId="59531E8E" w:rsidR="001B7C85" w:rsidRDefault="00EE534F" w:rsidP="00A6412D">
      <w:pPr>
        <w:pStyle w:val="NoSpacing"/>
      </w:pPr>
      <w:r w:rsidRPr="00BA74FB">
        <w:t>A.</w:t>
      </w:r>
      <w:r w:rsidRPr="00BA74FB">
        <w:tab/>
      </w:r>
      <w:r w:rsidR="00BA74FB">
        <w:t xml:space="preserve">Below I lay out each of the individual </w:t>
      </w:r>
      <w:r w:rsidR="001B7C85">
        <w:t>proposals from the Company a</w:t>
      </w:r>
      <w:r w:rsidR="00BA74FB">
        <w:t>nd summarize</w:t>
      </w:r>
      <w:r w:rsidR="001B7C85">
        <w:t xml:space="preserve"> my conclusions:</w:t>
      </w:r>
    </w:p>
    <w:p w14:paraId="68E58656" w14:textId="73003958" w:rsidR="00CC5A0C" w:rsidRDefault="007B2363" w:rsidP="00631BE5">
      <w:pPr>
        <w:pStyle w:val="NoSpacing"/>
        <w:numPr>
          <w:ilvl w:val="0"/>
          <w:numId w:val="9"/>
        </w:numPr>
      </w:pPr>
      <w:r>
        <w:rPr>
          <w:i/>
          <w:u w:val="single"/>
        </w:rPr>
        <w:t>Amortization of</w:t>
      </w:r>
      <w:r w:rsidR="009812E1" w:rsidRPr="009812E1">
        <w:rPr>
          <w:i/>
          <w:u w:val="single"/>
        </w:rPr>
        <w:t xml:space="preserve"> </w:t>
      </w:r>
      <w:r w:rsidR="00B8526D">
        <w:rPr>
          <w:i/>
          <w:u w:val="single"/>
        </w:rPr>
        <w:t>Environmental Remediation Projects</w:t>
      </w:r>
      <w:r w:rsidR="009812E1" w:rsidRPr="009812E1">
        <w:t xml:space="preserve">: </w:t>
      </w:r>
      <w:r w:rsidR="00A2408B">
        <w:t xml:space="preserve"> </w:t>
      </w:r>
      <w:r w:rsidR="009812E1">
        <w:t>PSE</w:t>
      </w:r>
      <w:r w:rsidR="002136A4">
        <w:t xml:space="preserve"> </w:t>
      </w:r>
      <w:r w:rsidR="002136A4" w:rsidRPr="002136A4">
        <w:t>in</w:t>
      </w:r>
      <w:r w:rsidR="000541C9">
        <w:t xml:space="preserve">corporated </w:t>
      </w:r>
      <w:r w:rsidR="00482E6F">
        <w:t>adjustment</w:t>
      </w:r>
      <w:r w:rsidR="00FD1571">
        <w:t>s</w:t>
      </w:r>
      <w:r w:rsidR="00482E6F">
        <w:t xml:space="preserve"> </w:t>
      </w:r>
      <w:r w:rsidR="00B7451F">
        <w:t>“</w:t>
      </w:r>
      <w:r w:rsidR="001553FE">
        <w:t xml:space="preserve">6.19E &amp; 6.19G </w:t>
      </w:r>
      <w:r w:rsidR="002136A4" w:rsidRPr="002136A4">
        <w:t>Environmental remediation</w:t>
      </w:r>
      <w:r w:rsidR="00B7451F">
        <w:t>”</w:t>
      </w:r>
      <w:r w:rsidR="002136A4" w:rsidRPr="002136A4">
        <w:t xml:space="preserve"> to account for the </w:t>
      </w:r>
      <w:r w:rsidR="00631BE5">
        <w:t xml:space="preserve">amortization of deferred </w:t>
      </w:r>
      <w:r w:rsidR="002136A4" w:rsidRPr="002136A4">
        <w:t xml:space="preserve">costs </w:t>
      </w:r>
      <w:r w:rsidR="00CC5A0C">
        <w:t>from</w:t>
      </w:r>
      <w:r w:rsidR="004E08CD">
        <w:t xml:space="preserve"> </w:t>
      </w:r>
      <w:r w:rsidR="00F52490">
        <w:t xml:space="preserve">Environmental Remediation </w:t>
      </w:r>
      <w:r w:rsidR="009812E1">
        <w:t>projects through September 30, 2016.</w:t>
      </w:r>
      <w:r w:rsidR="00631BE5" w:rsidRPr="00631BE5">
        <w:t xml:space="preserve"> </w:t>
      </w:r>
      <w:r w:rsidR="00CC5A0C">
        <w:t xml:space="preserve">Those project costs </w:t>
      </w:r>
      <w:r w:rsidR="003A16A3">
        <w:t xml:space="preserve">are </w:t>
      </w:r>
      <w:r w:rsidR="003F6F2D">
        <w:t xml:space="preserve">predominantly </w:t>
      </w:r>
      <w:r w:rsidR="003A16A3">
        <w:t>caused by changes</w:t>
      </w:r>
      <w:r w:rsidR="00631BE5" w:rsidRPr="00631BE5">
        <w:t xml:space="preserve"> in federal and state legal framework</w:t>
      </w:r>
      <w:r w:rsidR="003F6F2D">
        <w:t>s</w:t>
      </w:r>
      <w:r w:rsidR="00631BE5" w:rsidRPr="00631BE5">
        <w:t>.</w:t>
      </w:r>
      <w:r w:rsidR="00DE35CF">
        <w:rPr>
          <w:rStyle w:val="FootnoteReference"/>
        </w:rPr>
        <w:footnoteReference w:id="2"/>
      </w:r>
      <w:r w:rsidR="009812E1">
        <w:t xml:space="preserve"> </w:t>
      </w:r>
    </w:p>
    <w:p w14:paraId="25FDAD13" w14:textId="7C0CBF17" w:rsidR="00A71E0B" w:rsidRDefault="00D8032C" w:rsidP="009E5EF9">
      <w:pPr>
        <w:pStyle w:val="NoSpacing"/>
        <w:ind w:left="1494" w:firstLine="666"/>
      </w:pPr>
      <w:r>
        <w:t>I g</w:t>
      </w:r>
      <w:r w:rsidR="000D4403">
        <w:t xml:space="preserve">enerally </w:t>
      </w:r>
      <w:r w:rsidR="00EE2EFC">
        <w:t>find</w:t>
      </w:r>
      <w:r w:rsidR="004A004D" w:rsidRPr="004A004D">
        <w:t xml:space="preserve"> that the </w:t>
      </w:r>
      <w:r w:rsidR="00CC5A0C">
        <w:t xml:space="preserve">Company’s </w:t>
      </w:r>
      <w:r w:rsidR="004A004D" w:rsidRPr="004A004D">
        <w:t xml:space="preserve">decision </w:t>
      </w:r>
      <w:r w:rsidR="004A004D">
        <w:t xml:space="preserve">to remediate the </w:t>
      </w:r>
      <w:r w:rsidR="00CC5A0C">
        <w:t xml:space="preserve">contaminated </w:t>
      </w:r>
      <w:r w:rsidR="004A004D">
        <w:t xml:space="preserve">sites </w:t>
      </w:r>
      <w:r w:rsidR="00CC5A0C">
        <w:t>and comply with the applicable federal and state laws</w:t>
      </w:r>
      <w:r w:rsidR="004A004D">
        <w:t xml:space="preserve"> </w:t>
      </w:r>
      <w:r w:rsidR="00631BE5">
        <w:t>was p</w:t>
      </w:r>
      <w:r w:rsidR="00EE2EFC">
        <w:t xml:space="preserve">rudent. </w:t>
      </w:r>
      <w:r w:rsidR="00A2408B">
        <w:t xml:space="preserve"> </w:t>
      </w:r>
      <w:r w:rsidR="00FF7643">
        <w:t xml:space="preserve">However, </w:t>
      </w:r>
      <w:r w:rsidR="000D7910">
        <w:t>I recommend</w:t>
      </w:r>
      <w:r w:rsidR="009C388A" w:rsidRPr="009C388A">
        <w:t xml:space="preserve"> the Commission reject</w:t>
      </w:r>
      <w:r w:rsidR="00205830">
        <w:t xml:space="preserve"> </w:t>
      </w:r>
      <w:r w:rsidR="00CC5A0C">
        <w:t xml:space="preserve">the specific amounts and accounting methodologies </w:t>
      </w:r>
      <w:r w:rsidR="00205830">
        <w:t>PSE</w:t>
      </w:r>
      <w:r w:rsidR="009C388A">
        <w:t xml:space="preserve"> </w:t>
      </w:r>
      <w:r w:rsidR="00631BE5">
        <w:t xml:space="preserve">included in </w:t>
      </w:r>
      <w:r w:rsidR="00CC5A0C">
        <w:t>its proposed</w:t>
      </w:r>
      <w:r w:rsidR="009C388A">
        <w:t xml:space="preserve"> adjustment</w:t>
      </w:r>
      <w:r w:rsidR="00FD1571">
        <w:t>s</w:t>
      </w:r>
      <w:r w:rsidR="009C388A">
        <w:t>.</w:t>
      </w:r>
      <w:r w:rsidR="00631BE5">
        <w:t xml:space="preserve"> </w:t>
      </w:r>
      <w:r w:rsidR="009E5EF9">
        <w:t xml:space="preserve"> </w:t>
      </w:r>
      <w:r w:rsidR="003A16A3">
        <w:t>Most significantly,</w:t>
      </w:r>
      <w:r w:rsidR="00F52490">
        <w:t xml:space="preserve"> my </w:t>
      </w:r>
      <w:r w:rsidR="000D4403">
        <w:t xml:space="preserve">recommendation </w:t>
      </w:r>
      <w:r w:rsidR="001553FE">
        <w:t>exclude</w:t>
      </w:r>
      <w:r w:rsidR="000D4403">
        <w:t>s</w:t>
      </w:r>
      <w:r w:rsidR="002A4331">
        <w:t xml:space="preserve"> certain</w:t>
      </w:r>
      <w:r w:rsidR="000D4403">
        <w:t xml:space="preserve"> amounts associated with</w:t>
      </w:r>
      <w:r w:rsidR="001553FE">
        <w:t xml:space="preserve"> the costs and recoveries </w:t>
      </w:r>
      <w:r w:rsidR="00C93035">
        <w:t>related to</w:t>
      </w:r>
      <w:r w:rsidR="001553FE">
        <w:t xml:space="preserve"> </w:t>
      </w:r>
      <w:r w:rsidR="000D4403">
        <w:t xml:space="preserve">the </w:t>
      </w:r>
      <w:r w:rsidR="001553FE">
        <w:t xml:space="preserve">Tacoma Tar Pits </w:t>
      </w:r>
      <w:r w:rsidR="000D4403">
        <w:t>contamination site</w:t>
      </w:r>
      <w:r w:rsidR="003C27B1" w:rsidRPr="003C27B1">
        <w:t xml:space="preserve"> deferred</w:t>
      </w:r>
      <w:r w:rsidR="002A4331">
        <w:t xml:space="preserve"> before PSE’s merger with Washington Natural Gas</w:t>
      </w:r>
      <w:r w:rsidR="000D4403">
        <w:t xml:space="preserve">. </w:t>
      </w:r>
      <w:r w:rsidR="009E5EF9">
        <w:t xml:space="preserve"> </w:t>
      </w:r>
      <w:r w:rsidR="001553FE">
        <w:t xml:space="preserve">My calculations </w:t>
      </w:r>
      <w:r w:rsidR="000D4403">
        <w:t xml:space="preserve">also </w:t>
      </w:r>
      <w:r w:rsidR="00E62381">
        <w:t>allocate each instance of insurance</w:t>
      </w:r>
      <w:r w:rsidR="005B1247">
        <w:t xml:space="preserve"> and third-party proceeds that </w:t>
      </w:r>
      <w:r w:rsidR="00F21AB6">
        <w:t xml:space="preserve">were </w:t>
      </w:r>
      <w:r w:rsidR="005B1247">
        <w:t>directly assigned to</w:t>
      </w:r>
      <w:r w:rsidR="00E62381">
        <w:t xml:space="preserve"> </w:t>
      </w:r>
      <w:r w:rsidR="00F21AB6">
        <w:t xml:space="preserve">a </w:t>
      </w:r>
      <w:r w:rsidR="00E62381">
        <w:t>corresponding remediation project</w:t>
      </w:r>
      <w:r w:rsidR="003A16A3">
        <w:t>.</w:t>
      </w:r>
      <w:r w:rsidR="009E5EF9">
        <w:t xml:space="preserve"> </w:t>
      </w:r>
      <w:r w:rsidR="009C388A">
        <w:t xml:space="preserve"> </w:t>
      </w:r>
      <w:r w:rsidR="005B1247">
        <w:t xml:space="preserve">The remaining unassigned recoveries were assigned to specific projects. </w:t>
      </w:r>
      <w:r w:rsidR="009E5EF9">
        <w:t xml:space="preserve"> </w:t>
      </w:r>
      <w:r w:rsidR="005B1247">
        <w:t>Allocating</w:t>
      </w:r>
      <w:r w:rsidR="009F621F">
        <w:t xml:space="preserve"> proceeds to specific project</w:t>
      </w:r>
      <w:r w:rsidR="00C93035">
        <w:t>s</w:t>
      </w:r>
      <w:r w:rsidR="009F621F">
        <w:t xml:space="preserve"> results in a more </w:t>
      </w:r>
      <w:r w:rsidR="009F621F">
        <w:lastRenderedPageBreak/>
        <w:t xml:space="preserve">accurate accounting of the Company’s obligations. </w:t>
      </w:r>
      <w:r w:rsidR="009E5EF9">
        <w:t xml:space="preserve"> </w:t>
      </w:r>
      <w:r w:rsidR="00631BE5">
        <w:t>Finally</w:t>
      </w:r>
      <w:r w:rsidR="009F621F">
        <w:t>,</w:t>
      </w:r>
      <w:r w:rsidR="00631BE5">
        <w:t xml:space="preserve"> I make several recommendations to improve the effectiveness of </w:t>
      </w:r>
      <w:r w:rsidR="00F21AB6">
        <w:t xml:space="preserve">the </w:t>
      </w:r>
      <w:r w:rsidR="00631BE5">
        <w:t>reporting process to the Commis</w:t>
      </w:r>
      <w:r w:rsidR="00863C53">
        <w:t>sion</w:t>
      </w:r>
      <w:r w:rsidR="001553FE">
        <w:t>,</w:t>
      </w:r>
      <w:r w:rsidR="00863C53">
        <w:t xml:space="preserve"> so </w:t>
      </w:r>
      <w:r w:rsidR="009F621F">
        <w:t>the Company’s reporting mechanisms actually</w:t>
      </w:r>
      <w:r w:rsidR="00863C53">
        <w:t xml:space="preserve"> reflect up</w:t>
      </w:r>
      <w:r w:rsidR="00F21AB6">
        <w:t>-</w:t>
      </w:r>
      <w:r w:rsidR="00863C53">
        <w:t>to</w:t>
      </w:r>
      <w:r w:rsidR="00F21AB6">
        <w:t>–</w:t>
      </w:r>
      <w:r w:rsidR="00863C53">
        <w:t>date</w:t>
      </w:r>
      <w:r w:rsidR="00F21AB6">
        <w:t>,</w:t>
      </w:r>
      <w:r w:rsidR="002A4331">
        <w:t xml:space="preserve"> </w:t>
      </w:r>
      <w:r w:rsidR="00863C53">
        <w:t xml:space="preserve">detailed information regarding the deferred </w:t>
      </w:r>
      <w:r w:rsidR="001553FE">
        <w:t>balances</w:t>
      </w:r>
      <w:r w:rsidR="0010035B">
        <w:t>.</w:t>
      </w:r>
      <w:r w:rsidR="009E5EF9">
        <w:t xml:space="preserve"> </w:t>
      </w:r>
      <w:r w:rsidR="0010035B">
        <w:t xml:space="preserve"> These recommendations apply</w:t>
      </w:r>
      <w:r w:rsidR="005B1247">
        <w:t xml:space="preserve"> not only the costs but</w:t>
      </w:r>
      <w:r w:rsidR="00863C53">
        <w:t xml:space="preserve"> also all recoveries associated with </w:t>
      </w:r>
      <w:r w:rsidR="009F621F">
        <w:t>each</w:t>
      </w:r>
      <w:r w:rsidR="00863C53">
        <w:t xml:space="preserve"> </w:t>
      </w:r>
      <w:r w:rsidR="009F621F">
        <w:t>environmental remediation</w:t>
      </w:r>
      <w:r w:rsidR="00863C53">
        <w:t xml:space="preserve"> </w:t>
      </w:r>
      <w:r w:rsidR="00A31E5E">
        <w:t>project</w:t>
      </w:r>
      <w:r w:rsidR="000D7910">
        <w:t>.</w:t>
      </w:r>
    </w:p>
    <w:p w14:paraId="35A0E2CC" w14:textId="782B5824" w:rsidR="00E95B8D" w:rsidRDefault="00192C4E" w:rsidP="00192C4E">
      <w:pPr>
        <w:pStyle w:val="NoSpacing"/>
        <w:numPr>
          <w:ilvl w:val="0"/>
          <w:numId w:val="9"/>
        </w:numPr>
        <w:rPr>
          <w:color w:val="000000" w:themeColor="text1"/>
        </w:rPr>
      </w:pPr>
      <w:r w:rsidRPr="00192C4E">
        <w:rPr>
          <w:i/>
          <w:color w:val="000000" w:themeColor="text1"/>
          <w:u w:val="single"/>
        </w:rPr>
        <w:t>Schedule 71 - Residential Water Heater Rental Service</w:t>
      </w:r>
      <w:r w:rsidR="000C41FB" w:rsidRPr="00D04162">
        <w:rPr>
          <w:i/>
          <w:color w:val="000000" w:themeColor="text1"/>
          <w:u w:val="single"/>
        </w:rPr>
        <w:t>,</w:t>
      </w:r>
      <w:r>
        <w:rPr>
          <w:i/>
          <w:color w:val="000000" w:themeColor="text1"/>
          <w:u w:val="single"/>
        </w:rPr>
        <w:t xml:space="preserve"> Schedule </w:t>
      </w:r>
      <w:r w:rsidRPr="00192C4E">
        <w:rPr>
          <w:i/>
          <w:color w:val="000000" w:themeColor="text1"/>
          <w:u w:val="single"/>
        </w:rPr>
        <w:t>72 - Large Vol</w:t>
      </w:r>
      <w:r>
        <w:rPr>
          <w:i/>
          <w:color w:val="000000" w:themeColor="text1"/>
          <w:u w:val="single"/>
        </w:rPr>
        <w:t xml:space="preserve">ume Water Heater Rental Service, </w:t>
      </w:r>
      <w:r w:rsidR="000C41FB" w:rsidRPr="00D04162">
        <w:rPr>
          <w:i/>
          <w:color w:val="000000" w:themeColor="text1"/>
          <w:u w:val="single"/>
        </w:rPr>
        <w:t xml:space="preserve">and </w:t>
      </w:r>
      <w:r>
        <w:rPr>
          <w:i/>
          <w:color w:val="000000" w:themeColor="text1"/>
          <w:u w:val="single"/>
        </w:rPr>
        <w:t xml:space="preserve">Schedule </w:t>
      </w:r>
      <w:r w:rsidRPr="00192C4E">
        <w:rPr>
          <w:i/>
          <w:color w:val="000000" w:themeColor="text1"/>
          <w:u w:val="single"/>
        </w:rPr>
        <w:t>74 - Gas Conversion Burner Rental Service</w:t>
      </w:r>
      <w:r w:rsidR="006A7DA9" w:rsidRPr="00D04162">
        <w:rPr>
          <w:color w:val="000000" w:themeColor="text1"/>
        </w:rPr>
        <w:t xml:space="preserve">: </w:t>
      </w:r>
      <w:r w:rsidR="009F621F" w:rsidRPr="009F621F">
        <w:rPr>
          <w:color w:val="000000" w:themeColor="text1"/>
        </w:rPr>
        <w:t xml:space="preserve"> </w:t>
      </w:r>
      <w:r w:rsidR="009F621F">
        <w:rPr>
          <w:color w:val="000000" w:themeColor="text1"/>
        </w:rPr>
        <w:t>I recommend</w:t>
      </w:r>
      <w:r w:rsidR="009F621F" w:rsidRPr="00D04162">
        <w:rPr>
          <w:color w:val="000000" w:themeColor="text1"/>
        </w:rPr>
        <w:t xml:space="preserve"> that PSE progressively </w:t>
      </w:r>
      <w:r w:rsidR="009F621F">
        <w:rPr>
          <w:color w:val="000000" w:themeColor="text1"/>
        </w:rPr>
        <w:t>phase</w:t>
      </w:r>
      <w:r w:rsidR="009F621F" w:rsidRPr="00D04162">
        <w:rPr>
          <w:color w:val="000000" w:themeColor="text1"/>
        </w:rPr>
        <w:t xml:space="preserve"> out t</w:t>
      </w:r>
      <w:r w:rsidR="009F621F">
        <w:rPr>
          <w:color w:val="000000" w:themeColor="text1"/>
        </w:rPr>
        <w:t>he rental program</w:t>
      </w:r>
      <w:r w:rsidR="0056761E">
        <w:rPr>
          <w:color w:val="000000" w:themeColor="text1"/>
        </w:rPr>
        <w:t xml:space="preserve">. </w:t>
      </w:r>
      <w:r w:rsidR="009E5EF9">
        <w:rPr>
          <w:color w:val="000000" w:themeColor="text1"/>
        </w:rPr>
        <w:t xml:space="preserve"> </w:t>
      </w:r>
      <w:r w:rsidR="00211737">
        <w:rPr>
          <w:color w:val="000000" w:themeColor="text1"/>
        </w:rPr>
        <w:t>R</w:t>
      </w:r>
      <w:r w:rsidR="006E212B">
        <w:rPr>
          <w:color w:val="000000" w:themeColor="text1"/>
        </w:rPr>
        <w:t>ental</w:t>
      </w:r>
      <w:r w:rsidR="0077568E" w:rsidRPr="00D04162">
        <w:rPr>
          <w:color w:val="000000" w:themeColor="text1"/>
        </w:rPr>
        <w:t xml:space="preserve"> customer</w:t>
      </w:r>
      <w:r w:rsidR="009F621F">
        <w:rPr>
          <w:color w:val="000000" w:themeColor="text1"/>
        </w:rPr>
        <w:t>s</w:t>
      </w:r>
      <w:r w:rsidR="0077568E" w:rsidRPr="00D04162">
        <w:rPr>
          <w:color w:val="000000" w:themeColor="text1"/>
        </w:rPr>
        <w:t xml:space="preserve"> </w:t>
      </w:r>
      <w:r w:rsidR="009F621F">
        <w:rPr>
          <w:color w:val="000000" w:themeColor="text1"/>
        </w:rPr>
        <w:t xml:space="preserve">are </w:t>
      </w:r>
      <w:r w:rsidR="00211737">
        <w:rPr>
          <w:color w:val="000000" w:themeColor="text1"/>
        </w:rPr>
        <w:t xml:space="preserve">overpaying and </w:t>
      </w:r>
      <w:r w:rsidR="009F621F">
        <w:rPr>
          <w:color w:val="000000" w:themeColor="text1"/>
        </w:rPr>
        <w:t>significantly subsidizing</w:t>
      </w:r>
      <w:r w:rsidR="0077568E" w:rsidRPr="00D04162">
        <w:rPr>
          <w:color w:val="000000" w:themeColor="text1"/>
        </w:rPr>
        <w:t xml:space="preserve"> other customer classes</w:t>
      </w:r>
      <w:r w:rsidR="00211737">
        <w:rPr>
          <w:color w:val="000000" w:themeColor="text1"/>
        </w:rPr>
        <w:t>.</w:t>
      </w:r>
      <w:r w:rsidR="00E4599C">
        <w:rPr>
          <w:rStyle w:val="FootnoteReference"/>
          <w:color w:val="000000" w:themeColor="text1"/>
        </w:rPr>
        <w:footnoteReference w:id="3"/>
      </w:r>
      <w:r w:rsidR="009E5EF9">
        <w:rPr>
          <w:color w:val="000000" w:themeColor="text1"/>
        </w:rPr>
        <w:t xml:space="preserve"> </w:t>
      </w:r>
      <w:r w:rsidR="00211737">
        <w:rPr>
          <w:color w:val="000000" w:themeColor="text1"/>
        </w:rPr>
        <w:t xml:space="preserve"> Therefore,</w:t>
      </w:r>
      <w:r w:rsidR="006E212B">
        <w:rPr>
          <w:color w:val="000000" w:themeColor="text1"/>
        </w:rPr>
        <w:t xml:space="preserve"> </w:t>
      </w:r>
      <w:r w:rsidR="009F621F">
        <w:rPr>
          <w:color w:val="000000" w:themeColor="text1"/>
        </w:rPr>
        <w:t>I recommend the Commission</w:t>
      </w:r>
      <w:r w:rsidR="00E95B8D">
        <w:rPr>
          <w:color w:val="000000" w:themeColor="text1"/>
        </w:rPr>
        <w:t>:</w:t>
      </w:r>
    </w:p>
    <w:p w14:paraId="37B14B6D" w14:textId="657023DF" w:rsidR="00E95B8D" w:rsidRDefault="00E95B8D" w:rsidP="00E95B8D">
      <w:pPr>
        <w:pStyle w:val="NoSpacing"/>
        <w:numPr>
          <w:ilvl w:val="1"/>
          <w:numId w:val="9"/>
        </w:numPr>
        <w:rPr>
          <w:color w:val="000000" w:themeColor="text1"/>
        </w:rPr>
      </w:pPr>
      <w:r>
        <w:rPr>
          <w:color w:val="000000" w:themeColor="text1"/>
        </w:rPr>
        <w:t>O</w:t>
      </w:r>
      <w:r w:rsidR="009F621F">
        <w:rPr>
          <w:color w:val="000000" w:themeColor="text1"/>
        </w:rPr>
        <w:t>rder PSE to</w:t>
      </w:r>
      <w:r w:rsidR="002A4331">
        <w:rPr>
          <w:color w:val="000000" w:themeColor="text1"/>
        </w:rPr>
        <w:t xml:space="preserve"> establish</w:t>
      </w:r>
      <w:r w:rsidR="00EE2020" w:rsidRPr="00D04162">
        <w:rPr>
          <w:color w:val="000000" w:themeColor="text1"/>
        </w:rPr>
        <w:t xml:space="preserve"> </w:t>
      </w:r>
      <w:r w:rsidR="00E4599C">
        <w:rPr>
          <w:color w:val="000000" w:themeColor="text1"/>
        </w:rPr>
        <w:t>a</w:t>
      </w:r>
      <w:r w:rsidR="0077568E" w:rsidRPr="00D04162">
        <w:rPr>
          <w:color w:val="000000" w:themeColor="text1"/>
        </w:rPr>
        <w:t xml:space="preserve"> </w:t>
      </w:r>
      <w:r w:rsidR="00785F26">
        <w:rPr>
          <w:color w:val="000000" w:themeColor="text1"/>
        </w:rPr>
        <w:t>termination</w:t>
      </w:r>
      <w:r w:rsidR="00785F26" w:rsidRPr="00D04162">
        <w:rPr>
          <w:color w:val="000000" w:themeColor="text1"/>
        </w:rPr>
        <w:t xml:space="preserve"> </w:t>
      </w:r>
      <w:r w:rsidR="0077568E" w:rsidRPr="00D04162">
        <w:rPr>
          <w:color w:val="000000" w:themeColor="text1"/>
        </w:rPr>
        <w:t>date for</w:t>
      </w:r>
      <w:r w:rsidR="00E1127D">
        <w:rPr>
          <w:color w:val="000000" w:themeColor="text1"/>
        </w:rPr>
        <w:t xml:space="preserve"> </w:t>
      </w:r>
      <w:r w:rsidR="0077568E" w:rsidRPr="00D04162">
        <w:rPr>
          <w:color w:val="000000" w:themeColor="text1"/>
        </w:rPr>
        <w:t>contracts</w:t>
      </w:r>
      <w:r w:rsidR="00765AAB" w:rsidRPr="00D04162">
        <w:rPr>
          <w:color w:val="000000" w:themeColor="text1"/>
        </w:rPr>
        <w:t xml:space="preserve"> of all</w:t>
      </w:r>
      <w:r w:rsidR="00211737">
        <w:rPr>
          <w:color w:val="000000" w:themeColor="text1"/>
        </w:rPr>
        <w:t xml:space="preserve"> water heater and gas conversion burner rental</w:t>
      </w:r>
      <w:r w:rsidR="004C56DB" w:rsidRPr="00D04162">
        <w:rPr>
          <w:color w:val="000000" w:themeColor="text1"/>
        </w:rPr>
        <w:t xml:space="preserve"> customers</w:t>
      </w:r>
      <w:r w:rsidR="0077568E" w:rsidRPr="00D04162">
        <w:rPr>
          <w:color w:val="000000" w:themeColor="text1"/>
        </w:rPr>
        <w:t>.</w:t>
      </w:r>
      <w:r w:rsidR="009E5EF9">
        <w:rPr>
          <w:color w:val="000000" w:themeColor="text1"/>
        </w:rPr>
        <w:t xml:space="preserve"> </w:t>
      </w:r>
      <w:r w:rsidR="0077568E" w:rsidRPr="00D04162">
        <w:rPr>
          <w:color w:val="000000" w:themeColor="text1"/>
        </w:rPr>
        <w:t xml:space="preserve"> </w:t>
      </w:r>
      <w:r w:rsidR="00785F26">
        <w:rPr>
          <w:color w:val="000000" w:themeColor="text1"/>
        </w:rPr>
        <w:t>This</w:t>
      </w:r>
      <w:r w:rsidR="004C1286">
        <w:rPr>
          <w:color w:val="000000" w:themeColor="text1"/>
        </w:rPr>
        <w:t xml:space="preserve"> date </w:t>
      </w:r>
      <w:r w:rsidR="00A040EC">
        <w:rPr>
          <w:color w:val="000000" w:themeColor="text1"/>
        </w:rPr>
        <w:t xml:space="preserve">should </w:t>
      </w:r>
      <w:r w:rsidR="00785F26">
        <w:rPr>
          <w:color w:val="000000" w:themeColor="text1"/>
        </w:rPr>
        <w:t>coincide with</w:t>
      </w:r>
      <w:r w:rsidR="002A4331">
        <w:rPr>
          <w:color w:val="000000" w:themeColor="text1"/>
        </w:rPr>
        <w:t xml:space="preserve"> the depreciation </w:t>
      </w:r>
      <w:r w:rsidR="004C1286">
        <w:rPr>
          <w:color w:val="000000" w:themeColor="text1"/>
        </w:rPr>
        <w:t xml:space="preserve">schedule </w:t>
      </w:r>
      <w:r w:rsidR="002A4331">
        <w:rPr>
          <w:color w:val="000000" w:themeColor="text1"/>
        </w:rPr>
        <w:t>of the underlying plant</w:t>
      </w:r>
      <w:r w:rsidR="004C1286">
        <w:rPr>
          <w:color w:val="000000" w:themeColor="text1"/>
        </w:rPr>
        <w:t xml:space="preserve"> as of September 30, 2016</w:t>
      </w:r>
      <w:r w:rsidR="002A4331">
        <w:rPr>
          <w:color w:val="000000" w:themeColor="text1"/>
        </w:rPr>
        <w:t>.</w:t>
      </w:r>
    </w:p>
    <w:p w14:paraId="5C42624C" w14:textId="74586FCC" w:rsidR="00E95B8D" w:rsidRDefault="00A84D0A" w:rsidP="00E95B8D">
      <w:pPr>
        <w:pStyle w:val="NoSpacing"/>
        <w:numPr>
          <w:ilvl w:val="1"/>
          <w:numId w:val="9"/>
        </w:numPr>
        <w:rPr>
          <w:color w:val="000000" w:themeColor="text1"/>
        </w:rPr>
      </w:pPr>
      <w:r>
        <w:rPr>
          <w:color w:val="000000" w:themeColor="text1"/>
        </w:rPr>
        <w:t>For custome</w:t>
      </w:r>
      <w:r w:rsidR="00E1127D">
        <w:rPr>
          <w:color w:val="000000" w:themeColor="text1"/>
        </w:rPr>
        <w:t xml:space="preserve">rs </w:t>
      </w:r>
      <w:r w:rsidR="00211737">
        <w:rPr>
          <w:color w:val="000000" w:themeColor="text1"/>
        </w:rPr>
        <w:t>whose rented plant</w:t>
      </w:r>
      <w:r w:rsidR="00E1127D">
        <w:rPr>
          <w:color w:val="000000" w:themeColor="text1"/>
        </w:rPr>
        <w:t xml:space="preserve"> was</w:t>
      </w:r>
      <w:r>
        <w:rPr>
          <w:color w:val="000000" w:themeColor="text1"/>
        </w:rPr>
        <w:t xml:space="preserve"> full</w:t>
      </w:r>
      <w:r w:rsidR="00E1127D">
        <w:rPr>
          <w:color w:val="000000" w:themeColor="text1"/>
        </w:rPr>
        <w:t xml:space="preserve">y depreciated as of the end of the test year, </w:t>
      </w:r>
      <w:r w:rsidR="00211737">
        <w:rPr>
          <w:color w:val="000000" w:themeColor="text1"/>
        </w:rPr>
        <w:t>the</w:t>
      </w:r>
      <w:r w:rsidR="00273ED9">
        <w:rPr>
          <w:color w:val="000000" w:themeColor="text1"/>
        </w:rPr>
        <w:t>ir</w:t>
      </w:r>
      <w:r w:rsidR="00211737">
        <w:rPr>
          <w:color w:val="000000" w:themeColor="text1"/>
        </w:rPr>
        <w:t xml:space="preserve"> rental</w:t>
      </w:r>
      <w:r w:rsidR="00E1127D">
        <w:rPr>
          <w:color w:val="000000" w:themeColor="text1"/>
        </w:rPr>
        <w:t xml:space="preserve"> contract </w:t>
      </w:r>
      <w:r w:rsidR="00785F26">
        <w:rPr>
          <w:color w:val="000000" w:themeColor="text1"/>
        </w:rPr>
        <w:t xml:space="preserve">must </w:t>
      </w:r>
      <w:r w:rsidR="00273ED9">
        <w:rPr>
          <w:color w:val="000000" w:themeColor="text1"/>
        </w:rPr>
        <w:t>be terminated</w:t>
      </w:r>
      <w:r w:rsidR="00785F26">
        <w:rPr>
          <w:color w:val="000000" w:themeColor="text1"/>
        </w:rPr>
        <w:t xml:space="preserve"> and title to the </w:t>
      </w:r>
      <w:r w:rsidR="00255B83">
        <w:rPr>
          <w:color w:val="000000" w:themeColor="text1"/>
        </w:rPr>
        <w:t>appliance</w:t>
      </w:r>
      <w:r w:rsidR="00785F26">
        <w:rPr>
          <w:color w:val="000000" w:themeColor="text1"/>
        </w:rPr>
        <w:t xml:space="preserve"> must be conveyed to the customer</w:t>
      </w:r>
      <w:r w:rsidR="00E1127D">
        <w:rPr>
          <w:color w:val="000000" w:themeColor="text1"/>
        </w:rPr>
        <w:t>.</w:t>
      </w:r>
      <w:r w:rsidR="00E1127D" w:rsidRPr="00D04162">
        <w:rPr>
          <w:color w:val="000000" w:themeColor="text1"/>
        </w:rPr>
        <w:t xml:space="preserve"> </w:t>
      </w:r>
    </w:p>
    <w:p w14:paraId="31558D9F" w14:textId="22482307" w:rsidR="00E95B8D" w:rsidRDefault="00EE2020" w:rsidP="00E95B8D">
      <w:pPr>
        <w:pStyle w:val="NoSpacing"/>
        <w:numPr>
          <w:ilvl w:val="1"/>
          <w:numId w:val="9"/>
        </w:numPr>
        <w:rPr>
          <w:color w:val="000000" w:themeColor="text1"/>
        </w:rPr>
      </w:pPr>
      <w:r w:rsidRPr="00D04162">
        <w:rPr>
          <w:color w:val="000000" w:themeColor="text1"/>
        </w:rPr>
        <w:t xml:space="preserve">For the remaining customers </w:t>
      </w:r>
      <w:r w:rsidR="00211737">
        <w:rPr>
          <w:color w:val="000000" w:themeColor="text1"/>
        </w:rPr>
        <w:t>who are renting</w:t>
      </w:r>
      <w:r w:rsidR="00A84D0A">
        <w:rPr>
          <w:color w:val="000000" w:themeColor="text1"/>
        </w:rPr>
        <w:t xml:space="preserve"> plant that still retains some book value</w:t>
      </w:r>
      <w:r w:rsidR="001C16CB">
        <w:rPr>
          <w:color w:val="000000" w:themeColor="text1"/>
        </w:rPr>
        <w:t>,</w:t>
      </w:r>
      <w:r w:rsidR="00E228D1">
        <w:rPr>
          <w:color w:val="000000" w:themeColor="text1"/>
        </w:rPr>
        <w:t xml:space="preserve"> the contract </w:t>
      </w:r>
      <w:r w:rsidR="00785F26">
        <w:rPr>
          <w:color w:val="000000" w:themeColor="text1"/>
        </w:rPr>
        <w:t xml:space="preserve">may </w:t>
      </w:r>
      <w:r w:rsidR="00273ED9">
        <w:rPr>
          <w:color w:val="000000" w:themeColor="text1"/>
        </w:rPr>
        <w:t>continue</w:t>
      </w:r>
      <w:r w:rsidR="00E228D1">
        <w:rPr>
          <w:color w:val="000000" w:themeColor="text1"/>
        </w:rPr>
        <w:t xml:space="preserve"> until the water heater or gas conversion burner is fully depreciated. </w:t>
      </w:r>
    </w:p>
    <w:p w14:paraId="42B64DBA" w14:textId="05F50C4A" w:rsidR="00677528" w:rsidRDefault="00A63A72" w:rsidP="00E95B8D">
      <w:pPr>
        <w:pStyle w:val="NoSpacing"/>
        <w:numPr>
          <w:ilvl w:val="1"/>
          <w:numId w:val="9"/>
        </w:numPr>
        <w:rPr>
          <w:color w:val="000000" w:themeColor="text1"/>
        </w:rPr>
      </w:pPr>
      <w:r>
        <w:rPr>
          <w:color w:val="000000" w:themeColor="text1"/>
        </w:rPr>
        <w:lastRenderedPageBreak/>
        <w:t>Consistent with Commission’s previous guidance</w:t>
      </w:r>
      <w:r w:rsidR="00BD5F37">
        <w:rPr>
          <w:color w:val="000000" w:themeColor="text1"/>
        </w:rPr>
        <w:t>,</w:t>
      </w:r>
      <w:r>
        <w:rPr>
          <w:color w:val="000000" w:themeColor="text1"/>
        </w:rPr>
        <w:t xml:space="preserve"> </w:t>
      </w:r>
      <w:r w:rsidR="00E228D1">
        <w:rPr>
          <w:color w:val="000000" w:themeColor="text1"/>
        </w:rPr>
        <w:t>I recommend that the Company</w:t>
      </w:r>
      <w:r w:rsidR="00A84D0A" w:rsidRPr="00D04162">
        <w:rPr>
          <w:color w:val="000000" w:themeColor="text1"/>
        </w:rPr>
        <w:t xml:space="preserve"> </w:t>
      </w:r>
      <w:r w:rsidR="00EE2020" w:rsidRPr="00D04162">
        <w:rPr>
          <w:color w:val="000000" w:themeColor="text1"/>
        </w:rPr>
        <w:t>send</w:t>
      </w:r>
      <w:r w:rsidR="00182033" w:rsidRPr="00D04162">
        <w:rPr>
          <w:color w:val="000000" w:themeColor="text1"/>
        </w:rPr>
        <w:t xml:space="preserve"> monthly </w:t>
      </w:r>
      <w:r w:rsidR="00EE2020" w:rsidRPr="00D04162">
        <w:rPr>
          <w:color w:val="000000" w:themeColor="text1"/>
        </w:rPr>
        <w:t xml:space="preserve">notifications </w:t>
      </w:r>
      <w:r w:rsidR="00785F26">
        <w:rPr>
          <w:color w:val="000000" w:themeColor="text1"/>
        </w:rPr>
        <w:t xml:space="preserve">to the continuing </w:t>
      </w:r>
      <w:r w:rsidR="00A84D0A">
        <w:rPr>
          <w:color w:val="000000" w:themeColor="text1"/>
        </w:rPr>
        <w:t>customers</w:t>
      </w:r>
      <w:r w:rsidR="00A84D0A" w:rsidRPr="00D04162">
        <w:rPr>
          <w:color w:val="000000" w:themeColor="text1"/>
        </w:rPr>
        <w:t xml:space="preserve"> </w:t>
      </w:r>
      <w:r w:rsidR="00785F26">
        <w:rPr>
          <w:color w:val="000000" w:themeColor="text1"/>
        </w:rPr>
        <w:t>in their</w:t>
      </w:r>
      <w:r w:rsidR="00A84D0A" w:rsidRPr="00D04162">
        <w:rPr>
          <w:color w:val="000000" w:themeColor="text1"/>
        </w:rPr>
        <w:t xml:space="preserve"> </w:t>
      </w:r>
      <w:r w:rsidR="00EE2020" w:rsidRPr="00D04162">
        <w:rPr>
          <w:color w:val="000000" w:themeColor="text1"/>
        </w:rPr>
        <w:t xml:space="preserve">monthly bills </w:t>
      </w:r>
      <w:r w:rsidR="00A84D0A">
        <w:rPr>
          <w:color w:val="000000" w:themeColor="text1"/>
        </w:rPr>
        <w:t>with an</w:t>
      </w:r>
      <w:r w:rsidR="00C455C9">
        <w:rPr>
          <w:color w:val="000000" w:themeColor="text1"/>
        </w:rPr>
        <w:t xml:space="preserve"> offer </w:t>
      </w:r>
      <w:r w:rsidR="00A84D0A">
        <w:rPr>
          <w:color w:val="000000" w:themeColor="text1"/>
        </w:rPr>
        <w:t xml:space="preserve">for </w:t>
      </w:r>
      <w:r w:rsidR="00C455C9">
        <w:rPr>
          <w:color w:val="000000" w:themeColor="text1"/>
        </w:rPr>
        <w:t xml:space="preserve">the </w:t>
      </w:r>
      <w:r w:rsidR="00EE2020" w:rsidRPr="00D04162">
        <w:rPr>
          <w:color w:val="000000" w:themeColor="text1"/>
        </w:rPr>
        <w:t xml:space="preserve">customer </w:t>
      </w:r>
      <w:r w:rsidR="00A84D0A">
        <w:rPr>
          <w:color w:val="000000" w:themeColor="text1"/>
        </w:rPr>
        <w:t xml:space="preserve">to </w:t>
      </w:r>
      <w:r w:rsidR="00EE2020" w:rsidRPr="00D04162">
        <w:rPr>
          <w:color w:val="000000" w:themeColor="text1"/>
        </w:rPr>
        <w:t xml:space="preserve">purchase </w:t>
      </w:r>
      <w:r w:rsidR="00A84D0A">
        <w:rPr>
          <w:color w:val="000000" w:themeColor="text1"/>
        </w:rPr>
        <w:t xml:space="preserve">the </w:t>
      </w:r>
      <w:r w:rsidR="00255B83">
        <w:rPr>
          <w:color w:val="000000" w:themeColor="text1"/>
        </w:rPr>
        <w:t>rented appliance</w:t>
      </w:r>
      <w:r w:rsidR="00A84D0A" w:rsidRPr="00D04162">
        <w:rPr>
          <w:color w:val="000000" w:themeColor="text1"/>
        </w:rPr>
        <w:t xml:space="preserve"> </w:t>
      </w:r>
      <w:r w:rsidR="00E228D1">
        <w:rPr>
          <w:color w:val="000000" w:themeColor="text1"/>
        </w:rPr>
        <w:t xml:space="preserve">at </w:t>
      </w:r>
      <w:r w:rsidR="00785F26">
        <w:rPr>
          <w:color w:val="000000" w:themeColor="text1"/>
        </w:rPr>
        <w:t xml:space="preserve">the current </w:t>
      </w:r>
      <w:r w:rsidR="00EE2020" w:rsidRPr="00D04162">
        <w:rPr>
          <w:color w:val="000000" w:themeColor="text1"/>
        </w:rPr>
        <w:t>book value.</w:t>
      </w:r>
      <w:r w:rsidR="00A84D0A" w:rsidRPr="00D04162">
        <w:rPr>
          <w:rStyle w:val="FootnoteReference"/>
          <w:color w:val="000000" w:themeColor="text1"/>
        </w:rPr>
        <w:footnoteReference w:id="4"/>
      </w:r>
      <w:r w:rsidR="00182033" w:rsidRPr="00D04162">
        <w:rPr>
          <w:color w:val="000000" w:themeColor="text1"/>
        </w:rPr>
        <w:t xml:space="preserve"> </w:t>
      </w:r>
      <w:r w:rsidR="009E5EF9">
        <w:rPr>
          <w:color w:val="000000" w:themeColor="text1"/>
        </w:rPr>
        <w:t xml:space="preserve"> </w:t>
      </w:r>
      <w:r w:rsidR="00273ED9">
        <w:rPr>
          <w:color w:val="000000" w:themeColor="text1"/>
        </w:rPr>
        <w:t xml:space="preserve">Once the book value is zero, </w:t>
      </w:r>
      <w:r w:rsidR="00A84D0A">
        <w:rPr>
          <w:color w:val="000000" w:themeColor="text1"/>
        </w:rPr>
        <w:t xml:space="preserve">PSE would </w:t>
      </w:r>
      <w:r w:rsidR="00785F26">
        <w:rPr>
          <w:color w:val="000000" w:themeColor="text1"/>
        </w:rPr>
        <w:t>notify</w:t>
      </w:r>
      <w:r w:rsidR="00182033" w:rsidRPr="00D04162">
        <w:rPr>
          <w:color w:val="000000" w:themeColor="text1"/>
        </w:rPr>
        <w:t xml:space="preserve"> the customer </w:t>
      </w:r>
      <w:r w:rsidR="00785F26">
        <w:rPr>
          <w:color w:val="000000" w:themeColor="text1"/>
        </w:rPr>
        <w:t>that</w:t>
      </w:r>
      <w:r w:rsidR="00182033" w:rsidRPr="00D04162">
        <w:rPr>
          <w:color w:val="000000" w:themeColor="text1"/>
        </w:rPr>
        <w:t xml:space="preserve"> the contract</w:t>
      </w:r>
      <w:r w:rsidR="00785F26">
        <w:rPr>
          <w:color w:val="000000" w:themeColor="text1"/>
        </w:rPr>
        <w:t xml:space="preserve"> is </w:t>
      </w:r>
      <w:r w:rsidR="00785F26" w:rsidRPr="00D04162">
        <w:rPr>
          <w:color w:val="000000" w:themeColor="text1"/>
        </w:rPr>
        <w:t>terminat</w:t>
      </w:r>
      <w:r w:rsidR="00785F26">
        <w:rPr>
          <w:color w:val="000000" w:themeColor="text1"/>
        </w:rPr>
        <w:t>ed and the</w:t>
      </w:r>
      <w:r w:rsidR="00255B83">
        <w:rPr>
          <w:color w:val="000000" w:themeColor="text1"/>
        </w:rPr>
        <w:t xml:space="preserve"> appliance</w:t>
      </w:r>
      <w:r w:rsidR="00785F26">
        <w:rPr>
          <w:color w:val="000000" w:themeColor="text1"/>
        </w:rPr>
        <w:t xml:space="preserve"> is their property</w:t>
      </w:r>
      <w:r w:rsidR="00182033" w:rsidRPr="00D04162">
        <w:rPr>
          <w:color w:val="000000" w:themeColor="text1"/>
        </w:rPr>
        <w:t xml:space="preserve">. </w:t>
      </w:r>
    </w:p>
    <w:p w14:paraId="76B513B2" w14:textId="4197FFA9" w:rsidR="00E4599C" w:rsidRPr="00D04162" w:rsidRDefault="00E4599C" w:rsidP="00E4599C">
      <w:pPr>
        <w:pStyle w:val="NoSpacing"/>
        <w:ind w:left="1440" w:firstLine="0"/>
        <w:rPr>
          <w:color w:val="000000" w:themeColor="text1"/>
        </w:rPr>
      </w:pPr>
      <w:r>
        <w:rPr>
          <w:color w:val="000000" w:themeColor="text1"/>
        </w:rPr>
        <w:t>Also, t</w:t>
      </w:r>
      <w:r w:rsidRPr="00E4599C">
        <w:rPr>
          <w:color w:val="000000" w:themeColor="text1"/>
        </w:rPr>
        <w:t>he rental program’s public purpose is not aligned with the most recent Commission rules requiring natural gas utilities to provide demand-side management plans promoting conservation of natur</w:t>
      </w:r>
      <w:r>
        <w:rPr>
          <w:color w:val="000000" w:themeColor="text1"/>
        </w:rPr>
        <w:t>al gas usage by their customers</w:t>
      </w:r>
      <w:r w:rsidRPr="00E4599C">
        <w:rPr>
          <w:color w:val="000000" w:themeColor="text1"/>
        </w:rPr>
        <w:t>.</w:t>
      </w:r>
      <w:r w:rsidR="00437057">
        <w:rPr>
          <w:color w:val="000000" w:themeColor="text1"/>
        </w:rPr>
        <w:t xml:space="preserve"> </w:t>
      </w:r>
      <w:r w:rsidR="009E5EF9">
        <w:rPr>
          <w:color w:val="000000" w:themeColor="text1"/>
        </w:rPr>
        <w:t xml:space="preserve"> </w:t>
      </w:r>
      <w:r w:rsidR="00437057" w:rsidRPr="00437057">
        <w:rPr>
          <w:color w:val="000000" w:themeColor="text1"/>
        </w:rPr>
        <w:t>The impact in cost of service is addressed in Mr. Ball’s testimony.</w:t>
      </w:r>
    </w:p>
    <w:p w14:paraId="5DA6689B" w14:textId="46909227" w:rsidR="00EC25CD" w:rsidRPr="00437057" w:rsidRDefault="00182033" w:rsidP="00437057">
      <w:pPr>
        <w:pStyle w:val="NoSpacing"/>
        <w:numPr>
          <w:ilvl w:val="0"/>
          <w:numId w:val="9"/>
        </w:numPr>
        <w:rPr>
          <w:color w:val="000000" w:themeColor="text1"/>
        </w:rPr>
      </w:pPr>
      <w:r w:rsidRPr="00C455C9">
        <w:rPr>
          <w:i/>
          <w:color w:val="000000" w:themeColor="text1"/>
          <w:u w:val="single"/>
        </w:rPr>
        <w:t>Legal</w:t>
      </w:r>
      <w:r w:rsidR="00765AAB" w:rsidRPr="00C455C9">
        <w:rPr>
          <w:i/>
          <w:color w:val="000000" w:themeColor="text1"/>
          <w:u w:val="single"/>
        </w:rPr>
        <w:t xml:space="preserve"> costs</w:t>
      </w:r>
      <w:r w:rsidR="00765AAB" w:rsidRPr="00C455C9">
        <w:rPr>
          <w:color w:val="000000" w:themeColor="text1"/>
        </w:rPr>
        <w:t>:</w:t>
      </w:r>
      <w:r w:rsidR="009E5EF9">
        <w:rPr>
          <w:color w:val="000000" w:themeColor="text1"/>
        </w:rPr>
        <w:t xml:space="preserve"> </w:t>
      </w:r>
      <w:r w:rsidR="00765AAB" w:rsidRPr="00C455C9">
        <w:rPr>
          <w:color w:val="000000" w:themeColor="text1"/>
        </w:rPr>
        <w:t xml:space="preserve"> </w:t>
      </w:r>
      <w:r w:rsidR="003F6F2D">
        <w:rPr>
          <w:color w:val="000000" w:themeColor="text1"/>
        </w:rPr>
        <w:t>I</w:t>
      </w:r>
      <w:r w:rsidR="003F6F2D" w:rsidRPr="00C455C9">
        <w:rPr>
          <w:color w:val="000000" w:themeColor="text1"/>
        </w:rPr>
        <w:t xml:space="preserve"> </w:t>
      </w:r>
      <w:r w:rsidR="00765AAB" w:rsidRPr="00C455C9">
        <w:rPr>
          <w:color w:val="000000" w:themeColor="text1"/>
        </w:rPr>
        <w:t xml:space="preserve">recommend the Commission exclude all costs associated </w:t>
      </w:r>
      <w:r w:rsidR="00B8302B">
        <w:rPr>
          <w:color w:val="000000" w:themeColor="text1"/>
        </w:rPr>
        <w:t>with</w:t>
      </w:r>
      <w:r w:rsidR="00765AAB" w:rsidRPr="00C455C9">
        <w:rPr>
          <w:color w:val="000000" w:themeColor="text1"/>
        </w:rPr>
        <w:t xml:space="preserve"> the development and litigation of the Leasing Program Docket</w:t>
      </w:r>
      <w:r w:rsidR="00B8302B">
        <w:rPr>
          <w:color w:val="000000" w:themeColor="text1"/>
        </w:rPr>
        <w:t>s</w:t>
      </w:r>
      <w:r w:rsidR="00765AAB" w:rsidRPr="00C455C9">
        <w:rPr>
          <w:color w:val="000000" w:themeColor="text1"/>
        </w:rPr>
        <w:t xml:space="preserve"> UE-151871 and UG-151872</w:t>
      </w:r>
      <w:r w:rsidR="00CB7B3A" w:rsidRPr="00C455C9">
        <w:rPr>
          <w:color w:val="000000" w:themeColor="text1"/>
        </w:rPr>
        <w:t xml:space="preserve"> </w:t>
      </w:r>
      <w:r w:rsidR="00B8302B" w:rsidRPr="00C455C9">
        <w:rPr>
          <w:color w:val="000000" w:themeColor="text1"/>
        </w:rPr>
        <w:t>from the revenue requirement</w:t>
      </w:r>
      <w:r w:rsidR="00B8302B">
        <w:rPr>
          <w:color w:val="000000" w:themeColor="text1"/>
        </w:rPr>
        <w:t>.</w:t>
      </w:r>
      <w:r w:rsidR="009E5EF9">
        <w:rPr>
          <w:color w:val="000000" w:themeColor="text1"/>
        </w:rPr>
        <w:t xml:space="preserve"> </w:t>
      </w:r>
      <w:r w:rsidR="00B8302B">
        <w:rPr>
          <w:color w:val="000000" w:themeColor="text1"/>
        </w:rPr>
        <w:t xml:space="preserve"> Staff also recommends the Commission allocate a portion of the</w:t>
      </w:r>
      <w:r w:rsidR="00CB7B3A" w:rsidRPr="00C455C9">
        <w:rPr>
          <w:color w:val="000000" w:themeColor="text1"/>
        </w:rPr>
        <w:t xml:space="preserve"> </w:t>
      </w:r>
      <w:r w:rsidR="001B2E38">
        <w:rPr>
          <w:color w:val="000000" w:themeColor="text1"/>
        </w:rPr>
        <w:t xml:space="preserve">operation and maintenance </w:t>
      </w:r>
      <w:r w:rsidR="00491B43" w:rsidRPr="00C455C9">
        <w:rPr>
          <w:color w:val="000000" w:themeColor="text1"/>
        </w:rPr>
        <w:t xml:space="preserve">and legal costs </w:t>
      </w:r>
      <w:r w:rsidR="00B8302B">
        <w:rPr>
          <w:color w:val="000000" w:themeColor="text1"/>
        </w:rPr>
        <w:t>for</w:t>
      </w:r>
      <w:r w:rsidR="00491B43" w:rsidRPr="00C455C9">
        <w:rPr>
          <w:color w:val="000000" w:themeColor="text1"/>
        </w:rPr>
        <w:t xml:space="preserve"> the </w:t>
      </w:r>
      <w:r w:rsidR="00B15F22" w:rsidRPr="00C455C9">
        <w:rPr>
          <w:color w:val="000000" w:themeColor="text1"/>
        </w:rPr>
        <w:t>L</w:t>
      </w:r>
      <w:r w:rsidR="00B15F22">
        <w:rPr>
          <w:color w:val="000000" w:themeColor="text1"/>
        </w:rPr>
        <w:t xml:space="preserve">iquefied </w:t>
      </w:r>
      <w:r w:rsidR="00491B43" w:rsidRPr="00C455C9">
        <w:rPr>
          <w:color w:val="000000" w:themeColor="text1"/>
        </w:rPr>
        <w:t>N</w:t>
      </w:r>
      <w:r w:rsidR="00B15F22">
        <w:rPr>
          <w:color w:val="000000" w:themeColor="text1"/>
        </w:rPr>
        <w:t xml:space="preserve">atural </w:t>
      </w:r>
      <w:r w:rsidR="00491B43" w:rsidRPr="00C455C9">
        <w:rPr>
          <w:color w:val="000000" w:themeColor="text1"/>
        </w:rPr>
        <w:t>G</w:t>
      </w:r>
      <w:r w:rsidR="00B15F22">
        <w:rPr>
          <w:color w:val="000000" w:themeColor="text1"/>
        </w:rPr>
        <w:t>as</w:t>
      </w:r>
      <w:r w:rsidR="00791A0B">
        <w:rPr>
          <w:color w:val="000000" w:themeColor="text1"/>
        </w:rPr>
        <w:t xml:space="preserve"> (LNG)</w:t>
      </w:r>
      <w:r w:rsidR="00B15F22">
        <w:rPr>
          <w:color w:val="000000" w:themeColor="text1"/>
        </w:rPr>
        <w:t xml:space="preserve"> </w:t>
      </w:r>
      <w:r w:rsidR="00491B43" w:rsidRPr="00C455C9">
        <w:rPr>
          <w:color w:val="000000" w:themeColor="text1"/>
        </w:rPr>
        <w:t xml:space="preserve">facility in Docket </w:t>
      </w:r>
      <w:r w:rsidR="00CB7B3A" w:rsidRPr="00C455C9">
        <w:rPr>
          <w:color w:val="000000" w:themeColor="text1"/>
        </w:rPr>
        <w:t>UG-151663</w:t>
      </w:r>
      <w:r w:rsidR="00B8302B">
        <w:rPr>
          <w:color w:val="000000" w:themeColor="text1"/>
        </w:rPr>
        <w:t xml:space="preserve"> to non-regulated operations and then exclude that portion from recovery in regulated utility rates</w:t>
      </w:r>
      <w:r w:rsidR="00765AAB" w:rsidRPr="00C455C9">
        <w:rPr>
          <w:color w:val="000000" w:themeColor="text1"/>
        </w:rPr>
        <w:t>.</w:t>
      </w:r>
      <w:r w:rsidR="00491B43" w:rsidRPr="00C455C9">
        <w:rPr>
          <w:color w:val="000000" w:themeColor="text1"/>
        </w:rPr>
        <w:t xml:space="preserve"> </w:t>
      </w:r>
      <w:r w:rsidR="009E5EF9">
        <w:rPr>
          <w:color w:val="000000" w:themeColor="text1"/>
        </w:rPr>
        <w:t xml:space="preserve"> </w:t>
      </w:r>
      <w:r w:rsidR="00491B43" w:rsidRPr="00437057">
        <w:rPr>
          <w:color w:val="000000" w:themeColor="text1"/>
        </w:rPr>
        <w:t xml:space="preserve">The Commission determined that the terms and conditions of the leasing program </w:t>
      </w:r>
      <w:r w:rsidR="00B8302B" w:rsidRPr="00437057">
        <w:rPr>
          <w:color w:val="000000" w:themeColor="text1"/>
        </w:rPr>
        <w:t xml:space="preserve">proposed in Dockets UE-151871 and UG-151872 </w:t>
      </w:r>
      <w:r w:rsidR="00491B43" w:rsidRPr="00437057">
        <w:rPr>
          <w:color w:val="000000" w:themeColor="text1"/>
        </w:rPr>
        <w:t>were not fair, just, and reasonable and that the proposed leasing program was not in the public interest.</w:t>
      </w:r>
      <w:r w:rsidR="005306C2" w:rsidRPr="00C455C9">
        <w:rPr>
          <w:rStyle w:val="FootnoteReference"/>
          <w:color w:val="000000" w:themeColor="text1"/>
        </w:rPr>
        <w:footnoteReference w:id="5"/>
      </w:r>
      <w:r w:rsidR="00D12FBF" w:rsidRPr="00437057">
        <w:rPr>
          <w:color w:val="000000" w:themeColor="text1"/>
        </w:rPr>
        <w:t xml:space="preserve"> </w:t>
      </w:r>
      <w:r w:rsidR="009E5EF9">
        <w:rPr>
          <w:color w:val="000000" w:themeColor="text1"/>
        </w:rPr>
        <w:t xml:space="preserve"> </w:t>
      </w:r>
      <w:r w:rsidR="00D12FBF" w:rsidRPr="00437057">
        <w:rPr>
          <w:color w:val="000000" w:themeColor="text1"/>
        </w:rPr>
        <w:t xml:space="preserve">Therefore, </w:t>
      </w:r>
      <w:r w:rsidR="00491B43" w:rsidRPr="00437057">
        <w:rPr>
          <w:color w:val="000000" w:themeColor="text1"/>
        </w:rPr>
        <w:t xml:space="preserve">ratepayers should not be </w:t>
      </w:r>
      <w:r w:rsidR="00491B43" w:rsidRPr="00437057">
        <w:rPr>
          <w:color w:val="000000" w:themeColor="text1"/>
        </w:rPr>
        <w:lastRenderedPageBreak/>
        <w:t xml:space="preserve">burdened with the legal costs associated with such </w:t>
      </w:r>
      <w:r w:rsidR="00B8302B" w:rsidRPr="00437057">
        <w:rPr>
          <w:color w:val="000000" w:themeColor="text1"/>
        </w:rPr>
        <w:t xml:space="preserve">a </w:t>
      </w:r>
      <w:r w:rsidR="00491B43" w:rsidRPr="00437057">
        <w:rPr>
          <w:color w:val="000000" w:themeColor="text1"/>
        </w:rPr>
        <w:t>program.</w:t>
      </w:r>
      <w:r w:rsidR="009E5EF9">
        <w:rPr>
          <w:color w:val="000000" w:themeColor="text1"/>
        </w:rPr>
        <w:t xml:space="preserve"> </w:t>
      </w:r>
      <w:r w:rsidR="00491B43" w:rsidRPr="00437057">
        <w:rPr>
          <w:color w:val="000000" w:themeColor="text1"/>
        </w:rPr>
        <w:t xml:space="preserve"> Likewise</w:t>
      </w:r>
      <w:r w:rsidR="00B8302B" w:rsidRPr="00437057">
        <w:rPr>
          <w:color w:val="000000" w:themeColor="text1"/>
        </w:rPr>
        <w:t>,</w:t>
      </w:r>
      <w:r w:rsidR="00437057">
        <w:rPr>
          <w:color w:val="000000" w:themeColor="text1"/>
        </w:rPr>
        <w:t xml:space="preserve"> the </w:t>
      </w:r>
      <w:r w:rsidR="00491B43" w:rsidRPr="00437057">
        <w:rPr>
          <w:color w:val="000000" w:themeColor="text1"/>
        </w:rPr>
        <w:t xml:space="preserve">LNG settlement </w:t>
      </w:r>
      <w:r w:rsidR="00B8302B" w:rsidRPr="00437057">
        <w:rPr>
          <w:color w:val="000000" w:themeColor="text1"/>
        </w:rPr>
        <w:t xml:space="preserve">agreement in Docket UG-151663 </w:t>
      </w:r>
      <w:r w:rsidR="00491B43" w:rsidRPr="00437057">
        <w:rPr>
          <w:color w:val="000000" w:themeColor="text1"/>
        </w:rPr>
        <w:t>provided for comm</w:t>
      </w:r>
      <w:r w:rsidR="00384720" w:rsidRPr="00437057">
        <w:rPr>
          <w:color w:val="000000" w:themeColor="text1"/>
        </w:rPr>
        <w:t>on cost allocation</w:t>
      </w:r>
      <w:r w:rsidR="00B8302B" w:rsidRPr="00437057">
        <w:rPr>
          <w:color w:val="000000" w:themeColor="text1"/>
        </w:rPr>
        <w:t xml:space="preserve"> between PSE and Puget LNG</w:t>
      </w:r>
      <w:r w:rsidR="00384720" w:rsidRPr="00437057">
        <w:rPr>
          <w:color w:val="000000" w:themeColor="text1"/>
        </w:rPr>
        <w:t>.</w:t>
      </w:r>
      <w:r w:rsidR="00BB1B7E">
        <w:rPr>
          <w:rStyle w:val="FootnoteReference"/>
          <w:color w:val="000000" w:themeColor="text1"/>
        </w:rPr>
        <w:footnoteReference w:id="6"/>
      </w:r>
      <w:r w:rsidR="00384720" w:rsidRPr="00437057">
        <w:rPr>
          <w:color w:val="000000" w:themeColor="text1"/>
        </w:rPr>
        <w:t xml:space="preserve"> </w:t>
      </w:r>
      <w:r w:rsidR="009E5EF9">
        <w:rPr>
          <w:color w:val="000000" w:themeColor="text1"/>
        </w:rPr>
        <w:t xml:space="preserve"> </w:t>
      </w:r>
      <w:r w:rsidR="00384720" w:rsidRPr="00437057">
        <w:rPr>
          <w:color w:val="000000" w:themeColor="text1"/>
        </w:rPr>
        <w:t xml:space="preserve">All costs included in the current </w:t>
      </w:r>
      <w:r w:rsidR="009E5EF9">
        <w:t xml:space="preserve">general rate case (“GRC”) </w:t>
      </w:r>
      <w:r w:rsidR="00384720" w:rsidRPr="00437057">
        <w:rPr>
          <w:color w:val="000000" w:themeColor="text1"/>
        </w:rPr>
        <w:t xml:space="preserve">should be allocated </w:t>
      </w:r>
      <w:r w:rsidR="00B8302B" w:rsidRPr="00437057">
        <w:rPr>
          <w:color w:val="000000" w:themeColor="text1"/>
        </w:rPr>
        <w:t xml:space="preserve">between those regulated and non-regulated operations, </w:t>
      </w:r>
      <w:r w:rsidR="00384720" w:rsidRPr="00437057">
        <w:rPr>
          <w:color w:val="000000" w:themeColor="text1"/>
        </w:rPr>
        <w:t>consistent</w:t>
      </w:r>
      <w:r w:rsidR="00C1098A" w:rsidRPr="00437057">
        <w:rPr>
          <w:color w:val="000000" w:themeColor="text1"/>
        </w:rPr>
        <w:t xml:space="preserve"> </w:t>
      </w:r>
      <w:r w:rsidR="00384720" w:rsidRPr="00437057">
        <w:rPr>
          <w:color w:val="000000" w:themeColor="text1"/>
        </w:rPr>
        <w:t>with</w:t>
      </w:r>
      <w:r w:rsidR="00B8302B" w:rsidRPr="00437057">
        <w:rPr>
          <w:color w:val="000000" w:themeColor="text1"/>
        </w:rPr>
        <w:t xml:space="preserve"> the Commission’s</w:t>
      </w:r>
      <w:r w:rsidR="00384720" w:rsidRPr="00437057">
        <w:rPr>
          <w:color w:val="000000" w:themeColor="text1"/>
        </w:rPr>
        <w:t xml:space="preserve"> order </w:t>
      </w:r>
      <w:r w:rsidR="001B2E38" w:rsidRPr="00437057">
        <w:rPr>
          <w:color w:val="000000" w:themeColor="text1"/>
        </w:rPr>
        <w:t>approving</w:t>
      </w:r>
      <w:r w:rsidR="00384720" w:rsidRPr="00437057">
        <w:rPr>
          <w:color w:val="000000" w:themeColor="text1"/>
        </w:rPr>
        <w:t xml:space="preserve"> th</w:t>
      </w:r>
      <w:r w:rsidR="00B8302B" w:rsidRPr="00437057">
        <w:rPr>
          <w:color w:val="000000" w:themeColor="text1"/>
        </w:rPr>
        <w:t>at</w:t>
      </w:r>
      <w:r w:rsidR="00C1098A" w:rsidRPr="00437057">
        <w:rPr>
          <w:color w:val="000000" w:themeColor="text1"/>
        </w:rPr>
        <w:t xml:space="preserve"> </w:t>
      </w:r>
      <w:r w:rsidR="00384720" w:rsidRPr="00437057">
        <w:rPr>
          <w:color w:val="000000" w:themeColor="text1"/>
        </w:rPr>
        <w:t xml:space="preserve">settlement. </w:t>
      </w:r>
    </w:p>
    <w:p w14:paraId="176E1355" w14:textId="5407DA33" w:rsidR="00434D77" w:rsidRPr="00C455C9" w:rsidRDefault="00434D77" w:rsidP="00437057">
      <w:pPr>
        <w:pStyle w:val="NoSpacing"/>
        <w:rPr>
          <w:color w:val="000000" w:themeColor="text1"/>
        </w:rPr>
      </w:pPr>
    </w:p>
    <w:p w14:paraId="3322B7C9" w14:textId="2F4089E0" w:rsidR="00564EAF" w:rsidRDefault="00EB785F" w:rsidP="00F73AD6">
      <w:pPr>
        <w:pStyle w:val="Heading1"/>
        <w:ind w:left="270" w:hanging="270"/>
        <w:rPr>
          <w:caps/>
        </w:rPr>
      </w:pPr>
      <w:bookmarkStart w:id="18" w:name="_Toc486434755"/>
      <w:r>
        <w:rPr>
          <w:caps/>
        </w:rPr>
        <w:t>RECOVERY OF</w:t>
      </w:r>
      <w:r w:rsidR="004B6C6C">
        <w:rPr>
          <w:caps/>
        </w:rPr>
        <w:t xml:space="preserve"> </w:t>
      </w:r>
      <w:r w:rsidR="002A0C7B">
        <w:rPr>
          <w:caps/>
        </w:rPr>
        <w:t>ENVIRONMENTAL REMEDIATION PROJECTS</w:t>
      </w:r>
      <w:r>
        <w:rPr>
          <w:caps/>
        </w:rPr>
        <w:t xml:space="preserve"> COSTS</w:t>
      </w:r>
      <w:bookmarkEnd w:id="18"/>
    </w:p>
    <w:p w14:paraId="5A58EC9D" w14:textId="77777777" w:rsidR="00E95B8D" w:rsidRPr="00E95B8D" w:rsidRDefault="00E95B8D" w:rsidP="00F73AD6">
      <w:pPr>
        <w:spacing w:line="480" w:lineRule="auto"/>
      </w:pPr>
    </w:p>
    <w:p w14:paraId="75A24C56" w14:textId="087743E4" w:rsidR="00564EAF" w:rsidRDefault="00471C4C" w:rsidP="00BD3C93">
      <w:pPr>
        <w:pStyle w:val="ListParagraph"/>
        <w:numPr>
          <w:ilvl w:val="0"/>
          <w:numId w:val="38"/>
        </w:numPr>
        <w:spacing w:line="480" w:lineRule="auto"/>
        <w:ind w:left="1440" w:hanging="720"/>
        <w:rPr>
          <w:b/>
        </w:rPr>
      </w:pPr>
      <w:r w:rsidRPr="00B6429C">
        <w:rPr>
          <w:b/>
        </w:rPr>
        <w:t xml:space="preserve">Overview of the Company’s Proposal </w:t>
      </w:r>
    </w:p>
    <w:p w14:paraId="3397BD2F" w14:textId="77777777" w:rsidR="00E95B8D" w:rsidRPr="00B6429C" w:rsidRDefault="00E95B8D" w:rsidP="00F73AD6">
      <w:pPr>
        <w:pStyle w:val="ListParagraph"/>
        <w:spacing w:line="480" w:lineRule="auto"/>
        <w:ind w:left="1080"/>
        <w:rPr>
          <w:b/>
        </w:rPr>
      </w:pPr>
    </w:p>
    <w:p w14:paraId="023BD1C2" w14:textId="5E778C65" w:rsidR="00534AD7" w:rsidRPr="00CF4C80" w:rsidRDefault="00564EAF" w:rsidP="00F73AD6">
      <w:pPr>
        <w:pStyle w:val="Heading8"/>
      </w:pPr>
      <w:r w:rsidRPr="00F720F8">
        <w:t>Q.</w:t>
      </w:r>
      <w:r w:rsidRPr="00F720F8">
        <w:tab/>
      </w:r>
      <w:r w:rsidR="00534AD7">
        <w:t xml:space="preserve">Please explain PSE’s proposal </w:t>
      </w:r>
      <w:r w:rsidR="00C93035">
        <w:t xml:space="preserve">for environmental remediation project costs. </w:t>
      </w:r>
    </w:p>
    <w:p w14:paraId="5EFF377F" w14:textId="1E8D8EE2" w:rsidR="00E50554" w:rsidRDefault="00534AD7" w:rsidP="00B805FB">
      <w:pPr>
        <w:pStyle w:val="NoSpacing"/>
      </w:pPr>
      <w:r w:rsidRPr="00CF4C80">
        <w:t>A</w:t>
      </w:r>
      <w:r w:rsidR="0005261E">
        <w:tab/>
      </w:r>
      <w:r w:rsidR="00A31E5E">
        <w:t>PSE</w:t>
      </w:r>
      <w:r w:rsidR="001364CB">
        <w:t xml:space="preserve"> </w:t>
      </w:r>
      <w:r w:rsidR="00C93035">
        <w:t>seeks to recover</w:t>
      </w:r>
      <w:r w:rsidR="00256CD8">
        <w:t xml:space="preserve"> </w:t>
      </w:r>
      <w:r w:rsidR="0057308F">
        <w:t xml:space="preserve">actual </w:t>
      </w:r>
      <w:r w:rsidR="0005261E">
        <w:t xml:space="preserve">costs </w:t>
      </w:r>
      <w:r w:rsidR="00256CD8">
        <w:t xml:space="preserve">to </w:t>
      </w:r>
      <w:r w:rsidR="00C93035">
        <w:t>remediate contaminated sites</w:t>
      </w:r>
      <w:r w:rsidR="00256CD8">
        <w:t xml:space="preserve">, net </w:t>
      </w:r>
      <w:r w:rsidR="00B644E5">
        <w:t xml:space="preserve">of </w:t>
      </w:r>
      <w:r w:rsidR="00C4137C">
        <w:t>a</w:t>
      </w:r>
      <w:r w:rsidR="004D6F57">
        <w:t xml:space="preserve"> certain </w:t>
      </w:r>
      <w:r w:rsidR="00256CD8">
        <w:t>amount of monies received from third party or insurance</w:t>
      </w:r>
      <w:r w:rsidR="00C93035">
        <w:t xml:space="preserve"> for environmental remediation</w:t>
      </w:r>
      <w:r w:rsidR="003A63AA">
        <w:t xml:space="preserve"> (“ER”)</w:t>
      </w:r>
      <w:r w:rsidR="0005261E">
        <w:t xml:space="preserve">. </w:t>
      </w:r>
      <w:r w:rsidR="009E5EF9">
        <w:t xml:space="preserve"> </w:t>
      </w:r>
      <w:r w:rsidR="003A63AA">
        <w:t xml:space="preserve">Although some of those third party funds are assigned to specific sites, </w:t>
      </w:r>
      <w:r w:rsidR="00F83351">
        <w:t>PSE’s proposal</w:t>
      </w:r>
      <w:r w:rsidR="003A63AA">
        <w:t xml:space="preserve"> also</w:t>
      </w:r>
      <w:r w:rsidR="00F83351">
        <w:t xml:space="preserve"> leaves significant amounts of those third party funds as unassigned, meaning the Company can direct those funds to any remediation project</w:t>
      </w:r>
      <w:r w:rsidR="00CA68DF">
        <w:t xml:space="preserve"> in the current </w:t>
      </w:r>
      <w:r w:rsidR="00CC1D26">
        <w:t xml:space="preserve">general rate case </w:t>
      </w:r>
      <w:r w:rsidR="00CA68DF">
        <w:t>or for future costs</w:t>
      </w:r>
      <w:r w:rsidR="00F83351">
        <w:t xml:space="preserve">. </w:t>
      </w:r>
      <w:r w:rsidR="003A63AA" w:rsidRPr="003A63AA">
        <w:t xml:space="preserve"> </w:t>
      </w:r>
      <w:r w:rsidR="00A7726E">
        <w:t>Under PSE’s proposal, t</w:t>
      </w:r>
      <w:r w:rsidR="00E1127D">
        <w:t>he Company is left with control over third party funds the Company designates as unassigned</w:t>
      </w:r>
      <w:r w:rsidR="00A7726E">
        <w:t xml:space="preserve"> and the authority to allocate and manage those funds</w:t>
      </w:r>
      <w:r w:rsidR="00E1127D">
        <w:t>.</w:t>
      </w:r>
      <w:r w:rsidR="00A7726E">
        <w:t xml:space="preserve"> </w:t>
      </w:r>
    </w:p>
    <w:p w14:paraId="28948AE1" w14:textId="77777777" w:rsidR="009E5EF9" w:rsidRDefault="009E5EF9" w:rsidP="00B805FB">
      <w:pPr>
        <w:pStyle w:val="NoSpacing"/>
      </w:pPr>
    </w:p>
    <w:p w14:paraId="7025C053" w14:textId="77777777" w:rsidR="00E50554" w:rsidRPr="00EB7B6C" w:rsidRDefault="00E50554" w:rsidP="00E50554">
      <w:pPr>
        <w:pStyle w:val="Heading8"/>
      </w:pPr>
      <w:r w:rsidRPr="00EB7B6C">
        <w:lastRenderedPageBreak/>
        <w:t>Q.</w:t>
      </w:r>
      <w:r w:rsidRPr="00EB7B6C">
        <w:tab/>
        <w:t xml:space="preserve">Why does PSE perform environmental remediation? </w:t>
      </w:r>
    </w:p>
    <w:p w14:paraId="7350118E" w14:textId="10A230A9" w:rsidR="00E50554" w:rsidRDefault="00E50554" w:rsidP="00E50554">
      <w:pPr>
        <w:spacing w:line="480" w:lineRule="auto"/>
        <w:ind w:left="720" w:hanging="720"/>
        <w:rPr>
          <w:rFonts w:eastAsia="Times New Roman"/>
        </w:rPr>
      </w:pPr>
      <w:r w:rsidRPr="00CF4C80">
        <w:rPr>
          <w:rFonts w:eastAsia="Times New Roman"/>
        </w:rPr>
        <w:t>A.</w:t>
      </w:r>
      <w:r w:rsidRPr="00CF4C80">
        <w:rPr>
          <w:rFonts w:eastAsia="Times New Roman"/>
        </w:rPr>
        <w:tab/>
      </w:r>
      <w:r>
        <w:rPr>
          <w:rFonts w:eastAsia="Times New Roman"/>
        </w:rPr>
        <w:t xml:space="preserve">PSE typically performs </w:t>
      </w:r>
      <w:r w:rsidR="00CA68DF">
        <w:rPr>
          <w:rFonts w:eastAsia="Times New Roman"/>
        </w:rPr>
        <w:t xml:space="preserve">ER </w:t>
      </w:r>
      <w:r w:rsidRPr="00CF4C80">
        <w:rPr>
          <w:rFonts w:eastAsia="Times New Roman"/>
        </w:rPr>
        <w:t>in response to federal or state requirement</w:t>
      </w:r>
      <w:r>
        <w:rPr>
          <w:rFonts w:eastAsia="Times New Roman"/>
        </w:rPr>
        <w:t>s</w:t>
      </w:r>
      <w:r w:rsidRPr="00CF4C80">
        <w:rPr>
          <w:rFonts w:eastAsia="Times New Roman"/>
        </w:rPr>
        <w:t xml:space="preserve">. </w:t>
      </w:r>
      <w:r>
        <w:rPr>
          <w:rFonts w:eastAsia="Times New Roman"/>
        </w:rPr>
        <w:t xml:space="preserve">These activities are not necessary to accomplish generation, transmission or distribution of electricity and gas, </w:t>
      </w:r>
      <w:r w:rsidR="00CA68DF">
        <w:rPr>
          <w:rFonts w:eastAsia="Times New Roman"/>
        </w:rPr>
        <w:t>but they are mandatory for the C</w:t>
      </w:r>
      <w:r>
        <w:rPr>
          <w:rFonts w:eastAsia="Times New Roman"/>
        </w:rPr>
        <w:t>ompany’s good standing with environmental regulatory agencies and to avoid future additional penalties.</w:t>
      </w:r>
      <w:r w:rsidR="009E5EF9">
        <w:rPr>
          <w:rFonts w:eastAsia="Times New Roman"/>
        </w:rPr>
        <w:t xml:space="preserve"> </w:t>
      </w:r>
      <w:r>
        <w:rPr>
          <w:rFonts w:eastAsia="Times New Roman"/>
        </w:rPr>
        <w:t xml:space="preserve"> In this case PSE addressed ER obligations imposed at a federal level by the Environmental Protection Agency (EPA) and at a state level by the Washington State Department of Ecology (DOE). </w:t>
      </w:r>
      <w:r w:rsidR="009E5EF9">
        <w:rPr>
          <w:rFonts w:eastAsia="Times New Roman"/>
        </w:rPr>
        <w:t xml:space="preserve"> </w:t>
      </w:r>
      <w:r>
        <w:rPr>
          <w:rFonts w:eastAsia="Times New Roman"/>
        </w:rPr>
        <w:t xml:space="preserve">Some of these sites were inherited by the Company </w:t>
      </w:r>
      <w:r w:rsidR="00D360CF">
        <w:rPr>
          <w:rFonts w:eastAsia="Times New Roman"/>
        </w:rPr>
        <w:t>after</w:t>
      </w:r>
      <w:r>
        <w:rPr>
          <w:rFonts w:eastAsia="Times New Roman"/>
        </w:rPr>
        <w:t xml:space="preserve"> </w:t>
      </w:r>
      <w:r w:rsidR="00D360CF">
        <w:rPr>
          <w:rFonts w:eastAsia="Times New Roman"/>
        </w:rPr>
        <w:t xml:space="preserve">prior owners </w:t>
      </w:r>
      <w:r>
        <w:rPr>
          <w:rFonts w:eastAsia="Times New Roman"/>
        </w:rPr>
        <w:t xml:space="preserve">caused environmental damages for which </w:t>
      </w:r>
      <w:r w:rsidR="00D360CF">
        <w:rPr>
          <w:rFonts w:eastAsia="Times New Roman"/>
        </w:rPr>
        <w:t xml:space="preserve">those owners and PSE </w:t>
      </w:r>
      <w:r>
        <w:rPr>
          <w:rFonts w:eastAsia="Times New Roman"/>
        </w:rPr>
        <w:t xml:space="preserve">are liable according to </w:t>
      </w:r>
      <w:r w:rsidR="00D360CF">
        <w:rPr>
          <w:rFonts w:eastAsia="Times New Roman"/>
        </w:rPr>
        <w:t xml:space="preserve">the </w:t>
      </w:r>
      <w:r>
        <w:rPr>
          <w:rFonts w:eastAsia="Times New Roman"/>
        </w:rPr>
        <w:t xml:space="preserve">newer regulatory framework, </w:t>
      </w:r>
      <w:r w:rsidR="00D360CF">
        <w:rPr>
          <w:rFonts w:eastAsia="Times New Roman"/>
        </w:rPr>
        <w:t xml:space="preserve">while </w:t>
      </w:r>
      <w:r>
        <w:rPr>
          <w:rFonts w:eastAsia="Times New Roman"/>
        </w:rPr>
        <w:t>other</w:t>
      </w:r>
      <w:r w:rsidR="00D360CF">
        <w:rPr>
          <w:rFonts w:eastAsia="Times New Roman"/>
        </w:rPr>
        <w:t xml:space="preserve"> sites</w:t>
      </w:r>
      <w:r>
        <w:rPr>
          <w:rFonts w:eastAsia="Times New Roman"/>
        </w:rPr>
        <w:t xml:space="preserve"> were subject of accidental contamination that needed to be remediated.</w:t>
      </w:r>
      <w:r w:rsidR="00FC43BB">
        <w:rPr>
          <w:rFonts w:eastAsia="Times New Roman"/>
        </w:rPr>
        <w:t xml:space="preserve"> </w:t>
      </w:r>
      <w:r>
        <w:rPr>
          <w:rFonts w:eastAsia="Times New Roman"/>
        </w:rPr>
        <w:t xml:space="preserve"> </w:t>
      </w:r>
      <w:r w:rsidR="00D360CF">
        <w:rPr>
          <w:rFonts w:eastAsia="Times New Roman"/>
        </w:rPr>
        <w:t>Most of the</w:t>
      </w:r>
      <w:r>
        <w:rPr>
          <w:rFonts w:eastAsia="Times New Roman"/>
        </w:rPr>
        <w:t xml:space="preserve"> major remediation projects, like the deferrals identified as Gas Work</w:t>
      </w:r>
      <w:r w:rsidR="00A17F14">
        <w:rPr>
          <w:rFonts w:eastAsia="Times New Roman"/>
        </w:rPr>
        <w:t>s</w:t>
      </w:r>
      <w:r>
        <w:rPr>
          <w:rFonts w:eastAsia="Times New Roman"/>
        </w:rPr>
        <w:t xml:space="preserve"> Park and Tacoma Tide Flats (or Tar Pits), are located in sites where past operations took place many decades ago under less stringent regulations.</w:t>
      </w:r>
      <w:r w:rsidR="007000E1">
        <w:rPr>
          <w:rStyle w:val="FootnoteReference"/>
          <w:rFonts w:eastAsia="Times New Roman"/>
        </w:rPr>
        <w:footnoteReference w:id="7"/>
      </w:r>
    </w:p>
    <w:p w14:paraId="1BEABD44" w14:textId="77777777" w:rsidR="003A63AA" w:rsidRDefault="003A63AA" w:rsidP="00E50554">
      <w:pPr>
        <w:pStyle w:val="NoSpacing"/>
      </w:pPr>
    </w:p>
    <w:p w14:paraId="04910A5E" w14:textId="6ECD7CF5" w:rsidR="003A63AA" w:rsidRPr="003A63AA" w:rsidRDefault="003A63AA" w:rsidP="003A63AA">
      <w:pPr>
        <w:pStyle w:val="NoSpacing"/>
        <w:rPr>
          <w:b/>
        </w:rPr>
      </w:pPr>
      <w:r w:rsidRPr="003A63AA">
        <w:rPr>
          <w:b/>
        </w:rPr>
        <w:t>Q.</w:t>
      </w:r>
      <w:r w:rsidRPr="003A63AA">
        <w:rPr>
          <w:b/>
        </w:rPr>
        <w:tab/>
        <w:t>Why is PSE requesting recovery of these remediation costs now?</w:t>
      </w:r>
    </w:p>
    <w:p w14:paraId="30A49D85" w14:textId="06D7DB22" w:rsidR="00F83351" w:rsidRDefault="003A63AA" w:rsidP="003A63AA">
      <w:pPr>
        <w:pStyle w:val="NoSpacing"/>
        <w:rPr>
          <w:b/>
        </w:rPr>
      </w:pPr>
      <w:r>
        <w:t xml:space="preserve">A. </w:t>
      </w:r>
      <w:r>
        <w:tab/>
        <w:t>Company witness Ms. Free states t</w:t>
      </w:r>
      <w:r w:rsidR="00B644E5">
        <w:t>hat the Company is requesting recovery of</w:t>
      </w:r>
      <w:r>
        <w:t xml:space="preserve"> remediation costs in the current GRC because PSE has “substantially exhausted known third-party claims for remediation sites.”</w:t>
      </w:r>
      <w:r>
        <w:rPr>
          <w:rStyle w:val="FootnoteReference"/>
        </w:rPr>
        <w:footnoteReference w:id="8"/>
      </w:r>
    </w:p>
    <w:p w14:paraId="595FB889" w14:textId="77777777" w:rsidR="003A63AA" w:rsidRDefault="003A63AA" w:rsidP="000B4A4E">
      <w:pPr>
        <w:pStyle w:val="NoSpacing"/>
        <w:rPr>
          <w:b/>
        </w:rPr>
      </w:pPr>
    </w:p>
    <w:p w14:paraId="0CB42016" w14:textId="506AAFF1" w:rsidR="00A7726E" w:rsidRPr="00A7726E" w:rsidRDefault="005A2AC2" w:rsidP="00AF5AE2">
      <w:pPr>
        <w:pStyle w:val="NoSpacing"/>
        <w:keepNext/>
        <w:rPr>
          <w:b/>
        </w:rPr>
      </w:pPr>
      <w:r>
        <w:rPr>
          <w:b/>
        </w:rPr>
        <w:lastRenderedPageBreak/>
        <w:t>Q.</w:t>
      </w:r>
      <w:r>
        <w:rPr>
          <w:b/>
        </w:rPr>
        <w:tab/>
        <w:t>Has the Company</w:t>
      </w:r>
      <w:r w:rsidR="00A7726E" w:rsidRPr="00A7726E">
        <w:rPr>
          <w:b/>
        </w:rPr>
        <w:t xml:space="preserve"> documented and tracked the environmental remediation costs?</w:t>
      </w:r>
    </w:p>
    <w:p w14:paraId="6FE17675" w14:textId="4CA94835" w:rsidR="00534AD7" w:rsidRDefault="00A7726E" w:rsidP="00AF5AE2">
      <w:pPr>
        <w:pStyle w:val="NoSpacing"/>
        <w:keepNext/>
      </w:pPr>
      <w:r>
        <w:t xml:space="preserve">A. </w:t>
      </w:r>
      <w:r>
        <w:tab/>
        <w:t>Yes.</w:t>
      </w:r>
      <w:r w:rsidR="00FC43BB">
        <w:t xml:space="preserve"> </w:t>
      </w:r>
      <w:r>
        <w:t xml:space="preserve"> </w:t>
      </w:r>
      <w:r w:rsidR="004D6F57">
        <w:t>PSE</w:t>
      </w:r>
      <w:r w:rsidR="004D6F57" w:rsidRPr="00F638D2">
        <w:t xml:space="preserve"> keeps track of the total costs incurred in its ER program and of the total amount</w:t>
      </w:r>
      <w:r w:rsidR="004D6F57">
        <w:t>s the Company recovers from other responsible parties such as insurance carriers or prior owners (“recoveries”)</w:t>
      </w:r>
      <w:r w:rsidR="004D6F57" w:rsidRPr="00F638D2">
        <w:t>.</w:t>
      </w:r>
      <w:r w:rsidR="004D6F57">
        <w:t xml:space="preserve">  </w:t>
      </w:r>
      <w:r w:rsidR="0005261E">
        <w:t>The Company,</w:t>
      </w:r>
      <w:r w:rsidR="00A31E5E">
        <w:t xml:space="preserve"> in multiple instances</w:t>
      </w:r>
      <w:r w:rsidR="0005261E">
        <w:t>, has requested</w:t>
      </w:r>
      <w:r w:rsidR="00A31E5E">
        <w:t xml:space="preserve"> </w:t>
      </w:r>
      <w:r>
        <w:t xml:space="preserve">Commission </w:t>
      </w:r>
      <w:r w:rsidR="00A31E5E">
        <w:t xml:space="preserve">authorization to defer the costs of </w:t>
      </w:r>
      <w:r w:rsidR="0005261E">
        <w:t xml:space="preserve">specific </w:t>
      </w:r>
      <w:r w:rsidR="00F83351">
        <w:t xml:space="preserve">environmental remediation </w:t>
      </w:r>
      <w:r w:rsidR="00A31E5E">
        <w:t>projects.</w:t>
      </w:r>
      <w:r w:rsidR="00FC43BB">
        <w:t xml:space="preserve"> </w:t>
      </w:r>
      <w:r w:rsidR="00A31E5E">
        <w:t xml:space="preserve"> The</w:t>
      </w:r>
      <w:r w:rsidR="0076735B">
        <w:t xml:space="preserve"> Commission has granted deferral authorization </w:t>
      </w:r>
      <w:r w:rsidR="00F83351">
        <w:t>for</w:t>
      </w:r>
      <w:r w:rsidR="00F35AB5">
        <w:t xml:space="preserve"> specific electric site</w:t>
      </w:r>
      <w:r w:rsidR="0076735B">
        <w:t xml:space="preserve"> projects</w:t>
      </w:r>
      <w:r w:rsidR="00CA68DF">
        <w:t xml:space="preserve"> </w:t>
      </w:r>
      <w:r w:rsidR="00F35AB5">
        <w:t xml:space="preserve">and for all </w:t>
      </w:r>
      <w:r w:rsidR="0076735B">
        <w:t>gas sites, subject to certain conditions</w:t>
      </w:r>
      <w:r w:rsidR="00F35AB5">
        <w:t>.</w:t>
      </w:r>
      <w:r w:rsidR="006769BC" w:rsidRPr="006769BC">
        <w:t xml:space="preserve"> </w:t>
      </w:r>
      <w:r w:rsidR="00FC43BB">
        <w:t xml:space="preserve"> </w:t>
      </w:r>
      <w:r w:rsidR="006769BC">
        <w:t>More recently, the Commission granted a general</w:t>
      </w:r>
      <w:r w:rsidR="006769BC" w:rsidRPr="00F35AB5">
        <w:t xml:space="preserve"> authorization </w:t>
      </w:r>
      <w:r w:rsidR="006769BC">
        <w:t>that allowed the Company to use</w:t>
      </w:r>
      <w:r w:rsidR="006769BC" w:rsidRPr="0034449A">
        <w:t xml:space="preserve"> </w:t>
      </w:r>
      <w:r w:rsidR="006769BC">
        <w:t>quarterly reports to inform the Commission of new electric site environmental remediation projects</w:t>
      </w:r>
      <w:r w:rsidR="006769BC" w:rsidRPr="00F35AB5">
        <w:t xml:space="preserve"> </w:t>
      </w:r>
      <w:r w:rsidR="006769BC">
        <w:t xml:space="preserve">instead of requesting individual deferral authorizations in </w:t>
      </w:r>
      <w:r w:rsidR="00FC43BB">
        <w:t>D</w:t>
      </w:r>
      <w:r w:rsidR="006769BC">
        <w:t>ockets UE-070724, UE-072060, UE-081016.</w:t>
      </w:r>
      <w:r w:rsidR="00F83351">
        <w:rPr>
          <w:rStyle w:val="FootnoteReference"/>
        </w:rPr>
        <w:footnoteReference w:id="9"/>
      </w:r>
      <w:r w:rsidR="00F83351">
        <w:t xml:space="preserve"> </w:t>
      </w:r>
      <w:r w:rsidR="00471C4C">
        <w:t xml:space="preserve">As noted above, </w:t>
      </w:r>
      <w:r w:rsidR="00F36039">
        <w:t xml:space="preserve">PSE directly assigns </w:t>
      </w:r>
      <w:r w:rsidR="00471C4C">
        <w:t>s</w:t>
      </w:r>
      <w:r w:rsidR="00A13A92">
        <w:t xml:space="preserve">ome of the recoveries </w:t>
      </w:r>
      <w:r w:rsidR="00F36039">
        <w:t xml:space="preserve">to </w:t>
      </w:r>
      <w:r w:rsidR="00163998">
        <w:t>offset costs of specific</w:t>
      </w:r>
      <w:r w:rsidR="00A13A92">
        <w:t xml:space="preserve"> projects</w:t>
      </w:r>
      <w:r w:rsidR="00F36039">
        <w:t xml:space="preserve"> but then leaves a portion of the recoveries as</w:t>
      </w:r>
      <w:r w:rsidR="00A13A92">
        <w:t xml:space="preserve"> </w:t>
      </w:r>
      <w:r w:rsidR="00163998">
        <w:t xml:space="preserve">unassigned, meaning they can be used to </w:t>
      </w:r>
      <w:r w:rsidR="00F36039">
        <w:t xml:space="preserve">at the Company’s discretion to </w:t>
      </w:r>
      <w:r w:rsidR="00163998">
        <w:t>offset the costs of any project.</w:t>
      </w:r>
      <w:r w:rsidR="00796C16">
        <w:t xml:space="preserve"> </w:t>
      </w:r>
    </w:p>
    <w:p w14:paraId="797FC158" w14:textId="77777777" w:rsidR="0046395F" w:rsidRDefault="0046395F" w:rsidP="00A7726E">
      <w:pPr>
        <w:pStyle w:val="NoSpacing"/>
      </w:pPr>
    </w:p>
    <w:p w14:paraId="4B32A0BA" w14:textId="3C1C859C" w:rsidR="0046395F" w:rsidRDefault="00F36039" w:rsidP="00F36039">
      <w:pPr>
        <w:pStyle w:val="NoSpacing"/>
        <w:ind w:firstLine="0"/>
      </w:pPr>
      <w:r w:rsidRPr="008E7CF7">
        <w:rPr>
          <w:b/>
        </w:rPr>
        <w:t>B.</w:t>
      </w:r>
      <w:r>
        <w:t xml:space="preserve"> </w:t>
      </w:r>
      <w:r>
        <w:tab/>
      </w:r>
      <w:r w:rsidRPr="00B6429C">
        <w:rPr>
          <w:b/>
        </w:rPr>
        <w:t xml:space="preserve">Staff’s </w:t>
      </w:r>
      <w:r>
        <w:rPr>
          <w:b/>
        </w:rPr>
        <w:t>review and r</w:t>
      </w:r>
      <w:r w:rsidRPr="00B6429C">
        <w:rPr>
          <w:b/>
        </w:rPr>
        <w:t>ecommend</w:t>
      </w:r>
      <w:r>
        <w:rPr>
          <w:b/>
        </w:rPr>
        <w:t>ed changes to PSE’s ER proposals</w:t>
      </w:r>
    </w:p>
    <w:p w14:paraId="466E71F6" w14:textId="77777777" w:rsidR="00CF7631" w:rsidRDefault="00CF7631" w:rsidP="000B4A4E">
      <w:pPr>
        <w:pStyle w:val="Heading8"/>
      </w:pPr>
    </w:p>
    <w:p w14:paraId="3BDAEBD1" w14:textId="11D9FD31" w:rsidR="00CF7631" w:rsidRDefault="00CF7631" w:rsidP="000B4A4E">
      <w:pPr>
        <w:pStyle w:val="Heading8"/>
      </w:pPr>
      <w:r>
        <w:t>Q.</w:t>
      </w:r>
      <w:r>
        <w:tab/>
        <w:t>Please summarize your review of the Company’s ER projects.</w:t>
      </w:r>
    </w:p>
    <w:p w14:paraId="150A2F88" w14:textId="39DEBACB" w:rsidR="002D3729" w:rsidRDefault="00CF7631" w:rsidP="002D6362">
      <w:pPr>
        <w:spacing w:line="480" w:lineRule="auto"/>
        <w:ind w:left="720" w:hanging="720"/>
        <w:rPr>
          <w:rFonts w:eastAsia="Times New Roman"/>
        </w:rPr>
      </w:pPr>
      <w:r>
        <w:t>A.</w:t>
      </w:r>
      <w:r>
        <w:tab/>
        <w:t xml:space="preserve">I began by reviewing the direct testimony and exhibits of PSE’s witnesses Mr. Rork and Ms. Free, PSE’s environmental quarterly reports, and PSE’s responses to data </w:t>
      </w:r>
      <w:r>
        <w:lastRenderedPageBreak/>
        <w:t xml:space="preserve">requests from Staff and other parties in the current GRC. </w:t>
      </w:r>
      <w:r w:rsidR="00FC43BB">
        <w:t xml:space="preserve"> </w:t>
      </w:r>
      <w:r>
        <w:t xml:space="preserve">These documents included the support of some of the recoveries received by PSE from insurance and third </w:t>
      </w:r>
      <w:r w:rsidR="002D6362">
        <w:t xml:space="preserve">parties. </w:t>
      </w:r>
      <w:r w:rsidR="00FC43BB">
        <w:t xml:space="preserve"> </w:t>
      </w:r>
      <w:r w:rsidR="002D6362">
        <w:t>Likewise</w:t>
      </w:r>
      <w:r w:rsidR="004C050A">
        <w:t>,</w:t>
      </w:r>
      <w:r>
        <w:t xml:space="preserve"> </w:t>
      </w:r>
      <w:r w:rsidR="002D6362">
        <w:t xml:space="preserve">I </w:t>
      </w:r>
      <w:r>
        <w:t>evaluated outside vendor contracts and invoices.</w:t>
      </w:r>
      <w:r w:rsidR="00FC43BB" w:rsidRPr="00CF7631">
        <w:rPr>
          <w:rFonts w:eastAsia="Times New Roman"/>
        </w:rPr>
        <w:t xml:space="preserve"> </w:t>
      </w:r>
      <w:r w:rsidRPr="00CF7631">
        <w:rPr>
          <w:rFonts w:eastAsia="Times New Roman"/>
        </w:rPr>
        <w:t xml:space="preserve"> </w:t>
      </w:r>
      <w:r>
        <w:rPr>
          <w:rFonts w:eastAsia="Times New Roman"/>
        </w:rPr>
        <w:t>I also compared the instructions in all Commission orders in place that authorized the deferra</w:t>
      </w:r>
      <w:r w:rsidR="00BD5FD2">
        <w:rPr>
          <w:rFonts w:eastAsia="Times New Roman"/>
        </w:rPr>
        <w:t>l of environmental projects, and</w:t>
      </w:r>
      <w:r>
        <w:rPr>
          <w:rFonts w:eastAsia="Times New Roman"/>
        </w:rPr>
        <w:t xml:space="preserve"> I reviewed the Company’s compliance with those instructions.</w:t>
      </w:r>
      <w:r w:rsidR="00FC43BB">
        <w:rPr>
          <w:rFonts w:eastAsia="Times New Roman"/>
        </w:rPr>
        <w:t xml:space="preserve"> </w:t>
      </w:r>
      <w:r>
        <w:rPr>
          <w:rFonts w:eastAsia="Times New Roman"/>
        </w:rPr>
        <w:t xml:space="preserve"> The Commission’s instructions were not exactly the same in all orders, but most of them provided a fairly similar approach to the eligibility requirements for deferred ER projects. </w:t>
      </w:r>
    </w:p>
    <w:p w14:paraId="02D43C76" w14:textId="77777777" w:rsidR="002D6362" w:rsidRDefault="002D6362" w:rsidP="00FB48F9">
      <w:pPr>
        <w:spacing w:line="480" w:lineRule="auto"/>
        <w:ind w:left="720" w:hanging="720"/>
        <w:jc w:val="both"/>
      </w:pPr>
    </w:p>
    <w:p w14:paraId="547F6BCD" w14:textId="37225039" w:rsidR="002D3729" w:rsidRPr="00CF4C80" w:rsidRDefault="002D3729" w:rsidP="002D3729">
      <w:pPr>
        <w:pStyle w:val="Heading8"/>
      </w:pPr>
      <w:r w:rsidRPr="00F720F8">
        <w:t>Q.</w:t>
      </w:r>
      <w:r w:rsidRPr="00F720F8">
        <w:tab/>
      </w:r>
      <w:r>
        <w:t>Please explain those Commission instructions for evaluating deferred environmental project costs.</w:t>
      </w:r>
    </w:p>
    <w:p w14:paraId="3E0C7525" w14:textId="37B06320" w:rsidR="002D3729" w:rsidRDefault="002D3729" w:rsidP="002D3729">
      <w:pPr>
        <w:spacing w:line="480" w:lineRule="auto"/>
        <w:ind w:left="720" w:hanging="720"/>
        <w:rPr>
          <w:rFonts w:eastAsia="Times New Roman"/>
        </w:rPr>
      </w:pPr>
      <w:r>
        <w:rPr>
          <w:rFonts w:eastAsia="Times New Roman"/>
        </w:rPr>
        <w:t>A.</w:t>
      </w:r>
      <w:r>
        <w:rPr>
          <w:rFonts w:eastAsia="Times New Roman"/>
        </w:rPr>
        <w:tab/>
        <w:t>In general, the Commission imposed the following terms:</w:t>
      </w:r>
    </w:p>
    <w:p w14:paraId="7EF6D80A" w14:textId="77777777" w:rsidR="002D3729" w:rsidRDefault="002D3729" w:rsidP="002D3729">
      <w:pPr>
        <w:pStyle w:val="ListParagraph"/>
        <w:numPr>
          <w:ilvl w:val="0"/>
          <w:numId w:val="32"/>
        </w:numPr>
        <w:spacing w:line="480" w:lineRule="auto"/>
      </w:pPr>
      <w:r>
        <w:t>All deferred costs are subject to a prudency review for</w:t>
      </w:r>
      <w:r w:rsidRPr="00166C9A">
        <w:t xml:space="preserve"> recovery purposes.</w:t>
      </w:r>
    </w:p>
    <w:p w14:paraId="5ECB0266" w14:textId="66D3A654" w:rsidR="002D3729" w:rsidRDefault="002D3729" w:rsidP="002D3729">
      <w:pPr>
        <w:pStyle w:val="ListParagraph"/>
        <w:numPr>
          <w:ilvl w:val="0"/>
          <w:numId w:val="32"/>
        </w:numPr>
        <w:spacing w:line="480" w:lineRule="auto"/>
      </w:pPr>
      <w:r>
        <w:t>Only</w:t>
      </w:r>
      <w:r w:rsidRPr="004448DD">
        <w:t xml:space="preserve"> amounts paid to outside vendors or contractors (i.e., investigation and feasibility studies, sampling, evaluation, monitoring, materials, remediation and removal)</w:t>
      </w:r>
      <w:r>
        <w:t xml:space="preserve"> are eligible.</w:t>
      </w:r>
      <w:r w:rsidR="00FC43BB">
        <w:t xml:space="preserve"> </w:t>
      </w:r>
      <w:r>
        <w:t xml:space="preserve"> Internal employee expenses and legal expenses are not included.</w:t>
      </w:r>
    </w:p>
    <w:p w14:paraId="2D27EC2E" w14:textId="77777777" w:rsidR="002D3729" w:rsidRDefault="002D3729" w:rsidP="002D3729">
      <w:pPr>
        <w:pStyle w:val="ListParagraph"/>
        <w:numPr>
          <w:ilvl w:val="0"/>
          <w:numId w:val="32"/>
        </w:numPr>
        <w:spacing w:line="480" w:lineRule="auto"/>
      </w:pPr>
      <w:r>
        <w:t>D</w:t>
      </w:r>
      <w:r w:rsidRPr="004448DD">
        <w:t>eferred costs will be reduced by any insurance proceeds or payments from other responsible parties recovered by Petitioner</w:t>
      </w:r>
      <w:r>
        <w:t>.</w:t>
      </w:r>
    </w:p>
    <w:p w14:paraId="27534020" w14:textId="77777777" w:rsidR="004D3860" w:rsidRDefault="002D3729" w:rsidP="002D3729">
      <w:pPr>
        <w:pStyle w:val="ListParagraph"/>
        <w:numPr>
          <w:ilvl w:val="0"/>
          <w:numId w:val="32"/>
        </w:numPr>
        <w:spacing w:line="480" w:lineRule="auto"/>
        <w:sectPr w:rsidR="004D3860" w:rsidSect="000E0390">
          <w:pgSz w:w="12240" w:h="15840" w:code="1"/>
          <w:pgMar w:top="1440" w:right="1440" w:bottom="1440" w:left="1872" w:header="720" w:footer="720" w:gutter="0"/>
          <w:lnNumType w:countBy="1"/>
          <w:pgNumType w:start="1"/>
          <w:cols w:space="720"/>
          <w:docGrid w:linePitch="360"/>
        </w:sectPr>
      </w:pPr>
      <w:r>
        <w:t>Unamortized portion of the balance is subject to working capital treatment.</w:t>
      </w:r>
      <w:r w:rsidR="00FB3B75">
        <w:rPr>
          <w:rStyle w:val="FootnoteReference"/>
        </w:rPr>
        <w:footnoteReference w:id="10"/>
      </w:r>
      <w:r w:rsidR="004D3860">
        <w:t xml:space="preserve">  </w:t>
      </w:r>
    </w:p>
    <w:p w14:paraId="4A165D83" w14:textId="2E26786E" w:rsidR="002D3729" w:rsidRDefault="002D3729" w:rsidP="002D3729">
      <w:pPr>
        <w:spacing w:line="480" w:lineRule="auto"/>
        <w:ind w:left="720"/>
        <w:rPr>
          <w:rFonts w:eastAsia="Times New Roman"/>
        </w:rPr>
      </w:pPr>
      <w:r>
        <w:rPr>
          <w:rFonts w:eastAsia="Times New Roman"/>
        </w:rPr>
        <w:t xml:space="preserve">My exhibit Exh. ECO-3 provides a brief </w:t>
      </w:r>
      <w:r w:rsidR="00FB3B75">
        <w:rPr>
          <w:rFonts w:eastAsia="Times New Roman"/>
        </w:rPr>
        <w:t>comparison</w:t>
      </w:r>
      <w:r>
        <w:rPr>
          <w:rFonts w:eastAsia="Times New Roman"/>
        </w:rPr>
        <w:t xml:space="preserve"> of the deferral orders</w:t>
      </w:r>
      <w:r w:rsidR="0085508D">
        <w:rPr>
          <w:rFonts w:eastAsia="Times New Roman"/>
        </w:rPr>
        <w:t>’</w:t>
      </w:r>
      <w:r w:rsidR="00FB3B75">
        <w:rPr>
          <w:rFonts w:eastAsia="Times New Roman"/>
        </w:rPr>
        <w:t xml:space="preserve"> instructions</w:t>
      </w:r>
      <w:r>
        <w:rPr>
          <w:rFonts w:eastAsia="Times New Roman"/>
        </w:rPr>
        <w:t>.</w:t>
      </w:r>
    </w:p>
    <w:p w14:paraId="0BB63D4B" w14:textId="545055B1" w:rsidR="00CF7631" w:rsidRDefault="00CF7631" w:rsidP="00CF7631"/>
    <w:p w14:paraId="2A2A9FE5" w14:textId="06D20C5D" w:rsidR="00CF7631" w:rsidRPr="008E7CF7" w:rsidRDefault="00CF7631" w:rsidP="008E7CF7">
      <w:pPr>
        <w:spacing w:line="480" w:lineRule="auto"/>
        <w:rPr>
          <w:b/>
        </w:rPr>
      </w:pPr>
      <w:r w:rsidRPr="008E7CF7">
        <w:rPr>
          <w:b/>
        </w:rPr>
        <w:t>Q.</w:t>
      </w:r>
      <w:r w:rsidRPr="008E7CF7">
        <w:rPr>
          <w:b/>
        </w:rPr>
        <w:tab/>
        <w:t xml:space="preserve">Please summarize your conclusions. </w:t>
      </w:r>
    </w:p>
    <w:p w14:paraId="2761737C" w14:textId="43E1FAA9" w:rsidR="008E7CF7" w:rsidRPr="004C5252" w:rsidRDefault="00CF7631" w:rsidP="00D763DE">
      <w:pPr>
        <w:spacing w:line="480" w:lineRule="auto"/>
        <w:ind w:left="720" w:hanging="720"/>
        <w:rPr>
          <w:color w:val="1F497D"/>
        </w:rPr>
      </w:pPr>
      <w:r>
        <w:t>A.</w:t>
      </w:r>
      <w:r>
        <w:tab/>
      </w:r>
      <w:r w:rsidR="00AC1579">
        <w:t xml:space="preserve">I make four recommendations. </w:t>
      </w:r>
      <w:r w:rsidR="00FC43BB">
        <w:t xml:space="preserve"> </w:t>
      </w:r>
      <w:r w:rsidR="00AC1579">
        <w:t xml:space="preserve">First, I </w:t>
      </w:r>
      <w:r>
        <w:t xml:space="preserve">recommend the Commission determine the Company’s ER projects </w:t>
      </w:r>
      <w:r w:rsidR="00AC1579">
        <w:t xml:space="preserve">are prudent because PSE’s </w:t>
      </w:r>
      <w:r w:rsidR="00306D09">
        <w:t xml:space="preserve">and third parties’ </w:t>
      </w:r>
      <w:r w:rsidR="00AC1579">
        <w:t>documentation demonstrates the reasonable</w:t>
      </w:r>
      <w:r w:rsidR="008E7CF7">
        <w:t>ness and practical necessity for environmental remediation.</w:t>
      </w:r>
      <w:r w:rsidR="00FC43BB">
        <w:t xml:space="preserve"> </w:t>
      </w:r>
      <w:r w:rsidR="008E7CF7">
        <w:t xml:space="preserve"> Second, </w:t>
      </w:r>
      <w:r w:rsidR="00D360CF">
        <w:t>I recommend a change to the Company’s accounting methodology to offset all deferred cost electric and gas balances using the totality of assigned and unassigned available recoveries from third party and insurance recoveries.</w:t>
      </w:r>
      <w:r w:rsidR="00D360CF">
        <w:rPr>
          <w:rStyle w:val="FootnoteReference"/>
        </w:rPr>
        <w:footnoteReference w:id="11"/>
      </w:r>
      <w:r w:rsidR="00D360CF">
        <w:t xml:space="preserve"> </w:t>
      </w:r>
      <w:r w:rsidR="00FC43BB">
        <w:t xml:space="preserve"> </w:t>
      </w:r>
      <w:r w:rsidR="00D360CF">
        <w:t xml:space="preserve">Third, </w:t>
      </w:r>
      <w:r w:rsidR="008E7CF7">
        <w:t>I recommend the exclusion of</w:t>
      </w:r>
      <w:r w:rsidR="008E7CF7" w:rsidRPr="00D413E9">
        <w:t xml:space="preserve"> $34,641,077.23 </w:t>
      </w:r>
      <w:r w:rsidR="00D360CF">
        <w:t xml:space="preserve">in remediation costs </w:t>
      </w:r>
      <w:r w:rsidR="008E7CF7">
        <w:t>associated with the Tacoma Tar Pits</w:t>
      </w:r>
      <w:r w:rsidR="00D360CF">
        <w:t xml:space="preserve"> </w:t>
      </w:r>
      <w:r w:rsidR="008E7CF7">
        <w:t>deferred gas balances</w:t>
      </w:r>
      <w:r w:rsidR="008E7CF7" w:rsidRPr="00FA5720">
        <w:t>.</w:t>
      </w:r>
      <w:r w:rsidR="008E7CF7" w:rsidRPr="00FA5720">
        <w:rPr>
          <w:rStyle w:val="FootnoteReference"/>
        </w:rPr>
        <w:footnoteReference w:id="12"/>
      </w:r>
      <w:r w:rsidR="008E7CF7">
        <w:t xml:space="preserve"> </w:t>
      </w:r>
      <w:r w:rsidR="00FC43BB">
        <w:t xml:space="preserve"> </w:t>
      </w:r>
      <w:r w:rsidR="008E7CF7" w:rsidRPr="00067696">
        <w:rPr>
          <w:highlight w:val="yellow"/>
        </w:rPr>
        <w:t>My recommendation also excludes $29,000,000 in insurance recoveries associated with the Tacoma Tar Pits remediation site</w:t>
      </w:r>
      <w:r w:rsidR="00D360CF" w:rsidRPr="00D360CF">
        <w:rPr>
          <w:highlight w:val="yellow"/>
        </w:rPr>
        <w:t xml:space="preserve"> </w:t>
      </w:r>
      <w:r w:rsidR="00D360CF" w:rsidRPr="00067696">
        <w:rPr>
          <w:highlight w:val="yellow"/>
        </w:rPr>
        <w:t>from the unassigned recoveries account</w:t>
      </w:r>
      <w:r w:rsidR="008E7CF7" w:rsidRPr="00067696">
        <w:rPr>
          <w:highlight w:val="yellow"/>
        </w:rPr>
        <w:t>.</w:t>
      </w:r>
      <w:r w:rsidR="008E7CF7" w:rsidRPr="00067696">
        <w:rPr>
          <w:rStyle w:val="FootnoteReference"/>
          <w:highlight w:val="yellow"/>
        </w:rPr>
        <w:footnoteReference w:id="13"/>
      </w:r>
      <w:r w:rsidR="008E7CF7">
        <w:t xml:space="preserve"> </w:t>
      </w:r>
      <w:r w:rsidR="00D360CF">
        <w:t xml:space="preserve"> </w:t>
      </w:r>
      <w:r w:rsidR="008E7CF7">
        <w:t>I</w:t>
      </w:r>
      <w:r w:rsidR="00FB3B75">
        <w:t xml:space="preserve"> also</w:t>
      </w:r>
      <w:r w:rsidR="008E7CF7">
        <w:t xml:space="preserve"> recommend the exclusion of </w:t>
      </w:r>
      <w:r w:rsidR="008E7CF7" w:rsidRPr="00067696">
        <w:t>certain</w:t>
      </w:r>
      <w:r w:rsidR="008E7CF7" w:rsidRPr="00067696">
        <w:rPr>
          <w:highlight w:val="yellow"/>
        </w:rPr>
        <w:t xml:space="preserve"> internal costs</w:t>
      </w:r>
      <w:r w:rsidR="008E7CF7">
        <w:t xml:space="preserve"> from the unassigned recoveries</w:t>
      </w:r>
      <w:r w:rsidR="00FB3B75">
        <w:t>.</w:t>
      </w:r>
      <w:r w:rsidR="008D6CB8" w:rsidRPr="008D6CB8">
        <w:rPr>
          <w:rStyle w:val="FootnoteReference"/>
        </w:rPr>
        <w:t xml:space="preserve"> </w:t>
      </w:r>
      <w:r w:rsidR="008D6CB8">
        <w:rPr>
          <w:rStyle w:val="FootnoteReference"/>
        </w:rPr>
        <w:footnoteReference w:id="14"/>
      </w:r>
      <w:r w:rsidR="008D6CB8">
        <w:t xml:space="preserve"> </w:t>
      </w:r>
      <w:r w:rsidR="00FC43BB">
        <w:t xml:space="preserve"> </w:t>
      </w:r>
      <w:r w:rsidR="00FB3B75">
        <w:t xml:space="preserve">Lastly, I recommend the </w:t>
      </w:r>
      <w:r w:rsidR="0040652D">
        <w:t xml:space="preserve">appropriate </w:t>
      </w:r>
      <w:r w:rsidR="00D360CF">
        <w:t>working capital treatment</w:t>
      </w:r>
      <w:r w:rsidR="0040652D">
        <w:t xml:space="preserve"> </w:t>
      </w:r>
      <w:r w:rsidR="00D763DE">
        <w:t xml:space="preserve">for the </w:t>
      </w:r>
      <w:r w:rsidR="0040652D">
        <w:t>balances associated with electric and gas remediation projects</w:t>
      </w:r>
      <w:r w:rsidR="008E7CF7">
        <w:t>.</w:t>
      </w:r>
      <w:r w:rsidR="008D6CB8">
        <w:rPr>
          <w:rStyle w:val="FootnoteReference"/>
        </w:rPr>
        <w:footnoteReference w:id="15"/>
      </w:r>
      <w:r w:rsidR="008D6CB8">
        <w:t xml:space="preserve"> </w:t>
      </w:r>
    </w:p>
    <w:p w14:paraId="0006789B" w14:textId="77777777" w:rsidR="004D3860" w:rsidRDefault="004D3860" w:rsidP="00D763DE">
      <w:pPr>
        <w:spacing w:line="480" w:lineRule="auto"/>
        <w:ind w:left="720" w:hanging="720"/>
        <w:sectPr w:rsidR="004D3860" w:rsidSect="004D3860">
          <w:footerReference w:type="default" r:id="rId12"/>
          <w:pgSz w:w="12240" w:h="15840" w:code="1"/>
          <w:pgMar w:top="1440" w:right="1440" w:bottom="1440" w:left="1872" w:header="720" w:footer="720" w:gutter="0"/>
          <w:lnNumType w:countBy="1"/>
          <w:cols w:space="720"/>
          <w:docGrid w:linePitch="360"/>
        </w:sectPr>
      </w:pPr>
    </w:p>
    <w:p w14:paraId="6B5D5D1F" w14:textId="46D8BAE7" w:rsidR="00761988" w:rsidRDefault="00306D09" w:rsidP="00BD3C93">
      <w:pPr>
        <w:pStyle w:val="Heading2"/>
        <w:numPr>
          <w:ilvl w:val="0"/>
          <w:numId w:val="40"/>
        </w:numPr>
        <w:ind w:left="2160" w:hanging="720"/>
      </w:pPr>
      <w:bookmarkStart w:id="19" w:name="_Toc486434756"/>
      <w:r>
        <w:t>PSE’s ER projects are prudent.</w:t>
      </w:r>
      <w:bookmarkEnd w:id="19"/>
      <w:r>
        <w:t xml:space="preserve"> </w:t>
      </w:r>
    </w:p>
    <w:p w14:paraId="01BDEEBD" w14:textId="77777777" w:rsidR="00143F93" w:rsidRPr="00143F93" w:rsidRDefault="00143F93" w:rsidP="00143F93">
      <w:pPr>
        <w:spacing w:line="480" w:lineRule="auto"/>
      </w:pPr>
    </w:p>
    <w:p w14:paraId="7540BBAB" w14:textId="77777777" w:rsidR="00724060" w:rsidRDefault="00724060" w:rsidP="00143F93">
      <w:pPr>
        <w:pStyle w:val="Heading8"/>
      </w:pPr>
      <w:r w:rsidRPr="0038288E">
        <w:t>Q.</w:t>
      </w:r>
      <w:r w:rsidRPr="0038288E">
        <w:tab/>
      </w:r>
      <w:r>
        <w:t>Please describe the prudency review process in this case.</w:t>
      </w:r>
    </w:p>
    <w:p w14:paraId="5CDF167E" w14:textId="16FC799D" w:rsidR="00F153DA" w:rsidRPr="00F153DA" w:rsidRDefault="00724060" w:rsidP="00BD7D03">
      <w:pPr>
        <w:spacing w:line="480" w:lineRule="auto"/>
        <w:ind w:left="720" w:hanging="720"/>
      </w:pPr>
      <w:r w:rsidRPr="0038288E">
        <w:t>A.</w:t>
      </w:r>
      <w:r w:rsidRPr="0038288E">
        <w:tab/>
      </w:r>
      <w:r w:rsidR="007C41A9">
        <w:t>My prudency</w:t>
      </w:r>
      <w:r w:rsidR="00306D09">
        <w:t xml:space="preserve"> review </w:t>
      </w:r>
      <w:r w:rsidR="007C41A9">
        <w:t xml:space="preserve">generally </w:t>
      </w:r>
      <w:r w:rsidR="00306D09">
        <w:t>follows</w:t>
      </w:r>
      <w:r w:rsidR="002F366E">
        <w:t xml:space="preserve"> the </w:t>
      </w:r>
      <w:r w:rsidR="007C41A9">
        <w:t>Commission guidelines for determining prudence of rate base additions because p</w:t>
      </w:r>
      <w:r>
        <w:t>revious Commission’s orders d</w:t>
      </w:r>
      <w:r w:rsidR="007C41A9">
        <w:t>o</w:t>
      </w:r>
      <w:r>
        <w:t xml:space="preserve"> not establish</w:t>
      </w:r>
      <w:r w:rsidR="007C41A9">
        <w:t xml:space="preserve"> a deferral-specific </w:t>
      </w:r>
      <w:r>
        <w:t>set of standards.</w:t>
      </w:r>
      <w:r w:rsidR="007C41A9">
        <w:t xml:space="preserve"> </w:t>
      </w:r>
      <w:r w:rsidR="00FC43BB">
        <w:t xml:space="preserve"> </w:t>
      </w:r>
      <w:r w:rsidR="007C41A9">
        <w:t>Of course, ER expenses and deferrals are, by their nature slightly different than rate base additions, so</w:t>
      </w:r>
      <w:r w:rsidR="007C41A9">
        <w:rPr>
          <w:rFonts w:asciiTheme="minorHAnsi" w:hAnsiTheme="minorHAnsi" w:cstheme="minorBidi"/>
          <w:sz w:val="22"/>
          <w:szCs w:val="22"/>
        </w:rPr>
        <w:t xml:space="preserve"> </w:t>
      </w:r>
      <w:r w:rsidR="007C41A9">
        <w:t>the</w:t>
      </w:r>
      <w:r w:rsidR="007C41A9" w:rsidRPr="000C45B4">
        <w:t xml:space="preserve"> prudency </w:t>
      </w:r>
      <w:r w:rsidR="007C41A9">
        <w:t xml:space="preserve">determination process needs to be slightly different as well. </w:t>
      </w:r>
    </w:p>
    <w:p w14:paraId="4F6C8E33" w14:textId="0DB0E65F" w:rsidR="00724060" w:rsidRDefault="00724060" w:rsidP="00724060">
      <w:pPr>
        <w:spacing w:line="480" w:lineRule="auto"/>
        <w:ind w:left="720" w:hanging="720"/>
      </w:pPr>
      <w:r>
        <w:t xml:space="preserve"> </w:t>
      </w:r>
    </w:p>
    <w:p w14:paraId="3561C233" w14:textId="49112E6B" w:rsidR="00581889" w:rsidRDefault="00581889" w:rsidP="00581889">
      <w:pPr>
        <w:pStyle w:val="Heading8"/>
      </w:pPr>
      <w:r w:rsidRPr="0038288E">
        <w:t>Q.</w:t>
      </w:r>
      <w:r w:rsidRPr="0038288E">
        <w:tab/>
      </w:r>
      <w:r>
        <w:t>What is the main difference between rate base additions and ER deferred balances?</w:t>
      </w:r>
    </w:p>
    <w:p w14:paraId="5D408EFC" w14:textId="349D8F9F" w:rsidR="00581889" w:rsidRDefault="00581889" w:rsidP="00BD5FD2">
      <w:pPr>
        <w:spacing w:line="480" w:lineRule="auto"/>
        <w:ind w:left="720" w:hanging="720"/>
      </w:pPr>
      <w:r w:rsidRPr="0038288E">
        <w:t>A.</w:t>
      </w:r>
      <w:r w:rsidRPr="0038288E">
        <w:tab/>
      </w:r>
      <w:r>
        <w:t>The main difference is that rate base additions are necessary for generation, transmission and distribution purposes</w:t>
      </w:r>
      <w:r w:rsidR="007C41A9">
        <w:t xml:space="preserve">, but </w:t>
      </w:r>
      <w:r>
        <w:t xml:space="preserve">ER is </w:t>
      </w:r>
      <w:r w:rsidR="007C41A9">
        <w:t xml:space="preserve">only </w:t>
      </w:r>
      <w:r>
        <w:t>necessary to maintain Company’s good standing with the regulatory bodies.</w:t>
      </w:r>
      <w:r w:rsidR="00FC43BB">
        <w:t xml:space="preserve"> </w:t>
      </w:r>
      <w:r>
        <w:t xml:space="preserve"> </w:t>
      </w:r>
      <w:r w:rsidR="007C41A9">
        <w:t xml:space="preserve">Determining the “need” for ER thus ties to legislated obligations </w:t>
      </w:r>
      <w:r w:rsidR="00BD5FD2">
        <w:t xml:space="preserve">and processes </w:t>
      </w:r>
      <w:r w:rsidR="007C41A9">
        <w:t>instead of the Company’s ability to provide electric or natural gas service.</w:t>
      </w:r>
      <w:r w:rsidR="00FC43BB">
        <w:t xml:space="preserve"> </w:t>
      </w:r>
      <w:r w:rsidR="007C41A9">
        <w:t xml:space="preserve"> </w:t>
      </w:r>
      <w:r w:rsidR="00BD5FD2">
        <w:t xml:space="preserve">In any event, the traditional rate-base prudence review is </w:t>
      </w:r>
      <w:r w:rsidR="00CF0FAD">
        <w:t>a valuable roadmap when forming an opinion related to prudency.</w:t>
      </w:r>
      <w:r w:rsidR="000A7022">
        <w:t xml:space="preserve"> </w:t>
      </w:r>
    </w:p>
    <w:p w14:paraId="50AD346E" w14:textId="77777777" w:rsidR="00724060" w:rsidRPr="0038288E" w:rsidRDefault="00724060" w:rsidP="00724060">
      <w:pPr>
        <w:spacing w:line="480" w:lineRule="auto"/>
      </w:pPr>
    </w:p>
    <w:p w14:paraId="1FC15214" w14:textId="1B018D19" w:rsidR="00724060" w:rsidRDefault="00724060" w:rsidP="00724060">
      <w:pPr>
        <w:pStyle w:val="Heading8"/>
      </w:pPr>
      <w:r w:rsidRPr="0038288E">
        <w:t>Q.</w:t>
      </w:r>
      <w:r w:rsidRPr="0038288E">
        <w:tab/>
      </w:r>
      <w:r>
        <w:t xml:space="preserve">What is the </w:t>
      </w:r>
      <w:r w:rsidR="007C41A9">
        <w:t xml:space="preserve">traditional Commission </w:t>
      </w:r>
      <w:r>
        <w:t xml:space="preserve">standard </w:t>
      </w:r>
      <w:r w:rsidR="007C41A9">
        <w:t xml:space="preserve">for </w:t>
      </w:r>
      <w:r>
        <w:t>a prudency review?</w:t>
      </w:r>
    </w:p>
    <w:p w14:paraId="56A8064D" w14:textId="491B6FDB" w:rsidR="00724060" w:rsidRDefault="00724060" w:rsidP="00D174B2">
      <w:pPr>
        <w:spacing w:line="480" w:lineRule="auto"/>
        <w:ind w:left="720" w:hanging="720"/>
      </w:pPr>
      <w:r w:rsidRPr="0038288E">
        <w:t>A.</w:t>
      </w:r>
      <w:r w:rsidRPr="0038288E">
        <w:tab/>
      </w:r>
      <w:r>
        <w:t>The Commission has established that</w:t>
      </w:r>
      <w:r w:rsidR="00597C9F">
        <w:t xml:space="preserve"> </w:t>
      </w:r>
      <w:r>
        <w:t xml:space="preserve">any decision to acquire resources has to be appropriate under </w:t>
      </w:r>
      <w:r w:rsidR="00761988">
        <w:t>a</w:t>
      </w:r>
      <w:r>
        <w:t xml:space="preserve"> reasonableness standard</w:t>
      </w:r>
      <w:r w:rsidR="007C41A9">
        <w:t>.</w:t>
      </w:r>
      <w:r w:rsidR="00761988" w:rsidRPr="006B0A0F">
        <w:rPr>
          <w:rFonts w:cstheme="minorBidi"/>
          <w:szCs w:val="20"/>
          <w:vertAlign w:val="superscript"/>
        </w:rPr>
        <w:footnoteReference w:id="16"/>
      </w:r>
      <w:r w:rsidRPr="006B0A0F">
        <w:t xml:space="preserve"> </w:t>
      </w:r>
    </w:p>
    <w:p w14:paraId="07068D9F" w14:textId="77777777" w:rsidR="00724060" w:rsidRDefault="00724060" w:rsidP="00724060">
      <w:pPr>
        <w:pStyle w:val="Heading8"/>
      </w:pPr>
      <w:r w:rsidRPr="0038288E">
        <w:lastRenderedPageBreak/>
        <w:t>Q.</w:t>
      </w:r>
      <w:r w:rsidRPr="0038288E">
        <w:tab/>
      </w:r>
      <w:r>
        <w:t>What elements are considered to make a prudency review?</w:t>
      </w:r>
    </w:p>
    <w:p w14:paraId="17F1772D" w14:textId="2AD04265" w:rsidR="00D174B2" w:rsidRDefault="00724060" w:rsidP="00D174B2">
      <w:pPr>
        <w:spacing w:line="480" w:lineRule="auto"/>
        <w:ind w:left="720" w:hanging="720"/>
      </w:pPr>
      <w:r w:rsidRPr="0038288E">
        <w:t>A.</w:t>
      </w:r>
      <w:r w:rsidRPr="0038288E">
        <w:tab/>
      </w:r>
      <w:r>
        <w:t xml:space="preserve">There is no single set of elements or factors </w:t>
      </w:r>
      <w:r w:rsidR="00761988">
        <w:t xml:space="preserve">for </w:t>
      </w:r>
      <w:r>
        <w:t>a prudency review</w:t>
      </w:r>
      <w:r w:rsidR="005F77A1">
        <w:t xml:space="preserve">, but Staff has recently proposed generally applying four factors. </w:t>
      </w:r>
      <w:r w:rsidR="00FC43BB">
        <w:t xml:space="preserve"> </w:t>
      </w:r>
      <w:r w:rsidR="00D174B2">
        <w:t>These elements are</w:t>
      </w:r>
      <w:r w:rsidR="00D174B2" w:rsidRPr="00D174B2">
        <w:t xml:space="preserve"> </w:t>
      </w:r>
      <w:r w:rsidR="00D174B2">
        <w:t xml:space="preserve">discussed </w:t>
      </w:r>
      <w:r w:rsidR="00D174B2" w:rsidRPr="00D174B2">
        <w:t xml:space="preserve">in section III of Mr. </w:t>
      </w:r>
      <w:r w:rsidR="00D174B2">
        <w:t>Wright’s testimony.</w:t>
      </w:r>
    </w:p>
    <w:p w14:paraId="79367CE4" w14:textId="2575B990" w:rsidR="009D4790" w:rsidRPr="00612C86" w:rsidRDefault="00D174B2" w:rsidP="00D174B2">
      <w:pPr>
        <w:spacing w:line="480" w:lineRule="auto"/>
        <w:ind w:left="720" w:hanging="720"/>
      </w:pPr>
      <w:r>
        <w:t xml:space="preserve"> </w:t>
      </w:r>
    </w:p>
    <w:p w14:paraId="70B7E5B1" w14:textId="49871E56" w:rsidR="007A5B27" w:rsidRPr="00541C24" w:rsidRDefault="007A5B27" w:rsidP="007A5B27">
      <w:pPr>
        <w:pStyle w:val="Heading8"/>
      </w:pPr>
      <w:r w:rsidRPr="00541C24">
        <w:t>Q.</w:t>
      </w:r>
      <w:r w:rsidRPr="00541C24">
        <w:tab/>
      </w:r>
      <w:r w:rsidR="005614FA">
        <w:t xml:space="preserve">Do the deferred </w:t>
      </w:r>
      <w:r>
        <w:t>projects included for recovery meet the standards for the prudency review?</w:t>
      </w:r>
    </w:p>
    <w:p w14:paraId="59F3B302" w14:textId="47702E81" w:rsidR="007A5B27" w:rsidRDefault="007A5B27" w:rsidP="007A5B27">
      <w:pPr>
        <w:spacing w:line="480" w:lineRule="auto"/>
      </w:pPr>
      <w:r>
        <w:t>A.</w:t>
      </w:r>
      <w:r>
        <w:tab/>
        <w:t xml:space="preserve">Yes. </w:t>
      </w:r>
      <w:r w:rsidR="00FC43BB">
        <w:t xml:space="preserve"> </w:t>
      </w:r>
      <w:r w:rsidR="005614FA">
        <w:t>The projects comply</w:t>
      </w:r>
      <w:r>
        <w:t xml:space="preserve"> </w:t>
      </w:r>
      <w:r w:rsidR="002B5026">
        <w:t xml:space="preserve">with </w:t>
      </w:r>
      <w:r>
        <w:t xml:space="preserve">Staff’s </w:t>
      </w:r>
      <w:r w:rsidR="002B5026">
        <w:t xml:space="preserve">recommended </w:t>
      </w:r>
      <w:r>
        <w:t>four prudency standards:</w:t>
      </w:r>
    </w:p>
    <w:p w14:paraId="7527295E" w14:textId="4507B5BF" w:rsidR="007A5B27" w:rsidRPr="00692A19" w:rsidRDefault="007A5B27" w:rsidP="005614FA">
      <w:pPr>
        <w:pStyle w:val="ListParagraph"/>
        <w:numPr>
          <w:ilvl w:val="0"/>
          <w:numId w:val="11"/>
        </w:numPr>
        <w:spacing w:line="480" w:lineRule="auto"/>
        <w:ind w:hanging="1080"/>
      </w:pPr>
      <w:r w:rsidRPr="007A33E7">
        <w:rPr>
          <w:i/>
        </w:rPr>
        <w:t>The Need for the Resource</w:t>
      </w:r>
      <w:r>
        <w:t xml:space="preserve"> – </w:t>
      </w:r>
      <w:r w:rsidR="00A67F9E">
        <w:t xml:space="preserve">Although ER is not a traditional </w:t>
      </w:r>
      <w:r w:rsidR="00597C9F">
        <w:t>rate base addition</w:t>
      </w:r>
      <w:r w:rsidR="00A67F9E">
        <w:t>, Staff can evaluate whether conducting the remediation is legally necessary or otherwise required</w:t>
      </w:r>
      <w:r w:rsidR="00A76523">
        <w:t>.</w:t>
      </w:r>
      <w:r w:rsidR="006C4FAB">
        <w:t xml:space="preserve"> </w:t>
      </w:r>
      <w:r w:rsidR="00FC43BB">
        <w:t xml:space="preserve"> </w:t>
      </w:r>
      <w:r w:rsidR="00A67F9E">
        <w:t xml:space="preserve">In this case, </w:t>
      </w:r>
      <w:r w:rsidR="00160743">
        <w:t xml:space="preserve">federal and state statutes require the entirety of PSE’s </w:t>
      </w:r>
      <w:r w:rsidR="00F153DA">
        <w:t>environmental remediation program</w:t>
      </w:r>
      <w:r w:rsidR="00F153DA" w:rsidRPr="00692A19">
        <w:t>.</w:t>
      </w:r>
      <w:r w:rsidR="00FC43BB">
        <w:t xml:space="preserve"> </w:t>
      </w:r>
      <w:r w:rsidR="006B169B" w:rsidRPr="00692A19">
        <w:t xml:space="preserve"> </w:t>
      </w:r>
      <w:r w:rsidR="00214CD1" w:rsidRPr="00692A19">
        <w:t>The</w:t>
      </w:r>
      <w:r w:rsidR="00A67F9E">
        <w:t xml:space="preserve"> Company’s</w:t>
      </w:r>
      <w:r w:rsidR="00214CD1" w:rsidRPr="00692A19">
        <w:t xml:space="preserve"> quarterly </w:t>
      </w:r>
      <w:r w:rsidR="004649DF">
        <w:t>for the quarter ending March 31, 2017</w:t>
      </w:r>
      <w:r w:rsidR="00A67F9E">
        <w:t>,</w:t>
      </w:r>
      <w:r w:rsidR="00214CD1" w:rsidRPr="00692A19">
        <w:t xml:space="preserve"> </w:t>
      </w:r>
      <w:r w:rsidR="00A67F9E">
        <w:t xml:space="preserve">also </w:t>
      </w:r>
      <w:r w:rsidR="00214CD1" w:rsidRPr="00692A19">
        <w:t xml:space="preserve">provides a </w:t>
      </w:r>
      <w:r w:rsidR="00F153DA" w:rsidRPr="00692A19">
        <w:t xml:space="preserve">comprehensive and updated description of the activities performed on each site and the </w:t>
      </w:r>
      <w:r w:rsidR="00A67F9E">
        <w:t xml:space="preserve">detailed </w:t>
      </w:r>
      <w:r w:rsidR="00F153DA" w:rsidRPr="00692A19">
        <w:t>reasons why remediation was necessary.</w:t>
      </w:r>
      <w:r w:rsidR="00A67F9E" w:rsidRPr="00692A19">
        <w:rPr>
          <w:rStyle w:val="FootnoteReference"/>
        </w:rPr>
        <w:footnoteReference w:id="17"/>
      </w:r>
      <w:r w:rsidR="00F153DA" w:rsidRPr="00692A19">
        <w:t xml:space="preserve"> </w:t>
      </w:r>
      <w:r w:rsidR="00FC43BB">
        <w:t xml:space="preserve"> </w:t>
      </w:r>
      <w:r w:rsidR="000627DD" w:rsidRPr="00692A19">
        <w:t>PSE</w:t>
      </w:r>
      <w:r w:rsidR="00A67F9E">
        <w:t>’s remediation processes require arms-length negotiations, and sometimes litigation, with</w:t>
      </w:r>
      <w:r w:rsidR="000627DD" w:rsidRPr="00692A19">
        <w:t xml:space="preserve"> other potential responsible parties and applicable insurance policies</w:t>
      </w:r>
      <w:r w:rsidR="00A67F9E">
        <w:t>.</w:t>
      </w:r>
      <w:r w:rsidR="000627DD" w:rsidRPr="00692A19">
        <w:rPr>
          <w:rStyle w:val="FootnoteReference"/>
        </w:rPr>
        <w:footnoteReference w:id="18"/>
      </w:r>
      <w:r w:rsidR="00A67F9E">
        <w:t xml:space="preserve"> </w:t>
      </w:r>
      <w:r w:rsidR="00FC43BB">
        <w:t xml:space="preserve"> </w:t>
      </w:r>
      <w:r w:rsidR="00D44A72">
        <w:t>The</w:t>
      </w:r>
      <w:r w:rsidR="00A67F9E">
        <w:t xml:space="preserve"> combination of federal and state requirements, site-by-site reporting to the Commission, and the r</w:t>
      </w:r>
      <w:r w:rsidR="007C43B5">
        <w:t>ole of unrelated third parties</w:t>
      </w:r>
      <w:r w:rsidR="00A67F9E">
        <w:t xml:space="preserve"> convince</w:t>
      </w:r>
      <w:r w:rsidR="00D44A72">
        <w:t>s</w:t>
      </w:r>
      <w:r w:rsidR="00A67F9E">
        <w:t xml:space="preserve"> Staff that PSE’s ER obligations are legitimate and necessary. </w:t>
      </w:r>
    </w:p>
    <w:p w14:paraId="3E6FB49B" w14:textId="10CFBE19" w:rsidR="000627DD" w:rsidRPr="00692A19" w:rsidRDefault="007A5B27" w:rsidP="000627DD">
      <w:pPr>
        <w:pStyle w:val="ListParagraph"/>
        <w:numPr>
          <w:ilvl w:val="0"/>
          <w:numId w:val="11"/>
        </w:numPr>
        <w:spacing w:line="480" w:lineRule="auto"/>
        <w:ind w:hanging="1080"/>
      </w:pPr>
      <w:r w:rsidRPr="00692A19">
        <w:rPr>
          <w:i/>
        </w:rPr>
        <w:lastRenderedPageBreak/>
        <w:t>Evaluation of alternatives</w:t>
      </w:r>
      <w:r w:rsidRPr="00692A19">
        <w:t xml:space="preserve"> –</w:t>
      </w:r>
      <w:r w:rsidR="00A67F9E">
        <w:t xml:space="preserve"> In PSE’s case, federal and state agencies dictate the pre-established processes for determining</w:t>
      </w:r>
      <w:r w:rsidR="000569C2" w:rsidRPr="00692A19">
        <w:t xml:space="preserve"> the most cost-effective way to accomplish </w:t>
      </w:r>
      <w:r w:rsidR="0034449A" w:rsidRPr="00692A19">
        <w:t xml:space="preserve">appropriate </w:t>
      </w:r>
      <w:r w:rsidR="00597C9F" w:rsidRPr="00692A19">
        <w:t>remedia</w:t>
      </w:r>
      <w:r w:rsidR="00597C9F">
        <w:t>tion</w:t>
      </w:r>
      <w:r w:rsidR="0034449A" w:rsidRPr="00692A19">
        <w:t>.</w:t>
      </w:r>
      <w:r w:rsidR="0034449A" w:rsidRPr="00692A19">
        <w:rPr>
          <w:rStyle w:val="FootnoteReference"/>
        </w:rPr>
        <w:footnoteReference w:id="19"/>
      </w:r>
      <w:r w:rsidR="0034449A" w:rsidRPr="00692A19">
        <w:t xml:space="preserve"> </w:t>
      </w:r>
      <w:r w:rsidR="00FC43BB">
        <w:t xml:space="preserve"> </w:t>
      </w:r>
      <w:r w:rsidR="00B07266">
        <w:t>In conversations with the Company</w:t>
      </w:r>
      <w:r w:rsidR="00EB1877">
        <w:t>,</w:t>
      </w:r>
      <w:r w:rsidR="00B07266">
        <w:t xml:space="preserve"> Staff was informed that </w:t>
      </w:r>
      <w:r w:rsidR="000627DD">
        <w:t xml:space="preserve">PSE personnel does not perform any remediation directly on site, </w:t>
      </w:r>
      <w:r w:rsidR="00466A41">
        <w:t xml:space="preserve">and the Company outsources </w:t>
      </w:r>
      <w:r w:rsidR="000627DD">
        <w:t>all</w:t>
      </w:r>
      <w:r w:rsidR="00466A41">
        <w:t xml:space="preserve"> ER</w:t>
      </w:r>
      <w:r w:rsidR="000627DD">
        <w:t xml:space="preserve"> activities to other service providers</w:t>
      </w:r>
      <w:r w:rsidR="00632582">
        <w:t xml:space="preserve"> (SPs)</w:t>
      </w:r>
      <w:r w:rsidR="000627DD">
        <w:t xml:space="preserve">. </w:t>
      </w:r>
      <w:r w:rsidR="00FC43BB">
        <w:t xml:space="preserve"> </w:t>
      </w:r>
      <w:r w:rsidR="000627DD">
        <w:t>PSE personnel is</w:t>
      </w:r>
      <w:r w:rsidR="00046216">
        <w:t xml:space="preserve"> only</w:t>
      </w:r>
      <w:r w:rsidR="000627DD">
        <w:t xml:space="preserve"> responsible to manage the</w:t>
      </w:r>
      <w:r w:rsidR="00632582">
        <w:t xml:space="preserve"> activities of </w:t>
      </w:r>
      <w:r w:rsidR="00466A41">
        <w:t xml:space="preserve">those </w:t>
      </w:r>
      <w:r w:rsidR="00632582">
        <w:t>SPs</w:t>
      </w:r>
      <w:r w:rsidR="000627DD">
        <w:t>.</w:t>
      </w:r>
      <w:r w:rsidR="00466A41">
        <w:t xml:space="preserve"> </w:t>
      </w:r>
      <w:r w:rsidR="00FC43BB">
        <w:t xml:space="preserve"> </w:t>
      </w:r>
      <w:r w:rsidR="00466A41">
        <w:t>Given the federal and state requirements, proscribed process for completing remediation, and the presence of third-party service providers, Staff believes PSE has appropriately evaluated remediation alternatives.</w:t>
      </w:r>
    </w:p>
    <w:p w14:paraId="364A9B69" w14:textId="157F38ED" w:rsidR="00E75FB3" w:rsidRDefault="007A5B27" w:rsidP="005F77A1">
      <w:pPr>
        <w:pStyle w:val="ListParagraph"/>
        <w:numPr>
          <w:ilvl w:val="0"/>
          <w:numId w:val="11"/>
        </w:numPr>
        <w:spacing w:line="480" w:lineRule="auto"/>
        <w:ind w:hanging="1080"/>
      </w:pPr>
      <w:r w:rsidRPr="00E75FB3">
        <w:rPr>
          <w:i/>
        </w:rPr>
        <w:t>Communication with and involvement of the Company’s Board of Directors</w:t>
      </w:r>
      <w:r w:rsidRPr="00692A19">
        <w:t xml:space="preserve"> – </w:t>
      </w:r>
      <w:r w:rsidR="00AE6582">
        <w:t>PSE does not seem to</w:t>
      </w:r>
      <w:r w:rsidR="00AE6582" w:rsidRPr="00AE6582">
        <w:t xml:space="preserve"> have specific internal protocols for the approval of </w:t>
      </w:r>
      <w:r w:rsidR="00B7451F">
        <w:t>ER</w:t>
      </w:r>
      <w:r w:rsidR="00AE6582" w:rsidRPr="00AE6582">
        <w:t xml:space="preserve"> projects</w:t>
      </w:r>
      <w:r w:rsidR="00AE6582">
        <w:t>.</w:t>
      </w:r>
      <w:r w:rsidR="00AE6582">
        <w:rPr>
          <w:rStyle w:val="FootnoteReference"/>
        </w:rPr>
        <w:footnoteReference w:id="20"/>
      </w:r>
      <w:r w:rsidR="00AE6582" w:rsidRPr="00AE6582">
        <w:t xml:space="preserve"> </w:t>
      </w:r>
      <w:r w:rsidR="00FC43BB">
        <w:t xml:space="preserve"> </w:t>
      </w:r>
      <w:r w:rsidR="009C3913">
        <w:t xml:space="preserve">PSE </w:t>
      </w:r>
      <w:r w:rsidR="00EB1877">
        <w:t xml:space="preserve">stated </w:t>
      </w:r>
      <w:r w:rsidR="00E30756">
        <w:t>that</w:t>
      </w:r>
      <w:r w:rsidR="00160743">
        <w:t xml:space="preserve"> Mr. Rork transmitted</w:t>
      </w:r>
      <w:r w:rsidR="00E30756">
        <w:t xml:space="preserve"> in</w:t>
      </w:r>
      <w:r w:rsidRPr="00692A19">
        <w:t>formation to decision makers</w:t>
      </w:r>
      <w:r w:rsidR="008155D9">
        <w:t xml:space="preserve"> </w:t>
      </w:r>
      <w:r w:rsidR="00E75FB3">
        <w:t>but</w:t>
      </w:r>
      <w:r w:rsidR="008155D9">
        <w:t xml:space="preserve"> </w:t>
      </w:r>
      <w:r w:rsidR="00160743">
        <w:t>the Company does not have</w:t>
      </w:r>
      <w:r w:rsidR="00E75FB3">
        <w:t xml:space="preserve"> a consistent method to</w:t>
      </w:r>
      <w:r w:rsidR="009D4790" w:rsidRPr="00692A19">
        <w:t xml:space="preserve"> document</w:t>
      </w:r>
      <w:r w:rsidR="00E75FB3">
        <w:t xml:space="preserve"> </w:t>
      </w:r>
      <w:r w:rsidR="00EB1877">
        <w:t xml:space="preserve">who was responsible for </w:t>
      </w:r>
      <w:r w:rsidR="00160743">
        <w:t>which specific</w:t>
      </w:r>
      <w:r w:rsidR="00E75FB3">
        <w:t xml:space="preserve"> decision</w:t>
      </w:r>
      <w:r w:rsidR="00EB1877">
        <w:t xml:space="preserve">. </w:t>
      </w:r>
      <w:r w:rsidR="00FB3065">
        <w:t xml:space="preserve"> </w:t>
      </w:r>
      <w:r w:rsidR="00160743">
        <w:t xml:space="preserve">It appears that most decisions were made by vice president-level executives charged with the PSE operation or operations that most closely corresponded to the function of the contamination site. </w:t>
      </w:r>
      <w:r w:rsidR="00FB3065">
        <w:t xml:space="preserve"> </w:t>
      </w:r>
      <w:r w:rsidR="00160743">
        <w:t>Those executives</w:t>
      </w:r>
      <w:r w:rsidR="002D4A99">
        <w:t xml:space="preserve"> </w:t>
      </w:r>
      <w:r w:rsidR="00E75FB3">
        <w:t>manage</w:t>
      </w:r>
      <w:r w:rsidR="002D4A99">
        <w:t>d</w:t>
      </w:r>
      <w:r w:rsidR="00E75FB3">
        <w:t xml:space="preserve"> the costs and recoveries associated with these projects</w:t>
      </w:r>
      <w:r w:rsidR="002D4A99">
        <w:t xml:space="preserve"> over time</w:t>
      </w:r>
      <w:r w:rsidR="00E75FB3">
        <w:t>.</w:t>
      </w:r>
      <w:r w:rsidR="009D4790" w:rsidRPr="00692A19">
        <w:t xml:space="preserve"> </w:t>
      </w:r>
      <w:r w:rsidR="00E75FB3" w:rsidRPr="00E75FB3">
        <w:t xml:space="preserve"> </w:t>
      </w:r>
    </w:p>
    <w:p w14:paraId="49C5432B" w14:textId="6EDF7632" w:rsidR="005078F5" w:rsidRDefault="007A5B27" w:rsidP="00FB3065">
      <w:pPr>
        <w:pStyle w:val="ListParagraph"/>
        <w:numPr>
          <w:ilvl w:val="0"/>
          <w:numId w:val="11"/>
        </w:numPr>
        <w:spacing w:line="480" w:lineRule="auto"/>
        <w:ind w:hanging="1080"/>
      </w:pPr>
      <w:r w:rsidRPr="00E75FB3">
        <w:rPr>
          <w:i/>
        </w:rPr>
        <w:lastRenderedPageBreak/>
        <w:t xml:space="preserve">Adequate Documentation </w:t>
      </w:r>
      <w:r>
        <w:t>–</w:t>
      </w:r>
      <w:r w:rsidR="00160743" w:rsidRPr="00160743">
        <w:t xml:space="preserve"> </w:t>
      </w:r>
      <w:r w:rsidR="00160743">
        <w:t>Although PSE’s</w:t>
      </w:r>
      <w:r w:rsidR="00B430B1">
        <w:t xml:space="preserve"> most significant and expensive projects </w:t>
      </w:r>
      <w:r w:rsidR="002D4A99">
        <w:t xml:space="preserve">were </w:t>
      </w:r>
      <w:r w:rsidR="00B430B1">
        <w:t xml:space="preserve">caused by operations that occurred </w:t>
      </w:r>
      <w:r w:rsidR="00466A41">
        <w:t>decades</w:t>
      </w:r>
      <w:r w:rsidR="00B7451F">
        <w:t xml:space="preserve"> ago</w:t>
      </w:r>
      <w:r w:rsidR="005F77A1">
        <w:t>,</w:t>
      </w:r>
      <w:r w:rsidR="00160743">
        <w:t xml:space="preserve"> the Company’s ER documentation is </w:t>
      </w:r>
      <w:r w:rsidR="00E846B8">
        <w:t>ample</w:t>
      </w:r>
      <w:r w:rsidR="00160743">
        <w:t>.</w:t>
      </w:r>
      <w:r w:rsidR="005F77A1" w:rsidRPr="005F77A1">
        <w:rPr>
          <w:rStyle w:val="FootnoteReference"/>
        </w:rPr>
        <w:t xml:space="preserve"> </w:t>
      </w:r>
      <w:r w:rsidR="005F77A1">
        <w:rPr>
          <w:rStyle w:val="FootnoteReference"/>
        </w:rPr>
        <w:footnoteReference w:id="21"/>
      </w:r>
      <w:r w:rsidR="00160743">
        <w:t xml:space="preserve"> </w:t>
      </w:r>
      <w:r w:rsidR="00160743" w:rsidRPr="00B430B1">
        <w:t xml:space="preserve"> </w:t>
      </w:r>
      <w:r w:rsidR="008A6894">
        <w:t xml:space="preserve">The EPA and state Department of Ecology largely dictated ER obligations, processes, and associated costs. </w:t>
      </w:r>
      <w:r w:rsidR="00FB3065">
        <w:t xml:space="preserve"> </w:t>
      </w:r>
      <w:r w:rsidR="008A6894">
        <w:t xml:space="preserve">Regulators also dictated significant documentation and recordkeeping obligations. </w:t>
      </w:r>
      <w:r w:rsidR="00FB3065">
        <w:t xml:space="preserve"> </w:t>
      </w:r>
      <w:r w:rsidR="008A6894">
        <w:t>To the extent of Staff’s review in this case, it is clear that PSE has complied with those federal and state requirements.</w:t>
      </w:r>
      <w:r w:rsidR="00B7451F">
        <w:t xml:space="preserve"> </w:t>
      </w:r>
      <w:r w:rsidR="00B921FD">
        <w:t xml:space="preserve"> PSE successfully litigated claims to recover monies from insurance companies and third parties. </w:t>
      </w:r>
      <w:r w:rsidR="00FB3065">
        <w:t xml:space="preserve"> </w:t>
      </w:r>
      <w:r w:rsidR="00B921FD">
        <w:t>Staff considers the</w:t>
      </w:r>
      <w:r w:rsidR="008A6894">
        <w:t xml:space="preserve"> litigation</w:t>
      </w:r>
      <w:r w:rsidR="00B921FD">
        <w:t xml:space="preserve"> successes in recoveries as</w:t>
      </w:r>
      <w:r w:rsidR="008A6894">
        <w:t xml:space="preserve"> further</w:t>
      </w:r>
      <w:r w:rsidR="00B921FD">
        <w:t xml:space="preserve"> evidence of adequate documentation.</w:t>
      </w:r>
    </w:p>
    <w:p w14:paraId="1C4027C9" w14:textId="25F861EC" w:rsidR="00950DF4" w:rsidRDefault="003A0A79" w:rsidP="00FB3065">
      <w:pPr>
        <w:pStyle w:val="ListParagraph"/>
        <w:spacing w:line="480" w:lineRule="auto"/>
        <w:ind w:left="1800" w:firstLine="720"/>
      </w:pPr>
      <w:r>
        <w:t>The Company info</w:t>
      </w:r>
      <w:r w:rsidR="00DF73DB">
        <w:t xml:space="preserve">rmed Staff </w:t>
      </w:r>
      <w:r>
        <w:t>that</w:t>
      </w:r>
      <w:r w:rsidR="008A6894">
        <w:t>,</w:t>
      </w:r>
      <w:r>
        <w:t xml:space="preserve"> currently</w:t>
      </w:r>
      <w:r w:rsidR="00451C1E">
        <w:t xml:space="preserve">, </w:t>
      </w:r>
      <w:r w:rsidR="005078F5">
        <w:t>r</w:t>
      </w:r>
      <w:r w:rsidR="005078F5" w:rsidRPr="005078F5">
        <w:t>emediation</w:t>
      </w:r>
      <w:r w:rsidR="005078F5">
        <w:t xml:space="preserve"> cost estimates are adjusted periodically according to reevaluation or onsite inspection</w:t>
      </w:r>
      <w:r w:rsidR="008A6894">
        <w:t>s</w:t>
      </w:r>
      <w:r w:rsidR="005078F5">
        <w:t>.</w:t>
      </w:r>
      <w:r w:rsidR="00FB3065">
        <w:t xml:space="preserve"> </w:t>
      </w:r>
      <w:r>
        <w:t xml:space="preserve"> </w:t>
      </w:r>
      <w:r w:rsidR="005078F5">
        <w:t xml:space="preserve">The information is communicated by </w:t>
      </w:r>
      <w:r w:rsidR="00466A41">
        <w:t>outside c</w:t>
      </w:r>
      <w:r w:rsidR="005078F5">
        <w:t xml:space="preserve">onsultants to </w:t>
      </w:r>
      <w:r w:rsidR="00466A41">
        <w:t>PSE m</w:t>
      </w:r>
      <w:r w:rsidR="005078F5">
        <w:t xml:space="preserve">anagement on a </w:t>
      </w:r>
      <w:r w:rsidR="00466A41">
        <w:t>q</w:t>
      </w:r>
      <w:r w:rsidR="005078F5">
        <w:t xml:space="preserve">uarterly </w:t>
      </w:r>
      <w:r w:rsidR="00466A41">
        <w:t>b</w:t>
      </w:r>
      <w:r w:rsidR="005078F5">
        <w:t>asis.</w:t>
      </w:r>
      <w:r w:rsidR="00FB3065">
        <w:t xml:space="preserve"> </w:t>
      </w:r>
      <w:r w:rsidR="00B430B1">
        <w:t xml:space="preserve"> </w:t>
      </w:r>
      <w:r w:rsidR="002529B5">
        <w:t xml:space="preserve">PSE files regular reports </w:t>
      </w:r>
      <w:r w:rsidR="00A73EEA">
        <w:t xml:space="preserve">to the Commission </w:t>
      </w:r>
      <w:r w:rsidR="002529B5">
        <w:t xml:space="preserve">and now conducts due diligence </w:t>
      </w:r>
      <w:r w:rsidR="00B921FD">
        <w:t>to determine if there is any potential ER be</w:t>
      </w:r>
      <w:r w:rsidR="002529B5">
        <w:t>for</w:t>
      </w:r>
      <w:r w:rsidR="00B921FD">
        <w:t>e acquiring</w:t>
      </w:r>
      <w:r w:rsidR="002529B5">
        <w:t xml:space="preserve"> property.</w:t>
      </w:r>
      <w:r w:rsidR="002529B5">
        <w:rPr>
          <w:rStyle w:val="FootnoteReference"/>
        </w:rPr>
        <w:footnoteReference w:id="22"/>
      </w:r>
      <w:r w:rsidR="002529B5">
        <w:t xml:space="preserve"> </w:t>
      </w:r>
      <w:r w:rsidR="00FB3065">
        <w:t xml:space="preserve"> </w:t>
      </w:r>
      <w:r w:rsidR="00466A41">
        <w:t xml:space="preserve">With that historical and operational context, PSE appears to responsibly examine, track, and document ER </w:t>
      </w:r>
      <w:r w:rsidR="00C06882">
        <w:t>co</w:t>
      </w:r>
      <w:r w:rsidR="00466A41">
        <w:t>s</w:t>
      </w:r>
      <w:r w:rsidR="00C06882">
        <w:t>ts</w:t>
      </w:r>
      <w:r w:rsidR="00466A41">
        <w:t xml:space="preserve">. </w:t>
      </w:r>
    </w:p>
    <w:p w14:paraId="69308F05" w14:textId="147CC077" w:rsidR="00950DF4" w:rsidRDefault="00950DF4" w:rsidP="008A6894">
      <w:pPr>
        <w:spacing w:line="480" w:lineRule="auto"/>
      </w:pPr>
    </w:p>
    <w:p w14:paraId="5741DB09" w14:textId="469B1442" w:rsidR="008A6894" w:rsidRDefault="008A6894" w:rsidP="008A6894">
      <w:pPr>
        <w:spacing w:line="480" w:lineRule="auto"/>
      </w:pPr>
      <w:r w:rsidRPr="008A6894">
        <w:rPr>
          <w:b/>
        </w:rPr>
        <w:t>Q.</w:t>
      </w:r>
      <w:r w:rsidRPr="008A6894">
        <w:rPr>
          <w:b/>
        </w:rPr>
        <w:tab/>
        <w:t>What is your prudence recommendation?</w:t>
      </w:r>
    </w:p>
    <w:p w14:paraId="3178059E" w14:textId="535E941C" w:rsidR="00326F95" w:rsidRDefault="008A6894" w:rsidP="00624AC9">
      <w:pPr>
        <w:spacing w:line="480" w:lineRule="auto"/>
        <w:ind w:left="720" w:hanging="720"/>
      </w:pPr>
      <w:r>
        <w:t>A.</w:t>
      </w:r>
      <w:r>
        <w:tab/>
      </w:r>
      <w:r w:rsidR="00950DF4">
        <w:t xml:space="preserve">The Company </w:t>
      </w:r>
      <w:r w:rsidR="00E75FB3" w:rsidRPr="00E75FB3">
        <w:t xml:space="preserve">provided adequate supporting analysis </w:t>
      </w:r>
      <w:r w:rsidR="001D2541">
        <w:t xml:space="preserve">through its testimony, quarterly reports and data requests responses </w:t>
      </w:r>
      <w:r w:rsidR="00E75FB3" w:rsidRPr="00E75FB3">
        <w:t>demonstrating the reasonableness</w:t>
      </w:r>
      <w:r w:rsidR="00E75FB3">
        <w:t xml:space="preserve"> and </w:t>
      </w:r>
      <w:r w:rsidR="00950DF4">
        <w:t xml:space="preserve">need of </w:t>
      </w:r>
      <w:r w:rsidR="002E2A26">
        <w:lastRenderedPageBreak/>
        <w:t xml:space="preserve">environmental </w:t>
      </w:r>
      <w:r w:rsidR="00950DF4">
        <w:t>remediation</w:t>
      </w:r>
      <w:r w:rsidR="00B6429C">
        <w:t>. C</w:t>
      </w:r>
      <w:r w:rsidR="007A5B27">
        <w:t xml:space="preserve">onsequently, </w:t>
      </w:r>
      <w:r w:rsidR="00AF7C2A">
        <w:t>I recommend</w:t>
      </w:r>
      <w:r w:rsidR="007A5B27">
        <w:t xml:space="preserve"> the Commission consider the </w:t>
      </w:r>
      <w:r w:rsidR="00B7451F">
        <w:t>ER</w:t>
      </w:r>
      <w:r w:rsidR="00E75FB3">
        <w:t xml:space="preserve"> program costs </w:t>
      </w:r>
      <w:r w:rsidR="00B6429C">
        <w:t>as</w:t>
      </w:r>
      <w:r w:rsidR="007A5B27">
        <w:t xml:space="preserve"> prudent. </w:t>
      </w:r>
      <w:r w:rsidR="00E51D01">
        <w:t xml:space="preserve"> </w:t>
      </w:r>
    </w:p>
    <w:p w14:paraId="4F92212A" w14:textId="77777777" w:rsidR="002F366E" w:rsidRPr="008155D9" w:rsidRDefault="002F366E" w:rsidP="008155D9">
      <w:pPr>
        <w:pStyle w:val="Heading2"/>
        <w:numPr>
          <w:ilvl w:val="0"/>
          <w:numId w:val="0"/>
        </w:numPr>
        <w:rPr>
          <w:u w:val="single"/>
        </w:rPr>
      </w:pPr>
    </w:p>
    <w:p w14:paraId="6CA63090" w14:textId="1651FD32" w:rsidR="002F366E" w:rsidRDefault="002F366E" w:rsidP="00BD3C93">
      <w:pPr>
        <w:pStyle w:val="Heading2"/>
        <w:numPr>
          <w:ilvl w:val="0"/>
          <w:numId w:val="40"/>
        </w:numPr>
        <w:spacing w:line="240" w:lineRule="auto"/>
        <w:ind w:left="2160" w:hanging="720"/>
      </w:pPr>
      <w:bookmarkStart w:id="20" w:name="_Toc486434757"/>
      <w:r>
        <w:t>Staff proposed changes to accounting methodologies for the management of third party and insurance recoveries.</w:t>
      </w:r>
      <w:bookmarkEnd w:id="20"/>
    </w:p>
    <w:p w14:paraId="3EA1F9F3" w14:textId="77777777" w:rsidR="002F366E" w:rsidRPr="0083683A" w:rsidRDefault="002F366E" w:rsidP="002F366E">
      <w:pPr>
        <w:spacing w:line="480" w:lineRule="auto"/>
      </w:pPr>
    </w:p>
    <w:p w14:paraId="66FEC002" w14:textId="77777777" w:rsidR="002F366E" w:rsidRPr="005B3960" w:rsidRDefault="002F366E" w:rsidP="002F366E">
      <w:pPr>
        <w:pStyle w:val="Heading8"/>
      </w:pPr>
      <w:r w:rsidRPr="00541C24">
        <w:t>Q.</w:t>
      </w:r>
      <w:r w:rsidRPr="00541C24">
        <w:tab/>
      </w:r>
      <w:r>
        <w:t>What is the Company’s general proposal for using insurance and third party proceeds?</w:t>
      </w:r>
    </w:p>
    <w:p w14:paraId="172F195F" w14:textId="71201D4F" w:rsidR="002F366E" w:rsidRDefault="002F366E" w:rsidP="002F366E">
      <w:pPr>
        <w:spacing w:line="480" w:lineRule="auto"/>
        <w:ind w:left="720" w:hanging="720"/>
      </w:pPr>
      <w:r w:rsidRPr="005B3960">
        <w:t>A.</w:t>
      </w:r>
      <w:r w:rsidRPr="005B3960">
        <w:tab/>
      </w:r>
      <w:r>
        <w:t>The Company presented two different categories for insurance and third party recoveries: assigned and unassigned.</w:t>
      </w:r>
      <w:r w:rsidR="00FB3065">
        <w:t xml:space="preserve"> </w:t>
      </w:r>
      <w:r>
        <w:t xml:space="preserve"> All proceeds in the assigned category directly reduce balances of the corresponding ER project.</w:t>
      </w:r>
      <w:r>
        <w:rPr>
          <w:rStyle w:val="FootnoteReference"/>
        </w:rPr>
        <w:footnoteReference w:id="23"/>
      </w:r>
      <w:r>
        <w:t xml:space="preserve"> </w:t>
      </w:r>
      <w:r w:rsidR="00FB3065">
        <w:t xml:space="preserve"> </w:t>
      </w:r>
      <w:r>
        <w:t xml:space="preserve">Within the unassigned category, PSE proposes further two subcategories. </w:t>
      </w:r>
      <w:r w:rsidR="00FB3065">
        <w:t xml:space="preserve"> </w:t>
      </w:r>
      <w:r>
        <w:t>The first subcategory would go to offset ER costs, but the Company would retain the remaining funds in the second subcategory</w:t>
      </w:r>
      <w:r w:rsidRPr="002B1362">
        <w:t xml:space="preserve"> for future </w:t>
      </w:r>
      <w:r>
        <w:t>environmental remediation costs.</w:t>
      </w:r>
      <w:r>
        <w:rPr>
          <w:rStyle w:val="FootnoteReference"/>
        </w:rPr>
        <w:footnoteReference w:id="24"/>
      </w:r>
    </w:p>
    <w:p w14:paraId="1751E824" w14:textId="4D425C3D" w:rsidR="002F366E" w:rsidRDefault="002F366E" w:rsidP="002F366E">
      <w:pPr>
        <w:spacing w:line="480" w:lineRule="auto"/>
        <w:ind w:left="720"/>
      </w:pPr>
      <w:r>
        <w:t xml:space="preserve"> </w:t>
      </w:r>
      <w:r>
        <w:tab/>
      </w:r>
      <w:r w:rsidRPr="002B1362">
        <w:t>The underlying rationale</w:t>
      </w:r>
      <w:r>
        <w:t xml:space="preserve"> for PSE’s management of the unassigned fund</w:t>
      </w:r>
      <w:r w:rsidRPr="002B1362">
        <w:t xml:space="preserve"> is</w:t>
      </w:r>
      <w:r>
        <w:t xml:space="preserve"> that the </w:t>
      </w:r>
      <w:r w:rsidRPr="00E97C09">
        <w:t>Generally Accepted Accounting Principles (“GAAP”) under Financial Accounting Standards Board Accounting Standards Codification No. 410-30-25 Asset Retirement and Environmental Oblig</w:t>
      </w:r>
      <w:r>
        <w:t xml:space="preserve">ations (“ASC 410-30-25”) </w:t>
      </w:r>
      <w:r w:rsidRPr="00E97C09">
        <w:t>requires the recognition of liabilities associated</w:t>
      </w:r>
      <w:r>
        <w:t xml:space="preserve"> with environmental liabilities</w:t>
      </w:r>
      <w:r w:rsidRPr="002B1362">
        <w:t>.</w:t>
      </w:r>
      <w:r>
        <w:rPr>
          <w:rStyle w:val="FootnoteReference"/>
        </w:rPr>
        <w:footnoteReference w:id="25"/>
      </w:r>
      <w:r>
        <w:t xml:space="preserve"> </w:t>
      </w:r>
      <w:r w:rsidR="00FB3065">
        <w:t xml:space="preserve"> </w:t>
      </w:r>
      <w:r>
        <w:t>The Company then proposes to create such liabilities with a portion of the funds obtained from third party and insurance recoveries.</w:t>
      </w:r>
    </w:p>
    <w:p w14:paraId="01268A64" w14:textId="77777777" w:rsidR="002F366E" w:rsidRPr="005B3960" w:rsidRDefault="002F366E" w:rsidP="002F366E">
      <w:pPr>
        <w:pStyle w:val="Heading8"/>
      </w:pPr>
      <w:r w:rsidRPr="00541C24">
        <w:lastRenderedPageBreak/>
        <w:t>Q.</w:t>
      </w:r>
      <w:r w:rsidRPr="00541C24">
        <w:tab/>
      </w:r>
      <w:r>
        <w:t>Is the Company’s proposal for amortization of unallocated insurance and third party recoveries consistent with orders for electric projects?</w:t>
      </w:r>
    </w:p>
    <w:p w14:paraId="3E97C3CB" w14:textId="23FBFB5F" w:rsidR="002F366E" w:rsidRDefault="002F366E" w:rsidP="002F366E">
      <w:pPr>
        <w:spacing w:line="480" w:lineRule="auto"/>
        <w:ind w:left="720" w:hanging="720"/>
        <w:rPr>
          <w:color w:val="000000" w:themeColor="text1"/>
        </w:rPr>
      </w:pPr>
      <w:r w:rsidRPr="005B3960">
        <w:t>A.</w:t>
      </w:r>
      <w:r w:rsidRPr="005B3960">
        <w:tab/>
      </w:r>
      <w:r>
        <w:t xml:space="preserve">No. </w:t>
      </w:r>
      <w:r w:rsidR="00FB3065">
        <w:t xml:space="preserve"> </w:t>
      </w:r>
      <w:r>
        <w:t>The ord</w:t>
      </w:r>
      <w:r w:rsidRPr="00BF0F30">
        <w:rPr>
          <w:color w:val="000000" w:themeColor="text1"/>
        </w:rPr>
        <w:t xml:space="preserve">ers explicitly instruct that </w:t>
      </w:r>
      <w:r w:rsidR="009C091C">
        <w:rPr>
          <w:color w:val="000000" w:themeColor="text1"/>
        </w:rPr>
        <w:t>deferred amounts should be net of all recoveries before being eligible for amortization and recovery in rates.</w:t>
      </w:r>
      <w:r>
        <w:rPr>
          <w:rStyle w:val="FootnoteReference"/>
          <w:color w:val="000000" w:themeColor="text1"/>
        </w:rPr>
        <w:footnoteReference w:id="26"/>
      </w:r>
      <w:r w:rsidRPr="00BF0F30">
        <w:rPr>
          <w:color w:val="000000" w:themeColor="text1"/>
        </w:rPr>
        <w:t xml:space="preserve"> </w:t>
      </w:r>
      <w:r w:rsidR="00FB3065">
        <w:rPr>
          <w:color w:val="000000" w:themeColor="text1"/>
        </w:rPr>
        <w:t xml:space="preserve"> </w:t>
      </w:r>
      <w:r>
        <w:rPr>
          <w:color w:val="000000" w:themeColor="text1"/>
        </w:rPr>
        <w:t xml:space="preserve">The </w:t>
      </w:r>
      <w:r w:rsidRPr="00BF0F30">
        <w:rPr>
          <w:color w:val="000000" w:themeColor="text1"/>
        </w:rPr>
        <w:t xml:space="preserve">Commission’s orders do not provide any indication that recovery monies should be used as a contingency fund for future obligations. </w:t>
      </w:r>
    </w:p>
    <w:p w14:paraId="5F3F15B1" w14:textId="77777777" w:rsidR="002F366E" w:rsidRDefault="002F366E" w:rsidP="002F366E">
      <w:pPr>
        <w:spacing w:line="480" w:lineRule="auto"/>
        <w:ind w:left="720" w:hanging="720"/>
      </w:pPr>
    </w:p>
    <w:p w14:paraId="12300F87" w14:textId="77777777" w:rsidR="002F366E" w:rsidRPr="005B3960" w:rsidRDefault="002F366E" w:rsidP="002F366E">
      <w:pPr>
        <w:pStyle w:val="Heading8"/>
      </w:pPr>
      <w:r w:rsidRPr="005B3960">
        <w:t>Q.</w:t>
      </w:r>
      <w:r w:rsidRPr="005B3960">
        <w:tab/>
      </w:r>
      <w:r>
        <w:t>What is Staff’s proposal for general third party and insurance recoveries?</w:t>
      </w:r>
    </w:p>
    <w:p w14:paraId="58D07AEB" w14:textId="10951916" w:rsidR="002F366E" w:rsidRDefault="002F366E" w:rsidP="002F366E">
      <w:pPr>
        <w:spacing w:line="480" w:lineRule="auto"/>
        <w:ind w:left="720" w:hanging="720"/>
      </w:pPr>
      <w:r w:rsidRPr="005B3960">
        <w:t>A.</w:t>
      </w:r>
      <w:r w:rsidRPr="005B3960">
        <w:tab/>
      </w:r>
      <w:r>
        <w:t xml:space="preserve">My proposal eliminates that portion of unassigned third party proceeds that PSE seeks to retain for future ER costs. </w:t>
      </w:r>
      <w:r w:rsidR="00FB3065">
        <w:t xml:space="preserve"> </w:t>
      </w:r>
      <w:r w:rsidR="009C091C">
        <w:t xml:space="preserve">The Company’s proposal to retain an unassigned portion of third party proceeds is simply an arbitrarily-sized contingency fund and departs from Commission guidance. </w:t>
      </w:r>
      <w:r w:rsidR="00FB3065">
        <w:t xml:space="preserve"> </w:t>
      </w:r>
      <w:r>
        <w:t>The Company should utilize all funds available at this point to offset ER obligations, as the Commission instructed in its electric and gas orders.</w:t>
      </w:r>
      <w:r>
        <w:rPr>
          <w:rStyle w:val="FootnoteReference"/>
        </w:rPr>
        <w:footnoteReference w:id="27"/>
      </w:r>
      <w:r>
        <w:t xml:space="preserve"> </w:t>
      </w:r>
      <w:r w:rsidR="00FB3065">
        <w:t xml:space="preserve"> </w:t>
      </w:r>
      <w:r>
        <w:t xml:space="preserve">There is no known and measurable basis to allocate any portion of funds already available to the Company for future ER costs, nor is it fair or reasonable. </w:t>
      </w:r>
    </w:p>
    <w:p w14:paraId="1CC726E5" w14:textId="77777777" w:rsidR="004D3860" w:rsidRDefault="002F366E" w:rsidP="002F366E">
      <w:pPr>
        <w:spacing w:line="480" w:lineRule="auto"/>
        <w:ind w:left="720" w:hanging="720"/>
        <w:sectPr w:rsidR="004D3860" w:rsidSect="004D3860">
          <w:footerReference w:type="default" r:id="rId13"/>
          <w:pgSz w:w="12240" w:h="15840" w:code="1"/>
          <w:pgMar w:top="1440" w:right="1440" w:bottom="1440" w:left="1872" w:header="720" w:footer="720" w:gutter="0"/>
          <w:lnNumType w:countBy="1"/>
          <w:cols w:space="720"/>
          <w:docGrid w:linePitch="360"/>
        </w:sectPr>
      </w:pPr>
      <w:r>
        <w:t xml:space="preserve"> </w:t>
      </w:r>
      <w:r>
        <w:tab/>
      </w:r>
      <w:r>
        <w:tab/>
        <w:t xml:space="preserve">PSE alleges the funds will mitigate rate impacts from future remediation expenses, but in reality the retained amounts would work as a contingency fund. </w:t>
      </w:r>
      <w:r w:rsidR="00FB3065">
        <w:t xml:space="preserve"> </w:t>
      </w:r>
      <w:r>
        <w:t xml:space="preserve">The </w:t>
      </w:r>
    </w:p>
    <w:p w14:paraId="51087125" w14:textId="4375E461" w:rsidR="002F366E" w:rsidRDefault="002F366E" w:rsidP="004D3860">
      <w:pPr>
        <w:spacing w:line="480" w:lineRule="auto"/>
        <w:ind w:left="720"/>
      </w:pPr>
      <w:r>
        <w:t>Company’s logic goes against the reasoning for deferrals and amortization.</w:t>
      </w:r>
      <w:r w:rsidR="00FB3065">
        <w:t xml:space="preserve"> </w:t>
      </w:r>
      <w:r>
        <w:t xml:space="preserve"> If the Company requires capital for future ER obligations, the Commission has already provided significant guidance on how to seek deferral treatment for the costs and propose recovery on and of those costs in a general rate case. </w:t>
      </w:r>
      <w:r w:rsidR="00FB3065">
        <w:t xml:space="preserve"> </w:t>
      </w:r>
      <w:r>
        <w:t xml:space="preserve">Additionally, retained unused funds could earn interest that ratepayers would not receive. </w:t>
      </w:r>
      <w:r w:rsidR="00FB3065">
        <w:t xml:space="preserve"> </w:t>
      </w:r>
      <w:r>
        <w:t>Therefore,</w:t>
      </w:r>
      <w:r w:rsidRPr="001E47E6">
        <w:t xml:space="preserve"> the Company’s approach</w:t>
      </w:r>
      <w:r>
        <w:t xml:space="preserve"> to retain a portion of unassigned ER funds in a contingency-type account</w:t>
      </w:r>
      <w:r w:rsidRPr="001E47E6">
        <w:t xml:space="preserve"> is n</w:t>
      </w:r>
      <w:r>
        <w:t xml:space="preserve">ot fair to ratepayers, and any benefits from </w:t>
      </w:r>
      <w:r w:rsidRPr="001E47E6">
        <w:t xml:space="preserve">mitigation </w:t>
      </w:r>
      <w:r>
        <w:t>of future rate increases from such a practice</w:t>
      </w:r>
      <w:r w:rsidRPr="001E47E6">
        <w:t xml:space="preserve"> cannot be </w:t>
      </w:r>
      <w:r>
        <w:t>sufficiently well-</w:t>
      </w:r>
      <w:r w:rsidRPr="001E47E6">
        <w:t>quantified because future costs are estimat</w:t>
      </w:r>
      <w:r>
        <w:t>es</w:t>
      </w:r>
      <w:r w:rsidRPr="001E47E6">
        <w:t>.</w:t>
      </w:r>
    </w:p>
    <w:p w14:paraId="4BE9883C" w14:textId="77777777" w:rsidR="002F366E" w:rsidRDefault="002F366E" w:rsidP="002F366E">
      <w:pPr>
        <w:spacing w:line="480" w:lineRule="auto"/>
        <w:ind w:left="720" w:hanging="720"/>
      </w:pPr>
    </w:p>
    <w:p w14:paraId="591C3FEF" w14:textId="77777777" w:rsidR="002F366E" w:rsidRPr="005B3960" w:rsidRDefault="002F366E" w:rsidP="002F366E">
      <w:pPr>
        <w:pStyle w:val="Heading8"/>
      </w:pPr>
      <w:r w:rsidRPr="005B3960">
        <w:t>Q.</w:t>
      </w:r>
      <w:r w:rsidRPr="005B3960">
        <w:tab/>
      </w:r>
      <w:r>
        <w:t>Does Staff recommend the remaining accumulated actual costs – the ones that are not offset by insurance or other third party funds - be amortized?</w:t>
      </w:r>
    </w:p>
    <w:p w14:paraId="2BCDA15F" w14:textId="003BEE71" w:rsidR="002F366E" w:rsidRDefault="002F366E" w:rsidP="002F366E">
      <w:pPr>
        <w:spacing w:line="480" w:lineRule="auto"/>
        <w:ind w:left="720" w:hanging="720"/>
      </w:pPr>
      <w:r w:rsidRPr="005B3960">
        <w:t>A.</w:t>
      </w:r>
      <w:r w:rsidRPr="005B3960">
        <w:tab/>
      </w:r>
      <w:r>
        <w:t xml:space="preserve">Yes. </w:t>
      </w:r>
      <w:r w:rsidR="00FB3065">
        <w:t xml:space="preserve"> </w:t>
      </w:r>
      <w:r>
        <w:t>Staff recommends the remaining balances that are not offset by the unassigned recoveries, or net balances, be amortized into rates over a 5 year period.</w:t>
      </w:r>
      <w:r>
        <w:rPr>
          <w:rStyle w:val="FootnoteReference"/>
        </w:rPr>
        <w:footnoteReference w:id="28"/>
      </w:r>
      <w:r>
        <w:t xml:space="preserve"> </w:t>
      </w:r>
    </w:p>
    <w:p w14:paraId="2497A926" w14:textId="77777777" w:rsidR="00C67A7C" w:rsidRDefault="00C67A7C" w:rsidP="00C67A7C">
      <w:pPr>
        <w:spacing w:line="480" w:lineRule="auto"/>
        <w:ind w:left="720" w:hanging="720"/>
        <w:rPr>
          <w:b/>
        </w:rPr>
      </w:pPr>
    </w:p>
    <w:p w14:paraId="0CE64FA4" w14:textId="0B2D6E87" w:rsidR="00C67A7C" w:rsidRPr="00C67A7C" w:rsidRDefault="00C67A7C" w:rsidP="00BD3C93">
      <w:pPr>
        <w:pStyle w:val="ListParagraph"/>
        <w:numPr>
          <w:ilvl w:val="0"/>
          <w:numId w:val="40"/>
        </w:numPr>
        <w:ind w:left="2160" w:right="-72" w:hanging="720"/>
        <w:rPr>
          <w:b/>
        </w:rPr>
      </w:pPr>
      <w:r w:rsidRPr="00C67A7C">
        <w:rPr>
          <w:b/>
        </w:rPr>
        <w:t xml:space="preserve">The Commission should exclude the recoveries and </w:t>
      </w:r>
      <w:r>
        <w:rPr>
          <w:b/>
        </w:rPr>
        <w:t xml:space="preserve">ER </w:t>
      </w:r>
      <w:r w:rsidRPr="00C67A7C">
        <w:rPr>
          <w:b/>
        </w:rPr>
        <w:t>obligations associated with the Tacoma Tar Pits</w:t>
      </w:r>
      <w:r>
        <w:rPr>
          <w:b/>
        </w:rPr>
        <w:t>/Tacoma Tide Flats.</w:t>
      </w:r>
    </w:p>
    <w:p w14:paraId="1C662E62" w14:textId="77777777" w:rsidR="00B52187" w:rsidRDefault="00B52187" w:rsidP="00C67A7C">
      <w:pPr>
        <w:spacing w:line="480" w:lineRule="auto"/>
        <w:rPr>
          <w:b/>
        </w:rPr>
      </w:pPr>
    </w:p>
    <w:p w14:paraId="167CB375" w14:textId="352CE7C5" w:rsidR="00C67A7C" w:rsidRPr="00C67A7C" w:rsidRDefault="00C67A7C" w:rsidP="00C67A7C">
      <w:pPr>
        <w:spacing w:line="480" w:lineRule="auto"/>
        <w:rPr>
          <w:b/>
        </w:rPr>
      </w:pPr>
      <w:r>
        <w:rPr>
          <w:b/>
        </w:rPr>
        <w:t xml:space="preserve">Q. </w:t>
      </w:r>
      <w:r>
        <w:rPr>
          <w:b/>
        </w:rPr>
        <w:tab/>
        <w:t xml:space="preserve">Does Staff propose removal of </w:t>
      </w:r>
      <w:r w:rsidR="00B52187">
        <w:rPr>
          <w:b/>
        </w:rPr>
        <w:t xml:space="preserve">any </w:t>
      </w:r>
      <w:r>
        <w:rPr>
          <w:b/>
        </w:rPr>
        <w:t xml:space="preserve">specific remediation costs or </w:t>
      </w:r>
      <w:r w:rsidRPr="00D958C8">
        <w:rPr>
          <w:b/>
          <w:highlight w:val="yellow"/>
        </w:rPr>
        <w:t>recoveries</w:t>
      </w:r>
      <w:r w:rsidR="00B52187">
        <w:rPr>
          <w:b/>
        </w:rPr>
        <w:t>?</w:t>
      </w:r>
    </w:p>
    <w:p w14:paraId="16C43AD3" w14:textId="1B32DE0B" w:rsidR="00B52187" w:rsidRDefault="00B52187" w:rsidP="00C67A7C">
      <w:pPr>
        <w:spacing w:line="480" w:lineRule="auto"/>
        <w:ind w:left="720" w:hanging="720"/>
      </w:pPr>
      <w:r w:rsidRPr="00B52187">
        <w:t>A.</w:t>
      </w:r>
      <w:r w:rsidRPr="00B52187">
        <w:tab/>
        <w:t>Yes.</w:t>
      </w:r>
      <w:r>
        <w:rPr>
          <w:b/>
        </w:rPr>
        <w:t xml:space="preserve"> </w:t>
      </w:r>
      <w:r w:rsidR="00FB3065">
        <w:rPr>
          <w:b/>
        </w:rPr>
        <w:t xml:space="preserve"> </w:t>
      </w:r>
      <w:r w:rsidRPr="00B52187">
        <w:t xml:space="preserve">I recommend the exclusion of costs and </w:t>
      </w:r>
      <w:r w:rsidRPr="00D958C8">
        <w:rPr>
          <w:highlight w:val="yellow"/>
        </w:rPr>
        <w:t>recoveries</w:t>
      </w:r>
      <w:r w:rsidRPr="00B52187">
        <w:t xml:space="preserve"> associated with the Tacoma Historical Coal Gasification Plant situated on the Tacoma Tide Flats</w:t>
      </w:r>
      <w:r>
        <w:t xml:space="preserve"> (“Tacoma Tar Pits” or “Tacoma Tide Flats”)</w:t>
      </w:r>
      <w:r w:rsidRPr="00B52187">
        <w:t xml:space="preserve">.  </w:t>
      </w:r>
      <w:r w:rsidR="003144CC">
        <w:t xml:space="preserve">Washington Natural Gas (“WNG”) previously operated the plant but the Tacoma Tide Flats remediation project became PSE’s </w:t>
      </w:r>
      <w:r w:rsidR="003144CC">
        <w:lastRenderedPageBreak/>
        <w:t xml:space="preserve">problem after the Company merged with Washington Natural Gas (“WNG”). </w:t>
      </w:r>
      <w:r w:rsidR="00FB3065">
        <w:t xml:space="preserve"> </w:t>
      </w:r>
      <w:r w:rsidR="003144CC">
        <w:t>My recommendation</w:t>
      </w:r>
      <w:r>
        <w:t xml:space="preserve"> amounts to removing </w:t>
      </w:r>
      <w:r w:rsidRPr="00F965D0">
        <w:t>$34,641,077.23</w:t>
      </w:r>
      <w:r>
        <w:t xml:space="preserve"> in remediation costs and </w:t>
      </w:r>
      <w:r w:rsidRPr="00203070">
        <w:rPr>
          <w:highlight w:val="yellow"/>
        </w:rPr>
        <w:t>$29,000,000 from the insurance recovery balances.</w:t>
      </w:r>
      <w:r w:rsidR="00FB3065">
        <w:rPr>
          <w:highlight w:val="yellow"/>
        </w:rPr>
        <w:t xml:space="preserve"> </w:t>
      </w:r>
      <w:r w:rsidRPr="00203070">
        <w:rPr>
          <w:highlight w:val="yellow"/>
        </w:rPr>
        <w:t xml:space="preserve"> </w:t>
      </w:r>
      <w:r w:rsidR="003144CC" w:rsidRPr="00203070">
        <w:t>I also recommend that t</w:t>
      </w:r>
      <w:r w:rsidRPr="00203070">
        <w:t xml:space="preserve">he approximately </w:t>
      </w:r>
      <w:r w:rsidRPr="00203070">
        <w:rPr>
          <w:highlight w:val="yellow"/>
        </w:rPr>
        <w:t>$5.6</w:t>
      </w:r>
      <w:r w:rsidR="003144CC" w:rsidRPr="00203070">
        <w:rPr>
          <w:highlight w:val="yellow"/>
        </w:rPr>
        <w:t xml:space="preserve"> million </w:t>
      </w:r>
      <w:r w:rsidR="003144CC" w:rsidRPr="00203070">
        <w:t>difference should</w:t>
      </w:r>
      <w:r w:rsidRPr="00203070">
        <w:t xml:space="preserve"> not be amortized or recovered in rates.</w:t>
      </w:r>
      <w:r>
        <w:t xml:space="preserve"> </w:t>
      </w:r>
    </w:p>
    <w:p w14:paraId="0A5D86C3" w14:textId="77777777" w:rsidR="00B52187" w:rsidRDefault="00B52187" w:rsidP="00C67A7C">
      <w:pPr>
        <w:spacing w:line="480" w:lineRule="auto"/>
        <w:ind w:left="720" w:hanging="720"/>
        <w:rPr>
          <w:b/>
        </w:rPr>
      </w:pPr>
    </w:p>
    <w:p w14:paraId="60122506" w14:textId="1714DE17" w:rsidR="00C67A7C" w:rsidRPr="009F66BB" w:rsidRDefault="00C67A7C" w:rsidP="00C67A7C">
      <w:pPr>
        <w:spacing w:line="480" w:lineRule="auto"/>
        <w:ind w:left="720" w:hanging="720"/>
        <w:rPr>
          <w:b/>
        </w:rPr>
      </w:pPr>
      <w:r w:rsidRPr="009F66BB">
        <w:rPr>
          <w:b/>
        </w:rPr>
        <w:t>Q.</w:t>
      </w:r>
      <w:r w:rsidRPr="009F66BB">
        <w:rPr>
          <w:b/>
        </w:rPr>
        <w:tab/>
      </w:r>
      <w:r w:rsidR="00B52187">
        <w:rPr>
          <w:b/>
        </w:rPr>
        <w:t>What is the basis for Staff’s recommendation?</w:t>
      </w:r>
    </w:p>
    <w:p w14:paraId="3323355E" w14:textId="73807AAB" w:rsidR="00C67A7C" w:rsidRDefault="00C67A7C" w:rsidP="00C67A7C">
      <w:pPr>
        <w:spacing w:line="480" w:lineRule="auto"/>
        <w:ind w:left="720" w:hanging="720"/>
      </w:pPr>
      <w:r w:rsidRPr="009F66BB">
        <w:t>A.</w:t>
      </w:r>
      <w:r w:rsidRPr="009F66BB">
        <w:tab/>
      </w:r>
      <w:r w:rsidRPr="00EF5170">
        <w:t xml:space="preserve">First, I recommend the exclusion of </w:t>
      </w:r>
      <w:r w:rsidRPr="0038028D">
        <w:rPr>
          <w:highlight w:val="yellow"/>
        </w:rPr>
        <w:t xml:space="preserve">$29,000,000 from the insurance recovery balances because </w:t>
      </w:r>
      <w:r w:rsidR="00EF5170" w:rsidRPr="0038028D">
        <w:rPr>
          <w:highlight w:val="yellow"/>
        </w:rPr>
        <w:t>the Company documented to the Commission over 20 years ago that the recovery would cover substantially all remediation costs for</w:t>
      </w:r>
      <w:r w:rsidRPr="0038028D">
        <w:rPr>
          <w:highlight w:val="yellow"/>
        </w:rPr>
        <w:t xml:space="preserve"> the Tacoma Tar Pits </w:t>
      </w:r>
      <w:r w:rsidR="00EF5170" w:rsidRPr="0038028D">
        <w:rPr>
          <w:highlight w:val="yellow"/>
        </w:rPr>
        <w:t>remediation project</w:t>
      </w:r>
      <w:r w:rsidRPr="0038028D">
        <w:rPr>
          <w:highlight w:val="yellow"/>
        </w:rPr>
        <w:t>.</w:t>
      </w:r>
      <w:r w:rsidRPr="00EF5170">
        <w:t xml:space="preserve"> </w:t>
      </w:r>
      <w:r w:rsidR="00FB3065">
        <w:t xml:space="preserve"> </w:t>
      </w:r>
      <w:r w:rsidRPr="00EF5170">
        <w:t xml:space="preserve">The Company documented </w:t>
      </w:r>
      <w:r w:rsidR="003144CC" w:rsidRPr="0038028D">
        <w:rPr>
          <w:highlight w:val="yellow"/>
        </w:rPr>
        <w:t>receipt of those funds</w:t>
      </w:r>
      <w:r w:rsidRPr="0038028D">
        <w:rPr>
          <w:highlight w:val="yellow"/>
        </w:rPr>
        <w:t xml:space="preserve"> in September 1995</w:t>
      </w:r>
      <w:r w:rsidRPr="00EF5170">
        <w:t>.</w:t>
      </w:r>
      <w:r w:rsidRPr="00EF5170">
        <w:rPr>
          <w:rStyle w:val="FootnoteReference"/>
        </w:rPr>
        <w:footnoteReference w:id="29"/>
      </w:r>
      <w:r w:rsidRPr="00EF5170">
        <w:t xml:space="preserve"> </w:t>
      </w:r>
      <w:r w:rsidR="00FB3065">
        <w:t xml:space="preserve"> </w:t>
      </w:r>
      <w:r w:rsidR="003144CC">
        <w:t>PSE</w:t>
      </w:r>
      <w:r w:rsidRPr="00EF5170">
        <w:t xml:space="preserve"> also </w:t>
      </w:r>
      <w:r w:rsidR="003144CC">
        <w:t>filed</w:t>
      </w:r>
      <w:r w:rsidRPr="00EF5170">
        <w:t xml:space="preserve"> evidence of the settlement agreement </w:t>
      </w:r>
      <w:r w:rsidR="003144CC">
        <w:t>between</w:t>
      </w:r>
      <w:r w:rsidRPr="00EF5170">
        <w:t xml:space="preserve"> </w:t>
      </w:r>
      <w:r w:rsidRPr="0038028D">
        <w:rPr>
          <w:highlight w:val="yellow"/>
        </w:rPr>
        <w:t>W</w:t>
      </w:r>
      <w:r w:rsidR="003144CC" w:rsidRPr="0038028D">
        <w:rPr>
          <w:highlight w:val="yellow"/>
        </w:rPr>
        <w:t>NG</w:t>
      </w:r>
      <w:r w:rsidRPr="0038028D">
        <w:rPr>
          <w:highlight w:val="yellow"/>
        </w:rPr>
        <w:t xml:space="preserve"> and the insurance companies</w:t>
      </w:r>
      <w:r w:rsidR="003144CC">
        <w:t>,</w:t>
      </w:r>
      <w:r w:rsidRPr="00EF5170">
        <w:t xml:space="preserve"> which included the completion of th</w:t>
      </w:r>
      <w:r w:rsidR="003144CC">
        <w:t>e</w:t>
      </w:r>
      <w:r w:rsidRPr="00EF5170">
        <w:t xml:space="preserve"> transaction.</w:t>
      </w:r>
      <w:r w:rsidRPr="00EF5170">
        <w:rPr>
          <w:rStyle w:val="FootnoteReference"/>
        </w:rPr>
        <w:footnoteReference w:id="30"/>
      </w:r>
      <w:r w:rsidRPr="00EF5170">
        <w:t xml:space="preserve"> </w:t>
      </w:r>
      <w:r w:rsidR="00FB3065">
        <w:t xml:space="preserve"> </w:t>
      </w:r>
      <w:r w:rsidRPr="00EF5170">
        <w:t xml:space="preserve">Furthermore, WNG sent a letter to the </w:t>
      </w:r>
      <w:r w:rsidRPr="0038028D">
        <w:rPr>
          <w:highlight w:val="yellow"/>
        </w:rPr>
        <w:t>Commission on November 29, 1995, signed by PSE’s current VP and General Counsel Steve Secrist, in which WNG notified the Commission that the $29,000,000 would substantially cover all unreimbursed remediation costs incurred in the Tacoma Historical Coal Gasification Plant</w:t>
      </w:r>
      <w:r w:rsidRPr="00EF5170">
        <w:t>.</w:t>
      </w:r>
      <w:r w:rsidRPr="00EF5170">
        <w:rPr>
          <w:rStyle w:val="FootnoteReference"/>
        </w:rPr>
        <w:footnoteReference w:id="31"/>
      </w:r>
      <w:r w:rsidRPr="00EF5170">
        <w:t xml:space="preserve"> </w:t>
      </w:r>
      <w:r>
        <w:t xml:space="preserve"> Consequently, the project was removed from WNG’s Quarterly Reports at that time.</w:t>
      </w:r>
      <w:r>
        <w:rPr>
          <w:rStyle w:val="FootnoteReference"/>
        </w:rPr>
        <w:footnoteReference w:id="32"/>
      </w:r>
      <w:r>
        <w:t xml:space="preserve"> </w:t>
      </w:r>
      <w:r w:rsidR="00FB3065">
        <w:t xml:space="preserve"> </w:t>
      </w:r>
      <w:r w:rsidRPr="00DA294D">
        <w:t>All of these communications make it abundantly clear that WNG no</w:t>
      </w:r>
      <w:r w:rsidR="001E5BD3">
        <w:t xml:space="preserve"> </w:t>
      </w:r>
      <w:r w:rsidRPr="00DA294D">
        <w:lastRenderedPageBreak/>
        <w:t>longer intended to recover any further costs associated with the site</w:t>
      </w:r>
      <w:r w:rsidR="003144CC">
        <w:t xml:space="preserve"> and the recovery was sufficient to cover remediation costs</w:t>
      </w:r>
      <w:r w:rsidRPr="00DA294D">
        <w:t xml:space="preserve">. </w:t>
      </w:r>
    </w:p>
    <w:p w14:paraId="68C316FC" w14:textId="25FD9B2F" w:rsidR="00C67A7C" w:rsidRDefault="00C67A7C" w:rsidP="003144CC">
      <w:pPr>
        <w:spacing w:line="480" w:lineRule="auto"/>
        <w:ind w:left="720" w:firstLine="720"/>
      </w:pPr>
      <w:r>
        <w:t>The associated deferred costs balances</w:t>
      </w:r>
      <w:r w:rsidR="003144CC">
        <w:t xml:space="preserve"> somehow</w:t>
      </w:r>
      <w:r w:rsidR="00E223B0">
        <w:t xml:space="preserve"> </w:t>
      </w:r>
      <w:r>
        <w:t>reappeared in Quarterly Reports beginning in September 30, 1997, after PSE’s merger with WNG</w:t>
      </w:r>
      <w:r w:rsidRPr="0036774A">
        <w:t>.</w:t>
      </w:r>
      <w:r>
        <w:rPr>
          <w:rStyle w:val="FootnoteReference"/>
        </w:rPr>
        <w:footnoteReference w:id="33"/>
      </w:r>
      <w:r>
        <w:t xml:space="preserve"> </w:t>
      </w:r>
    </w:p>
    <w:p w14:paraId="36924476" w14:textId="6896CE13" w:rsidR="00C67A7C" w:rsidRDefault="00C67A7C" w:rsidP="00C67A7C">
      <w:pPr>
        <w:spacing w:line="480" w:lineRule="auto"/>
        <w:ind w:left="720" w:hanging="720"/>
      </w:pPr>
    </w:p>
    <w:p w14:paraId="2459222F" w14:textId="7C0DBD90" w:rsidR="00C67A7C" w:rsidRPr="00A15D40" w:rsidRDefault="00C67A7C" w:rsidP="00C67A7C">
      <w:pPr>
        <w:spacing w:line="480" w:lineRule="auto"/>
        <w:ind w:left="720" w:hanging="720"/>
        <w:rPr>
          <w:b/>
        </w:rPr>
      </w:pPr>
      <w:r w:rsidRPr="00A15D40">
        <w:rPr>
          <w:b/>
        </w:rPr>
        <w:t>Q.</w:t>
      </w:r>
      <w:r w:rsidRPr="00A15D40">
        <w:rPr>
          <w:b/>
        </w:rPr>
        <w:tab/>
      </w:r>
      <w:r w:rsidR="0078395E">
        <w:rPr>
          <w:b/>
        </w:rPr>
        <w:t>Why did Staff remove the $34 million-plus in remediation costs associated with the Tacoma Tide Flats</w:t>
      </w:r>
      <w:r w:rsidRPr="00A15D40">
        <w:rPr>
          <w:b/>
        </w:rPr>
        <w:t>?</w:t>
      </w:r>
    </w:p>
    <w:p w14:paraId="0A812B36" w14:textId="2CC0F2AF" w:rsidR="00C67A7C" w:rsidRDefault="00C67A7C" w:rsidP="00C67A7C">
      <w:pPr>
        <w:spacing w:line="480" w:lineRule="auto"/>
        <w:ind w:left="720" w:hanging="720"/>
      </w:pPr>
      <w:r>
        <w:t>A.</w:t>
      </w:r>
      <w:r>
        <w:tab/>
        <w:t>I also recommend removing the associated remediation costs related to the Tacoma Historical Coal Gasification Plant</w:t>
      </w:r>
      <w:r w:rsidR="0078395E">
        <w:t xml:space="preserve"> for the same reasons I recommend removing the </w:t>
      </w:r>
      <w:r w:rsidR="0078395E" w:rsidRPr="00E223B0">
        <w:rPr>
          <w:highlight w:val="yellow"/>
        </w:rPr>
        <w:t>$29 million recovery</w:t>
      </w:r>
      <w:r>
        <w:t>.</w:t>
      </w:r>
      <w:r w:rsidRPr="00F965D0">
        <w:t xml:space="preserve"> </w:t>
      </w:r>
      <w:r w:rsidR="00FB3065">
        <w:t xml:space="preserve"> </w:t>
      </w:r>
      <w:r w:rsidR="0078395E">
        <w:t xml:space="preserve">The company documented to the Commission that the recovery would offset all or substantially all of the remediation obligation. </w:t>
      </w:r>
      <w:r w:rsidR="00FB3065">
        <w:t xml:space="preserve"> </w:t>
      </w:r>
      <w:r w:rsidR="0078395E">
        <w:t>PSE should not be able to bring the remediation costs back to life, so to speak.</w:t>
      </w:r>
      <w:r w:rsidR="00FB3065">
        <w:t xml:space="preserve"> </w:t>
      </w:r>
      <w:r w:rsidR="0078395E">
        <w:t xml:space="preserve"> </w:t>
      </w:r>
      <w:r w:rsidRPr="00F965D0">
        <w:t>The amount removed is $34,641,077.23</w:t>
      </w:r>
      <w:r>
        <w:t>,</w:t>
      </w:r>
      <w:r w:rsidRPr="00F965D0">
        <w:t xml:space="preserve"> which </w:t>
      </w:r>
      <w:r>
        <w:t>PSE had labeled</w:t>
      </w:r>
      <w:r w:rsidRPr="00F965D0">
        <w:t xml:space="preserve"> the transfer of "</w:t>
      </w:r>
      <w:r w:rsidRPr="0088168D">
        <w:t>N/A Move environmental Balances to new accounts</w:t>
      </w:r>
      <w:r>
        <w:t>" in exhibit Exh. ECO-12</w:t>
      </w:r>
      <w:r w:rsidR="0078395E">
        <w:t>.</w:t>
      </w:r>
      <w:r>
        <w:t xml:space="preserve"> </w:t>
      </w:r>
      <w:r>
        <w:rPr>
          <w:rStyle w:val="FootnoteReference"/>
        </w:rPr>
        <w:footnoteReference w:id="34"/>
      </w:r>
    </w:p>
    <w:p w14:paraId="460D4602" w14:textId="7E0EC1F0" w:rsidR="0078395E" w:rsidRDefault="0078395E" w:rsidP="002128CD">
      <w:pPr>
        <w:spacing w:line="480" w:lineRule="auto"/>
      </w:pPr>
    </w:p>
    <w:p w14:paraId="22AB6CF7" w14:textId="2053D454" w:rsidR="0078395E" w:rsidRPr="0078395E" w:rsidRDefault="0078395E" w:rsidP="0078395E">
      <w:pPr>
        <w:spacing w:line="480" w:lineRule="auto"/>
        <w:ind w:left="720" w:hanging="720"/>
        <w:rPr>
          <w:b/>
        </w:rPr>
      </w:pPr>
      <w:r w:rsidRPr="0078395E">
        <w:rPr>
          <w:b/>
        </w:rPr>
        <w:t>Q.</w:t>
      </w:r>
      <w:r w:rsidRPr="0078395E">
        <w:rPr>
          <w:b/>
        </w:rPr>
        <w:tab/>
        <w:t xml:space="preserve">Does Staff propose any other accounting adjustments related to PSE’s ER </w:t>
      </w:r>
      <w:r w:rsidR="004A16C4">
        <w:rPr>
          <w:b/>
        </w:rPr>
        <w:t>unassigned recoveries</w:t>
      </w:r>
      <w:r w:rsidRPr="0078395E">
        <w:rPr>
          <w:b/>
        </w:rPr>
        <w:t>?</w:t>
      </w:r>
    </w:p>
    <w:p w14:paraId="71878989" w14:textId="6ABE7566" w:rsidR="0078395E" w:rsidRDefault="002128CD" w:rsidP="0078395E">
      <w:pPr>
        <w:spacing w:line="480" w:lineRule="auto"/>
        <w:ind w:left="720" w:hanging="720"/>
      </w:pPr>
      <w:r>
        <w:t>A.</w:t>
      </w:r>
      <w:r>
        <w:tab/>
      </w:r>
      <w:r w:rsidR="0078395E">
        <w:t xml:space="preserve">Yes. </w:t>
      </w:r>
      <w:r w:rsidR="00FB3065">
        <w:t xml:space="preserve"> </w:t>
      </w:r>
      <w:r w:rsidR="0078395E" w:rsidRPr="002B0E39">
        <w:t xml:space="preserve">I am also recommending the exclusion of </w:t>
      </w:r>
      <w:r w:rsidR="0078395E" w:rsidRPr="0054155C">
        <w:rPr>
          <w:highlight w:val="yellow"/>
        </w:rPr>
        <w:t>company personnel costs</w:t>
      </w:r>
      <w:r w:rsidR="0078395E" w:rsidRPr="002B0E39">
        <w:t xml:space="preserve"> because those costs are not subject to deferral according to </w:t>
      </w:r>
      <w:r w:rsidR="0078395E">
        <w:t>accounting order</w:t>
      </w:r>
      <w:r w:rsidR="0078395E" w:rsidRPr="002B0E39">
        <w:t xml:space="preserve"> UG-920781 section 3.C. </w:t>
      </w:r>
      <w:r w:rsidR="00FB3065">
        <w:t xml:space="preserve"> </w:t>
      </w:r>
      <w:r w:rsidR="0078395E" w:rsidRPr="00662130">
        <w:rPr>
          <w:highlight w:val="yellow"/>
        </w:rPr>
        <w:t xml:space="preserve">The amounts I added back to the unallocated funds account correspond </w:t>
      </w:r>
      <w:r w:rsidR="0078395E" w:rsidRPr="00662130">
        <w:rPr>
          <w:highlight w:val="yellow"/>
        </w:rPr>
        <w:lastRenderedPageBreak/>
        <w:t>to Gas Work Park internal costs for $ 366.95, account 18608452, and Tacoma Tar Pits internal costs for $209,796.52, account 18608152.</w:t>
      </w:r>
      <w:r w:rsidR="0078395E" w:rsidRPr="00662130">
        <w:rPr>
          <w:rStyle w:val="FootnoteReference"/>
          <w:highlight w:val="yellow"/>
        </w:rPr>
        <w:footnoteReference w:id="35"/>
      </w:r>
    </w:p>
    <w:p w14:paraId="6951F330" w14:textId="77777777" w:rsidR="0078395E" w:rsidRPr="0078395E" w:rsidRDefault="0078395E" w:rsidP="0078395E">
      <w:pPr>
        <w:spacing w:line="480" w:lineRule="auto"/>
        <w:ind w:left="720" w:hanging="720"/>
        <w:rPr>
          <w:b/>
        </w:rPr>
      </w:pPr>
    </w:p>
    <w:p w14:paraId="65691777" w14:textId="157C546B" w:rsidR="00D2389E" w:rsidRDefault="00D2389E" w:rsidP="00BD3C93">
      <w:pPr>
        <w:pStyle w:val="Heading2"/>
        <w:numPr>
          <w:ilvl w:val="0"/>
          <w:numId w:val="40"/>
        </w:numPr>
        <w:ind w:left="2160" w:hanging="720"/>
      </w:pPr>
      <w:bookmarkStart w:id="21" w:name="_Toc486434758"/>
      <w:r>
        <w:t>Cost</w:t>
      </w:r>
      <w:r w:rsidR="0010799E">
        <w:t>s</w:t>
      </w:r>
      <w:r>
        <w:t xml:space="preserve"> </w:t>
      </w:r>
      <w:r w:rsidR="00CD4586">
        <w:t>eligible for deferral</w:t>
      </w:r>
      <w:r w:rsidR="00654BA9">
        <w:t>.</w:t>
      </w:r>
      <w:bookmarkEnd w:id="21"/>
    </w:p>
    <w:p w14:paraId="24EE0DC9" w14:textId="77777777" w:rsidR="0083400E" w:rsidRPr="0083400E" w:rsidRDefault="0083400E" w:rsidP="0083400E">
      <w:pPr>
        <w:spacing w:line="480" w:lineRule="auto"/>
      </w:pPr>
    </w:p>
    <w:p w14:paraId="63C8CCBD" w14:textId="5FEA15A7" w:rsidR="0083400E" w:rsidRPr="00F720F8" w:rsidRDefault="0083400E" w:rsidP="0083400E">
      <w:pPr>
        <w:pStyle w:val="Heading8"/>
      </w:pPr>
      <w:r w:rsidRPr="00F720F8">
        <w:t>Q.</w:t>
      </w:r>
      <w:r w:rsidRPr="00F720F8">
        <w:tab/>
      </w:r>
      <w:r>
        <w:t xml:space="preserve">What </w:t>
      </w:r>
      <w:r w:rsidR="005D7740">
        <w:t>ER-related costs does the Commission</w:t>
      </w:r>
      <w:r>
        <w:t xml:space="preserve"> </w:t>
      </w:r>
      <w:r w:rsidR="005D7740">
        <w:t xml:space="preserve">allow </w:t>
      </w:r>
      <w:r>
        <w:t>for deferral</w:t>
      </w:r>
      <w:r w:rsidRPr="00E86E4A">
        <w:t>?</w:t>
      </w:r>
    </w:p>
    <w:p w14:paraId="29636C9E" w14:textId="1406ADDF" w:rsidR="0083400E" w:rsidRDefault="0083400E" w:rsidP="0083400E">
      <w:pPr>
        <w:spacing w:line="480" w:lineRule="auto"/>
        <w:ind w:left="720" w:hanging="720"/>
      </w:pPr>
      <w:r w:rsidRPr="00F720F8">
        <w:t>A.</w:t>
      </w:r>
      <w:r w:rsidRPr="00F720F8">
        <w:tab/>
      </w:r>
      <w:r w:rsidR="00E8679A" w:rsidRPr="00E8679A">
        <w:t xml:space="preserve">Costs eligible for </w:t>
      </w:r>
      <w:r w:rsidR="00B921FD">
        <w:t xml:space="preserve">deferred </w:t>
      </w:r>
      <w:r w:rsidR="00E8679A">
        <w:t>accounting</w:t>
      </w:r>
      <w:r w:rsidR="00E8679A" w:rsidRPr="00E8679A">
        <w:t xml:space="preserve"> treatment include only </w:t>
      </w:r>
      <w:r w:rsidR="00E8679A">
        <w:t>the</w:t>
      </w:r>
      <w:r w:rsidR="00E8679A" w:rsidRPr="00E8679A">
        <w:t xml:space="preserve"> amounts paid to outside vendors or contractors </w:t>
      </w:r>
      <w:r w:rsidR="002128CD">
        <w:t>such as</w:t>
      </w:r>
      <w:r w:rsidR="00E8679A" w:rsidRPr="00E8679A">
        <w:t xml:space="preserve"> investigation and feasibility studies, sampling, evaluation, monitoring, materials, remediation, removal, disposal and post-remediation work</w:t>
      </w:r>
      <w:r w:rsidR="002128CD">
        <w:t>.</w:t>
      </w:r>
      <w:r w:rsidR="00E8679A" w:rsidRPr="00E8679A">
        <w:t xml:space="preserve"> </w:t>
      </w:r>
      <w:r w:rsidR="00FB3065">
        <w:t xml:space="preserve"> </w:t>
      </w:r>
      <w:r w:rsidR="002128CD">
        <w:t>I</w:t>
      </w:r>
      <w:r w:rsidR="00E8679A">
        <w:t xml:space="preserve">nternal employee </w:t>
      </w:r>
      <w:r w:rsidR="002128CD">
        <w:t>costs and</w:t>
      </w:r>
      <w:r w:rsidR="00E8679A">
        <w:t xml:space="preserve"> </w:t>
      </w:r>
      <w:r w:rsidR="00E8679A" w:rsidRPr="00E8679A">
        <w:t>legal costs</w:t>
      </w:r>
      <w:r w:rsidR="002128CD">
        <w:t xml:space="preserve"> are not considered outside vendors or contractors</w:t>
      </w:r>
    </w:p>
    <w:p w14:paraId="28C8B172" w14:textId="77777777" w:rsidR="00E8679A" w:rsidRDefault="00E8679A" w:rsidP="0083400E">
      <w:pPr>
        <w:spacing w:line="480" w:lineRule="auto"/>
        <w:ind w:left="720" w:hanging="720"/>
      </w:pPr>
    </w:p>
    <w:p w14:paraId="42AE55D2" w14:textId="56A1AB97" w:rsidR="00E8679A" w:rsidRPr="00F720F8" w:rsidRDefault="00E8679A" w:rsidP="00E8679A">
      <w:pPr>
        <w:pStyle w:val="Heading8"/>
      </w:pPr>
      <w:r w:rsidRPr="00F720F8">
        <w:t>Q.</w:t>
      </w:r>
      <w:r w:rsidRPr="00F720F8">
        <w:tab/>
      </w:r>
      <w:r w:rsidR="005D7740">
        <w:t>Do</w:t>
      </w:r>
      <w:r>
        <w:t xml:space="preserve"> the costs included in th</w:t>
      </w:r>
      <w:r w:rsidR="005D7740">
        <w:t>e Company’s</w:t>
      </w:r>
      <w:r w:rsidR="00654BA9">
        <w:t xml:space="preserve"> adjustment</w:t>
      </w:r>
      <w:r>
        <w:t xml:space="preserve"> </w:t>
      </w:r>
      <w:r w:rsidR="005D7740">
        <w:t>follow</w:t>
      </w:r>
      <w:r>
        <w:t xml:space="preserve"> the</w:t>
      </w:r>
      <w:r w:rsidR="005D7740">
        <w:t xml:space="preserve"> Commission’s</w:t>
      </w:r>
      <w:r>
        <w:t xml:space="preserve"> deferral orders</w:t>
      </w:r>
      <w:r w:rsidRPr="00E86E4A">
        <w:t>?</w:t>
      </w:r>
    </w:p>
    <w:p w14:paraId="0A1DAC17" w14:textId="783421A4" w:rsidR="00256CD8" w:rsidRDefault="00E8679A" w:rsidP="00186D8C">
      <w:pPr>
        <w:spacing w:line="480" w:lineRule="auto"/>
        <w:ind w:left="720" w:hanging="720"/>
      </w:pPr>
      <w:r w:rsidRPr="00F720F8">
        <w:t>A.</w:t>
      </w:r>
      <w:r w:rsidRPr="00F720F8">
        <w:tab/>
      </w:r>
      <w:r w:rsidR="005D7740">
        <w:t>Y</w:t>
      </w:r>
      <w:r w:rsidR="00AB0261">
        <w:t>es</w:t>
      </w:r>
      <w:r w:rsidR="00691DC5">
        <w:t>, with the exception of</w:t>
      </w:r>
      <w:r w:rsidR="00A5592F">
        <w:t xml:space="preserve"> </w:t>
      </w:r>
      <w:r w:rsidR="005D7740">
        <w:t xml:space="preserve">a small </w:t>
      </w:r>
      <w:r w:rsidR="004D6E90">
        <w:t>m</w:t>
      </w:r>
      <w:r w:rsidR="00F35629">
        <w:t>eal reimbursement amount</w:t>
      </w:r>
      <w:r w:rsidR="005D7740">
        <w:t xml:space="preserve"> that I</w:t>
      </w:r>
      <w:r w:rsidR="00F35629">
        <w:t xml:space="preserve"> excluded from my calculations.</w:t>
      </w:r>
      <w:r w:rsidR="00591E3B">
        <w:t xml:space="preserve"> </w:t>
      </w:r>
      <w:r w:rsidR="00FB3065">
        <w:t xml:space="preserve"> </w:t>
      </w:r>
      <w:r w:rsidR="00591E3B">
        <w:t>PSE</w:t>
      </w:r>
      <w:r w:rsidR="005D7740">
        <w:t xml:space="preserve"> also</w:t>
      </w:r>
      <w:r w:rsidR="00591E3B">
        <w:t xml:space="preserve"> noted that f</w:t>
      </w:r>
      <w:r w:rsidR="00256CD8">
        <w:t>or the balances</w:t>
      </w:r>
      <w:r w:rsidR="00654BA9">
        <w:t xml:space="preserve"> in</w:t>
      </w:r>
      <w:r w:rsidR="00C94102">
        <w:t xml:space="preserve"> </w:t>
      </w:r>
      <w:r w:rsidR="005D7740">
        <w:t xml:space="preserve">certain </w:t>
      </w:r>
      <w:r w:rsidR="00C94102">
        <w:t>gas</w:t>
      </w:r>
      <w:r w:rsidR="005D7740">
        <w:t>-related contamination</w:t>
      </w:r>
      <w:r w:rsidR="00C94102">
        <w:t xml:space="preserve"> sites</w:t>
      </w:r>
      <w:r w:rsidR="00591E3B">
        <w:t xml:space="preserve"> </w:t>
      </w:r>
      <w:r w:rsidR="005D7740">
        <w:t xml:space="preserve">a </w:t>
      </w:r>
      <w:r w:rsidR="00591E3B">
        <w:t xml:space="preserve">“lump sum” </w:t>
      </w:r>
      <w:r w:rsidR="00591E3B" w:rsidRPr="00591E3B">
        <w:t>seem</w:t>
      </w:r>
      <w:r w:rsidR="005D7740">
        <w:t>s</w:t>
      </w:r>
      <w:r w:rsidR="00591E3B" w:rsidRPr="00591E3B">
        <w:t xml:space="preserve"> to be from </w:t>
      </w:r>
      <w:r w:rsidR="00591E3B">
        <w:t>its</w:t>
      </w:r>
      <w:r w:rsidR="00591E3B" w:rsidRPr="00591E3B">
        <w:t xml:space="preserve"> predecessors</w:t>
      </w:r>
      <w:r w:rsidR="00591E3B">
        <w:t>’ accounting system</w:t>
      </w:r>
      <w:r w:rsidR="00591E3B" w:rsidRPr="00591E3B">
        <w:t xml:space="preserve"> and </w:t>
      </w:r>
      <w:r w:rsidR="005D7740">
        <w:t xml:space="preserve">further </w:t>
      </w:r>
      <w:r w:rsidR="00591E3B" w:rsidRPr="00591E3B">
        <w:t xml:space="preserve">detail for those transactions </w:t>
      </w:r>
      <w:r w:rsidR="00591E3B">
        <w:t xml:space="preserve">was </w:t>
      </w:r>
      <w:r w:rsidR="00591E3B" w:rsidRPr="00591E3B">
        <w:t>not readily accessible</w:t>
      </w:r>
      <w:r w:rsidR="00591E3B">
        <w:t>.</w:t>
      </w:r>
      <w:r w:rsidR="008E56DB">
        <w:rPr>
          <w:rStyle w:val="FootnoteReference"/>
        </w:rPr>
        <w:footnoteReference w:id="36"/>
      </w:r>
      <w:r w:rsidR="00256CD8">
        <w:t xml:space="preserve"> </w:t>
      </w:r>
      <w:r w:rsidR="00FB3065">
        <w:t xml:space="preserve"> </w:t>
      </w:r>
      <w:r w:rsidR="005D7740">
        <w:t xml:space="preserve">For all substantive purposes, though, the Company’s deferral practices accurately reflect the Commission’s orders. </w:t>
      </w:r>
    </w:p>
    <w:p w14:paraId="758B3318" w14:textId="77777777" w:rsidR="006E2FBC" w:rsidRDefault="006E2FBC" w:rsidP="00186D8C">
      <w:pPr>
        <w:spacing w:line="480" w:lineRule="auto"/>
        <w:ind w:left="720" w:hanging="720"/>
      </w:pPr>
    </w:p>
    <w:p w14:paraId="6E51AF61" w14:textId="7CC29BDF" w:rsidR="00256CD8" w:rsidRPr="00F720F8" w:rsidRDefault="00256CD8" w:rsidP="00256CD8">
      <w:pPr>
        <w:pStyle w:val="Heading8"/>
      </w:pPr>
      <w:r w:rsidRPr="00F720F8">
        <w:lastRenderedPageBreak/>
        <w:t>Q.</w:t>
      </w:r>
      <w:r w:rsidRPr="00F720F8">
        <w:tab/>
      </w:r>
      <w:r w:rsidR="008173AB">
        <w:t>D</w:t>
      </w:r>
      <w:r w:rsidR="00A13A92">
        <w:t>id the Company account for internal employee costs</w:t>
      </w:r>
      <w:r w:rsidRPr="00E86E4A">
        <w:t>?</w:t>
      </w:r>
    </w:p>
    <w:p w14:paraId="4EC218EB" w14:textId="5CA107A4" w:rsidR="00256CD8" w:rsidRDefault="00256CD8" w:rsidP="00256CD8">
      <w:pPr>
        <w:spacing w:line="480" w:lineRule="auto"/>
        <w:ind w:left="720" w:hanging="720"/>
      </w:pPr>
      <w:r w:rsidRPr="00F720F8">
        <w:t>A.</w:t>
      </w:r>
      <w:r w:rsidRPr="00F720F8">
        <w:tab/>
      </w:r>
      <w:r w:rsidR="00F35629">
        <w:t xml:space="preserve">The Company did not </w:t>
      </w:r>
      <w:r w:rsidR="00F638D2">
        <w:t>include</w:t>
      </w:r>
      <w:r w:rsidR="00F35629">
        <w:t xml:space="preserve"> any internal employee costs </w:t>
      </w:r>
      <w:r w:rsidR="00F638D2">
        <w:t>in the</w:t>
      </w:r>
      <w:r w:rsidR="00C94102">
        <w:t xml:space="preserve"> deferred</w:t>
      </w:r>
      <w:r w:rsidR="00F638D2">
        <w:t xml:space="preserve"> accounts presented in the current GRC. </w:t>
      </w:r>
      <w:r w:rsidR="00FB3065">
        <w:t xml:space="preserve"> </w:t>
      </w:r>
      <w:r w:rsidR="00F638D2">
        <w:t xml:space="preserve">However, </w:t>
      </w:r>
      <w:r w:rsidR="008B0556">
        <w:t>as noted above,</w:t>
      </w:r>
      <w:r w:rsidR="00F638D2">
        <w:t xml:space="preserve"> I found that the Company had </w:t>
      </w:r>
      <w:r w:rsidR="00F638D2" w:rsidRPr="000315A4">
        <w:rPr>
          <w:highlight w:val="yellow"/>
        </w:rPr>
        <w:t>deducted</w:t>
      </w:r>
      <w:r w:rsidR="000315A4" w:rsidRPr="000315A4">
        <w:rPr>
          <w:highlight w:val="yellow"/>
        </w:rPr>
        <w:t xml:space="preserve"> $209,796.52 for Tacoma Tar Pits internal costs and $366.95 for Gas Work Park internal costs</w:t>
      </w:r>
      <w:r w:rsidR="008B0556" w:rsidRPr="008B0556">
        <w:rPr>
          <w:highlight w:val="yellow"/>
        </w:rPr>
        <w:t xml:space="preserve"> </w:t>
      </w:r>
      <w:r w:rsidR="008B0556">
        <w:rPr>
          <w:highlight w:val="yellow"/>
        </w:rPr>
        <w:t>from the</w:t>
      </w:r>
      <w:r w:rsidR="008B0556" w:rsidRPr="000315A4">
        <w:rPr>
          <w:highlight w:val="yellow"/>
        </w:rPr>
        <w:t xml:space="preserve"> unassigned recoveries account</w:t>
      </w:r>
      <w:r w:rsidR="000315A4">
        <w:rPr>
          <w:highlight w:val="yellow"/>
        </w:rPr>
        <w:t>.</w:t>
      </w:r>
      <w:r w:rsidR="00FB3065">
        <w:rPr>
          <w:highlight w:val="yellow"/>
        </w:rPr>
        <w:t xml:space="preserve"> </w:t>
      </w:r>
      <w:r w:rsidR="000315A4">
        <w:rPr>
          <w:highlight w:val="yellow"/>
        </w:rPr>
        <w:t xml:space="preserve"> This was done with the purpose of clearing al</w:t>
      </w:r>
      <w:r w:rsidR="006F0A0D">
        <w:rPr>
          <w:highlight w:val="yellow"/>
        </w:rPr>
        <w:t>l legal costs accounts deferred</w:t>
      </w:r>
      <w:r w:rsidR="00C94102">
        <w:rPr>
          <w:highlight w:val="yellow"/>
        </w:rPr>
        <w:t xml:space="preserve"> in gas sites</w:t>
      </w:r>
      <w:r w:rsidR="006F0A0D">
        <w:rPr>
          <w:highlight w:val="yellow"/>
        </w:rPr>
        <w:t xml:space="preserve">, </w:t>
      </w:r>
      <w:r w:rsidR="000315A4">
        <w:rPr>
          <w:highlight w:val="yellow"/>
        </w:rPr>
        <w:t>offsetting th</w:t>
      </w:r>
      <w:r w:rsidR="008173AB">
        <w:rPr>
          <w:highlight w:val="yellow"/>
        </w:rPr>
        <w:t>ose cost accounts</w:t>
      </w:r>
      <w:r w:rsidR="000315A4">
        <w:rPr>
          <w:highlight w:val="yellow"/>
        </w:rPr>
        <w:t xml:space="preserve"> with funds held in the unassigned recoveries account.</w:t>
      </w:r>
      <w:r w:rsidR="00FB3065">
        <w:rPr>
          <w:highlight w:val="yellow"/>
        </w:rPr>
        <w:t xml:space="preserve"> </w:t>
      </w:r>
      <w:r w:rsidR="000315A4">
        <w:rPr>
          <w:highlight w:val="yellow"/>
        </w:rPr>
        <w:t xml:space="preserve"> All accounts, </w:t>
      </w:r>
      <w:r w:rsidR="008173AB">
        <w:rPr>
          <w:highlight w:val="yellow"/>
        </w:rPr>
        <w:t>with the exception of the</w:t>
      </w:r>
      <w:r w:rsidR="000315A4">
        <w:rPr>
          <w:highlight w:val="yellow"/>
        </w:rPr>
        <w:t xml:space="preserve"> Thea Foss legal costs, were credited to show a zero balance</w:t>
      </w:r>
      <w:r w:rsidR="008173AB">
        <w:rPr>
          <w:highlight w:val="yellow"/>
        </w:rPr>
        <w:t xml:space="preserve"> by</w:t>
      </w:r>
      <w:r w:rsidR="000315A4">
        <w:rPr>
          <w:highlight w:val="yellow"/>
        </w:rPr>
        <w:t xml:space="preserve"> debiting </w:t>
      </w:r>
      <w:r w:rsidR="00C94102">
        <w:rPr>
          <w:highlight w:val="yellow"/>
        </w:rPr>
        <w:t xml:space="preserve">gas </w:t>
      </w:r>
      <w:r w:rsidR="000315A4">
        <w:rPr>
          <w:highlight w:val="yellow"/>
        </w:rPr>
        <w:t>unassigned recoveries accordingly.</w:t>
      </w:r>
      <w:r w:rsidR="006F0A0D" w:rsidRPr="00BB1662">
        <w:rPr>
          <w:rStyle w:val="FootnoteReference"/>
        </w:rPr>
        <w:footnoteReference w:id="37"/>
      </w:r>
      <w:r w:rsidR="000315A4" w:rsidRPr="00BB1662">
        <w:t xml:space="preserve"> </w:t>
      </w:r>
      <w:r w:rsidR="00FB3065">
        <w:t xml:space="preserve"> </w:t>
      </w:r>
      <w:r w:rsidR="000315A4" w:rsidRPr="000315A4">
        <w:t xml:space="preserve">I added </w:t>
      </w:r>
      <w:r w:rsidR="000315A4" w:rsidRPr="00157A51">
        <w:t xml:space="preserve">the </w:t>
      </w:r>
      <w:r w:rsidR="000315A4" w:rsidRPr="006E2FBC">
        <w:rPr>
          <w:highlight w:val="yellow"/>
        </w:rPr>
        <w:t>internal costs figures</w:t>
      </w:r>
      <w:r w:rsidR="000315A4" w:rsidRPr="00157A51">
        <w:t xml:space="preserve"> back to the </w:t>
      </w:r>
      <w:r w:rsidR="00AF7C2A">
        <w:t>u</w:t>
      </w:r>
      <w:r w:rsidR="000315A4" w:rsidRPr="00157A51">
        <w:t xml:space="preserve">nassigned </w:t>
      </w:r>
      <w:r w:rsidR="00AF7C2A">
        <w:t>r</w:t>
      </w:r>
      <w:r w:rsidR="000315A4" w:rsidRPr="00157A51">
        <w:t xml:space="preserve">ecoveries amount because </w:t>
      </w:r>
      <w:r w:rsidR="00FB3E57" w:rsidRPr="006E2FBC">
        <w:rPr>
          <w:highlight w:val="yellow"/>
        </w:rPr>
        <w:t>internal company</w:t>
      </w:r>
      <w:r w:rsidR="000315A4" w:rsidRPr="006E2FBC">
        <w:rPr>
          <w:highlight w:val="yellow"/>
        </w:rPr>
        <w:t xml:space="preserve"> costs</w:t>
      </w:r>
      <w:r w:rsidR="000315A4">
        <w:t xml:space="preserve"> are</w:t>
      </w:r>
      <w:r w:rsidR="003F4433">
        <w:t xml:space="preserve"> generally</w:t>
      </w:r>
      <w:r w:rsidR="005970E9">
        <w:t xml:space="preserve"> not allowed for deferral and are</w:t>
      </w:r>
      <w:r w:rsidR="000315A4">
        <w:t xml:space="preserve"> </w:t>
      </w:r>
      <w:r w:rsidR="00FB3E57">
        <w:t>recovered as</w:t>
      </w:r>
      <w:r w:rsidR="000315A4">
        <w:t xml:space="preserve"> part of the expenses adjustment</w:t>
      </w:r>
      <w:r w:rsidR="00FB3E57">
        <w:t>s</w:t>
      </w:r>
      <w:r w:rsidR="000315A4">
        <w:t xml:space="preserve"> in the course of </w:t>
      </w:r>
      <w:r w:rsidR="00F92B3A">
        <w:t>the</w:t>
      </w:r>
      <w:r w:rsidR="00FB3E57">
        <w:t xml:space="preserve"> </w:t>
      </w:r>
      <w:r w:rsidR="000315A4">
        <w:t>General Rate Case</w:t>
      </w:r>
      <w:r w:rsidR="003F4433">
        <w:t>.</w:t>
      </w:r>
      <w:r w:rsidR="003F4433">
        <w:rPr>
          <w:rStyle w:val="FootnoteReference"/>
        </w:rPr>
        <w:footnoteReference w:id="38"/>
      </w:r>
      <w:r w:rsidR="000315A4" w:rsidRPr="000315A4">
        <w:t xml:space="preserve"> </w:t>
      </w:r>
    </w:p>
    <w:p w14:paraId="7B626919" w14:textId="77777777" w:rsidR="00CD4586" w:rsidRDefault="00CD4586" w:rsidP="00CD4586">
      <w:pPr>
        <w:pStyle w:val="Heading8"/>
      </w:pPr>
    </w:p>
    <w:p w14:paraId="7C77F4EC" w14:textId="37ED25A2" w:rsidR="00CD4586" w:rsidRPr="00F720F8" w:rsidRDefault="00CD4586" w:rsidP="00CD4586">
      <w:pPr>
        <w:pStyle w:val="Heading8"/>
      </w:pPr>
      <w:r w:rsidRPr="00F720F8">
        <w:t>Q.</w:t>
      </w:r>
      <w:r w:rsidRPr="00F720F8">
        <w:tab/>
      </w:r>
      <w:r w:rsidR="00157A51">
        <w:t xml:space="preserve">How did </w:t>
      </w:r>
      <w:r w:rsidR="002E2A26">
        <w:t>the Company account for</w:t>
      </w:r>
      <w:r w:rsidR="00157A51">
        <w:t xml:space="preserve"> legal costs</w:t>
      </w:r>
      <w:r w:rsidR="00157A51" w:rsidRPr="00E86E4A">
        <w:t>?</w:t>
      </w:r>
    </w:p>
    <w:p w14:paraId="28A0BE50" w14:textId="77777777" w:rsidR="004D3860" w:rsidRDefault="00CD4586" w:rsidP="004D3860">
      <w:pPr>
        <w:spacing w:line="480" w:lineRule="auto"/>
        <w:ind w:left="720" w:right="-342" w:hanging="720"/>
        <w:sectPr w:rsidR="004D3860" w:rsidSect="004D3860">
          <w:footerReference w:type="default" r:id="rId14"/>
          <w:pgSz w:w="12240" w:h="15840" w:code="1"/>
          <w:pgMar w:top="1440" w:right="1440" w:bottom="1440" w:left="1872" w:header="720" w:footer="720" w:gutter="0"/>
          <w:lnNumType w:countBy="1"/>
          <w:cols w:space="720"/>
          <w:docGrid w:linePitch="360"/>
        </w:sectPr>
      </w:pPr>
      <w:r w:rsidRPr="00F720F8">
        <w:t>A.</w:t>
      </w:r>
      <w:r w:rsidRPr="00F720F8">
        <w:tab/>
      </w:r>
      <w:r w:rsidR="00157A51">
        <w:t>The Company did no</w:t>
      </w:r>
      <w:r w:rsidR="00C94102">
        <w:t>t include any legal costs in the deferred accounts presented in the current GRC</w:t>
      </w:r>
      <w:r>
        <w:t>.</w:t>
      </w:r>
      <w:r w:rsidR="00FB3065">
        <w:t xml:space="preserve"> </w:t>
      </w:r>
      <w:r w:rsidR="00BB2A99" w:rsidRPr="00BB2A99">
        <w:t xml:space="preserve"> </w:t>
      </w:r>
      <w:r w:rsidR="00BB2A99">
        <w:t xml:space="preserve">For the electric sites, </w:t>
      </w:r>
      <w:r w:rsidR="00BB2A99" w:rsidRPr="00BB2A99">
        <w:t xml:space="preserve">Commission order </w:t>
      </w:r>
      <w:r w:rsidR="00E70068">
        <w:t xml:space="preserve">in Docket </w:t>
      </w:r>
      <w:r w:rsidR="00BB2A99" w:rsidRPr="00BB2A99">
        <w:t>UE-911476</w:t>
      </w:r>
      <w:r w:rsidR="00BD373A">
        <w:t>, Page 4, (1</w:t>
      </w:r>
      <w:r w:rsidR="00805940">
        <w:t>),</w:t>
      </w:r>
      <w:r w:rsidR="00BB2A99" w:rsidRPr="00BB2A99">
        <w:t xml:space="preserve"> </w:t>
      </w:r>
      <w:r w:rsidR="00805940">
        <w:t xml:space="preserve">(April 1, 1992) </w:t>
      </w:r>
      <w:r w:rsidR="00BB2A99" w:rsidRPr="00BB2A99">
        <w:t>explicitly requires the company to expense legal</w:t>
      </w:r>
      <w:r w:rsidR="00BB2A99">
        <w:t xml:space="preserve"> costs </w:t>
      </w:r>
      <w:r w:rsidR="00AB1CDA">
        <w:t>for</w:t>
      </w:r>
      <w:r w:rsidR="00BB2A99">
        <w:t xml:space="preserve"> the electric </w:t>
      </w:r>
      <w:r w:rsidR="00AB1CDA">
        <w:t xml:space="preserve">remediation </w:t>
      </w:r>
      <w:r w:rsidR="00BB2A99">
        <w:t>sites</w:t>
      </w:r>
      <w:r w:rsidR="00784509">
        <w:t xml:space="preserve"> authorized in that </w:t>
      </w:r>
      <w:r w:rsidR="001D069C">
        <w:t>occasion</w:t>
      </w:r>
      <w:r w:rsidR="00BB2A99">
        <w:t>.</w:t>
      </w:r>
      <w:r w:rsidR="003A0A79">
        <w:t xml:space="preserve"> </w:t>
      </w:r>
      <w:r w:rsidR="00BB2A99">
        <w:t xml:space="preserve"> For the gas sites, as it was previously mentioned</w:t>
      </w:r>
      <w:r w:rsidR="00AB1CDA">
        <w:t>,</w:t>
      </w:r>
      <w:r w:rsidR="00BB2A99">
        <w:t xml:space="preserve"> </w:t>
      </w:r>
      <w:r w:rsidR="00585045" w:rsidRPr="00585045">
        <w:rPr>
          <w:highlight w:val="yellow"/>
        </w:rPr>
        <w:t xml:space="preserve">PSE cleared most of its legal costs </w:t>
      </w:r>
      <w:r w:rsidR="00AB1CDA">
        <w:rPr>
          <w:highlight w:val="yellow"/>
        </w:rPr>
        <w:t xml:space="preserve">associated with </w:t>
      </w:r>
      <w:r w:rsidR="00585045" w:rsidRPr="00585045">
        <w:rPr>
          <w:highlight w:val="yellow"/>
        </w:rPr>
        <w:t xml:space="preserve">deferred </w:t>
      </w:r>
      <w:r w:rsidR="00BB2A99">
        <w:rPr>
          <w:highlight w:val="yellow"/>
        </w:rPr>
        <w:t xml:space="preserve">gas </w:t>
      </w:r>
      <w:r w:rsidR="00585045" w:rsidRPr="00585045">
        <w:rPr>
          <w:highlight w:val="yellow"/>
        </w:rPr>
        <w:t>accounts in 2012, offsetting with</w:t>
      </w:r>
      <w:r w:rsidR="00AB1CDA">
        <w:rPr>
          <w:highlight w:val="yellow"/>
        </w:rPr>
        <w:t xml:space="preserve"> those costs with</w:t>
      </w:r>
      <w:r w:rsidR="00585045" w:rsidRPr="00585045">
        <w:rPr>
          <w:highlight w:val="yellow"/>
        </w:rPr>
        <w:t xml:space="preserve"> funds </w:t>
      </w:r>
      <w:r w:rsidR="00AB1CDA">
        <w:rPr>
          <w:highlight w:val="yellow"/>
        </w:rPr>
        <w:t>previously classified as</w:t>
      </w:r>
      <w:r w:rsidR="00585045" w:rsidRPr="00585045">
        <w:rPr>
          <w:highlight w:val="yellow"/>
        </w:rPr>
        <w:t xml:space="preserve"> </w:t>
      </w:r>
      <w:r w:rsidR="00585045" w:rsidRPr="00585045">
        <w:rPr>
          <w:highlight w:val="yellow"/>
        </w:rPr>
        <w:lastRenderedPageBreak/>
        <w:t>unassigned</w:t>
      </w:r>
      <w:r w:rsidR="00585045">
        <w:t xml:space="preserve">. </w:t>
      </w:r>
    </w:p>
    <w:p w14:paraId="2FD937BF" w14:textId="6AFDE0AA" w:rsidR="00B27C57" w:rsidRDefault="00585045" w:rsidP="004D3860">
      <w:pPr>
        <w:spacing w:line="480" w:lineRule="auto"/>
        <w:ind w:left="720" w:right="-342" w:hanging="720"/>
      </w:pPr>
      <w:r>
        <w:t>I</w:t>
      </w:r>
      <w:r w:rsidR="004D3860">
        <w:t> </w:t>
      </w:r>
      <w:r>
        <w:t>consider th</w:t>
      </w:r>
      <w:r w:rsidR="00AB1CDA">
        <w:t>e Company’s practice</w:t>
      </w:r>
      <w:r>
        <w:t xml:space="preserve"> consistent with</w:t>
      </w:r>
      <w:r w:rsidR="00AB1CDA">
        <w:t xml:space="preserve"> the relevant Commission order</w:t>
      </w:r>
      <w:r w:rsidR="00261E8A">
        <w:t xml:space="preserve"> because the </w:t>
      </w:r>
      <w:r w:rsidR="00BB2A99">
        <w:t xml:space="preserve">legal </w:t>
      </w:r>
      <w:r w:rsidR="00261E8A">
        <w:t xml:space="preserve">costs were incurred to </w:t>
      </w:r>
      <w:r w:rsidR="00BB2A99">
        <w:t>obtain the recoveries</w:t>
      </w:r>
      <w:r w:rsidR="00AB1CDA">
        <w:t xml:space="preserve"> from responsible third parties or insurance carriers</w:t>
      </w:r>
      <w:r w:rsidR="00BB2A99">
        <w:t xml:space="preserve"> through litigation</w:t>
      </w:r>
      <w:r w:rsidR="005401A5">
        <w:t xml:space="preserve"> or settlement</w:t>
      </w:r>
      <w:r w:rsidR="00FF6BAC">
        <w:t>.</w:t>
      </w:r>
      <w:r w:rsidR="00FF6BAC">
        <w:rPr>
          <w:rStyle w:val="FootnoteReference"/>
        </w:rPr>
        <w:footnoteReference w:id="39"/>
      </w:r>
      <w:r w:rsidR="00FF6BAC">
        <w:t xml:space="preserve"> </w:t>
      </w:r>
    </w:p>
    <w:p w14:paraId="057389EA" w14:textId="70965123" w:rsidR="00BB6BAC" w:rsidRDefault="00BB6BAC" w:rsidP="00FC68B0">
      <w:pPr>
        <w:spacing w:line="480" w:lineRule="auto"/>
      </w:pPr>
    </w:p>
    <w:p w14:paraId="3C7E9194" w14:textId="44410053" w:rsidR="00BB6BAC" w:rsidRDefault="00BB6BAC" w:rsidP="00BD3C93">
      <w:pPr>
        <w:pStyle w:val="Heading2"/>
        <w:numPr>
          <w:ilvl w:val="0"/>
          <w:numId w:val="40"/>
        </w:numPr>
        <w:ind w:left="2160" w:right="-72" w:hanging="720"/>
      </w:pPr>
      <w:bookmarkStart w:id="22" w:name="_Toc486434759"/>
      <w:r>
        <w:t>Working capital treatment of environmental remediation projects.</w:t>
      </w:r>
      <w:bookmarkEnd w:id="22"/>
    </w:p>
    <w:p w14:paraId="393F93D0" w14:textId="77777777" w:rsidR="00BB6BAC" w:rsidRPr="00BB6BAC" w:rsidRDefault="00BB6BAC" w:rsidP="00BB6BAC">
      <w:pPr>
        <w:spacing w:line="480" w:lineRule="auto"/>
        <w:ind w:left="720"/>
      </w:pPr>
    </w:p>
    <w:p w14:paraId="57167145" w14:textId="682153E1" w:rsidR="00BB6BAC" w:rsidRPr="00BB6BAC" w:rsidRDefault="00BB6BAC" w:rsidP="004F5FA2">
      <w:pPr>
        <w:pStyle w:val="Heading8"/>
      </w:pPr>
      <w:r w:rsidRPr="00BB6BAC">
        <w:t>Q.</w:t>
      </w:r>
      <w:r w:rsidRPr="00BB6BAC">
        <w:tab/>
        <w:t>Is PSE requesting working capital treatment of the entirety of PSE’s environmental remediation electric and gas projects?</w:t>
      </w:r>
    </w:p>
    <w:p w14:paraId="001193C5" w14:textId="2339D19A" w:rsidR="00BB6BAC" w:rsidRDefault="009F280D" w:rsidP="00BB6BAC">
      <w:pPr>
        <w:spacing w:line="480" w:lineRule="auto"/>
        <w:ind w:left="720" w:hanging="720"/>
      </w:pPr>
      <w:r>
        <w:t>A.</w:t>
      </w:r>
      <w:r>
        <w:tab/>
        <w:t>No</w:t>
      </w:r>
      <w:r w:rsidR="00801465">
        <w:t>.</w:t>
      </w:r>
      <w:r w:rsidR="00FB3065">
        <w:t xml:space="preserve"> </w:t>
      </w:r>
      <w:r w:rsidR="00801465">
        <w:t xml:space="preserve"> T</w:t>
      </w:r>
      <w:r>
        <w:t xml:space="preserve">he Company is requesting working capital treatment </w:t>
      </w:r>
      <w:r w:rsidR="00801465">
        <w:t>only for</w:t>
      </w:r>
      <w:r>
        <w:t xml:space="preserve"> electric</w:t>
      </w:r>
      <w:r w:rsidR="00801465">
        <w:t>-related remediation</w:t>
      </w:r>
      <w:r>
        <w:t xml:space="preserve"> sites.</w:t>
      </w:r>
      <w:r w:rsidR="002645DA">
        <w:t xml:space="preserve"> </w:t>
      </w:r>
    </w:p>
    <w:p w14:paraId="727B8058" w14:textId="77777777" w:rsidR="00ED49F7" w:rsidRPr="00BB6BAC" w:rsidRDefault="00ED49F7" w:rsidP="00BB6BAC">
      <w:pPr>
        <w:spacing w:line="480" w:lineRule="auto"/>
        <w:ind w:left="720" w:hanging="720"/>
      </w:pPr>
    </w:p>
    <w:p w14:paraId="283197A4" w14:textId="6397B5D5" w:rsidR="00BB6BAC" w:rsidRPr="00BB6BAC" w:rsidRDefault="00BB6BAC" w:rsidP="004F5FA2">
      <w:pPr>
        <w:pStyle w:val="Heading8"/>
      </w:pPr>
      <w:r w:rsidRPr="00BB6BAC">
        <w:t>Q.</w:t>
      </w:r>
      <w:r w:rsidRPr="00BB6BAC">
        <w:tab/>
      </w:r>
      <w:r w:rsidR="00D5001F">
        <w:t xml:space="preserve">What is </w:t>
      </w:r>
      <w:r w:rsidR="009F280D">
        <w:t>your</w:t>
      </w:r>
      <w:r w:rsidR="00D5001F">
        <w:t xml:space="preserve"> recommendation for working capital treatment</w:t>
      </w:r>
      <w:r w:rsidRPr="00BB6BAC">
        <w:t>?</w:t>
      </w:r>
    </w:p>
    <w:p w14:paraId="45EAE07E" w14:textId="525E7953" w:rsidR="002A0BE4" w:rsidRDefault="00D5001F" w:rsidP="002A0BE4">
      <w:pPr>
        <w:spacing w:line="480" w:lineRule="auto"/>
        <w:ind w:left="720" w:hanging="720"/>
      </w:pPr>
      <w:r>
        <w:t>A.</w:t>
      </w:r>
      <w:r>
        <w:tab/>
      </w:r>
      <w:r w:rsidR="009F280D">
        <w:t>I recommend the working capital treatment for both electric and gas environmental deferred balances.</w:t>
      </w:r>
      <w:r w:rsidR="00FB3065">
        <w:t xml:space="preserve"> </w:t>
      </w:r>
      <w:r w:rsidR="00ED49F7">
        <w:t xml:space="preserve"> The reason the Company is not requesting working capital treatment of their gas facilities is because </w:t>
      </w:r>
      <w:r w:rsidR="00A0542B">
        <w:t>in Fourth Supplemental Order</w:t>
      </w:r>
      <w:r w:rsidR="00104335">
        <w:t xml:space="preserve"> in Docket </w:t>
      </w:r>
      <w:r w:rsidR="00ED49F7">
        <w:t>UG-920840 denied WNG’s request for workin</w:t>
      </w:r>
      <w:r w:rsidR="006E4AB9">
        <w:t>g capital treatment in 1993</w:t>
      </w:r>
      <w:r w:rsidR="00ED49F7">
        <w:t xml:space="preserve">. </w:t>
      </w:r>
      <w:r w:rsidR="00FB3065">
        <w:t xml:space="preserve"> </w:t>
      </w:r>
      <w:r w:rsidR="00ED49F7">
        <w:t xml:space="preserve">The main cause for the denial was that prudency </w:t>
      </w:r>
      <w:r w:rsidR="006E4AB9">
        <w:t xml:space="preserve">of the deferred projects </w:t>
      </w:r>
      <w:r w:rsidR="00ED49F7">
        <w:t xml:space="preserve">was not determined at that point in time and that the litigation for additional recoveries was about to start. </w:t>
      </w:r>
      <w:r w:rsidR="00475228">
        <w:t xml:space="preserve"> </w:t>
      </w:r>
      <w:r w:rsidR="00ED49F7">
        <w:t>The Commission made it clear that determination of working capital</w:t>
      </w:r>
      <w:r w:rsidR="006E4AB9">
        <w:t xml:space="preserve"> treatment in that occasion did not preclude WNG from requesting recovery of the costs, including interest</w:t>
      </w:r>
      <w:r w:rsidR="00C850E1">
        <w:t>, in a future rate case</w:t>
      </w:r>
      <w:r w:rsidR="006E4AB9">
        <w:t xml:space="preserve">. </w:t>
      </w:r>
      <w:r w:rsidR="00475228">
        <w:t xml:space="preserve"> </w:t>
      </w:r>
      <w:r w:rsidR="00801465">
        <w:t>The underlying reasons for the prior Commission order clearly no longer exist.</w:t>
      </w:r>
      <w:r w:rsidR="00475228">
        <w:t xml:space="preserve"> </w:t>
      </w:r>
      <w:r w:rsidR="00801465">
        <w:t xml:space="preserve"> </w:t>
      </w:r>
      <w:r w:rsidR="006E4AB9">
        <w:t xml:space="preserve">Consistent with my recommendation of amortization of </w:t>
      </w:r>
      <w:r w:rsidR="006E4AB9">
        <w:lastRenderedPageBreak/>
        <w:t>balances, I also recommend working capital treatment of the unamortized net balances</w:t>
      </w:r>
      <w:r w:rsidR="00D51223">
        <w:t xml:space="preserve"> </w:t>
      </w:r>
      <w:r w:rsidR="002A0BE4">
        <w:t>for</w:t>
      </w:r>
      <w:r w:rsidR="00D51223">
        <w:t xml:space="preserve"> the electric and gas side</w:t>
      </w:r>
      <w:r w:rsidR="006E4AB9">
        <w:t>.</w:t>
      </w:r>
    </w:p>
    <w:p w14:paraId="2903D8F7" w14:textId="77777777" w:rsidR="00801465" w:rsidRDefault="00801465" w:rsidP="002A0BE4">
      <w:pPr>
        <w:spacing w:line="480" w:lineRule="auto"/>
        <w:ind w:left="720" w:hanging="720"/>
      </w:pPr>
    </w:p>
    <w:p w14:paraId="47A8EA91" w14:textId="72DA256B" w:rsidR="00133D4E" w:rsidRPr="00BB6BAC" w:rsidRDefault="00133D4E" w:rsidP="00133D4E">
      <w:pPr>
        <w:pStyle w:val="Heading8"/>
      </w:pPr>
      <w:r w:rsidRPr="00BB6BAC">
        <w:t>Q.</w:t>
      </w:r>
      <w:r w:rsidRPr="00BB6BAC">
        <w:tab/>
      </w:r>
      <w:r>
        <w:t xml:space="preserve">How </w:t>
      </w:r>
      <w:r w:rsidR="00F47E2C">
        <w:t xml:space="preserve">does Staff calculate </w:t>
      </w:r>
      <w:r>
        <w:t>the working capital treatment</w:t>
      </w:r>
      <w:r w:rsidRPr="00BB6BAC">
        <w:t>?</w:t>
      </w:r>
    </w:p>
    <w:p w14:paraId="5FC32A88" w14:textId="1DA9BF29" w:rsidR="00302887" w:rsidRDefault="00133D4E" w:rsidP="00302887">
      <w:pPr>
        <w:spacing w:line="480" w:lineRule="auto"/>
        <w:ind w:left="720" w:hanging="720"/>
      </w:pPr>
      <w:r>
        <w:t>A.</w:t>
      </w:r>
      <w:r>
        <w:tab/>
        <w:t>As I</w:t>
      </w:r>
      <w:r w:rsidR="006E4AB9">
        <w:t xml:space="preserve"> previously explained</w:t>
      </w:r>
      <w:r w:rsidR="00F47E2C">
        <w:t>,</w:t>
      </w:r>
      <w:r w:rsidR="006E4AB9">
        <w:t xml:space="preserve"> the </w:t>
      </w:r>
      <w:r w:rsidR="00F47E2C">
        <w:t>difference between ER obligations and the proceeds recovered from third parties for those ER obligations should</w:t>
      </w:r>
      <w:r w:rsidR="006E4AB9">
        <w:t xml:space="preserve"> be amortized </w:t>
      </w:r>
      <w:r w:rsidR="00F47E2C">
        <w:t>over</w:t>
      </w:r>
      <w:r w:rsidR="006E4AB9">
        <w:t xml:space="preserve"> a 5 year period.</w:t>
      </w:r>
      <w:r w:rsidR="00475228">
        <w:t xml:space="preserve"> </w:t>
      </w:r>
      <w:r w:rsidR="006E4AB9">
        <w:t xml:space="preserve"> This means that</w:t>
      </w:r>
      <w:r w:rsidR="00F47E2C">
        <w:t xml:space="preserve"> the Company will recover one-fifth of the net remaining balance associated with ER projects in the rate year</w:t>
      </w:r>
      <w:r w:rsidR="009F33B0">
        <w:t>.</w:t>
      </w:r>
      <w:r w:rsidR="00475228">
        <w:t xml:space="preserve"> </w:t>
      </w:r>
      <w:r w:rsidR="009F33B0">
        <w:t xml:space="preserve"> </w:t>
      </w:r>
      <w:r w:rsidR="006E4AB9">
        <w:t>In order to avoid double recovery of th</w:t>
      </w:r>
      <w:r w:rsidR="00F47E2C">
        <w:t>at</w:t>
      </w:r>
      <w:r w:rsidR="006E4AB9">
        <w:t xml:space="preserve"> one</w:t>
      </w:r>
      <w:r w:rsidR="00F47E2C">
        <w:t>-</w:t>
      </w:r>
      <w:r w:rsidR="006E4AB9">
        <w:t xml:space="preserve">fifth </w:t>
      </w:r>
      <w:r w:rsidR="00F47E2C">
        <w:t xml:space="preserve">amortized amount </w:t>
      </w:r>
      <w:r w:rsidR="006E4AB9">
        <w:t>through rate expenses and working capital</w:t>
      </w:r>
      <w:r w:rsidR="00F47E2C">
        <w:t>,</w:t>
      </w:r>
      <w:r w:rsidR="006E4AB9">
        <w:t xml:space="preserve"> I </w:t>
      </w:r>
      <w:r w:rsidR="00F47E2C">
        <w:t>recommend</w:t>
      </w:r>
      <w:r w:rsidR="006E4AB9">
        <w:t xml:space="preserve"> an adjustment to the working capital allowance</w:t>
      </w:r>
      <w:r w:rsidR="00F47E2C">
        <w:t xml:space="preserve">. </w:t>
      </w:r>
      <w:r w:rsidR="00475228">
        <w:t xml:space="preserve"> </w:t>
      </w:r>
      <w:r w:rsidR="00F47E2C">
        <w:t>My lead sheet</w:t>
      </w:r>
      <w:r w:rsidR="004D6E31">
        <w:t>s</w:t>
      </w:r>
      <w:r w:rsidR="00F47E2C">
        <w:t xml:space="preserve"> in </w:t>
      </w:r>
      <w:r w:rsidR="00410D10">
        <w:t>Exh. ECO-2</w:t>
      </w:r>
      <w:r>
        <w:t xml:space="preserve"> </w:t>
      </w:r>
      <w:r w:rsidR="00F47E2C">
        <w:t>shows the specifics of this calculation</w:t>
      </w:r>
      <w:r w:rsidR="006E4AB9">
        <w:t>.</w:t>
      </w:r>
      <w:r w:rsidR="00475228">
        <w:t xml:space="preserve">  </w:t>
      </w:r>
      <w:r w:rsidR="006E4AB9">
        <w:t>This way, PSE will recover one fifth of its net balances directly through rates</w:t>
      </w:r>
      <w:r w:rsidR="00F47E2C">
        <w:t>,</w:t>
      </w:r>
      <w:r w:rsidR="006E4AB9">
        <w:t xml:space="preserve"> and the </w:t>
      </w:r>
      <w:r w:rsidR="00F47E2C">
        <w:t xml:space="preserve">working capital </w:t>
      </w:r>
      <w:r w:rsidR="007E015A">
        <w:t xml:space="preserve">general calculations </w:t>
      </w:r>
      <w:r w:rsidR="00F47E2C">
        <w:t xml:space="preserve">will account for the </w:t>
      </w:r>
      <w:r w:rsidR="006E4AB9">
        <w:t>remaining four</w:t>
      </w:r>
      <w:r w:rsidR="00F47E2C">
        <w:t>-</w:t>
      </w:r>
      <w:r w:rsidR="006E4AB9">
        <w:t>fifths t</w:t>
      </w:r>
      <w:r w:rsidR="00E60427">
        <w:t xml:space="preserve">hat are not being amortized </w:t>
      </w:r>
      <w:r w:rsidR="009752F7">
        <w:t>in</w:t>
      </w:r>
      <w:r w:rsidR="001E40F5">
        <w:t xml:space="preserve"> the rate year</w:t>
      </w:r>
      <w:r>
        <w:t xml:space="preserve">. </w:t>
      </w:r>
      <w:r w:rsidR="00475228">
        <w:t xml:space="preserve"> </w:t>
      </w:r>
    </w:p>
    <w:p w14:paraId="7B1C459F" w14:textId="3284E2AA" w:rsidR="00D5001F" w:rsidRDefault="00BD3C93" w:rsidP="00302887">
      <w:pPr>
        <w:spacing w:line="480" w:lineRule="auto"/>
        <w:ind w:left="720"/>
      </w:pPr>
      <w:r>
        <w:tab/>
      </w:r>
      <w:r w:rsidR="00D5001F">
        <w:t>Ms. Erd</w:t>
      </w:r>
      <w:r w:rsidR="00DA52CF">
        <w:t>a</w:t>
      </w:r>
      <w:r w:rsidR="00D5001F">
        <w:t>hl</w:t>
      </w:r>
      <w:r w:rsidR="00F47E2C">
        <w:t>’s</w:t>
      </w:r>
      <w:r w:rsidR="00E60427">
        <w:t xml:space="preserve"> testimony</w:t>
      </w:r>
      <w:r w:rsidR="00133D4E">
        <w:t xml:space="preserve"> addresses the general working capital</w:t>
      </w:r>
      <w:r w:rsidR="001E40F5">
        <w:t xml:space="preserve"> calculations</w:t>
      </w:r>
      <w:r w:rsidR="009F280D">
        <w:t>.</w:t>
      </w:r>
      <w:r w:rsidR="001E40F5">
        <w:t xml:space="preserve"> </w:t>
      </w:r>
      <w:r w:rsidR="00475228">
        <w:t xml:space="preserve"> </w:t>
      </w:r>
      <w:r w:rsidR="001E40F5">
        <w:t>The effect of my adjustment is a reduction of working capital allowance of $</w:t>
      </w:r>
      <w:r w:rsidR="001E40F5" w:rsidRPr="001E40F5">
        <w:t>552,786</w:t>
      </w:r>
      <w:r w:rsidR="001E40F5">
        <w:t xml:space="preserve"> for electric and $</w:t>
      </w:r>
      <w:r w:rsidR="001E40F5" w:rsidRPr="001E40F5">
        <w:t>2,089,549</w:t>
      </w:r>
      <w:r w:rsidR="001E40F5">
        <w:t xml:space="preserve"> for gas.</w:t>
      </w:r>
    </w:p>
    <w:p w14:paraId="42A55230" w14:textId="77777777" w:rsidR="009F280D" w:rsidRDefault="009F280D" w:rsidP="00FA3175">
      <w:pPr>
        <w:spacing w:line="480" w:lineRule="auto"/>
        <w:ind w:left="720" w:hanging="720"/>
      </w:pPr>
    </w:p>
    <w:p w14:paraId="5994AEE5" w14:textId="7E62DC94" w:rsidR="00AF66BD" w:rsidRDefault="00BB6BAC" w:rsidP="00BD3C93">
      <w:pPr>
        <w:pStyle w:val="Heading1"/>
        <w:spacing w:line="240" w:lineRule="auto"/>
        <w:ind w:left="1080" w:hanging="630"/>
      </w:pPr>
      <w:bookmarkStart w:id="23" w:name="_Toc486434760"/>
      <w:r>
        <w:t xml:space="preserve">RECOMMENDATIONS FOR </w:t>
      </w:r>
      <w:r w:rsidR="0001487C">
        <w:t>IMPROVING THE PROCEDURAL REQUIREMENTS AND REPORTING PROCESSES</w:t>
      </w:r>
      <w:r w:rsidR="00B34DAE">
        <w:t xml:space="preserve"> </w:t>
      </w:r>
      <w:r w:rsidR="0001487C">
        <w:t>FOR</w:t>
      </w:r>
      <w:r w:rsidR="00C9044F">
        <w:t xml:space="preserve"> DEFERRAL</w:t>
      </w:r>
      <w:r w:rsidR="00DB0B61">
        <w:t xml:space="preserve"> OF</w:t>
      </w:r>
      <w:r w:rsidR="00916DF5">
        <w:t xml:space="preserve"> ENVIRONMENTAL</w:t>
      </w:r>
      <w:r w:rsidR="00E950B4">
        <w:t xml:space="preserve"> REMEDIATION PROJECTS</w:t>
      </w:r>
      <w:r w:rsidR="00916DF5">
        <w:t xml:space="preserve"> COSTS</w:t>
      </w:r>
      <w:bookmarkEnd w:id="23"/>
    </w:p>
    <w:p w14:paraId="2F5EFEE4" w14:textId="77777777" w:rsidR="00DB0B61" w:rsidRDefault="00DB0B61" w:rsidP="00FA3175">
      <w:pPr>
        <w:spacing w:line="480" w:lineRule="auto"/>
      </w:pPr>
    </w:p>
    <w:p w14:paraId="0A75459B" w14:textId="495FD580" w:rsidR="00C9044F" w:rsidRPr="00F720F8" w:rsidRDefault="00C9044F" w:rsidP="00FA3175">
      <w:pPr>
        <w:pStyle w:val="Heading8"/>
      </w:pPr>
      <w:r w:rsidRPr="00F720F8">
        <w:t>Q.</w:t>
      </w:r>
      <w:r w:rsidRPr="00F720F8">
        <w:tab/>
      </w:r>
      <w:r>
        <w:t>Please describe the cost deferral process.</w:t>
      </w:r>
    </w:p>
    <w:p w14:paraId="2287934C" w14:textId="07366895" w:rsidR="00C9044F" w:rsidRDefault="00C9044F" w:rsidP="00FA3175">
      <w:pPr>
        <w:spacing w:line="480" w:lineRule="auto"/>
        <w:ind w:left="720" w:hanging="720"/>
      </w:pPr>
      <w:r w:rsidRPr="00F720F8">
        <w:t>A.</w:t>
      </w:r>
      <w:r w:rsidRPr="00F720F8">
        <w:tab/>
      </w:r>
      <w:r w:rsidR="00F94105">
        <w:t>Once the company performs environmental remediation activities</w:t>
      </w:r>
      <w:r w:rsidR="00152B04">
        <w:t>, the</w:t>
      </w:r>
      <w:r w:rsidR="00F94105">
        <w:t xml:space="preserve"> associated costs are accumulated in FERC accounts 182.3</w:t>
      </w:r>
      <w:r w:rsidR="00152B04">
        <w:t>-</w:t>
      </w:r>
      <w:r w:rsidR="00B34DAE">
        <w:t>O</w:t>
      </w:r>
      <w:r w:rsidR="00B34DAE" w:rsidRPr="00F94105">
        <w:t xml:space="preserve">ther </w:t>
      </w:r>
      <w:r w:rsidR="00B34DAE">
        <w:t>R</w:t>
      </w:r>
      <w:r w:rsidR="00F94105" w:rsidRPr="00F94105">
        <w:t xml:space="preserve">egulatory </w:t>
      </w:r>
      <w:r w:rsidR="00B34DAE">
        <w:t>A</w:t>
      </w:r>
      <w:r w:rsidR="00F94105" w:rsidRPr="00F94105">
        <w:t>ss</w:t>
      </w:r>
      <w:r w:rsidR="00F94105">
        <w:t>ets and 186</w:t>
      </w:r>
      <w:r w:rsidR="00152B04">
        <w:t>-</w:t>
      </w:r>
      <w:r w:rsidR="00B34DAE">
        <w:lastRenderedPageBreak/>
        <w:t>Miscellaneous Deferred Debits</w:t>
      </w:r>
      <w:r w:rsidR="00F94105">
        <w:t xml:space="preserve">. </w:t>
      </w:r>
      <w:r w:rsidR="00475228">
        <w:t xml:space="preserve"> </w:t>
      </w:r>
      <w:r w:rsidR="00F94105">
        <w:t xml:space="preserve">These deferred balances are reported to the Commission in PSE’s quarterly reports. </w:t>
      </w:r>
      <w:r w:rsidR="00475228">
        <w:t xml:space="preserve"> </w:t>
      </w:r>
      <w:r w:rsidR="00F94105">
        <w:t>Included in the reports are the recoveries from third part</w:t>
      </w:r>
      <w:r w:rsidR="00152B04">
        <w:t>ies</w:t>
      </w:r>
      <w:r w:rsidR="00F94105">
        <w:t xml:space="preserve"> and insurance</w:t>
      </w:r>
      <w:r w:rsidR="00152B04">
        <w:t xml:space="preserve"> companies</w:t>
      </w:r>
      <w:r w:rsidR="00FF7FBF">
        <w:t xml:space="preserve">. </w:t>
      </w:r>
      <w:r w:rsidR="00475228">
        <w:t xml:space="preserve"> </w:t>
      </w:r>
      <w:r w:rsidR="00FF7FBF">
        <w:t xml:space="preserve">PSE </w:t>
      </w:r>
      <w:r w:rsidR="00152B04">
        <w:t xml:space="preserve">also voluntarily </w:t>
      </w:r>
      <w:r w:rsidR="00FF7FBF">
        <w:t>include</w:t>
      </w:r>
      <w:r w:rsidR="00152B04">
        <w:t>d</w:t>
      </w:r>
      <w:r w:rsidR="00FF7FBF">
        <w:t xml:space="preserve"> estimate</w:t>
      </w:r>
      <w:r w:rsidR="00152B04">
        <w:t>s for</w:t>
      </w:r>
      <w:r w:rsidR="00FF7FBF">
        <w:t xml:space="preserve"> future costs for each project.</w:t>
      </w:r>
      <w:r w:rsidR="00F94105">
        <w:t xml:space="preserve">  </w:t>
      </w:r>
    </w:p>
    <w:p w14:paraId="19B24E0B" w14:textId="77777777" w:rsidR="004F5FA2" w:rsidRDefault="004F5FA2" w:rsidP="004F5FA2">
      <w:pPr>
        <w:spacing w:line="480" w:lineRule="auto"/>
        <w:ind w:left="720" w:hanging="720"/>
      </w:pPr>
    </w:p>
    <w:p w14:paraId="6868BE4E" w14:textId="4DA0FD09" w:rsidR="004F5FA2" w:rsidRPr="00F720F8" w:rsidRDefault="004F5FA2" w:rsidP="004F5FA2">
      <w:pPr>
        <w:pStyle w:val="Heading8"/>
      </w:pPr>
      <w:r w:rsidRPr="00F720F8">
        <w:t>Q.</w:t>
      </w:r>
      <w:r w:rsidRPr="00F720F8">
        <w:tab/>
      </w:r>
      <w:r w:rsidR="00942F0C">
        <w:t xml:space="preserve">What is your recommendation </w:t>
      </w:r>
      <w:r>
        <w:t>for recording amounts deferred in future remediation projects?</w:t>
      </w:r>
    </w:p>
    <w:p w14:paraId="06DF22CC" w14:textId="114CC6C2" w:rsidR="00942F0C" w:rsidRDefault="004F5FA2" w:rsidP="00942F0C">
      <w:pPr>
        <w:spacing w:line="480" w:lineRule="auto"/>
        <w:ind w:left="720" w:hanging="720"/>
      </w:pPr>
      <w:r w:rsidRPr="00F720F8">
        <w:t>A.</w:t>
      </w:r>
      <w:r w:rsidRPr="00F720F8">
        <w:tab/>
      </w:r>
      <w:r w:rsidR="00942F0C">
        <w:t xml:space="preserve">During the auditing process I encountered multiple aspects of the deferral </w:t>
      </w:r>
      <w:r w:rsidR="00166036">
        <w:t xml:space="preserve">and reporting process </w:t>
      </w:r>
      <w:r w:rsidR="00942F0C">
        <w:t>that</w:t>
      </w:r>
      <w:r w:rsidR="00166036">
        <w:t xml:space="preserve"> should</w:t>
      </w:r>
      <w:r w:rsidR="00942F0C">
        <w:t xml:space="preserve"> be improved</w:t>
      </w:r>
      <w:r w:rsidR="00FF7FBF">
        <w:t>. My recommendations are:</w:t>
      </w:r>
    </w:p>
    <w:p w14:paraId="1D7A6214" w14:textId="4017D1E2" w:rsidR="00FF7FBF" w:rsidRDefault="00D31E52" w:rsidP="00475228">
      <w:pPr>
        <w:pStyle w:val="ListParagraph"/>
        <w:numPr>
          <w:ilvl w:val="0"/>
          <w:numId w:val="28"/>
        </w:numPr>
        <w:spacing w:line="480" w:lineRule="auto"/>
        <w:ind w:left="1620" w:hanging="540"/>
      </w:pPr>
      <w:r>
        <w:t>Instead of quarterly reports</w:t>
      </w:r>
      <w:r w:rsidR="0001487C">
        <w:t>,</w:t>
      </w:r>
      <w:r>
        <w:t xml:space="preserve"> the Company should submit</w:t>
      </w:r>
      <w:r w:rsidR="00FF7FBF">
        <w:t xml:space="preserve"> </w:t>
      </w:r>
      <w:r w:rsidR="0001487C">
        <w:t xml:space="preserve">annual </w:t>
      </w:r>
      <w:r w:rsidR="00FF7FBF">
        <w:t>report</w:t>
      </w:r>
      <w:r>
        <w:t>s that contain</w:t>
      </w:r>
      <w:r w:rsidR="00FF7FBF">
        <w:t>:</w:t>
      </w:r>
    </w:p>
    <w:p w14:paraId="433A0E3B" w14:textId="6CDB95CD" w:rsidR="00FF7FBF" w:rsidRDefault="00D31E52" w:rsidP="00475228">
      <w:pPr>
        <w:pStyle w:val="ListParagraph"/>
        <w:numPr>
          <w:ilvl w:val="4"/>
          <w:numId w:val="28"/>
        </w:numPr>
        <w:spacing w:line="480" w:lineRule="auto"/>
        <w:ind w:left="2160" w:hanging="540"/>
      </w:pPr>
      <w:r>
        <w:t>Project amounts</w:t>
      </w:r>
      <w:r w:rsidR="00FF7FBF">
        <w:t xml:space="preserve"> authorized for deferral</w:t>
      </w:r>
      <w:r w:rsidR="00A63830">
        <w:t xml:space="preserve"> </w:t>
      </w:r>
      <w:r w:rsidR="0001487C">
        <w:t xml:space="preserve">with the </w:t>
      </w:r>
      <w:r w:rsidR="00A63830">
        <w:t>Commission order number that gives authority to PSE to do so.</w:t>
      </w:r>
      <w:r>
        <w:t xml:space="preserve"> </w:t>
      </w:r>
    </w:p>
    <w:p w14:paraId="54B6BB0A" w14:textId="2BD6DB49" w:rsidR="00D93453" w:rsidRDefault="00D93453" w:rsidP="00475228">
      <w:pPr>
        <w:pStyle w:val="ListParagraph"/>
        <w:numPr>
          <w:ilvl w:val="4"/>
          <w:numId w:val="28"/>
        </w:numPr>
        <w:spacing w:line="480" w:lineRule="auto"/>
        <w:ind w:left="2250" w:hanging="540"/>
      </w:pPr>
      <w:r>
        <w:t>Beginning date of the deferral of each project.</w:t>
      </w:r>
    </w:p>
    <w:p w14:paraId="4C9FB5B6" w14:textId="6F2FE94B" w:rsidR="008972A2" w:rsidRDefault="008972A2" w:rsidP="00475228">
      <w:pPr>
        <w:pStyle w:val="ListParagraph"/>
        <w:numPr>
          <w:ilvl w:val="4"/>
          <w:numId w:val="28"/>
        </w:numPr>
        <w:spacing w:line="480" w:lineRule="auto"/>
        <w:ind w:left="2250" w:hanging="540"/>
      </w:pPr>
      <w:r>
        <w:t>Beginning balances at the start of deferral.</w:t>
      </w:r>
    </w:p>
    <w:p w14:paraId="4EE98213" w14:textId="59492931" w:rsidR="008972A2" w:rsidRDefault="007F0E5B" w:rsidP="00475228">
      <w:pPr>
        <w:pStyle w:val="ListParagraph"/>
        <w:numPr>
          <w:ilvl w:val="4"/>
          <w:numId w:val="28"/>
        </w:numPr>
        <w:spacing w:line="480" w:lineRule="auto"/>
        <w:ind w:left="2250" w:hanging="540"/>
      </w:pPr>
      <w:r>
        <w:t>Year-</w:t>
      </w:r>
      <w:r w:rsidR="008972A2">
        <w:t>end deferred balances for the reporting year.</w:t>
      </w:r>
    </w:p>
    <w:p w14:paraId="67A515EC" w14:textId="6C48D3FE" w:rsidR="00D31E52" w:rsidRDefault="00D31E52" w:rsidP="00475228">
      <w:pPr>
        <w:pStyle w:val="ListParagraph"/>
        <w:numPr>
          <w:ilvl w:val="4"/>
          <w:numId w:val="28"/>
        </w:numPr>
        <w:spacing w:line="480" w:lineRule="auto"/>
        <w:ind w:left="2250" w:hanging="540"/>
      </w:pPr>
      <w:r>
        <w:t>Location of projects and internal naming convention (</w:t>
      </w:r>
      <w:r w:rsidR="0001487C">
        <w:t>e</w:t>
      </w:r>
      <w:r>
        <w:t>.</w:t>
      </w:r>
      <w:r w:rsidR="0001487C">
        <w:t>g</w:t>
      </w:r>
      <w:r>
        <w:t>.</w:t>
      </w:r>
      <w:r w:rsidR="0001487C">
        <w:t>,</w:t>
      </w:r>
      <w:r>
        <w:t xml:space="preserve"> Tacoma Tar Pits and or Tide Flats)</w:t>
      </w:r>
      <w:r w:rsidR="00DA52CF">
        <w:t>.</w:t>
      </w:r>
    </w:p>
    <w:p w14:paraId="1523F203" w14:textId="31263BA5" w:rsidR="002542FE" w:rsidRDefault="00A63830" w:rsidP="00475228">
      <w:pPr>
        <w:pStyle w:val="ListParagraph"/>
        <w:numPr>
          <w:ilvl w:val="4"/>
          <w:numId w:val="28"/>
        </w:numPr>
        <w:spacing w:line="480" w:lineRule="auto"/>
        <w:ind w:left="2250" w:hanging="540"/>
      </w:pPr>
      <w:r>
        <w:t>Total amount of third party and insurance recoveries rec</w:t>
      </w:r>
      <w:r w:rsidR="00F877C0">
        <w:t>eived during the reporting year</w:t>
      </w:r>
      <w:r w:rsidR="00190044">
        <w:t xml:space="preserve"> by month</w:t>
      </w:r>
      <w:r w:rsidR="002747BC">
        <w:t>. Each recovery is recei</w:t>
      </w:r>
      <w:r w:rsidR="00DA7361">
        <w:t>ved by the C</w:t>
      </w:r>
      <w:r w:rsidR="002747BC">
        <w:t>ompany</w:t>
      </w:r>
      <w:r w:rsidR="00DA7361">
        <w:t xml:space="preserve"> </w:t>
      </w:r>
      <w:r w:rsidR="00336D73">
        <w:t xml:space="preserve">must reduce the balance of corresponding project cost balances. </w:t>
      </w:r>
      <w:r w:rsidR="00475228">
        <w:t xml:space="preserve"> </w:t>
      </w:r>
      <w:r w:rsidR="00D31E52">
        <w:t>If the Company receives lump sums for multip</w:t>
      </w:r>
      <w:r w:rsidR="0023350B">
        <w:t xml:space="preserve">le projects, </w:t>
      </w:r>
      <w:r w:rsidR="00D31E52">
        <w:lastRenderedPageBreak/>
        <w:t xml:space="preserve">documentation that supports </w:t>
      </w:r>
      <w:r w:rsidR="002542FE">
        <w:t>all the projects that caused the claim against third party and insurance</w:t>
      </w:r>
      <w:r w:rsidR="0023350B">
        <w:t xml:space="preserve"> should be included in the report</w:t>
      </w:r>
      <w:r w:rsidR="002542FE">
        <w:t>.</w:t>
      </w:r>
    </w:p>
    <w:p w14:paraId="7ABF8EAE" w14:textId="63B568EC" w:rsidR="0001487C" w:rsidRDefault="0001487C" w:rsidP="00475228">
      <w:pPr>
        <w:pStyle w:val="ListParagraph"/>
        <w:numPr>
          <w:ilvl w:val="0"/>
          <w:numId w:val="28"/>
        </w:numPr>
        <w:spacing w:line="480" w:lineRule="auto"/>
        <w:ind w:left="1620" w:hanging="540"/>
      </w:pPr>
      <w:r>
        <w:t>For improved recordkeeping,</w:t>
      </w:r>
      <w:r w:rsidR="00C26F03">
        <w:t xml:space="preserve"> </w:t>
      </w:r>
      <w:r>
        <w:t xml:space="preserve">and consistent with </w:t>
      </w:r>
      <w:r w:rsidR="008B0556">
        <w:t xml:space="preserve">the </w:t>
      </w:r>
      <w:r>
        <w:t xml:space="preserve">most recent Commission order for deferral of ER projects in electric sites, PSE should record costs incurred in </w:t>
      </w:r>
      <w:r w:rsidR="005C267A">
        <w:t>remediation in the electric and gas sites</w:t>
      </w:r>
      <w:r>
        <w:t xml:space="preserve"> </w:t>
      </w:r>
      <w:r w:rsidRPr="002222F9">
        <w:t>that the Company wishes to preserve for Commission</w:t>
      </w:r>
      <w:r>
        <w:t>’s</w:t>
      </w:r>
      <w:r w:rsidRPr="002222F9">
        <w:t xml:space="preserve"> review and possible </w:t>
      </w:r>
      <w:r>
        <w:t xml:space="preserve">request for </w:t>
      </w:r>
      <w:r w:rsidRPr="002222F9">
        <w:t xml:space="preserve">recovery in the future </w:t>
      </w:r>
      <w:r>
        <w:t>in FERC account 186.</w:t>
      </w:r>
      <w:r w:rsidR="00475228">
        <w:t xml:space="preserve"> </w:t>
      </w:r>
      <w:r>
        <w:t xml:space="preserve"> Balances of projects that have been authorized for amortization and are currently being amortized should be transferred to FERC account 182.3.</w:t>
      </w:r>
    </w:p>
    <w:p w14:paraId="2CDDEDEB" w14:textId="4CFE0797" w:rsidR="008A0AB6" w:rsidRDefault="0001487C" w:rsidP="00475228">
      <w:pPr>
        <w:pStyle w:val="ListParagraph"/>
        <w:numPr>
          <w:ilvl w:val="0"/>
          <w:numId w:val="28"/>
        </w:numPr>
        <w:spacing w:line="480" w:lineRule="auto"/>
        <w:ind w:left="1620" w:hanging="540"/>
      </w:pPr>
      <w:r>
        <w:t>All projects that are being amortized should be included in the annual report to the Commission, along with Commission’s order that authorized deferral number, Commission’s order that authorized amortization, beginning balances</w:t>
      </w:r>
      <w:r w:rsidR="005C267A">
        <w:t xml:space="preserve"> when the amortization started</w:t>
      </w:r>
      <w:r>
        <w:t xml:space="preserve">, year end balances, and amortization start and end date. </w:t>
      </w:r>
      <w:r w:rsidRPr="0001308D">
        <w:t xml:space="preserve"> </w:t>
      </w:r>
    </w:p>
    <w:p w14:paraId="0A4167E0" w14:textId="77777777" w:rsidR="005C267A" w:rsidRDefault="005C267A" w:rsidP="005C267A">
      <w:pPr>
        <w:spacing w:line="480" w:lineRule="auto"/>
      </w:pPr>
    </w:p>
    <w:p w14:paraId="113FB7C0" w14:textId="7BF52561" w:rsidR="002878E9" w:rsidRDefault="00AB67A1" w:rsidP="001A0BA4">
      <w:pPr>
        <w:pStyle w:val="Heading1"/>
        <w:keepNext/>
        <w:ind w:left="720"/>
        <w:rPr>
          <w:caps/>
        </w:rPr>
      </w:pPr>
      <w:bookmarkStart w:id="24" w:name="_Toc486434761"/>
      <w:r>
        <w:rPr>
          <w:caps/>
        </w:rPr>
        <w:t xml:space="preserve">phase out of </w:t>
      </w:r>
      <w:r w:rsidR="0001308D">
        <w:rPr>
          <w:caps/>
        </w:rPr>
        <w:t xml:space="preserve">THE </w:t>
      </w:r>
      <w:r w:rsidR="00A23A54">
        <w:rPr>
          <w:caps/>
        </w:rPr>
        <w:t>RENTAl</w:t>
      </w:r>
      <w:r w:rsidR="0001308D">
        <w:rPr>
          <w:caps/>
        </w:rPr>
        <w:t xml:space="preserve"> PROGRAM</w:t>
      </w:r>
      <w:bookmarkEnd w:id="24"/>
    </w:p>
    <w:p w14:paraId="4511E331" w14:textId="77777777" w:rsidR="001A0BA4" w:rsidRPr="001A0BA4" w:rsidRDefault="001A0BA4" w:rsidP="001A0BA4">
      <w:pPr>
        <w:spacing w:line="480" w:lineRule="auto"/>
      </w:pPr>
    </w:p>
    <w:p w14:paraId="4AE4DC6C" w14:textId="2095ECF7" w:rsidR="001A0BA4" w:rsidRPr="00BC137E" w:rsidRDefault="001A0BA4" w:rsidP="00BC137E">
      <w:pPr>
        <w:pStyle w:val="Heading8"/>
      </w:pPr>
      <w:r w:rsidRPr="00BC137E">
        <w:t xml:space="preserve">Q. </w:t>
      </w:r>
      <w:r w:rsidRPr="00BC137E">
        <w:tab/>
      </w:r>
      <w:r w:rsidR="00BC137E" w:rsidRPr="00BC137E">
        <w:t xml:space="preserve">Please describe the Company’s </w:t>
      </w:r>
      <w:r w:rsidR="00AB67A1">
        <w:t>rental</w:t>
      </w:r>
      <w:r w:rsidR="002C2458">
        <w:t xml:space="preserve"> program.</w:t>
      </w:r>
    </w:p>
    <w:p w14:paraId="6B556C4A" w14:textId="7DD9F8CE" w:rsidR="007E6E40" w:rsidRDefault="001A0BA4" w:rsidP="007E6E40">
      <w:pPr>
        <w:tabs>
          <w:tab w:val="left" w:pos="-1440"/>
        </w:tabs>
        <w:spacing w:line="480" w:lineRule="auto"/>
        <w:ind w:left="720" w:hanging="720"/>
        <w:rPr>
          <w:rFonts w:eastAsia="Calibri"/>
        </w:rPr>
      </w:pPr>
      <w:r w:rsidRPr="00A34DCF">
        <w:rPr>
          <w:rFonts w:eastAsia="Calibri"/>
        </w:rPr>
        <w:t xml:space="preserve">A. </w:t>
      </w:r>
      <w:r w:rsidRPr="00A34DCF">
        <w:rPr>
          <w:rFonts w:eastAsia="Calibri"/>
        </w:rPr>
        <w:tab/>
      </w:r>
      <w:r w:rsidR="0049343A">
        <w:rPr>
          <w:rFonts w:eastAsia="Calibri"/>
        </w:rPr>
        <w:t xml:space="preserve">PSE’s rental program </w:t>
      </w:r>
      <w:r w:rsidR="0001308D">
        <w:rPr>
          <w:rFonts w:eastAsia="Calibri"/>
        </w:rPr>
        <w:t>consists</w:t>
      </w:r>
      <w:r w:rsidR="0049343A">
        <w:rPr>
          <w:rFonts w:eastAsia="Calibri"/>
        </w:rPr>
        <w:t xml:space="preserve"> of Schedule 71,</w:t>
      </w:r>
      <w:r w:rsidR="0001308D">
        <w:rPr>
          <w:rFonts w:eastAsia="Calibri"/>
        </w:rPr>
        <w:t xml:space="preserve"> </w:t>
      </w:r>
      <w:r w:rsidR="0049343A">
        <w:rPr>
          <w:rFonts w:eastAsia="Calibri"/>
        </w:rPr>
        <w:t>72, and 74</w:t>
      </w:r>
      <w:r w:rsidR="0001308D">
        <w:rPr>
          <w:rFonts w:eastAsia="Calibri"/>
        </w:rPr>
        <w:t>.</w:t>
      </w:r>
      <w:r w:rsidR="00475228">
        <w:rPr>
          <w:rFonts w:eastAsia="Calibri"/>
        </w:rPr>
        <w:t xml:space="preserve"> </w:t>
      </w:r>
      <w:r w:rsidR="0001308D">
        <w:rPr>
          <w:rFonts w:eastAsia="Calibri"/>
        </w:rPr>
        <w:t xml:space="preserve"> Schedule</w:t>
      </w:r>
      <w:r w:rsidR="00475228">
        <w:rPr>
          <w:rFonts w:eastAsia="Calibri"/>
        </w:rPr>
        <w:t>s</w:t>
      </w:r>
      <w:r w:rsidR="0001308D">
        <w:rPr>
          <w:rFonts w:eastAsia="Calibri"/>
        </w:rPr>
        <w:t xml:space="preserve"> 71 and 72 are</w:t>
      </w:r>
      <w:r w:rsidR="00C336C3">
        <w:rPr>
          <w:rFonts w:eastAsia="Calibri"/>
        </w:rPr>
        <w:t xml:space="preserve"> </w:t>
      </w:r>
      <w:r w:rsidR="0001308D">
        <w:rPr>
          <w:rFonts w:eastAsia="Calibri"/>
        </w:rPr>
        <w:t>the rental</w:t>
      </w:r>
      <w:r w:rsidR="007231CE">
        <w:rPr>
          <w:rFonts w:eastAsia="Calibri"/>
        </w:rPr>
        <w:t xml:space="preserve"> </w:t>
      </w:r>
      <w:r w:rsidR="0001308D">
        <w:rPr>
          <w:rFonts w:eastAsia="Calibri"/>
        </w:rPr>
        <w:t xml:space="preserve">water heater </w:t>
      </w:r>
      <w:r w:rsidR="007231CE">
        <w:rPr>
          <w:rFonts w:eastAsia="Calibri"/>
        </w:rPr>
        <w:t>program</w:t>
      </w:r>
      <w:r w:rsidR="005A0E6B">
        <w:rPr>
          <w:rFonts w:eastAsia="Calibri"/>
        </w:rPr>
        <w:t>,</w:t>
      </w:r>
      <w:r w:rsidR="007231CE">
        <w:rPr>
          <w:rFonts w:eastAsia="Calibri"/>
        </w:rPr>
        <w:t xml:space="preserve"> and Schedule 74 refers to the rental of gas conversion burners.</w:t>
      </w:r>
    </w:p>
    <w:p w14:paraId="2A1F62EA" w14:textId="77777777" w:rsidR="008B0556" w:rsidRDefault="008B0556" w:rsidP="00BC137E">
      <w:pPr>
        <w:pStyle w:val="Heading8"/>
      </w:pPr>
    </w:p>
    <w:p w14:paraId="032CED85" w14:textId="6D2AC774" w:rsidR="00C05994" w:rsidRDefault="00BC137E" w:rsidP="00BD3C93">
      <w:pPr>
        <w:pStyle w:val="Heading8"/>
        <w:keepNext/>
        <w:ind w:left="0" w:firstLine="0"/>
        <w:rPr>
          <w:rFonts w:eastAsia="Calibri"/>
          <w:b w:val="0"/>
        </w:rPr>
      </w:pPr>
      <w:r w:rsidRPr="00BC137E">
        <w:lastRenderedPageBreak/>
        <w:t xml:space="preserve">Q. </w:t>
      </w:r>
      <w:r w:rsidRPr="00BC137E">
        <w:tab/>
      </w:r>
      <w:r w:rsidR="00BB7A43" w:rsidRPr="00BB7A43">
        <w:t>Please summari</w:t>
      </w:r>
      <w:r w:rsidR="001E5ED2">
        <w:t xml:space="preserve">ze Staff’s recommendation </w:t>
      </w:r>
      <w:r w:rsidR="005A0E6B">
        <w:t>to</w:t>
      </w:r>
      <w:r w:rsidR="008861AD">
        <w:t xml:space="preserve"> </w:t>
      </w:r>
      <w:r w:rsidR="001E5ED2">
        <w:t xml:space="preserve">sunset the rental </w:t>
      </w:r>
      <w:r w:rsidR="00C05994">
        <w:t>program</w:t>
      </w:r>
      <w:r w:rsidR="00BD3C93">
        <w:rPr>
          <w:rFonts w:eastAsia="Calibri"/>
          <w:b w:val="0"/>
        </w:rPr>
        <w:t xml:space="preserve">. </w:t>
      </w:r>
    </w:p>
    <w:p w14:paraId="433B6117" w14:textId="4A74251D" w:rsidR="008B0556" w:rsidRDefault="00C05994" w:rsidP="00C05994">
      <w:pPr>
        <w:pStyle w:val="Heading8"/>
        <w:rPr>
          <w:rFonts w:eastAsia="Calibri"/>
          <w:b w:val="0"/>
        </w:rPr>
      </w:pPr>
      <w:r w:rsidRPr="00C05994">
        <w:rPr>
          <w:rFonts w:eastAsia="Calibri"/>
          <w:b w:val="0"/>
        </w:rPr>
        <w:t xml:space="preserve">A. </w:t>
      </w:r>
      <w:r w:rsidRPr="00C05994">
        <w:rPr>
          <w:rFonts w:eastAsia="Calibri"/>
          <w:b w:val="0"/>
        </w:rPr>
        <w:tab/>
      </w:r>
      <w:r w:rsidR="001B734E" w:rsidRPr="008B0556">
        <w:rPr>
          <w:rFonts w:eastAsia="Calibri"/>
          <w:b w:val="0"/>
        </w:rPr>
        <w:t>I recommend the Company</w:t>
      </w:r>
      <w:r w:rsidR="00F0309E" w:rsidRPr="008B0556">
        <w:rPr>
          <w:rFonts w:eastAsia="Calibri"/>
          <w:b w:val="0"/>
        </w:rPr>
        <w:t xml:space="preserve"> </w:t>
      </w:r>
      <w:r w:rsidR="001B734E" w:rsidRPr="008B0556">
        <w:rPr>
          <w:rFonts w:eastAsia="Calibri"/>
          <w:b w:val="0"/>
        </w:rPr>
        <w:t>phas</w:t>
      </w:r>
      <w:r w:rsidR="00DA52CF" w:rsidRPr="008B0556">
        <w:rPr>
          <w:rFonts w:eastAsia="Calibri"/>
          <w:b w:val="0"/>
        </w:rPr>
        <w:t>e</w:t>
      </w:r>
      <w:r w:rsidR="001B734E" w:rsidRPr="008B0556">
        <w:rPr>
          <w:rFonts w:eastAsia="Calibri"/>
          <w:b w:val="0"/>
        </w:rPr>
        <w:t xml:space="preserve"> out the rental program. </w:t>
      </w:r>
      <w:r w:rsidR="00475228">
        <w:rPr>
          <w:rFonts w:eastAsia="Calibri"/>
          <w:b w:val="0"/>
        </w:rPr>
        <w:t xml:space="preserve"> </w:t>
      </w:r>
      <w:r w:rsidR="00991BCA" w:rsidRPr="008B0556">
        <w:rPr>
          <w:rFonts w:eastAsia="Calibri"/>
          <w:b w:val="0"/>
        </w:rPr>
        <w:t>This involves a series of steps:</w:t>
      </w:r>
      <w:r w:rsidR="008C6BEE">
        <w:rPr>
          <w:rFonts w:eastAsia="Calibri"/>
          <w:b w:val="0"/>
        </w:rPr>
        <w:t xml:space="preserve"> </w:t>
      </w:r>
      <w:r w:rsidR="00475228">
        <w:rPr>
          <w:rFonts w:eastAsia="Calibri"/>
          <w:b w:val="0"/>
        </w:rPr>
        <w:t xml:space="preserve"> </w:t>
      </w:r>
      <w:r w:rsidR="00991BCA" w:rsidRPr="008B0556">
        <w:rPr>
          <w:rFonts w:eastAsia="Calibri"/>
          <w:b w:val="0"/>
        </w:rPr>
        <w:t>1) A</w:t>
      </w:r>
      <w:r w:rsidR="001B734E" w:rsidRPr="008B0556">
        <w:rPr>
          <w:rFonts w:eastAsia="Calibri"/>
          <w:b w:val="0"/>
        </w:rPr>
        <w:t xml:space="preserve">dd an end date </w:t>
      </w:r>
      <w:r w:rsidR="005A0E6B" w:rsidRPr="008B0556">
        <w:rPr>
          <w:rFonts w:eastAsia="Calibri"/>
          <w:b w:val="0"/>
        </w:rPr>
        <w:t>for</w:t>
      </w:r>
      <w:r w:rsidR="001B734E" w:rsidRPr="008B0556">
        <w:rPr>
          <w:rFonts w:eastAsia="Calibri"/>
          <w:b w:val="0"/>
        </w:rPr>
        <w:t xml:space="preserve"> all </w:t>
      </w:r>
      <w:r w:rsidR="005A0E6B" w:rsidRPr="008B0556">
        <w:rPr>
          <w:rFonts w:eastAsia="Calibri"/>
          <w:b w:val="0"/>
        </w:rPr>
        <w:t xml:space="preserve">Schedule 71, 72, and 74 </w:t>
      </w:r>
      <w:r w:rsidR="001B734E" w:rsidRPr="008B0556">
        <w:rPr>
          <w:rFonts w:eastAsia="Calibri"/>
          <w:b w:val="0"/>
        </w:rPr>
        <w:t>customers’ contracts</w:t>
      </w:r>
      <w:r w:rsidR="00585A22" w:rsidRPr="008B0556">
        <w:rPr>
          <w:rFonts w:eastAsia="Calibri"/>
          <w:b w:val="0"/>
        </w:rPr>
        <w:t>;</w:t>
      </w:r>
      <w:r w:rsidR="00372393" w:rsidRPr="008B0556">
        <w:rPr>
          <w:b w:val="0"/>
        </w:rPr>
        <w:t xml:space="preserve"> </w:t>
      </w:r>
      <w:r w:rsidR="00372393" w:rsidRPr="008B0556">
        <w:rPr>
          <w:rFonts w:eastAsia="Calibri"/>
          <w:b w:val="0"/>
        </w:rPr>
        <w:t xml:space="preserve">the end date of the contracts should </w:t>
      </w:r>
      <w:r>
        <w:rPr>
          <w:rFonts w:eastAsia="Calibri"/>
          <w:b w:val="0"/>
        </w:rPr>
        <w:t>coincide with the</w:t>
      </w:r>
      <w:r w:rsidR="00372393" w:rsidRPr="008B0556">
        <w:rPr>
          <w:rFonts w:eastAsia="Calibri"/>
          <w:b w:val="0"/>
        </w:rPr>
        <w:t xml:space="preserve"> depreciation schedule of the underlying plant as of September 30, 2016</w:t>
      </w:r>
      <w:r w:rsidR="00475228">
        <w:rPr>
          <w:rFonts w:eastAsia="Calibri"/>
          <w:b w:val="0"/>
        </w:rPr>
        <w:t xml:space="preserve">; </w:t>
      </w:r>
      <w:r w:rsidR="00585A22" w:rsidRPr="008B0556">
        <w:rPr>
          <w:rFonts w:eastAsia="Calibri"/>
          <w:b w:val="0"/>
        </w:rPr>
        <w:t xml:space="preserve">2) </w:t>
      </w:r>
      <w:r w:rsidR="001B734E" w:rsidRPr="008B0556">
        <w:rPr>
          <w:rFonts w:eastAsia="Calibri"/>
          <w:b w:val="0"/>
        </w:rPr>
        <w:t>For water heater</w:t>
      </w:r>
      <w:r w:rsidR="003F1810" w:rsidRPr="008B0556">
        <w:rPr>
          <w:rFonts w:eastAsia="Calibri"/>
          <w:b w:val="0"/>
        </w:rPr>
        <w:t xml:space="preserve"> or gas conversion burner</w:t>
      </w:r>
      <w:r w:rsidR="001B734E" w:rsidRPr="008B0556">
        <w:rPr>
          <w:rFonts w:eastAsia="Calibri"/>
          <w:b w:val="0"/>
        </w:rPr>
        <w:t xml:space="preserve"> customers </w:t>
      </w:r>
      <w:r w:rsidR="005A0E6B" w:rsidRPr="008B0556">
        <w:rPr>
          <w:rFonts w:eastAsia="Calibri"/>
          <w:b w:val="0"/>
        </w:rPr>
        <w:t xml:space="preserve">whose leased </w:t>
      </w:r>
      <w:r w:rsidR="001B734E" w:rsidRPr="008B0556">
        <w:rPr>
          <w:rFonts w:eastAsia="Calibri"/>
          <w:b w:val="0"/>
        </w:rPr>
        <w:t>plant value has been fully accrued</w:t>
      </w:r>
      <w:r w:rsidR="005A0E6B" w:rsidRPr="008B0556">
        <w:rPr>
          <w:rFonts w:eastAsia="Calibri"/>
          <w:b w:val="0"/>
        </w:rPr>
        <w:t>,</w:t>
      </w:r>
      <w:r w:rsidR="001B734E" w:rsidRPr="008B0556">
        <w:rPr>
          <w:rFonts w:eastAsia="Calibri"/>
          <w:b w:val="0"/>
        </w:rPr>
        <w:t xml:space="preserve"> i.e.</w:t>
      </w:r>
      <w:r w:rsidR="00475228">
        <w:rPr>
          <w:rFonts w:eastAsia="Calibri"/>
          <w:b w:val="0"/>
        </w:rPr>
        <w:t>,</w:t>
      </w:r>
      <w:r w:rsidR="001B734E" w:rsidRPr="008B0556">
        <w:rPr>
          <w:rFonts w:eastAsia="Calibri"/>
          <w:b w:val="0"/>
        </w:rPr>
        <w:t xml:space="preserve"> book value is equal to zero</w:t>
      </w:r>
      <w:r w:rsidR="005A0E6B" w:rsidRPr="008B0556">
        <w:rPr>
          <w:rFonts w:eastAsia="Calibri"/>
          <w:b w:val="0"/>
        </w:rPr>
        <w:t>,</w:t>
      </w:r>
      <w:r w:rsidR="001B734E" w:rsidRPr="008B0556">
        <w:rPr>
          <w:rFonts w:eastAsia="Calibri"/>
          <w:b w:val="0"/>
        </w:rPr>
        <w:t xml:space="preserve"> as of September 30</w:t>
      </w:r>
      <w:r w:rsidR="005A0E6B" w:rsidRPr="008B0556">
        <w:rPr>
          <w:rFonts w:eastAsia="Calibri"/>
          <w:b w:val="0"/>
        </w:rPr>
        <w:t>,</w:t>
      </w:r>
      <w:r w:rsidR="001B734E" w:rsidRPr="008B0556">
        <w:rPr>
          <w:rFonts w:eastAsia="Calibri"/>
          <w:b w:val="0"/>
        </w:rPr>
        <w:t xml:space="preserve"> 2016</w:t>
      </w:r>
      <w:r w:rsidR="00C03A68" w:rsidRPr="008B0556">
        <w:rPr>
          <w:rFonts w:eastAsia="Calibri"/>
          <w:b w:val="0"/>
        </w:rPr>
        <w:t>,</w:t>
      </w:r>
      <w:r w:rsidR="001B734E" w:rsidRPr="008B0556">
        <w:rPr>
          <w:rFonts w:eastAsia="Calibri"/>
          <w:b w:val="0"/>
        </w:rPr>
        <w:t xml:space="preserve"> transfer</w:t>
      </w:r>
      <w:r w:rsidR="00585A22" w:rsidRPr="008B0556">
        <w:rPr>
          <w:rFonts w:eastAsia="Calibri"/>
          <w:b w:val="0"/>
        </w:rPr>
        <w:t xml:space="preserve"> the </w:t>
      </w:r>
      <w:r w:rsidR="00FE2399" w:rsidRPr="008B0556">
        <w:rPr>
          <w:rFonts w:eastAsia="Calibri"/>
          <w:b w:val="0"/>
        </w:rPr>
        <w:t>property</w:t>
      </w:r>
      <w:r w:rsidR="00585A22" w:rsidRPr="008B0556">
        <w:rPr>
          <w:rFonts w:eastAsia="Calibri"/>
          <w:b w:val="0"/>
        </w:rPr>
        <w:t xml:space="preserve"> to the customer </w:t>
      </w:r>
      <w:r w:rsidR="003F1810" w:rsidRPr="008B0556">
        <w:rPr>
          <w:rFonts w:eastAsia="Calibri"/>
          <w:b w:val="0"/>
        </w:rPr>
        <w:t>and en</w:t>
      </w:r>
      <w:r w:rsidR="0013075B" w:rsidRPr="008B0556">
        <w:rPr>
          <w:rFonts w:eastAsia="Calibri"/>
          <w:b w:val="0"/>
        </w:rPr>
        <w:t>d</w:t>
      </w:r>
      <w:r w:rsidR="00EF62FF" w:rsidRPr="008B0556">
        <w:rPr>
          <w:rFonts w:eastAsia="Calibri"/>
          <w:b w:val="0"/>
        </w:rPr>
        <w:t xml:space="preserve"> </w:t>
      </w:r>
      <w:r w:rsidR="003F1810" w:rsidRPr="008B0556">
        <w:rPr>
          <w:rFonts w:eastAsia="Calibri"/>
          <w:b w:val="0"/>
        </w:rPr>
        <w:t>the contract</w:t>
      </w:r>
      <w:r w:rsidR="00585A22" w:rsidRPr="008B0556">
        <w:rPr>
          <w:rFonts w:eastAsia="Calibri"/>
          <w:b w:val="0"/>
        </w:rPr>
        <w:t>;</w:t>
      </w:r>
      <w:r>
        <w:rPr>
          <w:rFonts w:eastAsia="Calibri"/>
          <w:b w:val="0"/>
        </w:rPr>
        <w:t xml:space="preserve"> </w:t>
      </w:r>
      <w:r w:rsidR="00585A22" w:rsidRPr="008B0556">
        <w:rPr>
          <w:rFonts w:eastAsia="Calibri"/>
          <w:b w:val="0"/>
        </w:rPr>
        <w:t xml:space="preserve">3) </w:t>
      </w:r>
      <w:r w:rsidR="005A0E6B" w:rsidRPr="008B0556">
        <w:rPr>
          <w:rFonts w:eastAsia="Calibri"/>
          <w:b w:val="0"/>
        </w:rPr>
        <w:t>For those customers whose leased plant value is greater than zero</w:t>
      </w:r>
      <w:r w:rsidR="009E4773" w:rsidRPr="008B0556">
        <w:rPr>
          <w:rFonts w:eastAsia="Calibri"/>
          <w:b w:val="0"/>
        </w:rPr>
        <w:t xml:space="preserve"> inform the customer of the expiration date of the contract</w:t>
      </w:r>
      <w:r w:rsidR="005A0E6B" w:rsidRPr="008B0556">
        <w:rPr>
          <w:rFonts w:eastAsia="Calibri"/>
          <w:b w:val="0"/>
        </w:rPr>
        <w:t xml:space="preserve"> and transfer </w:t>
      </w:r>
      <w:r w:rsidR="002C2458" w:rsidRPr="008B0556">
        <w:rPr>
          <w:rFonts w:eastAsia="Calibri"/>
          <w:b w:val="0"/>
        </w:rPr>
        <w:t xml:space="preserve">the </w:t>
      </w:r>
      <w:r w:rsidR="005A0E6B" w:rsidRPr="008B0556">
        <w:rPr>
          <w:rFonts w:eastAsia="Calibri"/>
          <w:b w:val="0"/>
        </w:rPr>
        <w:t xml:space="preserve">property once </w:t>
      </w:r>
      <w:r w:rsidR="00FE2399" w:rsidRPr="008B0556">
        <w:rPr>
          <w:rFonts w:eastAsia="Calibri"/>
          <w:b w:val="0"/>
        </w:rPr>
        <w:t>the plant is fully depreciated</w:t>
      </w:r>
      <w:r>
        <w:rPr>
          <w:rFonts w:eastAsia="Calibri"/>
          <w:b w:val="0"/>
        </w:rPr>
        <w:t xml:space="preserve">; </w:t>
      </w:r>
      <w:r w:rsidR="008C6BEE">
        <w:rPr>
          <w:rFonts w:eastAsia="Calibri"/>
          <w:b w:val="0"/>
        </w:rPr>
        <w:t xml:space="preserve">and </w:t>
      </w:r>
      <w:r w:rsidR="00F15F25" w:rsidRPr="008B0556">
        <w:rPr>
          <w:rFonts w:eastAsia="Calibri"/>
          <w:b w:val="0"/>
        </w:rPr>
        <w:t>4) In the case of an appliance that is damaged beyond repair, PSE should replace the appliance at no charge to the customer and automatically end the contract.</w:t>
      </w:r>
    </w:p>
    <w:p w14:paraId="1D9D5E39" w14:textId="7192E244" w:rsidR="00C05994" w:rsidRPr="00C05994" w:rsidRDefault="00C05994" w:rsidP="00C05994">
      <w:pPr>
        <w:tabs>
          <w:tab w:val="left" w:pos="2030"/>
        </w:tabs>
        <w:spacing w:line="480" w:lineRule="auto"/>
      </w:pPr>
    </w:p>
    <w:p w14:paraId="320445A0" w14:textId="75C39AE4" w:rsidR="00993B04" w:rsidRPr="008B0556" w:rsidRDefault="00993B04" w:rsidP="00C05994">
      <w:pPr>
        <w:pStyle w:val="Heading8"/>
        <w:rPr>
          <w:rFonts w:eastAsia="Calibri"/>
        </w:rPr>
      </w:pPr>
      <w:r w:rsidRPr="008B0556">
        <w:rPr>
          <w:rFonts w:eastAsia="Calibri"/>
        </w:rPr>
        <w:t xml:space="preserve">Q. </w:t>
      </w:r>
      <w:r w:rsidRPr="008B0556">
        <w:rPr>
          <w:rFonts w:eastAsia="Calibri"/>
        </w:rPr>
        <w:tab/>
      </w:r>
      <w:r w:rsidR="00177C6E" w:rsidRPr="008B0556">
        <w:rPr>
          <w:rFonts w:eastAsia="Calibri"/>
        </w:rPr>
        <w:t xml:space="preserve">Has the Commission ordered PSE </w:t>
      </w:r>
      <w:r w:rsidR="008B0556">
        <w:rPr>
          <w:rFonts w:eastAsia="Calibri"/>
        </w:rPr>
        <w:t xml:space="preserve">to </w:t>
      </w:r>
      <w:r w:rsidRPr="008B0556">
        <w:rPr>
          <w:rFonts w:eastAsia="Calibri"/>
        </w:rPr>
        <w:t xml:space="preserve">offer </w:t>
      </w:r>
      <w:r w:rsidR="00177C6E" w:rsidRPr="008B0556">
        <w:rPr>
          <w:rFonts w:eastAsia="Calibri"/>
        </w:rPr>
        <w:t>the rented water heaters to customers for purchase?</w:t>
      </w:r>
    </w:p>
    <w:p w14:paraId="05BE1580" w14:textId="6134FDA3" w:rsidR="00993B04" w:rsidRDefault="00993B04" w:rsidP="007E6E40">
      <w:pPr>
        <w:pStyle w:val="NoSpacing"/>
        <w:keepNext/>
        <w:rPr>
          <w:rFonts w:eastAsia="Calibri"/>
        </w:rPr>
      </w:pPr>
      <w:r w:rsidRPr="00993B04">
        <w:rPr>
          <w:rFonts w:eastAsia="Calibri"/>
        </w:rPr>
        <w:t xml:space="preserve">A. </w:t>
      </w:r>
      <w:r w:rsidRPr="00993B04">
        <w:rPr>
          <w:rFonts w:eastAsia="Calibri"/>
        </w:rPr>
        <w:tab/>
      </w:r>
      <w:r w:rsidR="00177C6E">
        <w:rPr>
          <w:rFonts w:eastAsia="Calibri"/>
        </w:rPr>
        <w:t xml:space="preserve">Yes. </w:t>
      </w:r>
      <w:r w:rsidR="00475228">
        <w:rPr>
          <w:rFonts w:eastAsia="Calibri"/>
        </w:rPr>
        <w:t xml:space="preserve"> </w:t>
      </w:r>
      <w:r w:rsidR="00177C6E">
        <w:rPr>
          <w:rFonts w:eastAsia="Calibri"/>
        </w:rPr>
        <w:t>In 1993</w:t>
      </w:r>
      <w:r w:rsidR="00475228">
        <w:rPr>
          <w:rFonts w:eastAsia="Calibri"/>
        </w:rPr>
        <w:t>,</w:t>
      </w:r>
      <w:r w:rsidR="00177C6E">
        <w:rPr>
          <w:rFonts w:eastAsia="Calibri"/>
        </w:rPr>
        <w:t xml:space="preserve"> the Commission ordered PSE’s predecessor WNG </w:t>
      </w:r>
      <w:r w:rsidR="008B0556">
        <w:rPr>
          <w:rFonts w:eastAsia="Calibri"/>
        </w:rPr>
        <w:t xml:space="preserve">to </w:t>
      </w:r>
      <w:r w:rsidR="00177C6E">
        <w:rPr>
          <w:rFonts w:eastAsia="Calibri"/>
        </w:rPr>
        <w:t>offer customers</w:t>
      </w:r>
      <w:r w:rsidR="000F2A90">
        <w:rPr>
          <w:rFonts w:eastAsia="Calibri"/>
        </w:rPr>
        <w:t xml:space="preserve"> the </w:t>
      </w:r>
      <w:r w:rsidR="008B0556">
        <w:rPr>
          <w:rFonts w:eastAsia="Calibri"/>
        </w:rPr>
        <w:t xml:space="preserve">leased </w:t>
      </w:r>
      <w:r w:rsidR="000F2A90">
        <w:rPr>
          <w:rFonts w:eastAsia="Calibri"/>
        </w:rPr>
        <w:t>water heaters for purchase:</w:t>
      </w:r>
    </w:p>
    <w:p w14:paraId="27CA735E" w14:textId="75FD9EC1" w:rsidR="007E6E40" w:rsidRDefault="000F2A90" w:rsidP="000F2A90">
      <w:pPr>
        <w:pStyle w:val="NoSpacing"/>
        <w:keepNext/>
        <w:spacing w:line="240" w:lineRule="auto"/>
        <w:ind w:left="1440" w:firstLine="0"/>
        <w:rPr>
          <w:rFonts w:eastAsia="Calibri"/>
        </w:rPr>
      </w:pPr>
      <w:r>
        <w:rPr>
          <w:rFonts w:eastAsia="Calibri"/>
        </w:rPr>
        <w:t>“The Company should offer the leased water heaters for customer purchase, in place, at depreciated book value”</w:t>
      </w:r>
      <w:r>
        <w:rPr>
          <w:rStyle w:val="FootnoteReference"/>
          <w:rFonts w:eastAsia="Calibri"/>
        </w:rPr>
        <w:footnoteReference w:id="40"/>
      </w:r>
    </w:p>
    <w:p w14:paraId="7909548D" w14:textId="77777777" w:rsidR="000F2A90" w:rsidRDefault="000F2A90" w:rsidP="000F2A90">
      <w:pPr>
        <w:pStyle w:val="NoSpacing"/>
        <w:keepNext/>
        <w:rPr>
          <w:rFonts w:eastAsia="Calibri"/>
        </w:rPr>
      </w:pPr>
    </w:p>
    <w:p w14:paraId="77EFB3CE" w14:textId="496946A3" w:rsidR="00465AFF" w:rsidRPr="00465AFF" w:rsidRDefault="000F2A90" w:rsidP="00465AFF">
      <w:pPr>
        <w:pStyle w:val="NoSpacing"/>
        <w:keepNext/>
        <w:rPr>
          <w:rFonts w:eastAsia="Calibri"/>
        </w:rPr>
      </w:pPr>
      <w:r>
        <w:rPr>
          <w:rFonts w:eastAsia="Calibri"/>
        </w:rPr>
        <w:tab/>
        <w:t xml:space="preserve">Staff’s proposal of transferring water heaters and gas conversion burners once the plant </w:t>
      </w:r>
      <w:r w:rsidR="008C6BEE">
        <w:rPr>
          <w:rFonts w:eastAsia="Calibri"/>
        </w:rPr>
        <w:t>has zero</w:t>
      </w:r>
      <w:r>
        <w:rPr>
          <w:rFonts w:eastAsia="Calibri"/>
        </w:rPr>
        <w:t xml:space="preserve"> book value </w:t>
      </w:r>
      <w:r w:rsidR="002A6D13">
        <w:rPr>
          <w:rFonts w:eastAsia="Calibri"/>
        </w:rPr>
        <w:t xml:space="preserve">is a natural extension of the order. </w:t>
      </w:r>
      <w:r w:rsidR="00475228">
        <w:rPr>
          <w:rFonts w:eastAsia="Calibri"/>
        </w:rPr>
        <w:t xml:space="preserve"> </w:t>
      </w:r>
      <w:r w:rsidR="00B02626">
        <w:rPr>
          <w:rFonts w:eastAsia="Calibri"/>
        </w:rPr>
        <w:t xml:space="preserve">Moreover, the </w:t>
      </w:r>
      <w:r w:rsidR="00B02626">
        <w:rPr>
          <w:rFonts w:eastAsia="Calibri"/>
        </w:rPr>
        <w:lastRenderedPageBreak/>
        <w:t>Commission also ordered the Company to design “an inexpensive and effective way of communicating this offer to the customers.”</w:t>
      </w:r>
      <w:r w:rsidR="00B02626">
        <w:rPr>
          <w:rStyle w:val="FootnoteReference"/>
          <w:rFonts w:eastAsia="Calibri"/>
        </w:rPr>
        <w:footnoteReference w:id="41"/>
      </w:r>
      <w:r w:rsidR="00B02626">
        <w:rPr>
          <w:rFonts w:eastAsia="Calibri"/>
        </w:rPr>
        <w:t xml:space="preserve"> </w:t>
      </w:r>
    </w:p>
    <w:p w14:paraId="203F4E24" w14:textId="0E210A66" w:rsidR="00B02626" w:rsidRPr="000F2A90" w:rsidRDefault="00B02626" w:rsidP="000B400B">
      <w:pPr>
        <w:pStyle w:val="NoSpacing"/>
        <w:keepNext/>
        <w:rPr>
          <w:rFonts w:eastAsia="Calibri"/>
        </w:rPr>
      </w:pPr>
    </w:p>
    <w:p w14:paraId="26ADFC7F" w14:textId="6D04ED42" w:rsidR="002C2458" w:rsidRPr="00BC137E" w:rsidRDefault="002C2458" w:rsidP="002C2458">
      <w:pPr>
        <w:pStyle w:val="Heading8"/>
      </w:pPr>
      <w:r w:rsidRPr="00BC137E">
        <w:t xml:space="preserve">Q. </w:t>
      </w:r>
      <w:r w:rsidRPr="00BC137E">
        <w:tab/>
      </w:r>
      <w:r>
        <w:t xml:space="preserve">Are you making </w:t>
      </w:r>
      <w:r w:rsidR="00B02626">
        <w:t>any</w:t>
      </w:r>
      <w:r>
        <w:t xml:space="preserve"> recommendations </w:t>
      </w:r>
      <w:r w:rsidR="00B02626">
        <w:t>to improve the</w:t>
      </w:r>
      <w:r w:rsidR="00465AFF">
        <w:t xml:space="preserve"> communication of the option to purchase to customers</w:t>
      </w:r>
      <w:r>
        <w:t>?</w:t>
      </w:r>
    </w:p>
    <w:p w14:paraId="5E50CC23" w14:textId="192FAA09" w:rsidR="00B02626" w:rsidRDefault="002C2458" w:rsidP="00465AFF">
      <w:pPr>
        <w:pStyle w:val="NoSpacing"/>
        <w:rPr>
          <w:rFonts w:eastAsia="Calibri"/>
        </w:rPr>
      </w:pPr>
      <w:r w:rsidRPr="00A34DCF">
        <w:rPr>
          <w:rFonts w:eastAsia="Calibri"/>
        </w:rPr>
        <w:t xml:space="preserve">A. </w:t>
      </w:r>
      <w:r w:rsidRPr="00A34DCF">
        <w:rPr>
          <w:rFonts w:eastAsia="Calibri"/>
        </w:rPr>
        <w:tab/>
      </w:r>
      <w:r>
        <w:rPr>
          <w:rFonts w:eastAsia="Calibri"/>
        </w:rPr>
        <w:t xml:space="preserve">Yes. </w:t>
      </w:r>
      <w:r w:rsidR="00475228">
        <w:rPr>
          <w:rFonts w:eastAsia="Calibri"/>
        </w:rPr>
        <w:t xml:space="preserve"> </w:t>
      </w:r>
      <w:r w:rsidR="00FE2399">
        <w:rPr>
          <w:rFonts w:eastAsia="Calibri"/>
        </w:rPr>
        <w:t>T</w:t>
      </w:r>
      <w:r>
        <w:rPr>
          <w:rFonts w:eastAsia="Calibri"/>
        </w:rPr>
        <w:t>he</w:t>
      </w:r>
      <w:r w:rsidRPr="004B2A2A">
        <w:rPr>
          <w:rFonts w:eastAsia="Calibri"/>
        </w:rPr>
        <w:t xml:space="preserve"> Company </w:t>
      </w:r>
      <w:r w:rsidR="00FE2399">
        <w:rPr>
          <w:rFonts w:eastAsia="Calibri"/>
        </w:rPr>
        <w:t xml:space="preserve">should </w:t>
      </w:r>
      <w:r w:rsidRPr="004B2A2A">
        <w:rPr>
          <w:rFonts w:eastAsia="Calibri"/>
        </w:rPr>
        <w:t xml:space="preserve">send </w:t>
      </w:r>
      <w:r>
        <w:rPr>
          <w:rFonts w:eastAsia="Calibri"/>
        </w:rPr>
        <w:t xml:space="preserve">monthly </w:t>
      </w:r>
      <w:r w:rsidRPr="004B2A2A">
        <w:rPr>
          <w:rFonts w:eastAsia="Calibri"/>
        </w:rPr>
        <w:t>notifications</w:t>
      </w:r>
      <w:r>
        <w:rPr>
          <w:rFonts w:eastAsia="Calibri"/>
        </w:rPr>
        <w:t xml:space="preserve"> to rental customers</w:t>
      </w:r>
      <w:r w:rsidRPr="004B2A2A">
        <w:rPr>
          <w:rFonts w:eastAsia="Calibri"/>
        </w:rPr>
        <w:t xml:space="preserve"> in th</w:t>
      </w:r>
      <w:r w:rsidR="00FE2399">
        <w:rPr>
          <w:rFonts w:eastAsia="Calibri"/>
        </w:rPr>
        <w:t xml:space="preserve">eir </w:t>
      </w:r>
      <w:r>
        <w:rPr>
          <w:rFonts w:eastAsia="Calibri"/>
        </w:rPr>
        <w:t>gas</w:t>
      </w:r>
      <w:r w:rsidRPr="004B2A2A">
        <w:rPr>
          <w:rFonts w:eastAsia="Calibri"/>
        </w:rPr>
        <w:t xml:space="preserve"> bills</w:t>
      </w:r>
      <w:r>
        <w:rPr>
          <w:rFonts w:eastAsia="Calibri"/>
        </w:rPr>
        <w:t xml:space="preserve"> with an</w:t>
      </w:r>
      <w:r w:rsidRPr="004B2A2A">
        <w:rPr>
          <w:rFonts w:eastAsia="Calibri"/>
        </w:rPr>
        <w:t xml:space="preserve"> offer </w:t>
      </w:r>
      <w:r>
        <w:rPr>
          <w:rFonts w:eastAsia="Calibri"/>
        </w:rPr>
        <w:t xml:space="preserve">to </w:t>
      </w:r>
      <w:r w:rsidR="009503EE">
        <w:rPr>
          <w:rFonts w:eastAsia="Calibri"/>
        </w:rPr>
        <w:t>transfer</w:t>
      </w:r>
      <w:r>
        <w:rPr>
          <w:rFonts w:eastAsia="Calibri"/>
        </w:rPr>
        <w:t xml:space="preserve"> </w:t>
      </w:r>
      <w:r w:rsidRPr="004B2A2A">
        <w:rPr>
          <w:rFonts w:eastAsia="Calibri"/>
        </w:rPr>
        <w:t xml:space="preserve">the </w:t>
      </w:r>
      <w:r w:rsidR="009503EE">
        <w:rPr>
          <w:rFonts w:eastAsia="Calibri"/>
        </w:rPr>
        <w:t>rente</w:t>
      </w:r>
      <w:r w:rsidRPr="004B2A2A">
        <w:rPr>
          <w:rFonts w:eastAsia="Calibri"/>
        </w:rPr>
        <w:t>d water heater</w:t>
      </w:r>
      <w:r w:rsidR="00EF62FF">
        <w:rPr>
          <w:rFonts w:eastAsia="Calibri"/>
        </w:rPr>
        <w:t xml:space="preserve"> or gas conversion burner</w:t>
      </w:r>
      <w:r w:rsidRPr="004B2A2A">
        <w:rPr>
          <w:rFonts w:eastAsia="Calibri"/>
        </w:rPr>
        <w:t xml:space="preserve"> at </w:t>
      </w:r>
      <w:r>
        <w:rPr>
          <w:rFonts w:eastAsia="Calibri"/>
        </w:rPr>
        <w:t>remaining net</w:t>
      </w:r>
      <w:r w:rsidR="00B02626">
        <w:rPr>
          <w:rFonts w:eastAsia="Calibri"/>
        </w:rPr>
        <w:t xml:space="preserve"> book value.</w:t>
      </w:r>
      <w:r w:rsidR="00475228">
        <w:rPr>
          <w:rFonts w:eastAsia="Calibri"/>
        </w:rPr>
        <w:t xml:space="preserve"> </w:t>
      </w:r>
      <w:r w:rsidR="00465AFF">
        <w:rPr>
          <w:rFonts w:eastAsia="Calibri"/>
        </w:rPr>
        <w:t xml:space="preserve"> </w:t>
      </w:r>
      <w:r w:rsidR="00747C88">
        <w:rPr>
          <w:rFonts w:eastAsia="Calibri"/>
        </w:rPr>
        <w:t xml:space="preserve">The </w:t>
      </w:r>
      <w:r w:rsidR="00465AFF">
        <w:rPr>
          <w:rFonts w:eastAsia="Calibri"/>
        </w:rPr>
        <w:t>option</w:t>
      </w:r>
      <w:r w:rsidR="00747C88">
        <w:rPr>
          <w:rFonts w:eastAsia="Calibri"/>
        </w:rPr>
        <w:t xml:space="preserve"> to purchase</w:t>
      </w:r>
      <w:r w:rsidR="00465AFF">
        <w:rPr>
          <w:rFonts w:eastAsia="Calibri"/>
        </w:rPr>
        <w:t xml:space="preserve"> is not published in</w:t>
      </w:r>
      <w:r w:rsidR="00465AFF" w:rsidRPr="00465AFF">
        <w:t xml:space="preserve"> </w:t>
      </w:r>
      <w:r w:rsidR="00465AFF" w:rsidRPr="00465AFF">
        <w:rPr>
          <w:rFonts w:eastAsia="Calibri"/>
        </w:rPr>
        <w:t xml:space="preserve">PSE online resources </w:t>
      </w:r>
      <w:r w:rsidR="00465AFF">
        <w:rPr>
          <w:rFonts w:eastAsia="Calibri"/>
        </w:rPr>
        <w:t>or schedules.</w:t>
      </w:r>
      <w:r w:rsidR="00465AFF">
        <w:rPr>
          <w:rStyle w:val="FootnoteReference"/>
          <w:rFonts w:eastAsia="Calibri"/>
        </w:rPr>
        <w:footnoteReference w:id="42"/>
      </w:r>
      <w:r w:rsidR="00475228">
        <w:rPr>
          <w:rFonts w:eastAsia="Calibri"/>
        </w:rPr>
        <w:t xml:space="preserve"> </w:t>
      </w:r>
      <w:r w:rsidR="00465AFF">
        <w:rPr>
          <w:rFonts w:eastAsia="Calibri"/>
        </w:rPr>
        <w:t xml:space="preserve"> It appears to be that the customer </w:t>
      </w:r>
      <w:r w:rsidR="00873F36">
        <w:rPr>
          <w:rFonts w:eastAsia="Calibri"/>
        </w:rPr>
        <w:t xml:space="preserve">currently </w:t>
      </w:r>
      <w:r w:rsidR="00465AFF">
        <w:rPr>
          <w:rFonts w:eastAsia="Calibri"/>
        </w:rPr>
        <w:t>has to contact</w:t>
      </w:r>
      <w:r w:rsidR="00F15F25">
        <w:rPr>
          <w:rFonts w:eastAsia="Calibri"/>
        </w:rPr>
        <w:t xml:space="preserve"> </w:t>
      </w:r>
      <w:r w:rsidR="00F15F25" w:rsidRPr="00465AFF">
        <w:rPr>
          <w:rFonts w:eastAsia="Calibri"/>
        </w:rPr>
        <w:t>PSE Lease Services Call Center</w:t>
      </w:r>
      <w:r w:rsidR="00873F36">
        <w:rPr>
          <w:rFonts w:eastAsia="Calibri"/>
        </w:rPr>
        <w:t xml:space="preserve"> and then</w:t>
      </w:r>
      <w:r w:rsidR="00F15F25">
        <w:rPr>
          <w:rFonts w:eastAsia="Calibri"/>
        </w:rPr>
        <w:t xml:space="preserve"> go through</w:t>
      </w:r>
      <w:r w:rsidR="00465AFF" w:rsidRPr="00465AFF">
        <w:rPr>
          <w:rFonts w:eastAsia="Calibri"/>
        </w:rPr>
        <w:t xml:space="preserve"> an authentication process </w:t>
      </w:r>
      <w:r w:rsidR="00CF66FC">
        <w:rPr>
          <w:rFonts w:eastAsia="Calibri"/>
        </w:rPr>
        <w:t xml:space="preserve">before knowing that </w:t>
      </w:r>
      <w:r w:rsidR="00873F36">
        <w:rPr>
          <w:rFonts w:eastAsia="Calibri"/>
        </w:rPr>
        <w:t>there is</w:t>
      </w:r>
      <w:r w:rsidR="00CF66FC">
        <w:rPr>
          <w:rFonts w:eastAsia="Calibri"/>
        </w:rPr>
        <w:t xml:space="preserve"> an option to purchase the rented appliance.</w:t>
      </w:r>
      <w:r w:rsidR="00CF66FC">
        <w:rPr>
          <w:rStyle w:val="FootnoteReference"/>
          <w:rFonts w:eastAsia="Calibri"/>
        </w:rPr>
        <w:footnoteReference w:id="43"/>
      </w:r>
      <w:r w:rsidR="00465AFF" w:rsidRPr="00465AFF">
        <w:rPr>
          <w:rFonts w:eastAsia="Calibri"/>
        </w:rPr>
        <w:t xml:space="preserve"> </w:t>
      </w:r>
    </w:p>
    <w:p w14:paraId="0F1F4738" w14:textId="77777777" w:rsidR="00EF62FF" w:rsidRDefault="00EF62FF" w:rsidP="00EF62FF">
      <w:pPr>
        <w:pStyle w:val="NoSpacing"/>
      </w:pPr>
    </w:p>
    <w:p w14:paraId="5B066D70" w14:textId="4A9FF85F" w:rsidR="001F775A" w:rsidRPr="00BC137E" w:rsidRDefault="001F775A" w:rsidP="001F775A">
      <w:pPr>
        <w:pStyle w:val="Heading8"/>
      </w:pPr>
      <w:r w:rsidRPr="00BC137E">
        <w:t xml:space="preserve">Q. </w:t>
      </w:r>
      <w:r w:rsidRPr="00BC137E">
        <w:tab/>
      </w:r>
      <w:r w:rsidRPr="00F91EE3">
        <w:t>Please explain fundamental reasoning behind Staff’s recommendation</w:t>
      </w:r>
      <w:r w:rsidR="00873F36">
        <w:t>s</w:t>
      </w:r>
      <w:r w:rsidRPr="00F91EE3">
        <w:t>.</w:t>
      </w:r>
    </w:p>
    <w:p w14:paraId="5FA9680F" w14:textId="296E23E6" w:rsidR="00873F36" w:rsidRDefault="001F775A" w:rsidP="001F775A">
      <w:pPr>
        <w:pStyle w:val="NoSpacing"/>
        <w:keepNext/>
        <w:rPr>
          <w:rFonts w:eastAsia="Calibri"/>
        </w:rPr>
      </w:pPr>
      <w:r w:rsidRPr="00A34DCF">
        <w:rPr>
          <w:rFonts w:eastAsia="Calibri"/>
        </w:rPr>
        <w:t xml:space="preserve">A. </w:t>
      </w:r>
      <w:r w:rsidRPr="00A34DCF">
        <w:rPr>
          <w:rFonts w:eastAsia="Calibri"/>
        </w:rPr>
        <w:tab/>
      </w:r>
      <w:r>
        <w:rPr>
          <w:rFonts w:eastAsia="Calibri"/>
        </w:rPr>
        <w:t>After reviewing data requests and cost of service</w:t>
      </w:r>
      <w:r w:rsidR="007766E1">
        <w:rPr>
          <w:rFonts w:eastAsia="Calibri"/>
        </w:rPr>
        <w:t>,</w:t>
      </w:r>
      <w:r>
        <w:rPr>
          <w:rFonts w:eastAsia="Calibri"/>
        </w:rPr>
        <w:t xml:space="preserve"> it </w:t>
      </w:r>
      <w:r w:rsidR="007766E1">
        <w:rPr>
          <w:rFonts w:eastAsia="Calibri"/>
        </w:rPr>
        <w:t xml:space="preserve">is </w:t>
      </w:r>
      <w:r>
        <w:rPr>
          <w:rFonts w:eastAsia="Calibri"/>
        </w:rPr>
        <w:t xml:space="preserve">clear that the program </w:t>
      </w:r>
      <w:r w:rsidR="007B6078">
        <w:rPr>
          <w:rFonts w:eastAsia="Calibri"/>
        </w:rPr>
        <w:t>has</w:t>
      </w:r>
      <w:r>
        <w:rPr>
          <w:rFonts w:eastAsia="Calibri"/>
        </w:rPr>
        <w:t xml:space="preserve"> rate design and overearning problems.  The depreciation figures of the plant associated with the water heater and gas conversion burners rental program show that 18,544 </w:t>
      </w:r>
      <w:r w:rsidR="00873F36">
        <w:rPr>
          <w:rFonts w:eastAsia="Calibri"/>
        </w:rPr>
        <w:t xml:space="preserve">customers </w:t>
      </w:r>
      <w:r>
        <w:rPr>
          <w:rFonts w:eastAsia="Calibri"/>
        </w:rPr>
        <w:t>ha</w:t>
      </w:r>
      <w:r w:rsidR="0013075B">
        <w:rPr>
          <w:rFonts w:eastAsia="Calibri"/>
        </w:rPr>
        <w:t>v</w:t>
      </w:r>
      <w:r w:rsidR="00D72EEF">
        <w:rPr>
          <w:rFonts w:eastAsia="Calibri"/>
        </w:rPr>
        <w:t>e</w:t>
      </w:r>
      <w:r>
        <w:rPr>
          <w:rFonts w:eastAsia="Calibri"/>
        </w:rPr>
        <w:t xml:space="preserve"> appliances</w:t>
      </w:r>
      <w:r w:rsidR="00C35D4D">
        <w:rPr>
          <w:rFonts w:eastAsia="Calibri"/>
        </w:rPr>
        <w:t xml:space="preserve"> i</w:t>
      </w:r>
      <w:r>
        <w:rPr>
          <w:rFonts w:eastAsia="Calibri"/>
        </w:rPr>
        <w:t xml:space="preserve">n service that </w:t>
      </w:r>
      <w:r w:rsidR="0013075B">
        <w:rPr>
          <w:rFonts w:eastAsia="Calibri"/>
        </w:rPr>
        <w:t xml:space="preserve">are </w:t>
      </w:r>
      <w:r>
        <w:rPr>
          <w:rFonts w:eastAsia="Calibri"/>
        </w:rPr>
        <w:t>fully accrued</w:t>
      </w:r>
      <w:r w:rsidR="00E846B8">
        <w:rPr>
          <w:rFonts w:eastAsia="Calibri"/>
        </w:rPr>
        <w:t xml:space="preserve"> (i.e.</w:t>
      </w:r>
      <w:r w:rsidR="009F45B4">
        <w:rPr>
          <w:rFonts w:eastAsia="Calibri"/>
        </w:rPr>
        <w:t>,</w:t>
      </w:r>
      <w:r w:rsidR="00D908BE">
        <w:rPr>
          <w:rFonts w:eastAsia="Calibri"/>
        </w:rPr>
        <w:t xml:space="preserve"> fully</w:t>
      </w:r>
      <w:r w:rsidR="00E846B8">
        <w:rPr>
          <w:rFonts w:eastAsia="Calibri"/>
        </w:rPr>
        <w:t xml:space="preserve"> </w:t>
      </w:r>
      <w:r w:rsidR="00D908BE">
        <w:rPr>
          <w:rFonts w:eastAsia="Calibri"/>
        </w:rPr>
        <w:t>d</w:t>
      </w:r>
      <w:r w:rsidR="00E846B8">
        <w:rPr>
          <w:rFonts w:eastAsia="Calibri"/>
        </w:rPr>
        <w:t>epreciated)</w:t>
      </w:r>
      <w:r>
        <w:rPr>
          <w:rFonts w:eastAsia="Calibri"/>
        </w:rPr>
        <w:t>.</w:t>
      </w:r>
      <w:r w:rsidR="00B46F9C">
        <w:rPr>
          <w:rStyle w:val="FootnoteReference"/>
          <w:rFonts w:eastAsia="Calibri"/>
        </w:rPr>
        <w:footnoteReference w:id="44"/>
      </w:r>
      <w:r>
        <w:rPr>
          <w:rFonts w:eastAsia="Calibri"/>
        </w:rPr>
        <w:t xml:space="preserve"> </w:t>
      </w:r>
      <w:r w:rsidR="00C257DA" w:rsidRPr="00C257DA">
        <w:rPr>
          <w:rFonts w:eastAsia="Calibri"/>
        </w:rPr>
        <w:t xml:space="preserve">According to PSE all appliances from 2009 or </w:t>
      </w:r>
      <w:r w:rsidR="008C674D">
        <w:rPr>
          <w:rFonts w:eastAsia="Calibri"/>
        </w:rPr>
        <w:t xml:space="preserve">older have been fully accrued, </w:t>
      </w:r>
      <w:r w:rsidR="00C257DA" w:rsidRPr="00C257DA">
        <w:rPr>
          <w:rFonts w:eastAsia="Calibri"/>
        </w:rPr>
        <w:t>13,178 water heaters</w:t>
      </w:r>
      <w:r w:rsidR="00747C88">
        <w:rPr>
          <w:rFonts w:eastAsia="Calibri"/>
        </w:rPr>
        <w:t xml:space="preserve"> that are in service</w:t>
      </w:r>
      <w:r w:rsidR="00C257DA" w:rsidRPr="00C257DA">
        <w:rPr>
          <w:rFonts w:eastAsia="Calibri"/>
        </w:rPr>
        <w:t xml:space="preserve"> </w:t>
      </w:r>
      <w:r w:rsidR="008C674D">
        <w:rPr>
          <w:rFonts w:eastAsia="Calibri"/>
        </w:rPr>
        <w:t>fall in this category</w:t>
      </w:r>
      <w:r w:rsidR="00C257DA">
        <w:rPr>
          <w:rFonts w:eastAsia="Calibri"/>
        </w:rPr>
        <w:t>.</w:t>
      </w:r>
      <w:r w:rsidR="00C257DA">
        <w:rPr>
          <w:rStyle w:val="FootnoteReference"/>
          <w:rFonts w:eastAsia="Calibri"/>
        </w:rPr>
        <w:footnoteReference w:id="45"/>
      </w:r>
      <w:r w:rsidR="00C257DA">
        <w:rPr>
          <w:rFonts w:eastAsia="Calibri"/>
        </w:rPr>
        <w:t xml:space="preserve"> </w:t>
      </w:r>
      <w:r w:rsidR="00873F36">
        <w:rPr>
          <w:rFonts w:eastAsia="Calibri"/>
        </w:rPr>
        <w:t xml:space="preserve">PSE even acknowledges that </w:t>
      </w:r>
      <w:r w:rsidR="00873F36">
        <w:rPr>
          <w:rFonts w:eastAsia="Calibri"/>
        </w:rPr>
        <w:lastRenderedPageBreak/>
        <w:t>rental customers are “</w:t>
      </w:r>
      <w:r w:rsidR="00873F36" w:rsidRPr="00C03A68">
        <w:rPr>
          <w:rFonts w:eastAsia="Calibri"/>
        </w:rPr>
        <w:t>currently paying in excess of their cost of service under existing rates</w:t>
      </w:r>
      <w:r w:rsidR="00873F36">
        <w:rPr>
          <w:rFonts w:eastAsia="Calibri"/>
        </w:rPr>
        <w:t>.”</w:t>
      </w:r>
      <w:r w:rsidR="00873F36">
        <w:rPr>
          <w:rStyle w:val="FootnoteReference"/>
          <w:rFonts w:eastAsia="Calibri"/>
        </w:rPr>
        <w:footnoteReference w:id="46"/>
      </w:r>
      <w:r w:rsidR="00873F36">
        <w:rPr>
          <w:rFonts w:eastAsia="Calibri"/>
        </w:rPr>
        <w:t xml:space="preserve"> </w:t>
      </w:r>
      <w:r w:rsidR="00873F36" w:rsidRPr="00873F36">
        <w:rPr>
          <w:rFonts w:eastAsia="Calibri"/>
        </w:rPr>
        <w:t xml:space="preserve"> </w:t>
      </w:r>
      <w:r w:rsidR="00873F36">
        <w:rPr>
          <w:rFonts w:eastAsia="Calibri"/>
        </w:rPr>
        <w:t>Under the current rental program, the Company receives a</w:t>
      </w:r>
      <w:r w:rsidR="00873F36" w:rsidRPr="008237BF">
        <w:rPr>
          <w:rFonts w:eastAsia="Calibri"/>
        </w:rPr>
        <w:t xml:space="preserve"> perpetual ret</w:t>
      </w:r>
      <w:r w:rsidR="00873F36">
        <w:rPr>
          <w:rFonts w:eastAsia="Calibri"/>
        </w:rPr>
        <w:t>urn on fully depreciated rate base</w:t>
      </w:r>
      <w:r w:rsidR="00873F36" w:rsidRPr="008237BF">
        <w:rPr>
          <w:rFonts w:eastAsia="Calibri"/>
        </w:rPr>
        <w:t xml:space="preserve"> </w:t>
      </w:r>
      <w:r w:rsidR="00873F36">
        <w:rPr>
          <w:rFonts w:eastAsia="Calibri"/>
        </w:rPr>
        <w:t>and</w:t>
      </w:r>
      <w:r w:rsidR="00873F36" w:rsidRPr="008237BF">
        <w:rPr>
          <w:rFonts w:eastAsia="Calibri"/>
        </w:rPr>
        <w:t xml:space="preserve"> customers</w:t>
      </w:r>
      <w:r w:rsidR="00873F36">
        <w:rPr>
          <w:rFonts w:eastAsia="Calibri"/>
        </w:rPr>
        <w:t xml:space="preserve"> effectively pay for the asset indefinitely. </w:t>
      </w:r>
      <w:r w:rsidR="009F45B4">
        <w:rPr>
          <w:rFonts w:eastAsia="Calibri"/>
        </w:rPr>
        <w:t xml:space="preserve"> </w:t>
      </w:r>
      <w:r w:rsidR="00873F36">
        <w:rPr>
          <w:rFonts w:eastAsia="Calibri"/>
        </w:rPr>
        <w:t>Under these circumstances the customer is the only party in the transaction that is constantly harmed.</w:t>
      </w:r>
    </w:p>
    <w:p w14:paraId="22F9A819" w14:textId="77777777" w:rsidR="00873F36" w:rsidRDefault="00873F36" w:rsidP="001F775A">
      <w:pPr>
        <w:pStyle w:val="NoSpacing"/>
        <w:keepNext/>
        <w:rPr>
          <w:rFonts w:eastAsia="Calibri"/>
        </w:rPr>
      </w:pPr>
    </w:p>
    <w:p w14:paraId="3533FD38" w14:textId="461BE204" w:rsidR="00873F36" w:rsidRPr="00E846B8" w:rsidRDefault="00873F36" w:rsidP="00E846B8">
      <w:pPr>
        <w:pStyle w:val="Heading8"/>
      </w:pPr>
      <w:r w:rsidRPr="00E846B8">
        <w:t>Q.</w:t>
      </w:r>
      <w:r w:rsidRPr="00E846B8">
        <w:tab/>
        <w:t>Has the Commission ever acknowledged flaws with the Company’s rental program?</w:t>
      </w:r>
    </w:p>
    <w:p w14:paraId="6FCEB4CE" w14:textId="68634BEE" w:rsidR="002A6D13" w:rsidRDefault="00873F36" w:rsidP="00873F36">
      <w:pPr>
        <w:pStyle w:val="NoSpacing"/>
        <w:keepNext/>
        <w:rPr>
          <w:rFonts w:eastAsia="Calibri"/>
        </w:rPr>
      </w:pPr>
      <w:r>
        <w:rPr>
          <w:rFonts w:eastAsia="Calibri"/>
        </w:rPr>
        <w:t>A.</w:t>
      </w:r>
      <w:r>
        <w:rPr>
          <w:rFonts w:eastAsia="Calibri"/>
        </w:rPr>
        <w:tab/>
        <w:t>Yes.</w:t>
      </w:r>
      <w:r w:rsidR="009F45B4">
        <w:rPr>
          <w:rFonts w:eastAsia="Calibri"/>
        </w:rPr>
        <w:t xml:space="preserve"> </w:t>
      </w:r>
      <w:r>
        <w:rPr>
          <w:rFonts w:eastAsia="Calibri"/>
        </w:rPr>
        <w:t xml:space="preserve"> Twenty-four</w:t>
      </w:r>
      <w:r w:rsidR="002E35AD">
        <w:rPr>
          <w:rFonts w:eastAsia="Calibri"/>
        </w:rPr>
        <w:t xml:space="preserve"> years ago the Commission </w:t>
      </w:r>
      <w:r w:rsidR="001F775A" w:rsidRPr="00F0309E">
        <w:rPr>
          <w:rFonts w:eastAsia="Calibri"/>
        </w:rPr>
        <w:t xml:space="preserve">stated in </w:t>
      </w:r>
      <w:r w:rsidR="00D77EF6">
        <w:rPr>
          <w:rFonts w:eastAsia="Calibri"/>
        </w:rPr>
        <w:t>fourth order in Docket</w:t>
      </w:r>
      <w:r w:rsidR="001F775A" w:rsidRPr="00F0309E">
        <w:rPr>
          <w:rFonts w:eastAsia="Calibri"/>
        </w:rPr>
        <w:t xml:space="preserve"> UG-920840</w:t>
      </w:r>
      <w:r w:rsidR="00F50957">
        <w:rPr>
          <w:rFonts w:eastAsia="Calibri"/>
        </w:rPr>
        <w:t xml:space="preserve"> (September 27, 1993)</w:t>
      </w:r>
      <w:r w:rsidR="002E35AD">
        <w:rPr>
          <w:rFonts w:eastAsia="Calibri"/>
        </w:rPr>
        <w:t xml:space="preserve"> that</w:t>
      </w:r>
      <w:r w:rsidR="001F775A" w:rsidRPr="00F0309E">
        <w:rPr>
          <w:rFonts w:eastAsia="Calibri"/>
        </w:rPr>
        <w:t xml:space="preserve"> the program was </w:t>
      </w:r>
      <w:r w:rsidR="007B6078" w:rsidRPr="00F0309E">
        <w:rPr>
          <w:rFonts w:eastAsia="Calibri"/>
        </w:rPr>
        <w:t>flawed</w:t>
      </w:r>
      <w:r w:rsidR="002A6D13">
        <w:rPr>
          <w:rFonts w:eastAsia="Calibri"/>
        </w:rPr>
        <w:t xml:space="preserve">: </w:t>
      </w:r>
    </w:p>
    <w:p w14:paraId="1F6EA261" w14:textId="0DED0962" w:rsidR="002A6D13" w:rsidRDefault="007B6078" w:rsidP="002E35AD">
      <w:pPr>
        <w:pStyle w:val="NoSpacing"/>
        <w:keepNext/>
        <w:spacing w:line="240" w:lineRule="auto"/>
        <w:ind w:left="2160" w:firstLine="0"/>
        <w:rPr>
          <w:rFonts w:eastAsia="Calibri"/>
        </w:rPr>
      </w:pPr>
      <w:r>
        <w:rPr>
          <w:rFonts w:eastAsia="Calibri"/>
        </w:rPr>
        <w:t>“The Commission agrees that the leasing program has flaws, including the rental of less than ef</w:t>
      </w:r>
      <w:r w:rsidR="002E35AD">
        <w:rPr>
          <w:rFonts w:eastAsia="Calibri"/>
        </w:rPr>
        <w:t>ficient water heaters, and the failure of the program to earn an adequate return”</w:t>
      </w:r>
      <w:r w:rsidR="002E35AD">
        <w:rPr>
          <w:rStyle w:val="FootnoteReference"/>
          <w:rFonts w:eastAsia="Calibri"/>
        </w:rPr>
        <w:footnoteReference w:id="47"/>
      </w:r>
    </w:p>
    <w:p w14:paraId="5A92AB30" w14:textId="77777777" w:rsidR="002E35AD" w:rsidRDefault="002E35AD" w:rsidP="001F775A">
      <w:pPr>
        <w:pStyle w:val="NoSpacing"/>
        <w:keepNext/>
        <w:rPr>
          <w:rFonts w:eastAsia="Calibri"/>
        </w:rPr>
      </w:pPr>
    </w:p>
    <w:p w14:paraId="063EB612" w14:textId="35FE142E" w:rsidR="00CA4DDD" w:rsidRDefault="002E35AD" w:rsidP="0011169A">
      <w:pPr>
        <w:pStyle w:val="NoSpacing"/>
        <w:ind w:firstLine="0"/>
        <w:rPr>
          <w:rFonts w:eastAsia="Calibri"/>
        </w:rPr>
      </w:pPr>
      <w:r>
        <w:rPr>
          <w:rFonts w:eastAsia="Calibri"/>
        </w:rPr>
        <w:t>T</w:t>
      </w:r>
      <w:r w:rsidR="001F775A" w:rsidRPr="00F0309E">
        <w:rPr>
          <w:rFonts w:eastAsia="Calibri"/>
        </w:rPr>
        <w:t xml:space="preserve">he Commission </w:t>
      </w:r>
      <w:r w:rsidR="008237BF">
        <w:rPr>
          <w:rFonts w:eastAsia="Calibri"/>
        </w:rPr>
        <w:t>order</w:t>
      </w:r>
      <w:r w:rsidR="00254151">
        <w:rPr>
          <w:rFonts w:eastAsia="Calibri"/>
        </w:rPr>
        <w:t xml:space="preserve">ed </w:t>
      </w:r>
      <w:r w:rsidR="008237BF">
        <w:rPr>
          <w:rFonts w:eastAsia="Calibri"/>
        </w:rPr>
        <w:t xml:space="preserve">the </w:t>
      </w:r>
      <w:r w:rsidR="00254151">
        <w:rPr>
          <w:rFonts w:eastAsia="Calibri"/>
        </w:rPr>
        <w:t>Company to</w:t>
      </w:r>
      <w:r w:rsidR="00D72EEF">
        <w:rPr>
          <w:rFonts w:eastAsia="Calibri"/>
        </w:rPr>
        <w:t xml:space="preserve"> not add </w:t>
      </w:r>
      <w:r w:rsidR="008237BF">
        <w:rPr>
          <w:rFonts w:eastAsia="Calibri"/>
        </w:rPr>
        <w:t>new customers</w:t>
      </w:r>
      <w:r w:rsidR="00D72EEF">
        <w:rPr>
          <w:rFonts w:eastAsia="Calibri"/>
        </w:rPr>
        <w:t xml:space="preserve"> to</w:t>
      </w:r>
      <w:r w:rsidR="001F775A" w:rsidRPr="00F0309E">
        <w:rPr>
          <w:rFonts w:eastAsia="Calibri"/>
        </w:rPr>
        <w:t xml:space="preserve"> the program.</w:t>
      </w:r>
      <w:r w:rsidR="001F775A">
        <w:rPr>
          <w:rStyle w:val="FootnoteReference"/>
          <w:rFonts w:eastAsia="Calibri"/>
        </w:rPr>
        <w:footnoteReference w:id="48"/>
      </w:r>
      <w:r w:rsidR="001F775A" w:rsidRPr="00F0309E">
        <w:rPr>
          <w:rFonts w:eastAsia="Calibri"/>
        </w:rPr>
        <w:t xml:space="preserve"> </w:t>
      </w:r>
      <w:r w:rsidR="009F45B4">
        <w:rPr>
          <w:rFonts w:eastAsia="Calibri"/>
        </w:rPr>
        <w:t xml:space="preserve"> </w:t>
      </w:r>
      <w:r w:rsidR="001F775A" w:rsidRPr="00F0309E">
        <w:rPr>
          <w:rFonts w:eastAsia="Calibri"/>
        </w:rPr>
        <w:t>The program continues to have</w:t>
      </w:r>
      <w:r w:rsidR="00D72EEF">
        <w:rPr>
          <w:rFonts w:eastAsia="Calibri"/>
        </w:rPr>
        <w:t xml:space="preserve"> flaws, </w:t>
      </w:r>
      <w:r w:rsidR="00873F36">
        <w:rPr>
          <w:rFonts w:eastAsia="Calibri"/>
        </w:rPr>
        <w:t>but now it is an</w:t>
      </w:r>
      <w:r w:rsidR="006D4B93">
        <w:rPr>
          <w:rFonts w:eastAsia="Calibri"/>
        </w:rPr>
        <w:t xml:space="preserve"> overearning problem</w:t>
      </w:r>
      <w:r w:rsidR="00873F36">
        <w:rPr>
          <w:rFonts w:eastAsia="Calibri"/>
        </w:rPr>
        <w:t xml:space="preserve"> that hurts customers because revenues are divorced from the cost of service</w:t>
      </w:r>
      <w:r w:rsidR="00D72EEF">
        <w:rPr>
          <w:rFonts w:eastAsia="Calibri"/>
        </w:rPr>
        <w:t>.</w:t>
      </w:r>
      <w:r w:rsidR="001F775A">
        <w:rPr>
          <w:rFonts w:eastAsia="Calibri"/>
        </w:rPr>
        <w:t xml:space="preserve"> </w:t>
      </w:r>
      <w:r w:rsidR="009F45B4">
        <w:rPr>
          <w:rFonts w:eastAsia="Calibri"/>
        </w:rPr>
        <w:t xml:space="preserve"> </w:t>
      </w:r>
      <w:r w:rsidR="00873F36">
        <w:rPr>
          <w:rFonts w:eastAsia="Calibri"/>
        </w:rPr>
        <w:t>As a result, the rental programs rates will never be fair, just,</w:t>
      </w:r>
      <w:r w:rsidR="006D4B93">
        <w:rPr>
          <w:rFonts w:eastAsia="Calibri"/>
        </w:rPr>
        <w:t xml:space="preserve"> and reasonable and </w:t>
      </w:r>
      <w:r w:rsidR="00CA4DDD">
        <w:rPr>
          <w:rFonts w:eastAsia="Calibri"/>
        </w:rPr>
        <w:t>the Company w</w:t>
      </w:r>
      <w:r w:rsidR="006D4B93">
        <w:rPr>
          <w:rFonts w:eastAsia="Calibri"/>
        </w:rPr>
        <w:t>ill</w:t>
      </w:r>
      <w:r w:rsidR="00747C88">
        <w:rPr>
          <w:rFonts w:eastAsia="Calibri"/>
        </w:rPr>
        <w:t xml:space="preserve"> </w:t>
      </w:r>
      <w:r w:rsidR="00CA4DDD">
        <w:rPr>
          <w:rFonts w:eastAsia="Calibri"/>
        </w:rPr>
        <w:t>receive a</w:t>
      </w:r>
      <w:r w:rsidR="006D4B93">
        <w:rPr>
          <w:rFonts w:eastAsia="Calibri"/>
        </w:rPr>
        <w:t>n</w:t>
      </w:r>
      <w:r w:rsidR="008237BF" w:rsidRPr="008237BF">
        <w:rPr>
          <w:rFonts w:eastAsia="Calibri"/>
        </w:rPr>
        <w:t xml:space="preserve"> </w:t>
      </w:r>
      <w:r w:rsidR="006D4B93" w:rsidRPr="008237BF">
        <w:rPr>
          <w:rFonts w:eastAsia="Calibri"/>
        </w:rPr>
        <w:t>unending</w:t>
      </w:r>
      <w:r w:rsidR="008237BF" w:rsidRPr="008237BF">
        <w:rPr>
          <w:rFonts w:eastAsia="Calibri"/>
        </w:rPr>
        <w:t xml:space="preserve"> ret</w:t>
      </w:r>
      <w:r w:rsidR="00DC0A8E">
        <w:rPr>
          <w:rFonts w:eastAsia="Calibri"/>
        </w:rPr>
        <w:t>urn on fully depreciated rate base</w:t>
      </w:r>
      <w:r w:rsidR="006D4B93">
        <w:rPr>
          <w:rFonts w:eastAsia="Calibri"/>
        </w:rPr>
        <w:t xml:space="preserve"> if the program is not ended in its entirety</w:t>
      </w:r>
      <w:r w:rsidR="00387223">
        <w:rPr>
          <w:rFonts w:eastAsia="Calibri"/>
        </w:rPr>
        <w:t>.</w:t>
      </w:r>
    </w:p>
    <w:p w14:paraId="3EC5E189" w14:textId="77777777" w:rsidR="00747C88" w:rsidRDefault="00747C88" w:rsidP="0011169A">
      <w:pPr>
        <w:pStyle w:val="NoSpacing"/>
        <w:rPr>
          <w:rFonts w:eastAsia="Calibri"/>
          <w:b/>
        </w:rPr>
      </w:pPr>
    </w:p>
    <w:p w14:paraId="42611D25" w14:textId="2A3FCA8C" w:rsidR="00254151" w:rsidRPr="00C60846" w:rsidRDefault="00CA4DDD" w:rsidP="003A407B">
      <w:pPr>
        <w:pStyle w:val="NoSpacing"/>
        <w:keepNext/>
        <w:rPr>
          <w:rFonts w:eastAsia="Calibri"/>
          <w:b/>
        </w:rPr>
      </w:pPr>
      <w:r w:rsidRPr="00C60846">
        <w:rPr>
          <w:rFonts w:eastAsia="Calibri"/>
          <w:b/>
        </w:rPr>
        <w:lastRenderedPageBreak/>
        <w:t>Q.</w:t>
      </w:r>
      <w:r w:rsidRPr="00C60846">
        <w:rPr>
          <w:rFonts w:eastAsia="Calibri"/>
          <w:b/>
        </w:rPr>
        <w:tab/>
      </w:r>
      <w:r w:rsidR="003A407B" w:rsidRPr="00C60846">
        <w:rPr>
          <w:rFonts w:eastAsia="Calibri"/>
          <w:b/>
        </w:rPr>
        <w:t>Is there a policy reason for the program to continue?</w:t>
      </w:r>
    </w:p>
    <w:p w14:paraId="6607E99B" w14:textId="28DD6C23" w:rsidR="001F775A" w:rsidRDefault="003A407B" w:rsidP="003A407B">
      <w:pPr>
        <w:pStyle w:val="NoSpacing"/>
        <w:keepNext/>
        <w:rPr>
          <w:color w:val="000000" w:themeColor="text1"/>
        </w:rPr>
      </w:pPr>
      <w:r>
        <w:rPr>
          <w:rFonts w:eastAsia="Calibri"/>
        </w:rPr>
        <w:t>A.</w:t>
      </w:r>
      <w:r>
        <w:rPr>
          <w:rFonts w:eastAsia="Calibri"/>
        </w:rPr>
        <w:tab/>
        <w:t>No.  T</w:t>
      </w:r>
      <w:r w:rsidR="00D72EEF" w:rsidRPr="00D72EEF">
        <w:rPr>
          <w:rFonts w:eastAsia="Calibri"/>
        </w:rPr>
        <w:t>here is no longer a legitimate policy reason for the program to exist</w:t>
      </w:r>
      <w:r w:rsidR="00D72EEF">
        <w:rPr>
          <w:rFonts w:eastAsia="Calibri"/>
        </w:rPr>
        <w:t xml:space="preserve">.  </w:t>
      </w:r>
      <w:r w:rsidR="00D72EEF" w:rsidRPr="00D72EEF">
        <w:rPr>
          <w:rFonts w:eastAsia="Calibri"/>
        </w:rPr>
        <w:t>T</w:t>
      </w:r>
      <w:r w:rsidR="001F775A">
        <w:rPr>
          <w:rFonts w:eastAsia="Calibri"/>
          <w:color w:val="000000" w:themeColor="text1"/>
        </w:rPr>
        <w:t>he</w:t>
      </w:r>
      <w:r w:rsidR="001F775A" w:rsidRPr="004B2A2A">
        <w:rPr>
          <w:rFonts w:eastAsia="Calibri"/>
          <w:color w:val="000000" w:themeColor="text1"/>
        </w:rPr>
        <w:t xml:space="preserve"> public </w:t>
      </w:r>
      <w:r w:rsidR="00A27022">
        <w:rPr>
          <w:rFonts w:eastAsia="Calibri"/>
          <w:color w:val="000000" w:themeColor="text1"/>
        </w:rPr>
        <w:t xml:space="preserve">purpose of </w:t>
      </w:r>
      <w:r w:rsidR="001F775A">
        <w:rPr>
          <w:rFonts w:eastAsia="Calibri"/>
          <w:color w:val="000000" w:themeColor="text1"/>
        </w:rPr>
        <w:t xml:space="preserve">renting </w:t>
      </w:r>
      <w:r w:rsidR="001F775A" w:rsidRPr="004B2A2A">
        <w:rPr>
          <w:rFonts w:eastAsia="Calibri"/>
          <w:color w:val="000000" w:themeColor="text1"/>
        </w:rPr>
        <w:t>water heaters as a mean</w:t>
      </w:r>
      <w:r w:rsidR="00873F36">
        <w:rPr>
          <w:rFonts w:eastAsia="Calibri"/>
          <w:color w:val="000000" w:themeColor="text1"/>
        </w:rPr>
        <w:t>s</w:t>
      </w:r>
      <w:r w:rsidR="001F775A" w:rsidRPr="004B2A2A">
        <w:rPr>
          <w:rFonts w:eastAsia="Calibri"/>
          <w:color w:val="000000" w:themeColor="text1"/>
        </w:rPr>
        <w:t xml:space="preserve"> to </w:t>
      </w:r>
      <w:r w:rsidR="001F775A">
        <w:rPr>
          <w:rFonts w:eastAsia="Calibri"/>
          <w:color w:val="000000" w:themeColor="text1"/>
        </w:rPr>
        <w:t xml:space="preserve">“promote </w:t>
      </w:r>
      <w:r w:rsidR="001F775A">
        <w:rPr>
          <w:color w:val="000000" w:themeColor="text1"/>
        </w:rPr>
        <w:t>greater use of natural gas” is obsolete</w:t>
      </w:r>
      <w:r w:rsidR="00DC0A8E">
        <w:rPr>
          <w:color w:val="000000" w:themeColor="text1"/>
        </w:rPr>
        <w:t>.</w:t>
      </w:r>
      <w:r w:rsidR="00DC0A8E">
        <w:rPr>
          <w:rStyle w:val="FootnoteReference"/>
          <w:color w:val="000000" w:themeColor="text1"/>
        </w:rPr>
        <w:footnoteReference w:id="49"/>
      </w:r>
      <w:r w:rsidR="001F775A">
        <w:rPr>
          <w:color w:val="000000" w:themeColor="text1"/>
        </w:rPr>
        <w:t xml:space="preserve">  Furthermore,</w:t>
      </w:r>
      <w:r w:rsidR="00D360CF">
        <w:rPr>
          <w:color w:val="000000" w:themeColor="text1"/>
        </w:rPr>
        <w:t xml:space="preserve"> a</w:t>
      </w:r>
      <w:r w:rsidR="001F775A">
        <w:rPr>
          <w:color w:val="000000" w:themeColor="text1"/>
        </w:rPr>
        <w:t xml:space="preserve"> recent Commission order discusses how much the electric and gas distribution utilities have</w:t>
      </w:r>
      <w:r w:rsidR="00E62E3D">
        <w:rPr>
          <w:color w:val="000000" w:themeColor="text1"/>
        </w:rPr>
        <w:t xml:space="preserve"> changed </w:t>
      </w:r>
      <w:r w:rsidR="00810C0E">
        <w:rPr>
          <w:color w:val="000000" w:themeColor="text1"/>
        </w:rPr>
        <w:t>in the</w:t>
      </w:r>
      <w:r w:rsidR="00385D9E">
        <w:rPr>
          <w:color w:val="000000" w:themeColor="text1"/>
        </w:rPr>
        <w:t xml:space="preserve"> last 46 years since this issue</w:t>
      </w:r>
      <w:r w:rsidR="00810C0E">
        <w:rPr>
          <w:color w:val="000000" w:themeColor="text1"/>
        </w:rPr>
        <w:t xml:space="preserve"> was addressed at Washington’s Supreme Court</w:t>
      </w:r>
      <w:r w:rsidR="00E62E3D">
        <w:rPr>
          <w:color w:val="000000" w:themeColor="text1"/>
        </w:rPr>
        <w:t>:</w:t>
      </w:r>
      <w:r w:rsidR="001F775A">
        <w:rPr>
          <w:color w:val="000000" w:themeColor="text1"/>
        </w:rPr>
        <w:t xml:space="preserve"> </w:t>
      </w:r>
    </w:p>
    <w:p w14:paraId="5899DD90" w14:textId="43A4BDCF" w:rsidR="001F775A" w:rsidRDefault="001F775A" w:rsidP="001F775A">
      <w:pPr>
        <w:pStyle w:val="NoSpacing"/>
        <w:keepNext/>
        <w:spacing w:line="240" w:lineRule="auto"/>
        <w:ind w:left="1530" w:right="828" w:firstLine="0"/>
        <w:rPr>
          <w:rFonts w:eastAsia="Calibri"/>
        </w:rPr>
      </w:pPr>
      <w:r>
        <w:rPr>
          <w:rFonts w:eastAsia="Calibri"/>
        </w:rPr>
        <w:t>“</w:t>
      </w:r>
      <w:r w:rsidRPr="00B54F82">
        <w:rPr>
          <w:rFonts w:eastAsia="Calibri"/>
        </w:rPr>
        <w:t xml:space="preserve">Since the Cole decision, circumstances in both the electric and natural gas distribution utilities have changed remarkably, as certain state and federal laws require or encourage reduced or more efficient use of energy commodities.  For example, the citizens of the state of Washington in 2006 passed Initiative 937, now codified in RCW 19.285 as the Energy Independence Act, which requires certain utilities to achieve all cost-effective conservation in providing electric service. </w:t>
      </w:r>
      <w:r w:rsidR="009F45B4">
        <w:rPr>
          <w:rFonts w:eastAsia="Calibri"/>
        </w:rPr>
        <w:t xml:space="preserve"> </w:t>
      </w:r>
      <w:r w:rsidRPr="00B54F82">
        <w:rPr>
          <w:rFonts w:eastAsia="Calibri"/>
        </w:rPr>
        <w:t>In addition, Commission rules require natural gas utilities to provide demand-side management plans to promote conservation of</w:t>
      </w:r>
      <w:r>
        <w:rPr>
          <w:rFonts w:eastAsia="Calibri"/>
        </w:rPr>
        <w:t xml:space="preserve"> </w:t>
      </w:r>
      <w:r w:rsidRPr="00B54F82">
        <w:rPr>
          <w:rFonts w:eastAsia="Calibri"/>
        </w:rPr>
        <w:t>natural gas usage by th</w:t>
      </w:r>
      <w:r>
        <w:rPr>
          <w:rFonts w:eastAsia="Calibri"/>
        </w:rPr>
        <w:t xml:space="preserve">eir customers. </w:t>
      </w:r>
      <w:r w:rsidRPr="00B54F82">
        <w:rPr>
          <w:rFonts w:eastAsia="Calibri"/>
        </w:rPr>
        <w:t>In other words, Washington utilities are required to develop creative, cost-effective methods to reduce consumption of both electricity and natural gas.</w:t>
      </w:r>
      <w:r>
        <w:rPr>
          <w:rFonts w:eastAsia="Calibri"/>
        </w:rPr>
        <w:t xml:space="preserve">” </w:t>
      </w:r>
      <w:r>
        <w:rPr>
          <w:rStyle w:val="FootnoteReference"/>
          <w:rFonts w:eastAsia="Calibri"/>
        </w:rPr>
        <w:footnoteReference w:id="50"/>
      </w:r>
    </w:p>
    <w:p w14:paraId="21D5B9A0" w14:textId="77777777" w:rsidR="001F775A" w:rsidRDefault="001F775A" w:rsidP="001F775A">
      <w:pPr>
        <w:pStyle w:val="NoSpacing"/>
        <w:keepNext/>
        <w:ind w:right="828" w:firstLine="0"/>
        <w:rPr>
          <w:rFonts w:eastAsia="Calibri"/>
        </w:rPr>
      </w:pPr>
    </w:p>
    <w:p w14:paraId="1F3F0093" w14:textId="624AFD5C" w:rsidR="001F775A" w:rsidRDefault="001F775A" w:rsidP="0011169A">
      <w:pPr>
        <w:pStyle w:val="NoSpacing"/>
        <w:ind w:right="835" w:firstLine="0"/>
        <w:rPr>
          <w:rFonts w:eastAsia="Calibri"/>
        </w:rPr>
      </w:pPr>
      <w:r w:rsidRPr="00B54F82">
        <w:rPr>
          <w:rFonts w:eastAsia="Calibri"/>
        </w:rPr>
        <w:t xml:space="preserve">There </w:t>
      </w:r>
      <w:r>
        <w:rPr>
          <w:rFonts w:eastAsia="Calibri"/>
        </w:rPr>
        <w:t>is no obligation in the existing tariffs</w:t>
      </w:r>
      <w:r w:rsidR="006D4B93">
        <w:rPr>
          <w:rFonts w:eastAsia="Calibri"/>
        </w:rPr>
        <w:t xml:space="preserve"> in the rental program</w:t>
      </w:r>
      <w:r>
        <w:rPr>
          <w:rFonts w:eastAsia="Calibri"/>
        </w:rPr>
        <w:t xml:space="preserve"> to install</w:t>
      </w:r>
      <w:r w:rsidR="006D4B93">
        <w:rPr>
          <w:rFonts w:eastAsia="Calibri"/>
        </w:rPr>
        <w:t xml:space="preserve"> only</w:t>
      </w:r>
      <w:r>
        <w:rPr>
          <w:rFonts w:eastAsia="Calibri"/>
        </w:rPr>
        <w:t xml:space="preserve"> appliances that </w:t>
      </w:r>
      <w:r w:rsidR="006D4B93" w:rsidRPr="006D4B93">
        <w:rPr>
          <w:rFonts w:eastAsia="Calibri"/>
        </w:rPr>
        <w:t>promote conservation of natural gas usage</w:t>
      </w:r>
      <w:r>
        <w:rPr>
          <w:rFonts w:eastAsia="Calibri"/>
        </w:rPr>
        <w:t xml:space="preserve">. </w:t>
      </w:r>
      <w:r w:rsidR="009F45B4">
        <w:rPr>
          <w:rFonts w:eastAsia="Calibri"/>
        </w:rPr>
        <w:t xml:space="preserve"> </w:t>
      </w:r>
      <w:r>
        <w:rPr>
          <w:rFonts w:eastAsia="Calibri"/>
        </w:rPr>
        <w:t xml:space="preserve">Therefore, there is not </w:t>
      </w:r>
      <w:r w:rsidRPr="00B54F82">
        <w:rPr>
          <w:rFonts w:eastAsia="Calibri"/>
        </w:rPr>
        <w:t>a convincing connection between current state policy goa</w:t>
      </w:r>
      <w:r>
        <w:rPr>
          <w:rFonts w:eastAsia="Calibri"/>
        </w:rPr>
        <w:t>ls of reducing consumption of gas and the rental program because it was not designed fo</w:t>
      </w:r>
      <w:r w:rsidR="00747C88">
        <w:rPr>
          <w:rFonts w:eastAsia="Calibri"/>
        </w:rPr>
        <w:t>r that purpose.  Consequently, it</w:t>
      </w:r>
      <w:r>
        <w:rPr>
          <w:rFonts w:eastAsia="Calibri"/>
        </w:rPr>
        <w:t xml:space="preserve"> should be not only closed to new customers but also should be ended in its entirety. </w:t>
      </w:r>
      <w:r w:rsidR="009F45B4">
        <w:rPr>
          <w:rFonts w:eastAsia="Calibri"/>
        </w:rPr>
        <w:t xml:space="preserve"> </w:t>
      </w:r>
      <w:r>
        <w:rPr>
          <w:rFonts w:eastAsia="Calibri"/>
        </w:rPr>
        <w:t xml:space="preserve">This will avoid the perpetuation of the problems associated with this program. </w:t>
      </w:r>
    </w:p>
    <w:p w14:paraId="05FCFBC7" w14:textId="77777777" w:rsidR="001B734E" w:rsidRDefault="001B734E" w:rsidP="0011169A">
      <w:pPr>
        <w:pStyle w:val="NoSpacing"/>
        <w:rPr>
          <w:rFonts w:eastAsia="Calibri"/>
        </w:rPr>
      </w:pPr>
    </w:p>
    <w:p w14:paraId="71EA9281" w14:textId="5D99B83B" w:rsidR="001B734E" w:rsidRPr="00BC137E" w:rsidRDefault="001B734E" w:rsidP="001B734E">
      <w:pPr>
        <w:pStyle w:val="Heading8"/>
      </w:pPr>
      <w:r w:rsidRPr="00BC137E">
        <w:lastRenderedPageBreak/>
        <w:t xml:space="preserve">Q. </w:t>
      </w:r>
      <w:r w:rsidRPr="00BC137E">
        <w:tab/>
      </w:r>
      <w:r>
        <w:t xml:space="preserve">What </w:t>
      </w:r>
      <w:r w:rsidR="006501FF">
        <w:t>will the Company do if</w:t>
      </w:r>
      <w:r>
        <w:t xml:space="preserve"> the water heater needs to be replaced before the contract ends?</w:t>
      </w:r>
    </w:p>
    <w:p w14:paraId="033311D3" w14:textId="327EBEAD" w:rsidR="006E047F" w:rsidRDefault="001B734E" w:rsidP="00274789">
      <w:pPr>
        <w:spacing w:line="480" w:lineRule="auto"/>
        <w:ind w:left="720" w:hanging="720"/>
        <w:rPr>
          <w:rFonts w:eastAsia="Calibri"/>
        </w:rPr>
      </w:pPr>
      <w:r w:rsidRPr="00A34DCF">
        <w:rPr>
          <w:rFonts w:eastAsia="Calibri"/>
        </w:rPr>
        <w:t xml:space="preserve">A. </w:t>
      </w:r>
      <w:r w:rsidRPr="00A34DCF">
        <w:rPr>
          <w:rFonts w:eastAsia="Calibri"/>
        </w:rPr>
        <w:tab/>
      </w:r>
      <w:r w:rsidR="001F775A">
        <w:rPr>
          <w:rFonts w:eastAsia="Calibri"/>
        </w:rPr>
        <w:t>PSE would be obligated to</w:t>
      </w:r>
      <w:r w:rsidR="006501FF">
        <w:rPr>
          <w:rFonts w:eastAsia="Calibri"/>
        </w:rPr>
        <w:t xml:space="preserve"> provid</w:t>
      </w:r>
      <w:r w:rsidR="001F775A">
        <w:rPr>
          <w:rFonts w:eastAsia="Calibri"/>
        </w:rPr>
        <w:t>e</w:t>
      </w:r>
      <w:r w:rsidR="006501FF">
        <w:rPr>
          <w:rFonts w:eastAsia="Calibri"/>
        </w:rPr>
        <w:t xml:space="preserve"> a new water heater </w:t>
      </w:r>
      <w:r w:rsidR="00C34611">
        <w:rPr>
          <w:rFonts w:eastAsia="Calibri"/>
        </w:rPr>
        <w:t xml:space="preserve">free of charge to the customer </w:t>
      </w:r>
      <w:r w:rsidR="006501FF">
        <w:rPr>
          <w:rFonts w:eastAsia="Calibri"/>
        </w:rPr>
        <w:t>if the one in service is damaged beyond repair</w:t>
      </w:r>
      <w:r w:rsidR="00DE0118">
        <w:rPr>
          <w:rFonts w:eastAsia="Calibri"/>
        </w:rPr>
        <w:t>.</w:t>
      </w:r>
      <w:r w:rsidR="003F1810">
        <w:rPr>
          <w:rFonts w:eastAsia="Calibri"/>
        </w:rPr>
        <w:t xml:space="preserve">  </w:t>
      </w:r>
      <w:r w:rsidR="00B5759D">
        <w:rPr>
          <w:rFonts w:eastAsia="Calibri"/>
        </w:rPr>
        <w:t xml:space="preserve">After the replacement is installed, the contract would be terminated.  </w:t>
      </w:r>
    </w:p>
    <w:p w14:paraId="2BB086C9" w14:textId="77777777" w:rsidR="009F5F47" w:rsidRDefault="009F5F47" w:rsidP="00274789">
      <w:pPr>
        <w:spacing w:line="480" w:lineRule="auto"/>
        <w:ind w:left="720" w:hanging="720"/>
        <w:rPr>
          <w:rFonts w:eastAsia="Calibri"/>
        </w:rPr>
      </w:pPr>
    </w:p>
    <w:p w14:paraId="0CDEEE6A" w14:textId="45CEB4D6" w:rsidR="00F0309E" w:rsidRPr="00BC137E" w:rsidRDefault="00F0309E" w:rsidP="00F0309E">
      <w:pPr>
        <w:pStyle w:val="Heading8"/>
      </w:pPr>
      <w:r w:rsidRPr="00BC137E">
        <w:t xml:space="preserve">Q. </w:t>
      </w:r>
      <w:r w:rsidRPr="00BC137E">
        <w:tab/>
      </w:r>
      <w:r w:rsidR="007B5104">
        <w:t>Under Staff’s proposal, c</w:t>
      </w:r>
      <w:r>
        <w:t>an the Company maintain</w:t>
      </w:r>
      <w:r w:rsidR="007A5B03">
        <w:t xml:space="preserve"> the contracts with</w:t>
      </w:r>
      <w:r>
        <w:t xml:space="preserve"> customers that wish to stay in the rental program even if the book value of the plant in service is fully accrued?</w:t>
      </w:r>
    </w:p>
    <w:p w14:paraId="64B90205" w14:textId="458934B8" w:rsidR="003F1810" w:rsidRDefault="00F0309E" w:rsidP="00F0309E">
      <w:pPr>
        <w:spacing w:line="480" w:lineRule="auto"/>
        <w:ind w:left="720" w:hanging="720"/>
        <w:rPr>
          <w:rFonts w:eastAsia="Calibri"/>
        </w:rPr>
      </w:pPr>
      <w:r w:rsidRPr="00A34DCF">
        <w:rPr>
          <w:rFonts w:eastAsia="Calibri"/>
        </w:rPr>
        <w:t xml:space="preserve">A. </w:t>
      </w:r>
      <w:r w:rsidRPr="00A34DCF">
        <w:rPr>
          <w:rFonts w:eastAsia="Calibri"/>
        </w:rPr>
        <w:tab/>
      </w:r>
      <w:r>
        <w:rPr>
          <w:rFonts w:eastAsia="Calibri"/>
        </w:rPr>
        <w:t>No</w:t>
      </w:r>
      <w:r w:rsidR="007B5104">
        <w:rPr>
          <w:rFonts w:eastAsia="Calibri"/>
        </w:rPr>
        <w:t>.</w:t>
      </w:r>
      <w:r>
        <w:rPr>
          <w:rFonts w:eastAsia="Calibri"/>
        </w:rPr>
        <w:t xml:space="preserve">  </w:t>
      </w:r>
      <w:r w:rsidR="007B5104">
        <w:rPr>
          <w:rFonts w:eastAsia="Calibri"/>
        </w:rPr>
        <w:t>Under Staff’s proposal, t</w:t>
      </w:r>
      <w:r>
        <w:rPr>
          <w:rFonts w:eastAsia="Calibri"/>
        </w:rPr>
        <w:t>he Company will not maintain the program</w:t>
      </w:r>
      <w:r w:rsidR="006E047F">
        <w:rPr>
          <w:rFonts w:eastAsia="Calibri"/>
        </w:rPr>
        <w:t xml:space="preserve"> under these conditions</w:t>
      </w:r>
      <w:r>
        <w:rPr>
          <w:rFonts w:eastAsia="Calibri"/>
        </w:rPr>
        <w:t xml:space="preserve">. </w:t>
      </w:r>
      <w:r w:rsidR="009F45B4">
        <w:rPr>
          <w:rFonts w:eastAsia="Calibri"/>
        </w:rPr>
        <w:t xml:space="preserve"> </w:t>
      </w:r>
      <w:r>
        <w:rPr>
          <w:rFonts w:eastAsia="Calibri"/>
        </w:rPr>
        <w:t xml:space="preserve">Once book value of the plant is fully accrued PSE will </w:t>
      </w:r>
      <w:r w:rsidR="00DE1231">
        <w:rPr>
          <w:rFonts w:eastAsia="Calibri"/>
        </w:rPr>
        <w:t>immediately</w:t>
      </w:r>
      <w:r>
        <w:rPr>
          <w:rFonts w:eastAsia="Calibri"/>
        </w:rPr>
        <w:t xml:space="preserve"> make the transfer of the asset </w:t>
      </w:r>
      <w:r w:rsidR="00383D60">
        <w:rPr>
          <w:rFonts w:eastAsia="Calibri"/>
        </w:rPr>
        <w:t xml:space="preserve">to the customer </w:t>
      </w:r>
      <w:r>
        <w:rPr>
          <w:rFonts w:eastAsia="Calibri"/>
        </w:rPr>
        <w:t>and terminate the contract.</w:t>
      </w:r>
    </w:p>
    <w:p w14:paraId="51603653" w14:textId="77777777" w:rsidR="00DD33F5" w:rsidRDefault="00DD33F5" w:rsidP="009503EE">
      <w:pPr>
        <w:pStyle w:val="NoSpacing"/>
        <w:keepNext/>
        <w:ind w:left="0" w:right="828" w:firstLine="0"/>
        <w:rPr>
          <w:rFonts w:eastAsia="Calibri"/>
        </w:rPr>
      </w:pPr>
    </w:p>
    <w:p w14:paraId="3637BA59" w14:textId="343CB4FD" w:rsidR="00DD33F5" w:rsidRPr="00BC137E" w:rsidRDefault="00DD33F5" w:rsidP="00DD33F5">
      <w:pPr>
        <w:pStyle w:val="Heading8"/>
      </w:pPr>
      <w:r w:rsidRPr="00BC137E">
        <w:t xml:space="preserve">Q. </w:t>
      </w:r>
      <w:r w:rsidRPr="00BC137E">
        <w:tab/>
      </w:r>
      <w:r>
        <w:t xml:space="preserve">How </w:t>
      </w:r>
      <w:r w:rsidR="00B5759D">
        <w:t>does Staff’s proposal</w:t>
      </w:r>
      <w:r>
        <w:t xml:space="preserve"> benefit rental customers?</w:t>
      </w:r>
    </w:p>
    <w:p w14:paraId="062BB00C" w14:textId="36CCC784" w:rsidR="00B54F82" w:rsidRDefault="00DD33F5" w:rsidP="00DD33F5">
      <w:pPr>
        <w:pStyle w:val="NoSpacing"/>
        <w:rPr>
          <w:rFonts w:eastAsia="Calibri"/>
        </w:rPr>
      </w:pPr>
      <w:r w:rsidRPr="00A34DCF">
        <w:rPr>
          <w:rFonts w:eastAsia="Calibri"/>
        </w:rPr>
        <w:t xml:space="preserve">A. </w:t>
      </w:r>
      <w:r w:rsidRPr="00A34DCF">
        <w:rPr>
          <w:rFonts w:eastAsia="Calibri"/>
        </w:rPr>
        <w:tab/>
      </w:r>
      <w:r w:rsidR="00747C88">
        <w:rPr>
          <w:rFonts w:eastAsia="Calibri"/>
        </w:rPr>
        <w:t>Rental</w:t>
      </w:r>
      <w:r w:rsidR="000A7A4C" w:rsidRPr="000A7A4C">
        <w:rPr>
          <w:rFonts w:eastAsia="Calibri"/>
        </w:rPr>
        <w:t xml:space="preserve"> customers that have fully accrued plants will no longer pay for a service with an underlying plant account </w:t>
      </w:r>
      <w:r w:rsidR="000A7A4C">
        <w:rPr>
          <w:rFonts w:eastAsia="Calibri"/>
        </w:rPr>
        <w:t xml:space="preserve">book </w:t>
      </w:r>
      <w:r w:rsidR="000A7A4C" w:rsidRPr="000A7A4C">
        <w:rPr>
          <w:rFonts w:eastAsia="Calibri"/>
        </w:rPr>
        <w:t>value that is zero.</w:t>
      </w:r>
      <w:r w:rsidR="000A7A4C">
        <w:rPr>
          <w:rFonts w:eastAsia="Calibri"/>
        </w:rPr>
        <w:t xml:space="preserve"> </w:t>
      </w:r>
      <w:r w:rsidR="009F45B4">
        <w:rPr>
          <w:rFonts w:eastAsia="Calibri"/>
        </w:rPr>
        <w:t xml:space="preserve"> </w:t>
      </w:r>
      <w:r w:rsidR="00383D60">
        <w:rPr>
          <w:rFonts w:eastAsia="Calibri"/>
        </w:rPr>
        <w:t xml:space="preserve">In other words, a customer will only pay the cost of the plant and no more. </w:t>
      </w:r>
      <w:r w:rsidR="009F45B4">
        <w:rPr>
          <w:rFonts w:eastAsia="Calibri"/>
        </w:rPr>
        <w:t xml:space="preserve"> </w:t>
      </w:r>
      <w:r w:rsidR="000A7A4C">
        <w:rPr>
          <w:rFonts w:eastAsia="Calibri"/>
        </w:rPr>
        <w:t xml:space="preserve">Remaining customers will only pay until the </w:t>
      </w:r>
      <w:r w:rsidR="00FA33FF">
        <w:rPr>
          <w:rFonts w:eastAsia="Calibri"/>
        </w:rPr>
        <w:t>plant has been fully depreciated</w:t>
      </w:r>
      <w:r w:rsidR="00212717">
        <w:rPr>
          <w:rFonts w:eastAsia="Calibri"/>
        </w:rPr>
        <w:t>.</w:t>
      </w:r>
      <w:r w:rsidR="000A7A4C" w:rsidRPr="000A7A4C">
        <w:rPr>
          <w:rFonts w:eastAsia="Calibri"/>
        </w:rPr>
        <w:t xml:space="preserve">  </w:t>
      </w:r>
      <w:r w:rsidR="002C2458">
        <w:rPr>
          <w:rFonts w:eastAsia="Calibri"/>
        </w:rPr>
        <w:t xml:space="preserve">The main point is that </w:t>
      </w:r>
      <w:r w:rsidR="00CF2A4A">
        <w:rPr>
          <w:rFonts w:eastAsia="Calibri"/>
        </w:rPr>
        <w:t>Schedule 71, 72, and 74 customers would no longer cross-subsidiz</w:t>
      </w:r>
      <w:r w:rsidR="00FA33FF">
        <w:rPr>
          <w:rFonts w:eastAsia="Calibri"/>
        </w:rPr>
        <w:t>e</w:t>
      </w:r>
      <w:r w:rsidR="00CF2A4A">
        <w:rPr>
          <w:rFonts w:eastAsia="Calibri"/>
        </w:rPr>
        <w:t xml:space="preserve"> other customer</w:t>
      </w:r>
      <w:r w:rsidR="00FA33FF">
        <w:rPr>
          <w:rFonts w:eastAsia="Calibri"/>
        </w:rPr>
        <w:t xml:space="preserve"> classes</w:t>
      </w:r>
      <w:r w:rsidR="00CF2A4A">
        <w:rPr>
          <w:rFonts w:eastAsia="Calibri"/>
        </w:rPr>
        <w:t xml:space="preserve">. </w:t>
      </w:r>
    </w:p>
    <w:p w14:paraId="76F628E3" w14:textId="77777777" w:rsidR="00DD33F5" w:rsidRDefault="00DD33F5" w:rsidP="00B54F82">
      <w:pPr>
        <w:pStyle w:val="Heading8"/>
      </w:pPr>
    </w:p>
    <w:p w14:paraId="550D5F33" w14:textId="667AB9A8" w:rsidR="00B54F82" w:rsidRPr="00BC137E" w:rsidRDefault="00B54F82" w:rsidP="00B54F82">
      <w:pPr>
        <w:pStyle w:val="Heading8"/>
      </w:pPr>
      <w:r w:rsidRPr="00BC137E">
        <w:t xml:space="preserve">Q. </w:t>
      </w:r>
      <w:r w:rsidRPr="00BC137E">
        <w:tab/>
      </w:r>
      <w:r>
        <w:t>What is the effect of your recommendation in rate design?</w:t>
      </w:r>
    </w:p>
    <w:p w14:paraId="17D05436" w14:textId="34041773" w:rsidR="00BC1064" w:rsidRDefault="00BC1064" w:rsidP="00BC1064">
      <w:pPr>
        <w:pStyle w:val="NoSpacing"/>
        <w:rPr>
          <w:rFonts w:eastAsia="Calibri"/>
        </w:rPr>
      </w:pPr>
      <w:r w:rsidRPr="00A34DCF">
        <w:rPr>
          <w:rFonts w:eastAsia="Calibri"/>
        </w:rPr>
        <w:t xml:space="preserve">A. </w:t>
      </w:r>
      <w:r w:rsidRPr="00A34DCF">
        <w:rPr>
          <w:rFonts w:eastAsia="Calibri"/>
        </w:rPr>
        <w:tab/>
      </w:r>
      <w:r w:rsidR="00A01025">
        <w:rPr>
          <w:rFonts w:eastAsia="Calibri"/>
        </w:rPr>
        <w:t xml:space="preserve">As discussed by </w:t>
      </w:r>
      <w:r w:rsidR="00F91EE3">
        <w:rPr>
          <w:rFonts w:eastAsia="Calibri"/>
        </w:rPr>
        <w:t xml:space="preserve">Mr. Ball </w:t>
      </w:r>
      <w:r w:rsidR="00A01025">
        <w:rPr>
          <w:rFonts w:eastAsia="Calibri"/>
        </w:rPr>
        <w:t xml:space="preserve">in </w:t>
      </w:r>
      <w:r w:rsidR="00F91EE3">
        <w:rPr>
          <w:rFonts w:eastAsia="Calibri"/>
        </w:rPr>
        <w:t>his testimony</w:t>
      </w:r>
      <w:r w:rsidR="00AF78D5">
        <w:rPr>
          <w:rFonts w:eastAsia="Calibri"/>
        </w:rPr>
        <w:t xml:space="preserve">, Staff proposes imputing the rental contract </w:t>
      </w:r>
      <w:r w:rsidR="00A01025">
        <w:rPr>
          <w:rFonts w:eastAsia="Calibri"/>
        </w:rPr>
        <w:t xml:space="preserve">revenues for class in the cost of service study.  </w:t>
      </w:r>
      <w:r w:rsidR="00AF78D5">
        <w:rPr>
          <w:rFonts w:eastAsia="Calibri"/>
        </w:rPr>
        <w:t>T</w:t>
      </w:r>
      <w:r w:rsidR="00A01025">
        <w:rPr>
          <w:rFonts w:eastAsia="Calibri"/>
        </w:rPr>
        <w:t>his is because it is</w:t>
      </w:r>
      <w:r w:rsidR="00AF78D5">
        <w:rPr>
          <w:rFonts w:eastAsia="Calibri"/>
        </w:rPr>
        <w:t xml:space="preserve"> unclear</w:t>
      </w:r>
      <w:r w:rsidR="00A01025">
        <w:rPr>
          <w:rFonts w:eastAsia="Calibri"/>
        </w:rPr>
        <w:t xml:space="preserve"> </w:t>
      </w:r>
      <w:r w:rsidR="00A01025">
        <w:rPr>
          <w:rFonts w:eastAsia="Calibri"/>
        </w:rPr>
        <w:lastRenderedPageBreak/>
        <w:t xml:space="preserve">exactly how quickly </w:t>
      </w:r>
      <w:r w:rsidR="00AF78D5">
        <w:rPr>
          <w:rFonts w:eastAsia="Calibri"/>
        </w:rPr>
        <w:t>revenues, rate</w:t>
      </w:r>
      <w:r w:rsidR="00985B6F">
        <w:rPr>
          <w:rFonts w:eastAsia="Calibri"/>
        </w:rPr>
        <w:t xml:space="preserve"> </w:t>
      </w:r>
      <w:r w:rsidR="00AF78D5">
        <w:rPr>
          <w:rFonts w:eastAsia="Calibri"/>
        </w:rPr>
        <w:t>base, and expenses for this program</w:t>
      </w:r>
      <w:r w:rsidR="00A01025">
        <w:rPr>
          <w:rFonts w:eastAsia="Calibri"/>
        </w:rPr>
        <w:t xml:space="preserve"> will </w:t>
      </w:r>
      <w:r w:rsidR="00AF78D5">
        <w:rPr>
          <w:rFonts w:eastAsia="Calibri"/>
        </w:rPr>
        <w:t>change</w:t>
      </w:r>
      <w:r w:rsidR="00A01025">
        <w:rPr>
          <w:rFonts w:eastAsia="Calibri"/>
        </w:rPr>
        <w:t xml:space="preserve"> throughout the rate year under Staff’s proposal. </w:t>
      </w:r>
    </w:p>
    <w:p w14:paraId="53EA02CB" w14:textId="77777777" w:rsidR="009A4D8E" w:rsidRDefault="009A4D8E" w:rsidP="009503EE">
      <w:pPr>
        <w:pStyle w:val="NoSpacing"/>
        <w:ind w:left="0" w:firstLine="0"/>
      </w:pPr>
    </w:p>
    <w:p w14:paraId="6B162A2D" w14:textId="3CC3B590" w:rsidR="002A3994" w:rsidRPr="00A12BFA" w:rsidRDefault="00A0789C" w:rsidP="0011169A">
      <w:pPr>
        <w:pStyle w:val="Heading1"/>
        <w:spacing w:line="240" w:lineRule="auto"/>
        <w:ind w:left="0" w:firstLine="0"/>
      </w:pPr>
      <w:bookmarkStart w:id="25" w:name="_Toc486434762"/>
      <w:r>
        <w:t>RECOVERY OF LEASING SOLUTION</w:t>
      </w:r>
      <w:r w:rsidR="00AD111C">
        <w:t>S AND LIQUIFIED NATURAL GAS LEGAL COSTS</w:t>
      </w:r>
      <w:bookmarkEnd w:id="25"/>
    </w:p>
    <w:p w14:paraId="72665537" w14:textId="77777777" w:rsidR="00CC3BC5" w:rsidRPr="00CC3BC5" w:rsidRDefault="00CC3BC5" w:rsidP="00CC3BC5">
      <w:pPr>
        <w:spacing w:line="480" w:lineRule="auto"/>
      </w:pPr>
    </w:p>
    <w:p w14:paraId="4C5CF0E4" w14:textId="77777777" w:rsidR="002A3994" w:rsidRPr="00834614" w:rsidRDefault="002A3994" w:rsidP="002A3994">
      <w:pPr>
        <w:pStyle w:val="Heading8"/>
      </w:pPr>
      <w:r w:rsidRPr="00834614">
        <w:t>Q.</w:t>
      </w:r>
      <w:r w:rsidRPr="00834614">
        <w:tab/>
      </w:r>
      <w:r>
        <w:t xml:space="preserve">Please explain PSE’s request for recovery of leasing program expenses. </w:t>
      </w:r>
    </w:p>
    <w:p w14:paraId="24922E13" w14:textId="6B21C099" w:rsidR="002A3994" w:rsidRDefault="00274789" w:rsidP="002A3994">
      <w:pPr>
        <w:spacing w:line="480" w:lineRule="auto"/>
        <w:ind w:left="720" w:hanging="720"/>
      </w:pPr>
      <w:r>
        <w:t>A.</w:t>
      </w:r>
      <w:r>
        <w:tab/>
        <w:t>The company included in its general</w:t>
      </w:r>
      <w:r w:rsidR="00AD111C">
        <w:t xml:space="preserve"> legal costs</w:t>
      </w:r>
      <w:r>
        <w:t xml:space="preserve"> for the test year the costs associated with</w:t>
      </w:r>
      <w:r w:rsidR="00AD111C">
        <w:t xml:space="preserve"> the L</w:t>
      </w:r>
      <w:r w:rsidR="00F92633">
        <w:t xml:space="preserve">easing </w:t>
      </w:r>
      <w:r w:rsidR="00057C29">
        <w:t>P</w:t>
      </w:r>
      <w:r w:rsidR="00F92633">
        <w:t>rogram Docket</w:t>
      </w:r>
      <w:r w:rsidR="00AD111C">
        <w:t>s</w:t>
      </w:r>
      <w:r w:rsidR="00F92633">
        <w:t xml:space="preserve"> UE-151871 and UG-151872 and </w:t>
      </w:r>
      <w:r>
        <w:t>with</w:t>
      </w:r>
      <w:r w:rsidR="00F92633">
        <w:t xml:space="preserve"> the Docket associated with the</w:t>
      </w:r>
      <w:r w:rsidR="00AD111C">
        <w:t xml:space="preserve"> Special Contract for Liquefied Natural Gas (LNG) Fuel Service with Totem Ocean Trailer Express </w:t>
      </w:r>
      <w:r w:rsidR="00F92633">
        <w:t>Docket UG-151663.</w:t>
      </w:r>
      <w:r w:rsidR="004F7E5E">
        <w:rPr>
          <w:rStyle w:val="FootnoteReference"/>
        </w:rPr>
        <w:footnoteReference w:id="51"/>
      </w:r>
    </w:p>
    <w:p w14:paraId="021C0B8B" w14:textId="77777777" w:rsidR="00057C29" w:rsidRDefault="00057C29" w:rsidP="002A3994">
      <w:pPr>
        <w:spacing w:line="480" w:lineRule="auto"/>
        <w:ind w:left="720" w:hanging="720"/>
      </w:pPr>
    </w:p>
    <w:p w14:paraId="16FE612D" w14:textId="4EF8B062" w:rsidR="002A3994" w:rsidRPr="00834614" w:rsidRDefault="002A3994" w:rsidP="002A3994">
      <w:pPr>
        <w:pStyle w:val="Heading8"/>
      </w:pPr>
      <w:r w:rsidRPr="00834614">
        <w:t>Q.</w:t>
      </w:r>
      <w:r w:rsidRPr="00834614">
        <w:tab/>
      </w:r>
      <w:r w:rsidR="00BD0F99">
        <w:t xml:space="preserve">Does Staff agree with PSE’s </w:t>
      </w:r>
      <w:r w:rsidR="00AD111C">
        <w:t>recommendation?</w:t>
      </w:r>
      <w:r>
        <w:t xml:space="preserve"> </w:t>
      </w:r>
    </w:p>
    <w:p w14:paraId="37E2BFC2" w14:textId="1528DB09" w:rsidR="002A3994" w:rsidRDefault="002A3994" w:rsidP="002A3994">
      <w:pPr>
        <w:spacing w:line="480" w:lineRule="auto"/>
        <w:ind w:left="720" w:hanging="720"/>
      </w:pPr>
      <w:r>
        <w:t>A.</w:t>
      </w:r>
      <w:r>
        <w:tab/>
      </w:r>
      <w:r w:rsidR="00BD0F99">
        <w:t xml:space="preserve">No, </w:t>
      </w:r>
      <w:r w:rsidR="00AD111C">
        <w:t xml:space="preserve">I recommend the exclusion of the costs associated </w:t>
      </w:r>
      <w:r w:rsidR="00057C29">
        <w:t>with</w:t>
      </w:r>
      <w:r w:rsidR="00AD111C">
        <w:t xml:space="preserve"> the Leasing Program and</w:t>
      </w:r>
      <w:r w:rsidR="002C2458">
        <w:t xml:space="preserve"> a portion of the costs associate with the</w:t>
      </w:r>
      <w:r w:rsidR="00AD111C">
        <w:t xml:space="preserve"> LNG</w:t>
      </w:r>
      <w:r w:rsidR="002C2458">
        <w:t xml:space="preserve"> docket</w:t>
      </w:r>
      <w:r w:rsidR="00AD111C">
        <w:t xml:space="preserve">. </w:t>
      </w:r>
      <w:r>
        <w:t xml:space="preserve">  </w:t>
      </w:r>
    </w:p>
    <w:p w14:paraId="55356CFB" w14:textId="77777777" w:rsidR="00820C01" w:rsidRDefault="00820C01" w:rsidP="002A3994">
      <w:pPr>
        <w:spacing w:line="480" w:lineRule="auto"/>
        <w:ind w:left="720" w:hanging="720"/>
      </w:pPr>
    </w:p>
    <w:p w14:paraId="10E3491A" w14:textId="638D462F" w:rsidR="002A3994" w:rsidRPr="00534AD7" w:rsidRDefault="002A3994" w:rsidP="002A3994">
      <w:pPr>
        <w:pStyle w:val="Heading8"/>
      </w:pPr>
      <w:r w:rsidRPr="00834614">
        <w:t>Q.</w:t>
      </w:r>
      <w:r w:rsidRPr="00834614">
        <w:tab/>
      </w:r>
      <w:r w:rsidR="00AD111C">
        <w:t>Why are you recommending the exclusion of the</w:t>
      </w:r>
      <w:r w:rsidR="00CB7B3A">
        <w:t xml:space="preserve"> legal costs associated to the</w:t>
      </w:r>
      <w:r w:rsidR="005270D3">
        <w:t xml:space="preserve"> Leasing Program</w:t>
      </w:r>
      <w:r w:rsidR="00CB7B3A">
        <w:t xml:space="preserve"> incurred in the test year</w:t>
      </w:r>
      <w:r w:rsidR="00AD111C">
        <w:t>?</w:t>
      </w:r>
    </w:p>
    <w:p w14:paraId="0F4F113E" w14:textId="76FD18DE" w:rsidR="00CB7B3A" w:rsidRDefault="002A3994" w:rsidP="00CD7E03">
      <w:pPr>
        <w:pStyle w:val="NoSpacing"/>
      </w:pPr>
      <w:r>
        <w:t>A.</w:t>
      </w:r>
      <w:r>
        <w:tab/>
      </w:r>
      <w:r w:rsidR="00CB7B3A" w:rsidRPr="00CB7B3A">
        <w:t>The Commission determined that the terms and conditions of the leasing program were not fair, just, and reasonable and that the prop</w:t>
      </w:r>
      <w:r w:rsidR="00C71B63">
        <w:t xml:space="preserve">osed leasing program was not in </w:t>
      </w:r>
      <w:r w:rsidR="00CB7B3A" w:rsidRPr="00CB7B3A">
        <w:t>the public interest.</w:t>
      </w:r>
      <w:r w:rsidR="00C71B63">
        <w:rPr>
          <w:rStyle w:val="FootnoteReference"/>
        </w:rPr>
        <w:footnoteReference w:id="52"/>
      </w:r>
    </w:p>
    <w:p w14:paraId="00C55DBC" w14:textId="77777777" w:rsidR="00820C01" w:rsidRDefault="00820C01" w:rsidP="00CB7B3A">
      <w:pPr>
        <w:spacing w:line="480" w:lineRule="auto"/>
        <w:ind w:left="720" w:hanging="720"/>
      </w:pPr>
    </w:p>
    <w:p w14:paraId="040A554E" w14:textId="5D89DC56" w:rsidR="00CB7B3A" w:rsidRPr="00534AD7" w:rsidRDefault="00CB7B3A" w:rsidP="00CB7B3A">
      <w:pPr>
        <w:pStyle w:val="Heading8"/>
      </w:pPr>
      <w:r w:rsidRPr="00834614">
        <w:lastRenderedPageBreak/>
        <w:t>Q.</w:t>
      </w:r>
      <w:r w:rsidRPr="00834614">
        <w:tab/>
      </w:r>
      <w:r>
        <w:t xml:space="preserve">Why are you recommending the exclusion of </w:t>
      </w:r>
      <w:r w:rsidR="002C2458">
        <w:t xml:space="preserve">a portion of </w:t>
      </w:r>
      <w:r>
        <w:t>th</w:t>
      </w:r>
      <w:r w:rsidR="00820C01">
        <w:t>e legal costs associated to LNG</w:t>
      </w:r>
      <w:r>
        <w:t xml:space="preserve"> incurred in the test year?</w:t>
      </w:r>
    </w:p>
    <w:p w14:paraId="537A7378" w14:textId="7DC6649E" w:rsidR="006E203F" w:rsidRDefault="00CB7B3A" w:rsidP="00C455C9">
      <w:pPr>
        <w:spacing w:line="480" w:lineRule="auto"/>
        <w:ind w:left="720" w:hanging="720"/>
      </w:pPr>
      <w:r>
        <w:t>A.</w:t>
      </w:r>
      <w:r>
        <w:tab/>
      </w:r>
      <w:r w:rsidR="002C2458">
        <w:t xml:space="preserve">The various parties </w:t>
      </w:r>
      <w:r w:rsidR="009503EE">
        <w:t xml:space="preserve">in </w:t>
      </w:r>
      <w:r w:rsidR="00D01D17">
        <w:t xml:space="preserve">the settlement </w:t>
      </w:r>
      <w:r w:rsidR="002C2458">
        <w:t xml:space="preserve">in Docket UG-151663, including PSE, agreed </w:t>
      </w:r>
      <w:r w:rsidR="00D01D17">
        <w:t xml:space="preserve">that the common costs </w:t>
      </w:r>
      <w:r w:rsidR="002C2458">
        <w:t xml:space="preserve">associated with the LNG facility </w:t>
      </w:r>
      <w:r w:rsidR="00D01D17">
        <w:t>would be allocated according to the Common Items</w:t>
      </w:r>
      <w:r w:rsidR="00C455C9">
        <w:t xml:space="preserve"> allocators</w:t>
      </w:r>
      <w:r w:rsidR="002C2458">
        <w:t xml:space="preserve"> in the agreement</w:t>
      </w:r>
      <w:r w:rsidR="00C455C9">
        <w:t xml:space="preserve">. </w:t>
      </w:r>
      <w:r w:rsidR="009F45B4">
        <w:t xml:space="preserve"> </w:t>
      </w:r>
      <w:r w:rsidR="00C455C9">
        <w:t xml:space="preserve">These legal costs were incurred to gain regulatory approval of the operation of the plant. </w:t>
      </w:r>
      <w:r w:rsidR="009F45B4">
        <w:t xml:space="preserve"> </w:t>
      </w:r>
      <w:r w:rsidR="00CB2EEB">
        <w:t>The legal costs should therefore be apportioned between regulated and non-regulated operations per the settlement agreement in Docket UG-151663.</w:t>
      </w:r>
      <w:r w:rsidR="00137BF4" w:rsidRPr="00C455C9">
        <w:rPr>
          <w:rStyle w:val="FootnoteReference"/>
          <w:color w:val="000000" w:themeColor="text1"/>
        </w:rPr>
        <w:footnoteReference w:id="53"/>
      </w:r>
      <w:r w:rsidR="00137BF4" w:rsidRPr="00C455C9">
        <w:rPr>
          <w:color w:val="000000" w:themeColor="text1"/>
        </w:rPr>
        <w:t xml:space="preserve"> </w:t>
      </w:r>
      <w:r w:rsidR="00CB2EEB">
        <w:t xml:space="preserve"> </w:t>
      </w:r>
    </w:p>
    <w:p w14:paraId="17A8AC2C" w14:textId="77777777" w:rsidR="006E203F" w:rsidRDefault="006E203F" w:rsidP="00C455C9">
      <w:pPr>
        <w:spacing w:line="480" w:lineRule="auto"/>
        <w:ind w:left="720" w:hanging="720"/>
      </w:pPr>
    </w:p>
    <w:p w14:paraId="0F6AC59D" w14:textId="4D25548B" w:rsidR="006E203F" w:rsidRPr="00534AD7" w:rsidRDefault="006E203F" w:rsidP="006E203F">
      <w:pPr>
        <w:pStyle w:val="Heading8"/>
      </w:pPr>
      <w:r w:rsidRPr="00834614">
        <w:t>Q.</w:t>
      </w:r>
      <w:r w:rsidRPr="00834614">
        <w:tab/>
      </w:r>
      <w:r w:rsidR="0003010E">
        <w:t xml:space="preserve">Could </w:t>
      </w:r>
      <w:r>
        <w:t xml:space="preserve">PSE </w:t>
      </w:r>
      <w:r w:rsidR="0003010E">
        <w:t xml:space="preserve">own </w:t>
      </w:r>
      <w:r>
        <w:t>the LNG plant for unregulated customers without Commission’s authorization?</w:t>
      </w:r>
    </w:p>
    <w:p w14:paraId="1D4FF57C" w14:textId="4AA5AEC5" w:rsidR="00C455C9" w:rsidRDefault="006E203F" w:rsidP="00C455C9">
      <w:pPr>
        <w:spacing w:line="480" w:lineRule="auto"/>
        <w:ind w:left="720" w:hanging="720"/>
      </w:pPr>
      <w:r>
        <w:t>A.</w:t>
      </w:r>
      <w:r>
        <w:tab/>
        <w:t>No.</w:t>
      </w:r>
      <w:r w:rsidR="009F45B4">
        <w:t xml:space="preserve"> </w:t>
      </w:r>
      <w:r>
        <w:t xml:space="preserve"> </w:t>
      </w:r>
      <w:r w:rsidR="00137BF4">
        <w:t xml:space="preserve">The </w:t>
      </w:r>
      <w:r w:rsidR="00C455C9">
        <w:t xml:space="preserve">Commission’s permission </w:t>
      </w:r>
      <w:r w:rsidR="00137BF4">
        <w:t>was necessary to establish an independent subsidiary of Puget Holdings,</w:t>
      </w:r>
      <w:r w:rsidR="0003010E">
        <w:rPr>
          <w:rStyle w:val="FootnoteReference"/>
        </w:rPr>
        <w:footnoteReference w:id="54"/>
      </w:r>
      <w:r w:rsidR="00137BF4">
        <w:t xml:space="preserve"> now known as </w:t>
      </w:r>
      <w:r w:rsidR="00C455C9">
        <w:t>P</w:t>
      </w:r>
      <w:r w:rsidR="00137BF4">
        <w:t xml:space="preserve">uget LNG, to own the maritime fueling </w:t>
      </w:r>
      <w:r w:rsidR="0003010E">
        <w:t>portion</w:t>
      </w:r>
      <w:r w:rsidR="00137BF4">
        <w:t xml:space="preserve"> of the LNG plant. </w:t>
      </w:r>
      <w:r w:rsidR="009F45B4">
        <w:t xml:space="preserve"> </w:t>
      </w:r>
      <w:r w:rsidR="00C455C9">
        <w:t xml:space="preserve">PSE </w:t>
      </w:r>
      <w:r w:rsidR="00137BF4">
        <w:t>may</w:t>
      </w:r>
      <w:r w:rsidR="00C455C9">
        <w:t xml:space="preserve"> operate the LNG facilities for </w:t>
      </w:r>
      <w:r w:rsidR="00137BF4">
        <w:t xml:space="preserve">both </w:t>
      </w:r>
      <w:r w:rsidR="00C455C9">
        <w:t xml:space="preserve">regulated </w:t>
      </w:r>
      <w:r w:rsidR="00137BF4">
        <w:t xml:space="preserve">and </w:t>
      </w:r>
      <w:r w:rsidR="00C455C9">
        <w:t>unregula</w:t>
      </w:r>
      <w:r w:rsidR="00F678F7">
        <w:t>ted customers</w:t>
      </w:r>
      <w:r w:rsidR="00137BF4">
        <w:t xml:space="preserve"> with a fair allocation of costs between the two</w:t>
      </w:r>
      <w:r w:rsidR="00F678F7">
        <w:t>. Hence, both sides,</w:t>
      </w:r>
      <w:r w:rsidR="00C455C9">
        <w:t xml:space="preserve"> </w:t>
      </w:r>
      <w:r w:rsidR="00137BF4">
        <w:t xml:space="preserve">the </w:t>
      </w:r>
      <w:r w:rsidR="00C455C9">
        <w:t xml:space="preserve">regulated and </w:t>
      </w:r>
      <w:r w:rsidR="00137BF4">
        <w:t xml:space="preserve">the </w:t>
      </w:r>
      <w:r w:rsidR="00C455C9">
        <w:t xml:space="preserve">unregulated </w:t>
      </w:r>
      <w:r w:rsidR="00137BF4">
        <w:t>business</w:t>
      </w:r>
      <w:r w:rsidR="0003010E">
        <w:t>es</w:t>
      </w:r>
      <w:r w:rsidR="00657854">
        <w:t>,</w:t>
      </w:r>
      <w:r w:rsidR="00137BF4">
        <w:t xml:space="preserve"> benefit from the arrangement</w:t>
      </w:r>
      <w:r w:rsidR="0003010E">
        <w:t>,</w:t>
      </w:r>
      <w:r w:rsidR="00137BF4">
        <w:t xml:space="preserve"> and both</w:t>
      </w:r>
      <w:r w:rsidR="00C455C9">
        <w:t xml:space="preserve"> should bear the costs of gaining </w:t>
      </w:r>
      <w:r w:rsidR="0003010E">
        <w:t xml:space="preserve">the </w:t>
      </w:r>
      <w:r w:rsidR="00C455C9">
        <w:t>regulatory authorization for</w:t>
      </w:r>
      <w:r w:rsidR="009503EE">
        <w:t xml:space="preserve"> </w:t>
      </w:r>
      <w:r w:rsidR="002C2458">
        <w:t xml:space="preserve">PSE to own and </w:t>
      </w:r>
      <w:r w:rsidR="005E5060">
        <w:t>operate the Tacoma LNG facility</w:t>
      </w:r>
      <w:r w:rsidR="00C455C9">
        <w:t>.</w:t>
      </w:r>
    </w:p>
    <w:p w14:paraId="61E1A544" w14:textId="77777777" w:rsidR="00C455C9" w:rsidRDefault="00C455C9" w:rsidP="00C455C9">
      <w:pPr>
        <w:spacing w:line="480" w:lineRule="auto"/>
        <w:ind w:left="720" w:hanging="720"/>
      </w:pPr>
    </w:p>
    <w:p w14:paraId="288DF999" w14:textId="3E69CAC9" w:rsidR="00C455C9" w:rsidRPr="00534AD7" w:rsidRDefault="00C455C9" w:rsidP="00C455C9">
      <w:pPr>
        <w:pStyle w:val="Heading8"/>
      </w:pPr>
      <w:r w:rsidRPr="00834614">
        <w:t>Q.</w:t>
      </w:r>
      <w:r w:rsidRPr="00834614">
        <w:tab/>
      </w:r>
      <w:r>
        <w:t>What is the Net Operating Income impact of your recommendation</w:t>
      </w:r>
      <w:r w:rsidR="006E203F">
        <w:t xml:space="preserve"> of excluding the Leasing </w:t>
      </w:r>
      <w:r w:rsidR="004031D6">
        <w:t xml:space="preserve">Program </w:t>
      </w:r>
      <w:r w:rsidR="006E203F">
        <w:t xml:space="preserve">and </w:t>
      </w:r>
      <w:r w:rsidR="002C2458">
        <w:t xml:space="preserve">a portion of </w:t>
      </w:r>
      <w:r w:rsidR="006E203F">
        <w:t>LNG legal costs from the test year</w:t>
      </w:r>
      <w:r>
        <w:t>?</w:t>
      </w:r>
    </w:p>
    <w:p w14:paraId="67437328" w14:textId="144D4878" w:rsidR="005E5060" w:rsidRDefault="00C455C9" w:rsidP="00C71B63">
      <w:pPr>
        <w:spacing w:line="480" w:lineRule="auto"/>
        <w:ind w:left="720" w:hanging="720"/>
      </w:pPr>
      <w:r>
        <w:t>A.</w:t>
      </w:r>
      <w:r>
        <w:tab/>
      </w:r>
      <w:r w:rsidR="0003010E">
        <w:t>M</w:t>
      </w:r>
      <w:r>
        <w:t>y recommendation increase</w:t>
      </w:r>
      <w:r w:rsidR="0003010E">
        <w:t>s</w:t>
      </w:r>
      <w:r>
        <w:t xml:space="preserve"> </w:t>
      </w:r>
      <w:r w:rsidR="0003010E">
        <w:t xml:space="preserve">NOI by </w:t>
      </w:r>
      <w:r>
        <w:t xml:space="preserve">$315,757 </w:t>
      </w:r>
      <w:r w:rsidR="0003010E">
        <w:t xml:space="preserve">on </w:t>
      </w:r>
      <w:r>
        <w:t>the electric side and $</w:t>
      </w:r>
      <w:r w:rsidR="000744D4" w:rsidRPr="000744D4">
        <w:t xml:space="preserve"> 587,729 </w:t>
      </w:r>
      <w:r w:rsidR="0003010E">
        <w:t xml:space="preserve">on </w:t>
      </w:r>
      <w:r w:rsidR="00057C29">
        <w:t>the gas side</w:t>
      </w:r>
      <w:r>
        <w:t>.</w:t>
      </w:r>
      <w:r w:rsidR="007024FA">
        <w:rPr>
          <w:rStyle w:val="FootnoteReference"/>
        </w:rPr>
        <w:footnoteReference w:id="55"/>
      </w:r>
      <w:r>
        <w:t xml:space="preserve"> </w:t>
      </w:r>
    </w:p>
    <w:p w14:paraId="4833D02F" w14:textId="77777777" w:rsidR="00C71B63" w:rsidRDefault="00C71B63" w:rsidP="00C71B63">
      <w:pPr>
        <w:spacing w:line="480" w:lineRule="auto"/>
        <w:ind w:left="720" w:hanging="720"/>
      </w:pPr>
    </w:p>
    <w:p w14:paraId="7F4EBDC6" w14:textId="534D79A3" w:rsidR="002878E9" w:rsidRPr="00F720F8" w:rsidRDefault="00434D77" w:rsidP="00A3554A">
      <w:pPr>
        <w:pStyle w:val="Heading8"/>
        <w:keepNext/>
      </w:pPr>
      <w:r w:rsidRPr="00F720F8">
        <w:t>Q.</w:t>
      </w:r>
      <w:r w:rsidRPr="00F720F8">
        <w:tab/>
        <w:t>Does this conclude your testimony?</w:t>
      </w:r>
    </w:p>
    <w:p w14:paraId="56ACA7B5" w14:textId="44F4986F" w:rsidR="00A3554A" w:rsidRPr="00F720F8" w:rsidRDefault="00434D77" w:rsidP="00C71B63">
      <w:pPr>
        <w:pStyle w:val="NoSpacing"/>
      </w:pPr>
      <w:r w:rsidRPr="00F720F8">
        <w:t>A.</w:t>
      </w:r>
      <w:r w:rsidRPr="00F720F8">
        <w:tab/>
        <w:t>Yes</w:t>
      </w:r>
      <w:r w:rsidR="00D277CA">
        <w:t>.</w:t>
      </w:r>
    </w:p>
    <w:sectPr w:rsidR="00A3554A" w:rsidRPr="00F720F8" w:rsidSect="004D3860">
      <w:footerReference w:type="default" r:id="rId15"/>
      <w:pgSz w:w="12240" w:h="15840" w:code="1"/>
      <w:pgMar w:top="1440" w:right="1440" w:bottom="1440" w:left="1872"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C6181" w14:textId="77777777" w:rsidR="007A1404" w:rsidRDefault="007A1404" w:rsidP="00CC09B5">
      <w:r>
        <w:separator/>
      </w:r>
    </w:p>
    <w:p w14:paraId="38355F0A" w14:textId="77777777" w:rsidR="007A1404" w:rsidRDefault="007A1404"/>
    <w:p w14:paraId="728BDFEA" w14:textId="77777777" w:rsidR="007A1404" w:rsidRDefault="007A1404" w:rsidP="00352C04"/>
    <w:p w14:paraId="7B1A19AD" w14:textId="77777777" w:rsidR="007A1404" w:rsidRDefault="007A1404" w:rsidP="00352C04"/>
    <w:p w14:paraId="335803D9" w14:textId="77777777" w:rsidR="007A1404" w:rsidRDefault="007A1404"/>
  </w:endnote>
  <w:endnote w:type="continuationSeparator" w:id="0">
    <w:p w14:paraId="3EC18F54" w14:textId="77777777" w:rsidR="007A1404" w:rsidRDefault="007A1404" w:rsidP="00CC09B5">
      <w:r>
        <w:continuationSeparator/>
      </w:r>
    </w:p>
    <w:p w14:paraId="22A45C9D" w14:textId="77777777" w:rsidR="007A1404" w:rsidRDefault="007A1404"/>
    <w:p w14:paraId="1681B75F" w14:textId="77777777" w:rsidR="007A1404" w:rsidRDefault="007A1404" w:rsidP="00352C04"/>
    <w:p w14:paraId="0964842B" w14:textId="77777777" w:rsidR="007A1404" w:rsidRDefault="007A1404" w:rsidP="00352C04"/>
    <w:p w14:paraId="702F1220" w14:textId="77777777" w:rsidR="007A1404" w:rsidRDefault="007A1404"/>
  </w:endnote>
  <w:endnote w:type="continuationNotice" w:id="1">
    <w:p w14:paraId="57693EBF" w14:textId="77777777" w:rsidR="007A1404" w:rsidRDefault="007A1404"/>
    <w:p w14:paraId="7B98FE19" w14:textId="77777777" w:rsidR="007A1404" w:rsidRDefault="007A1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A77C" w14:textId="77777777" w:rsidR="007A1404" w:rsidRPr="00DC40BC" w:rsidRDefault="007A1404" w:rsidP="00CC09B5">
    <w:pPr>
      <w:pStyle w:val="Footer"/>
      <w:rPr>
        <w:sz w:val="20"/>
        <w:szCs w:val="20"/>
      </w:rPr>
    </w:pPr>
  </w:p>
  <w:p w14:paraId="0B0AA77D" w14:textId="283E2EEA" w:rsidR="007A1404" w:rsidRPr="001633C4" w:rsidRDefault="007A1404" w:rsidP="00CC09B5">
    <w:pPr>
      <w:pStyle w:val="Footer"/>
      <w:rPr>
        <w:sz w:val="22"/>
        <w:szCs w:val="22"/>
      </w:rPr>
    </w:pPr>
    <w:r w:rsidRPr="001633C4">
      <w:rPr>
        <w:sz w:val="22"/>
        <w:szCs w:val="22"/>
      </w:rPr>
      <w:t xml:space="preserve">TESTIMONY OF ELIZABETH C. O’CONNELL </w:t>
    </w:r>
    <w:r w:rsidRPr="001633C4">
      <w:rPr>
        <w:sz w:val="22"/>
        <w:szCs w:val="22"/>
      </w:rPr>
      <w:tab/>
    </w:r>
    <w:r w:rsidRPr="001633C4">
      <w:rPr>
        <w:sz w:val="22"/>
        <w:szCs w:val="22"/>
      </w:rPr>
      <w:tab/>
      <w:t>Exh. ECO-</w:t>
    </w:r>
    <w:r>
      <w:rPr>
        <w:sz w:val="22"/>
        <w:szCs w:val="22"/>
      </w:rPr>
      <w:t>1</w:t>
    </w:r>
    <w:r w:rsidR="00BD3C93">
      <w:rPr>
        <w:sz w:val="22"/>
        <w:szCs w:val="22"/>
      </w:rPr>
      <w:t>C</w:t>
    </w:r>
    <w:r>
      <w:rPr>
        <w:sz w:val="22"/>
        <w:szCs w:val="22"/>
      </w:rPr>
      <w:t>T</w:t>
    </w:r>
  </w:p>
  <w:p w14:paraId="0B0AA77E" w14:textId="090632B3" w:rsidR="007A1404" w:rsidRPr="00022107" w:rsidRDefault="007A1404" w:rsidP="00CC09B5">
    <w:pPr>
      <w:pStyle w:val="Footer"/>
      <w:rPr>
        <w:rStyle w:val="PageNumber"/>
        <w:sz w:val="20"/>
        <w:szCs w:val="20"/>
        <w:lang w:val="fr-FR"/>
      </w:rPr>
    </w:pPr>
    <w:r w:rsidRPr="001633C4">
      <w:rPr>
        <w:sz w:val="22"/>
        <w:szCs w:val="22"/>
      </w:rPr>
      <w:t>Dockets</w:t>
    </w:r>
    <w:r w:rsidRPr="001633C4">
      <w:rPr>
        <w:sz w:val="22"/>
        <w:szCs w:val="22"/>
        <w:lang w:val="fr-FR"/>
      </w:rPr>
      <w:t xml:space="preserve"> UE-170033</w:t>
    </w:r>
    <w:r>
      <w:rPr>
        <w:sz w:val="22"/>
        <w:szCs w:val="22"/>
        <w:lang w:val="fr-FR"/>
      </w:rPr>
      <w:t>/</w:t>
    </w:r>
    <w:r w:rsidRPr="001633C4">
      <w:rPr>
        <w:sz w:val="22"/>
        <w:szCs w:val="22"/>
        <w:lang w:val="fr-FR"/>
      </w:rPr>
      <w:t>UG-170034</w:t>
    </w:r>
    <w:r w:rsidRPr="001633C4">
      <w:rPr>
        <w:sz w:val="22"/>
        <w:szCs w:val="22"/>
        <w:lang w:val="fr-FR"/>
      </w:rPr>
      <w:tab/>
    </w:r>
    <w:r w:rsidRPr="001633C4">
      <w:rPr>
        <w:sz w:val="22"/>
        <w:szCs w:val="22"/>
        <w:lang w:val="fr-FR"/>
      </w:rPr>
      <w:tab/>
      <w:t xml:space="preserve">Page </w:t>
    </w:r>
    <w:r w:rsidRPr="001633C4">
      <w:rPr>
        <w:rStyle w:val="PageNumber"/>
        <w:sz w:val="22"/>
        <w:szCs w:val="22"/>
        <w:lang w:val="fr-FR"/>
      </w:rPr>
      <w:fldChar w:fldCharType="begin"/>
    </w:r>
    <w:r w:rsidRPr="001633C4">
      <w:rPr>
        <w:rStyle w:val="PageNumber"/>
        <w:sz w:val="22"/>
        <w:szCs w:val="22"/>
        <w:lang w:val="fr-FR"/>
      </w:rPr>
      <w:instrText xml:space="preserve"> PAGE </w:instrText>
    </w:r>
    <w:r w:rsidRPr="001633C4">
      <w:rPr>
        <w:rStyle w:val="PageNumber"/>
        <w:sz w:val="22"/>
        <w:szCs w:val="22"/>
        <w:lang w:val="fr-FR"/>
      </w:rPr>
      <w:fldChar w:fldCharType="separate"/>
    </w:r>
    <w:r w:rsidR="004D3860">
      <w:rPr>
        <w:rStyle w:val="PageNumber"/>
        <w:noProof/>
        <w:sz w:val="22"/>
        <w:szCs w:val="22"/>
        <w:lang w:val="fr-FR"/>
      </w:rPr>
      <w:t>9</w:t>
    </w:r>
    <w:r w:rsidRPr="001633C4">
      <w:rPr>
        <w:rStyle w:val="PageNumber"/>
        <w:sz w:val="22"/>
        <w:szCs w:val="22"/>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3966" w14:textId="77777777" w:rsidR="004D3860" w:rsidRPr="00DC40BC" w:rsidRDefault="004D3860" w:rsidP="00CC09B5">
    <w:pPr>
      <w:pStyle w:val="Footer"/>
      <w:rPr>
        <w:sz w:val="20"/>
        <w:szCs w:val="20"/>
      </w:rPr>
    </w:pPr>
  </w:p>
  <w:p w14:paraId="6B27D32C" w14:textId="77777777" w:rsidR="004D3860" w:rsidRPr="001633C4" w:rsidRDefault="004D3860" w:rsidP="00CC09B5">
    <w:pPr>
      <w:pStyle w:val="Footer"/>
      <w:rPr>
        <w:sz w:val="22"/>
        <w:szCs w:val="22"/>
      </w:rPr>
    </w:pPr>
    <w:r w:rsidRPr="001633C4">
      <w:rPr>
        <w:sz w:val="22"/>
        <w:szCs w:val="22"/>
      </w:rPr>
      <w:t xml:space="preserve">TESTIMONY OF ELIZABETH C. O’CONNELL </w:t>
    </w:r>
    <w:r w:rsidRPr="001633C4">
      <w:rPr>
        <w:sz w:val="22"/>
        <w:szCs w:val="22"/>
      </w:rPr>
      <w:tab/>
    </w:r>
    <w:r w:rsidRPr="001633C4">
      <w:rPr>
        <w:sz w:val="22"/>
        <w:szCs w:val="22"/>
      </w:rPr>
      <w:tab/>
      <w:t>Exh. ECO-</w:t>
    </w:r>
    <w:r>
      <w:rPr>
        <w:sz w:val="22"/>
        <w:szCs w:val="22"/>
      </w:rPr>
      <w:t>1CT</w:t>
    </w:r>
  </w:p>
  <w:p w14:paraId="71DD2602" w14:textId="36D8F7D1" w:rsidR="004D3860" w:rsidRPr="00022107" w:rsidRDefault="004D3860" w:rsidP="00CC09B5">
    <w:pPr>
      <w:pStyle w:val="Footer"/>
      <w:rPr>
        <w:rStyle w:val="PageNumber"/>
        <w:sz w:val="20"/>
        <w:szCs w:val="20"/>
        <w:lang w:val="fr-FR"/>
      </w:rPr>
    </w:pPr>
    <w:r w:rsidRPr="001633C4">
      <w:rPr>
        <w:sz w:val="22"/>
        <w:szCs w:val="22"/>
      </w:rPr>
      <w:t>Dockets</w:t>
    </w:r>
    <w:r w:rsidRPr="001633C4">
      <w:rPr>
        <w:sz w:val="22"/>
        <w:szCs w:val="22"/>
        <w:lang w:val="fr-FR"/>
      </w:rPr>
      <w:t xml:space="preserve"> UE-170033</w:t>
    </w:r>
    <w:r>
      <w:rPr>
        <w:sz w:val="22"/>
        <w:szCs w:val="22"/>
        <w:lang w:val="fr-FR"/>
      </w:rPr>
      <w:t>/</w:t>
    </w:r>
    <w:r w:rsidRPr="001633C4">
      <w:rPr>
        <w:sz w:val="22"/>
        <w:szCs w:val="22"/>
        <w:lang w:val="fr-FR"/>
      </w:rPr>
      <w:t>UG-170034</w:t>
    </w:r>
    <w:r w:rsidRPr="001633C4">
      <w:rPr>
        <w:sz w:val="22"/>
        <w:szCs w:val="22"/>
        <w:lang w:val="fr-FR"/>
      </w:rPr>
      <w:tab/>
    </w:r>
    <w:r>
      <w:rPr>
        <w:sz w:val="22"/>
        <w:szCs w:val="22"/>
        <w:lang w:val="fr-FR"/>
      </w:rPr>
      <w:t xml:space="preserve">       </w:t>
    </w:r>
    <w:r w:rsidRPr="004D3860">
      <w:rPr>
        <w:b/>
        <w:sz w:val="20"/>
        <w:szCs w:val="20"/>
        <w:lang w:val="fr-FR"/>
      </w:rPr>
      <w:t>CONFIDENTIAL PER PROTECTIVE ORDER</w:t>
    </w:r>
    <w:r w:rsidRPr="001633C4">
      <w:rPr>
        <w:sz w:val="22"/>
        <w:szCs w:val="22"/>
        <w:lang w:val="fr-FR"/>
      </w:rPr>
      <w:tab/>
      <w:t xml:space="preserve">Page </w:t>
    </w:r>
    <w:r w:rsidRPr="001633C4">
      <w:rPr>
        <w:rStyle w:val="PageNumber"/>
        <w:sz w:val="22"/>
        <w:szCs w:val="22"/>
        <w:lang w:val="fr-FR"/>
      </w:rPr>
      <w:fldChar w:fldCharType="begin"/>
    </w:r>
    <w:r w:rsidRPr="001633C4">
      <w:rPr>
        <w:rStyle w:val="PageNumber"/>
        <w:sz w:val="22"/>
        <w:szCs w:val="22"/>
        <w:lang w:val="fr-FR"/>
      </w:rPr>
      <w:instrText xml:space="preserve"> PAGE </w:instrText>
    </w:r>
    <w:r w:rsidRPr="001633C4">
      <w:rPr>
        <w:rStyle w:val="PageNumber"/>
        <w:sz w:val="22"/>
        <w:szCs w:val="22"/>
        <w:lang w:val="fr-FR"/>
      </w:rPr>
      <w:fldChar w:fldCharType="separate"/>
    </w:r>
    <w:r>
      <w:rPr>
        <w:rStyle w:val="PageNumber"/>
        <w:noProof/>
        <w:sz w:val="22"/>
        <w:szCs w:val="22"/>
        <w:lang w:val="fr-FR"/>
      </w:rPr>
      <w:t>10</w:t>
    </w:r>
    <w:r w:rsidRPr="001633C4">
      <w:rPr>
        <w:rStyle w:val="PageNumber"/>
        <w:sz w:val="22"/>
        <w:szCs w:val="22"/>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41300" w14:textId="77777777" w:rsidR="004D3860" w:rsidRPr="00DC40BC" w:rsidRDefault="004D3860" w:rsidP="00CC09B5">
    <w:pPr>
      <w:pStyle w:val="Footer"/>
      <w:rPr>
        <w:sz w:val="20"/>
        <w:szCs w:val="20"/>
      </w:rPr>
    </w:pPr>
  </w:p>
  <w:p w14:paraId="3DD9B227" w14:textId="77777777" w:rsidR="004D3860" w:rsidRPr="001633C4" w:rsidRDefault="004D3860" w:rsidP="00CC09B5">
    <w:pPr>
      <w:pStyle w:val="Footer"/>
      <w:rPr>
        <w:sz w:val="22"/>
        <w:szCs w:val="22"/>
      </w:rPr>
    </w:pPr>
    <w:r w:rsidRPr="001633C4">
      <w:rPr>
        <w:sz w:val="22"/>
        <w:szCs w:val="22"/>
      </w:rPr>
      <w:t xml:space="preserve">TESTIMONY OF ELIZABETH C. O’CONNELL </w:t>
    </w:r>
    <w:r w:rsidRPr="001633C4">
      <w:rPr>
        <w:sz w:val="22"/>
        <w:szCs w:val="22"/>
      </w:rPr>
      <w:tab/>
    </w:r>
    <w:r w:rsidRPr="001633C4">
      <w:rPr>
        <w:sz w:val="22"/>
        <w:szCs w:val="22"/>
      </w:rPr>
      <w:tab/>
      <w:t>Exh. ECO-</w:t>
    </w:r>
    <w:r>
      <w:rPr>
        <w:sz w:val="22"/>
        <w:szCs w:val="22"/>
      </w:rPr>
      <w:t>1CT</w:t>
    </w:r>
  </w:p>
  <w:p w14:paraId="63946320" w14:textId="77777777" w:rsidR="004D3860" w:rsidRPr="00022107" w:rsidRDefault="004D3860" w:rsidP="00CC09B5">
    <w:pPr>
      <w:pStyle w:val="Footer"/>
      <w:rPr>
        <w:rStyle w:val="PageNumber"/>
        <w:sz w:val="20"/>
        <w:szCs w:val="20"/>
        <w:lang w:val="fr-FR"/>
      </w:rPr>
    </w:pPr>
    <w:r w:rsidRPr="001633C4">
      <w:rPr>
        <w:sz w:val="22"/>
        <w:szCs w:val="22"/>
      </w:rPr>
      <w:t>Dockets</w:t>
    </w:r>
    <w:r w:rsidRPr="001633C4">
      <w:rPr>
        <w:sz w:val="22"/>
        <w:szCs w:val="22"/>
        <w:lang w:val="fr-FR"/>
      </w:rPr>
      <w:t xml:space="preserve"> UE-170033</w:t>
    </w:r>
    <w:r>
      <w:rPr>
        <w:sz w:val="22"/>
        <w:szCs w:val="22"/>
        <w:lang w:val="fr-FR"/>
      </w:rPr>
      <w:t>/</w:t>
    </w:r>
    <w:r w:rsidRPr="001633C4">
      <w:rPr>
        <w:sz w:val="22"/>
        <w:szCs w:val="22"/>
        <w:lang w:val="fr-FR"/>
      </w:rPr>
      <w:t>UG-170034</w:t>
    </w:r>
    <w:r w:rsidRPr="001633C4">
      <w:rPr>
        <w:sz w:val="22"/>
        <w:szCs w:val="22"/>
        <w:lang w:val="fr-FR"/>
      </w:rPr>
      <w:tab/>
    </w:r>
    <w:r w:rsidRPr="001633C4">
      <w:rPr>
        <w:sz w:val="22"/>
        <w:szCs w:val="22"/>
        <w:lang w:val="fr-FR"/>
      </w:rPr>
      <w:tab/>
      <w:t xml:space="preserve">Page </w:t>
    </w:r>
    <w:r w:rsidRPr="001633C4">
      <w:rPr>
        <w:rStyle w:val="PageNumber"/>
        <w:sz w:val="22"/>
        <w:szCs w:val="22"/>
        <w:lang w:val="fr-FR"/>
      </w:rPr>
      <w:fldChar w:fldCharType="begin"/>
    </w:r>
    <w:r w:rsidRPr="001633C4">
      <w:rPr>
        <w:rStyle w:val="PageNumber"/>
        <w:sz w:val="22"/>
        <w:szCs w:val="22"/>
        <w:lang w:val="fr-FR"/>
      </w:rPr>
      <w:instrText xml:space="preserve"> PAGE </w:instrText>
    </w:r>
    <w:r w:rsidRPr="001633C4">
      <w:rPr>
        <w:rStyle w:val="PageNumber"/>
        <w:sz w:val="22"/>
        <w:szCs w:val="22"/>
        <w:lang w:val="fr-FR"/>
      </w:rPr>
      <w:fldChar w:fldCharType="separate"/>
    </w:r>
    <w:r>
      <w:rPr>
        <w:rStyle w:val="PageNumber"/>
        <w:noProof/>
        <w:sz w:val="22"/>
        <w:szCs w:val="22"/>
        <w:lang w:val="fr-FR"/>
      </w:rPr>
      <w:t>16</w:t>
    </w:r>
    <w:r w:rsidRPr="001633C4">
      <w:rPr>
        <w:rStyle w:val="PageNumber"/>
        <w:sz w:val="22"/>
        <w:szCs w:val="22"/>
        <w:lang w:val="fr-F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16B5" w14:textId="77777777" w:rsidR="004D3860" w:rsidRPr="00DC40BC" w:rsidRDefault="004D3860" w:rsidP="00CC09B5">
    <w:pPr>
      <w:pStyle w:val="Footer"/>
      <w:rPr>
        <w:sz w:val="20"/>
        <w:szCs w:val="20"/>
      </w:rPr>
    </w:pPr>
  </w:p>
  <w:p w14:paraId="5378D8DF" w14:textId="77777777" w:rsidR="004D3860" w:rsidRPr="001633C4" w:rsidRDefault="004D3860" w:rsidP="00CC09B5">
    <w:pPr>
      <w:pStyle w:val="Footer"/>
      <w:rPr>
        <w:sz w:val="22"/>
        <w:szCs w:val="22"/>
      </w:rPr>
    </w:pPr>
    <w:r w:rsidRPr="001633C4">
      <w:rPr>
        <w:sz w:val="22"/>
        <w:szCs w:val="22"/>
      </w:rPr>
      <w:t xml:space="preserve">TESTIMONY OF ELIZABETH C. O’CONNELL </w:t>
    </w:r>
    <w:r w:rsidRPr="001633C4">
      <w:rPr>
        <w:sz w:val="22"/>
        <w:szCs w:val="22"/>
      </w:rPr>
      <w:tab/>
    </w:r>
    <w:r w:rsidRPr="001633C4">
      <w:rPr>
        <w:sz w:val="22"/>
        <w:szCs w:val="22"/>
      </w:rPr>
      <w:tab/>
      <w:t>Exh. ECO-</w:t>
    </w:r>
    <w:r>
      <w:rPr>
        <w:sz w:val="22"/>
        <w:szCs w:val="22"/>
      </w:rPr>
      <w:t>1CT</w:t>
    </w:r>
  </w:p>
  <w:p w14:paraId="5E24C8EA" w14:textId="3053CD2D" w:rsidR="004D3860" w:rsidRPr="00022107" w:rsidRDefault="004D3860" w:rsidP="00CC09B5">
    <w:pPr>
      <w:pStyle w:val="Footer"/>
      <w:rPr>
        <w:rStyle w:val="PageNumber"/>
        <w:sz w:val="20"/>
        <w:szCs w:val="20"/>
        <w:lang w:val="fr-FR"/>
      </w:rPr>
    </w:pPr>
    <w:r w:rsidRPr="001633C4">
      <w:rPr>
        <w:sz w:val="22"/>
        <w:szCs w:val="22"/>
      </w:rPr>
      <w:t>Dockets</w:t>
    </w:r>
    <w:r w:rsidRPr="001633C4">
      <w:rPr>
        <w:sz w:val="22"/>
        <w:szCs w:val="22"/>
        <w:lang w:val="fr-FR"/>
      </w:rPr>
      <w:t xml:space="preserve"> UE-170033</w:t>
    </w:r>
    <w:r>
      <w:rPr>
        <w:sz w:val="22"/>
        <w:szCs w:val="22"/>
        <w:lang w:val="fr-FR"/>
      </w:rPr>
      <w:t>/</w:t>
    </w:r>
    <w:r w:rsidRPr="001633C4">
      <w:rPr>
        <w:sz w:val="22"/>
        <w:szCs w:val="22"/>
        <w:lang w:val="fr-FR"/>
      </w:rPr>
      <w:t>UG-170034</w:t>
    </w:r>
    <w:r w:rsidRPr="001633C4">
      <w:rPr>
        <w:sz w:val="22"/>
        <w:szCs w:val="22"/>
        <w:lang w:val="fr-FR"/>
      </w:rPr>
      <w:tab/>
    </w:r>
    <w:r>
      <w:rPr>
        <w:sz w:val="22"/>
        <w:szCs w:val="22"/>
        <w:lang w:val="fr-FR"/>
      </w:rPr>
      <w:t xml:space="preserve">       </w:t>
    </w:r>
    <w:r w:rsidRPr="004D3860">
      <w:rPr>
        <w:b/>
        <w:sz w:val="20"/>
        <w:szCs w:val="20"/>
        <w:lang w:val="fr-FR"/>
      </w:rPr>
      <w:t>CONFIDENTIAL PER PROTECTIVE ORDER</w:t>
    </w:r>
    <w:r w:rsidRPr="001633C4">
      <w:rPr>
        <w:sz w:val="22"/>
        <w:szCs w:val="22"/>
        <w:lang w:val="fr-FR"/>
      </w:rPr>
      <w:tab/>
      <w:t xml:space="preserve">Page </w:t>
    </w:r>
    <w:r w:rsidRPr="001633C4">
      <w:rPr>
        <w:rStyle w:val="PageNumber"/>
        <w:sz w:val="22"/>
        <w:szCs w:val="22"/>
        <w:lang w:val="fr-FR"/>
      </w:rPr>
      <w:fldChar w:fldCharType="begin"/>
    </w:r>
    <w:r w:rsidRPr="001633C4">
      <w:rPr>
        <w:rStyle w:val="PageNumber"/>
        <w:sz w:val="22"/>
        <w:szCs w:val="22"/>
        <w:lang w:val="fr-FR"/>
      </w:rPr>
      <w:instrText xml:space="preserve"> PAGE </w:instrText>
    </w:r>
    <w:r w:rsidRPr="001633C4">
      <w:rPr>
        <w:rStyle w:val="PageNumber"/>
        <w:sz w:val="22"/>
        <w:szCs w:val="22"/>
        <w:lang w:val="fr-FR"/>
      </w:rPr>
      <w:fldChar w:fldCharType="separate"/>
    </w:r>
    <w:r>
      <w:rPr>
        <w:rStyle w:val="PageNumber"/>
        <w:noProof/>
        <w:sz w:val="22"/>
        <w:szCs w:val="22"/>
        <w:lang w:val="fr-FR"/>
      </w:rPr>
      <w:t>21</w:t>
    </w:r>
    <w:r w:rsidRPr="001633C4">
      <w:rPr>
        <w:rStyle w:val="PageNumber"/>
        <w:sz w:val="22"/>
        <w:szCs w:val="22"/>
        <w:lang w:val="fr-F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7A3FF" w14:textId="77777777" w:rsidR="004D3860" w:rsidRPr="00DC40BC" w:rsidRDefault="004D3860" w:rsidP="00CC09B5">
    <w:pPr>
      <w:pStyle w:val="Footer"/>
      <w:rPr>
        <w:sz w:val="20"/>
        <w:szCs w:val="20"/>
      </w:rPr>
    </w:pPr>
  </w:p>
  <w:p w14:paraId="7CAB551C" w14:textId="77777777" w:rsidR="004D3860" w:rsidRPr="001633C4" w:rsidRDefault="004D3860" w:rsidP="00CC09B5">
    <w:pPr>
      <w:pStyle w:val="Footer"/>
      <w:rPr>
        <w:sz w:val="22"/>
        <w:szCs w:val="22"/>
      </w:rPr>
    </w:pPr>
    <w:r w:rsidRPr="001633C4">
      <w:rPr>
        <w:sz w:val="22"/>
        <w:szCs w:val="22"/>
      </w:rPr>
      <w:t xml:space="preserve">TESTIMONY OF ELIZABETH C. O’CONNELL </w:t>
    </w:r>
    <w:r w:rsidRPr="001633C4">
      <w:rPr>
        <w:sz w:val="22"/>
        <w:szCs w:val="22"/>
      </w:rPr>
      <w:tab/>
    </w:r>
    <w:r w:rsidRPr="001633C4">
      <w:rPr>
        <w:sz w:val="22"/>
        <w:szCs w:val="22"/>
      </w:rPr>
      <w:tab/>
      <w:t>Exh. ECO-</w:t>
    </w:r>
    <w:r>
      <w:rPr>
        <w:sz w:val="22"/>
        <w:szCs w:val="22"/>
      </w:rPr>
      <w:t>1CT</w:t>
    </w:r>
  </w:p>
  <w:p w14:paraId="53ED0D74" w14:textId="77777777" w:rsidR="004D3860" w:rsidRPr="00022107" w:rsidRDefault="004D3860" w:rsidP="00CC09B5">
    <w:pPr>
      <w:pStyle w:val="Footer"/>
      <w:rPr>
        <w:rStyle w:val="PageNumber"/>
        <w:sz w:val="20"/>
        <w:szCs w:val="20"/>
        <w:lang w:val="fr-FR"/>
      </w:rPr>
    </w:pPr>
    <w:r w:rsidRPr="001633C4">
      <w:rPr>
        <w:sz w:val="22"/>
        <w:szCs w:val="22"/>
      </w:rPr>
      <w:t>Dockets</w:t>
    </w:r>
    <w:r w:rsidRPr="001633C4">
      <w:rPr>
        <w:sz w:val="22"/>
        <w:szCs w:val="22"/>
        <w:lang w:val="fr-FR"/>
      </w:rPr>
      <w:t xml:space="preserve"> UE-170033</w:t>
    </w:r>
    <w:r>
      <w:rPr>
        <w:sz w:val="22"/>
        <w:szCs w:val="22"/>
        <w:lang w:val="fr-FR"/>
      </w:rPr>
      <w:t>/</w:t>
    </w:r>
    <w:r w:rsidRPr="001633C4">
      <w:rPr>
        <w:sz w:val="22"/>
        <w:szCs w:val="22"/>
        <w:lang w:val="fr-FR"/>
      </w:rPr>
      <w:t>UG-170034</w:t>
    </w:r>
    <w:r w:rsidRPr="001633C4">
      <w:rPr>
        <w:sz w:val="22"/>
        <w:szCs w:val="22"/>
        <w:lang w:val="fr-FR"/>
      </w:rPr>
      <w:tab/>
    </w:r>
    <w:r w:rsidRPr="001633C4">
      <w:rPr>
        <w:sz w:val="22"/>
        <w:szCs w:val="22"/>
        <w:lang w:val="fr-FR"/>
      </w:rPr>
      <w:tab/>
      <w:t xml:space="preserve">Page </w:t>
    </w:r>
    <w:r w:rsidRPr="001633C4">
      <w:rPr>
        <w:rStyle w:val="PageNumber"/>
        <w:sz w:val="22"/>
        <w:szCs w:val="22"/>
        <w:lang w:val="fr-FR"/>
      </w:rPr>
      <w:fldChar w:fldCharType="begin"/>
    </w:r>
    <w:r w:rsidRPr="001633C4">
      <w:rPr>
        <w:rStyle w:val="PageNumber"/>
        <w:sz w:val="22"/>
        <w:szCs w:val="22"/>
        <w:lang w:val="fr-FR"/>
      </w:rPr>
      <w:instrText xml:space="preserve"> PAGE </w:instrText>
    </w:r>
    <w:r w:rsidRPr="001633C4">
      <w:rPr>
        <w:rStyle w:val="PageNumber"/>
        <w:sz w:val="22"/>
        <w:szCs w:val="22"/>
        <w:lang w:val="fr-FR"/>
      </w:rPr>
      <w:fldChar w:fldCharType="separate"/>
    </w:r>
    <w:r>
      <w:rPr>
        <w:rStyle w:val="PageNumber"/>
        <w:noProof/>
        <w:sz w:val="22"/>
        <w:szCs w:val="22"/>
        <w:lang w:val="fr-FR"/>
      </w:rPr>
      <w:t>22</w:t>
    </w:r>
    <w:r w:rsidRPr="001633C4">
      <w:rPr>
        <w:rStyle w:val="PageNumber"/>
        <w:sz w:val="22"/>
        <w:szCs w:val="22"/>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353F0" w14:textId="77777777" w:rsidR="007A1404" w:rsidRDefault="007A1404">
      <w:r>
        <w:separator/>
      </w:r>
    </w:p>
  </w:footnote>
  <w:footnote w:type="continuationSeparator" w:id="0">
    <w:p w14:paraId="04EAFA3F" w14:textId="77777777" w:rsidR="007A1404" w:rsidRDefault="007A1404" w:rsidP="00352C04">
      <w:r>
        <w:continuationSeparator/>
      </w:r>
    </w:p>
    <w:p w14:paraId="458EE2E2" w14:textId="77777777" w:rsidR="007A1404" w:rsidRDefault="007A1404"/>
  </w:footnote>
  <w:footnote w:type="continuationNotice" w:id="1">
    <w:p w14:paraId="1FD61953" w14:textId="77777777" w:rsidR="007A1404" w:rsidRDefault="007A1404"/>
    <w:p w14:paraId="73963EB2" w14:textId="77777777" w:rsidR="007A1404" w:rsidRDefault="007A1404"/>
  </w:footnote>
  <w:footnote w:id="2">
    <w:p w14:paraId="0D8DCC84" w14:textId="2EDCDB10" w:rsidR="007A1404" w:rsidRDefault="007A1404">
      <w:pPr>
        <w:pStyle w:val="FootnoteText"/>
      </w:pPr>
      <w:r>
        <w:rPr>
          <w:rStyle w:val="FootnoteReference"/>
        </w:rPr>
        <w:footnoteRef/>
      </w:r>
      <w:r>
        <w:t xml:space="preserve"> My testimony does not address decommissioning and remediation costs for the Colstrip generating station. See Staff witnesses Christopher Hancock and Chris McGuire for that discussion.</w:t>
      </w:r>
    </w:p>
  </w:footnote>
  <w:footnote w:id="3">
    <w:p w14:paraId="42DDB4ED" w14:textId="0B595944" w:rsidR="007A1404" w:rsidRDefault="007A1404">
      <w:pPr>
        <w:pStyle w:val="FootnoteText"/>
      </w:pPr>
      <w:r>
        <w:rPr>
          <w:rStyle w:val="FootnoteReference"/>
        </w:rPr>
        <w:footnoteRef/>
      </w:r>
      <w:r>
        <w:t xml:space="preserve"> Ball, Exh. JLB-2, parity ratios tab.</w:t>
      </w:r>
    </w:p>
  </w:footnote>
  <w:footnote w:id="4">
    <w:p w14:paraId="378290A7" w14:textId="3CB277C7" w:rsidR="007A1404" w:rsidRDefault="007A1404" w:rsidP="00A84D0A">
      <w:pPr>
        <w:pStyle w:val="FootnoteText"/>
      </w:pPr>
      <w:r>
        <w:rPr>
          <w:rStyle w:val="FootnoteReference"/>
        </w:rPr>
        <w:footnoteRef/>
      </w:r>
      <w:r w:rsidRPr="00593F7F">
        <w:rPr>
          <w:i/>
        </w:rPr>
        <w:t>See Wash. Utils. &amp; Transp. Comm’n v. Washington Natural Gas Company</w:t>
      </w:r>
      <w:r>
        <w:t xml:space="preserve"> Docket UE-920840, Order 04, page 17 (September 27, 1993) (WNG 1993</w:t>
      </w:r>
      <w:r w:rsidRPr="003C27B1">
        <w:t xml:space="preserve"> GRC Order).</w:t>
      </w:r>
    </w:p>
  </w:footnote>
  <w:footnote w:id="5">
    <w:p w14:paraId="07AFBF06" w14:textId="28E25D70" w:rsidR="007A1404" w:rsidRDefault="007A1404">
      <w:pPr>
        <w:pStyle w:val="FootnoteText"/>
      </w:pPr>
      <w:r>
        <w:rPr>
          <w:rStyle w:val="FootnoteReference"/>
        </w:rPr>
        <w:footnoteRef/>
      </w:r>
      <w:r>
        <w:t xml:space="preserve"> </w:t>
      </w:r>
      <w:r w:rsidRPr="0068156C">
        <w:rPr>
          <w:i/>
        </w:rPr>
        <w:t xml:space="preserve">See Wash. Utils. &amp; Transp. Comm’n v. Puget Sound Energy </w:t>
      </w:r>
      <w:r w:rsidRPr="00593F7F">
        <w:t>Docket</w:t>
      </w:r>
      <w:r>
        <w:t>s UE-151871 and UG-151872</w:t>
      </w:r>
      <w:r w:rsidRPr="00593F7F">
        <w:t>, Order 0</w:t>
      </w:r>
      <w:r>
        <w:t>6, 3 ¶ 8</w:t>
      </w:r>
      <w:r w:rsidRPr="00593F7F">
        <w:t xml:space="preserve"> (</w:t>
      </w:r>
      <w:r>
        <w:t>Nov. 16,</w:t>
      </w:r>
      <w:r w:rsidRPr="00593F7F">
        <w:t xml:space="preserve"> 2016) (</w:t>
      </w:r>
      <w:r>
        <w:t xml:space="preserve">PSE 2016 Leasing </w:t>
      </w:r>
      <w:r w:rsidRPr="00593F7F">
        <w:t>Order).</w:t>
      </w:r>
      <w:r>
        <w:t xml:space="preserve">            </w:t>
      </w:r>
    </w:p>
  </w:footnote>
  <w:footnote w:id="6">
    <w:p w14:paraId="45F0733A" w14:textId="6217F730" w:rsidR="007A1404" w:rsidRPr="007621CA" w:rsidRDefault="007A1404" w:rsidP="00BB1B7E">
      <w:pPr>
        <w:pStyle w:val="FootnoteText"/>
      </w:pPr>
      <w:r>
        <w:rPr>
          <w:rStyle w:val="FootnoteReference"/>
        </w:rPr>
        <w:footnoteRef/>
      </w:r>
      <w:r>
        <w:t xml:space="preserve"> </w:t>
      </w:r>
      <w:r w:rsidRPr="0068156C">
        <w:rPr>
          <w:i/>
        </w:rPr>
        <w:t>See</w:t>
      </w:r>
      <w:r>
        <w:rPr>
          <w:i/>
        </w:rPr>
        <w:t xml:space="preserve"> Petition of PUGET SOUND ENERGY, INC. </w:t>
      </w:r>
      <w:r w:rsidRPr="00BD651B">
        <w:rPr>
          <w:i/>
        </w:rPr>
        <w:t>for (i) Approval of a Special Con</w:t>
      </w:r>
      <w:r>
        <w:rPr>
          <w:i/>
        </w:rPr>
        <w:t xml:space="preserve">tract for Liquefied Natural Gas </w:t>
      </w:r>
      <w:r w:rsidRPr="00BD651B">
        <w:rPr>
          <w:i/>
        </w:rPr>
        <w:t xml:space="preserve">Fuel Service with Totem Ocean Trailer Express, Inc. and (ii) a Declaratory </w:t>
      </w:r>
      <w:r>
        <w:rPr>
          <w:i/>
        </w:rPr>
        <w:t xml:space="preserve">Order Approving the Methodology </w:t>
      </w:r>
      <w:r w:rsidRPr="00BD651B">
        <w:rPr>
          <w:i/>
        </w:rPr>
        <w:t>for Allocating Costs Between Regulated and Non-regulated Liquefied Natural Gas Services</w:t>
      </w:r>
      <w:r>
        <w:t>,</w:t>
      </w:r>
    </w:p>
    <w:p w14:paraId="19BCF0A3" w14:textId="214A307C" w:rsidR="007A1404" w:rsidRDefault="007A1404" w:rsidP="00BB1B7E">
      <w:pPr>
        <w:pStyle w:val="FootnoteText"/>
      </w:pPr>
      <w:r w:rsidRPr="00593F7F">
        <w:t>Docket</w:t>
      </w:r>
      <w:r>
        <w:t xml:space="preserve"> UG-151663,</w:t>
      </w:r>
      <w:r w:rsidRPr="001B2E38">
        <w:t xml:space="preserve"> </w:t>
      </w:r>
      <w:r>
        <w:t>Order 10, Settlement Stipulation</w:t>
      </w:r>
      <w:r w:rsidRPr="00593F7F">
        <w:t xml:space="preserve"> (</w:t>
      </w:r>
      <w:r>
        <w:t>Nov. 1,</w:t>
      </w:r>
      <w:r w:rsidRPr="00593F7F">
        <w:t xml:space="preserve"> 2016) (</w:t>
      </w:r>
      <w:r>
        <w:t xml:space="preserve">PSE 2016 TOTE </w:t>
      </w:r>
      <w:r w:rsidRPr="00593F7F">
        <w:t>Order).</w:t>
      </w:r>
    </w:p>
  </w:footnote>
  <w:footnote w:id="7">
    <w:p w14:paraId="00A5421A" w14:textId="77777777" w:rsidR="007A1404" w:rsidRDefault="007A1404" w:rsidP="007000E1">
      <w:pPr>
        <w:pStyle w:val="FootnoteText"/>
      </w:pPr>
      <w:r>
        <w:rPr>
          <w:rStyle w:val="FootnoteReference"/>
        </w:rPr>
        <w:footnoteRef/>
      </w:r>
      <w:r>
        <w:t xml:space="preserve"> O’Connell, Exh. ECO-7, </w:t>
      </w:r>
      <w:r w:rsidRPr="005F0B79">
        <w:t>PS</w:t>
      </w:r>
      <w:r>
        <w:t>E’s Response to Staff Data Request No. 282</w:t>
      </w:r>
      <w:r w:rsidRPr="005F0B79">
        <w:t>.</w:t>
      </w:r>
    </w:p>
  </w:footnote>
  <w:footnote w:id="8">
    <w:p w14:paraId="215B13C3" w14:textId="511CA95B" w:rsidR="007A1404" w:rsidRDefault="007A1404" w:rsidP="003A63AA">
      <w:pPr>
        <w:pStyle w:val="FootnoteText"/>
      </w:pPr>
      <w:r>
        <w:rPr>
          <w:rStyle w:val="FootnoteReference"/>
        </w:rPr>
        <w:footnoteRef/>
      </w:r>
      <w:r>
        <w:t xml:space="preserve"> Free, Exh. SEF-1T at 24:13-14</w:t>
      </w:r>
      <w:r w:rsidRPr="00C0762D">
        <w:t>.</w:t>
      </w:r>
    </w:p>
  </w:footnote>
  <w:footnote w:id="9">
    <w:p w14:paraId="65920711" w14:textId="60B6F8C8" w:rsidR="007A1404" w:rsidRPr="00A458CE" w:rsidRDefault="007A1404" w:rsidP="00F83351">
      <w:pPr>
        <w:pStyle w:val="FootnoteText"/>
        <w:rPr>
          <w:i/>
        </w:rPr>
      </w:pPr>
      <w:r>
        <w:rPr>
          <w:rStyle w:val="FootnoteReference"/>
        </w:rPr>
        <w:footnoteRef/>
      </w:r>
      <w:r w:rsidRPr="00A458CE">
        <w:rPr>
          <w:i/>
        </w:rPr>
        <w:t xml:space="preserve">See Petition of </w:t>
      </w:r>
      <w:r>
        <w:rPr>
          <w:i/>
        </w:rPr>
        <w:t>Puget Sound Energy, Inc</w:t>
      </w:r>
      <w:r w:rsidRPr="00A458CE">
        <w:rPr>
          <w:i/>
        </w:rPr>
        <w:t>. for An Accounting Or</w:t>
      </w:r>
      <w:r>
        <w:rPr>
          <w:i/>
        </w:rPr>
        <w:t xml:space="preserve">der Regarding the </w:t>
      </w:r>
      <w:r w:rsidRPr="00A458CE">
        <w:rPr>
          <w:i/>
        </w:rPr>
        <w:t>Accoun</w:t>
      </w:r>
      <w:r>
        <w:rPr>
          <w:i/>
        </w:rPr>
        <w:t xml:space="preserve">ting Treatment for Costs of its </w:t>
      </w:r>
      <w:r w:rsidRPr="00A458CE">
        <w:rPr>
          <w:i/>
        </w:rPr>
        <w:t>Ele</w:t>
      </w:r>
      <w:r>
        <w:rPr>
          <w:i/>
        </w:rPr>
        <w:t xml:space="preserve">ctric Environmental Remediation </w:t>
      </w:r>
      <w:r w:rsidRPr="00A458CE">
        <w:rPr>
          <w:i/>
        </w:rPr>
        <w:t>Program</w:t>
      </w:r>
      <w:r>
        <w:t xml:space="preserve">, </w:t>
      </w:r>
      <w:r w:rsidRPr="00593F7F">
        <w:t>Docket</w:t>
      </w:r>
      <w:r>
        <w:t>s UE-070724 and UE-072060 and UE-081016,</w:t>
      </w:r>
      <w:r w:rsidRPr="001B2E38">
        <w:t xml:space="preserve"> </w:t>
      </w:r>
      <w:r>
        <w:t xml:space="preserve">Order 01, 3 § (i) (Oct. 8, 2008).  </w:t>
      </w:r>
    </w:p>
  </w:footnote>
  <w:footnote w:id="10">
    <w:p w14:paraId="615C7EFD" w14:textId="07DFC505" w:rsidR="007A1404" w:rsidRDefault="007A1404">
      <w:pPr>
        <w:pStyle w:val="FootnoteText"/>
      </w:pPr>
      <w:r>
        <w:rPr>
          <w:rStyle w:val="FootnoteReference"/>
        </w:rPr>
        <w:footnoteRef/>
      </w:r>
      <w:r>
        <w:t xml:space="preserve"> </w:t>
      </w:r>
      <w:r w:rsidRPr="00FB3B75">
        <w:rPr>
          <w:i/>
        </w:rPr>
        <w:t>Id</w:t>
      </w:r>
      <w:r>
        <w:rPr>
          <w:i/>
        </w:rPr>
        <w:t>. See also Washington Natural Gas Company’s Accounting Petition for Environmental Remediation Program</w:t>
      </w:r>
      <w:r>
        <w:t xml:space="preserve">, </w:t>
      </w:r>
      <w:r w:rsidRPr="00593F7F">
        <w:t>Docket</w:t>
      </w:r>
      <w:r>
        <w:t xml:space="preserve"> UG-920781 (Nov. 25, 1992).  </w:t>
      </w:r>
    </w:p>
  </w:footnote>
  <w:footnote w:id="11">
    <w:p w14:paraId="73E2EFCB" w14:textId="098C7613" w:rsidR="007A1404" w:rsidRDefault="007A1404" w:rsidP="00D360CF">
      <w:pPr>
        <w:pStyle w:val="FootnoteText"/>
      </w:pPr>
      <w:r>
        <w:rPr>
          <w:rStyle w:val="FootnoteReference"/>
        </w:rPr>
        <w:footnoteRef/>
      </w:r>
      <w:r>
        <w:t xml:space="preserve"> O’Connell, Exh. ECO-2C,</w:t>
      </w:r>
      <w:r w:rsidRPr="000B57C1">
        <w:t xml:space="preserve"> </w:t>
      </w:r>
      <w:r w:rsidRPr="003C213A">
        <w:t xml:space="preserve">Staff’s proposed environmental remediation adjustments </w:t>
      </w:r>
      <w:r w:rsidRPr="000B57C1">
        <w:t>“En</w:t>
      </w:r>
      <w:r>
        <w:t>vironmental remediation E</w:t>
      </w:r>
      <w:r w:rsidRPr="000B57C1">
        <w:t>”</w:t>
      </w:r>
      <w:r>
        <w:t xml:space="preserve"> Tab, cell D6 through D22 and cell F2 through</w:t>
      </w:r>
      <w:r w:rsidRPr="000B57C1">
        <w:t xml:space="preserve"> </w:t>
      </w:r>
      <w:r>
        <w:t>F28; “</w:t>
      </w:r>
      <w:r w:rsidRPr="00DD71FC">
        <w:t>Environmental remediat</w:t>
      </w:r>
      <w:r>
        <w:t>ion G” Tab, cell D5 through D34 and cell F2 through F44</w:t>
      </w:r>
      <w:r w:rsidRPr="00DD71FC">
        <w:t>.</w:t>
      </w:r>
      <w:r>
        <w:t xml:space="preserve"> </w:t>
      </w:r>
    </w:p>
  </w:footnote>
  <w:footnote w:id="12">
    <w:p w14:paraId="4904E666" w14:textId="19C8F17A" w:rsidR="007A1404" w:rsidRDefault="007A1404" w:rsidP="008E7CF7">
      <w:pPr>
        <w:pStyle w:val="FootnoteText"/>
      </w:pPr>
      <w:r>
        <w:rPr>
          <w:rStyle w:val="FootnoteReference"/>
        </w:rPr>
        <w:footnoteRef/>
      </w:r>
      <w:r>
        <w:t xml:space="preserve"> O’Connell, Exh. ECO-12, </w:t>
      </w:r>
      <w:r w:rsidRPr="000329D2">
        <w:t>PSE’s response to Staff data request 269, attachment A.</w:t>
      </w:r>
      <w:r>
        <w:t xml:space="preserve"> “Attach A Staff 269” Tab, cell BF44</w:t>
      </w:r>
      <w:r w:rsidRPr="005F0B79">
        <w:t>.</w:t>
      </w:r>
    </w:p>
  </w:footnote>
  <w:footnote w:id="13">
    <w:p w14:paraId="5C07A401" w14:textId="085B3D00" w:rsidR="007A1404" w:rsidRDefault="007A1404" w:rsidP="008E7CF7">
      <w:pPr>
        <w:pStyle w:val="FootnoteText"/>
      </w:pPr>
      <w:r>
        <w:rPr>
          <w:rStyle w:val="FootnoteReference"/>
        </w:rPr>
        <w:footnoteRef/>
      </w:r>
      <w:r>
        <w:t xml:space="preserve"> </w:t>
      </w:r>
      <w:r w:rsidRPr="00142FB6">
        <w:rPr>
          <w:i/>
        </w:rPr>
        <w:t>Id</w:t>
      </w:r>
      <w:r>
        <w:t xml:space="preserve">. Cell </w:t>
      </w:r>
      <w:r w:rsidRPr="00D958C8">
        <w:rPr>
          <w:highlight w:val="yellow"/>
        </w:rPr>
        <w:t>AN36</w:t>
      </w:r>
      <w:r>
        <w:t>. O’Connell, Exh. ECO-2C, Staff’s proposed Environmental Remediation Adjustments, “Environmental remediation G” Tab, cell C55.</w:t>
      </w:r>
      <w:r w:rsidRPr="007C30AE">
        <w:t xml:space="preserve"> </w:t>
      </w:r>
      <w:r>
        <w:t>O’Connell, Exh. ECO-13C Tacoma Tide Flats letter. O’Connell, Exh. ECO-14C PSE’s Response to Staff Data Request 401, attachment K.</w:t>
      </w:r>
    </w:p>
  </w:footnote>
  <w:footnote w:id="14">
    <w:p w14:paraId="1927E3F3" w14:textId="3A552940" w:rsidR="007A1404" w:rsidRPr="00735921" w:rsidRDefault="007A1404" w:rsidP="008D6CB8">
      <w:pPr>
        <w:pStyle w:val="FootnoteText"/>
      </w:pPr>
      <w:r>
        <w:rPr>
          <w:rStyle w:val="FootnoteReference"/>
        </w:rPr>
        <w:footnoteRef/>
      </w:r>
      <w:r>
        <w:t>O’Connell, Exh. ECO-2C,</w:t>
      </w:r>
      <w:r w:rsidRPr="00E602B9">
        <w:t xml:space="preserve"> </w:t>
      </w:r>
      <w:r>
        <w:t>Staff’s proposed Environmental Remediation Adjustments “Environmental remediation G” Tab, cell C56 and C57.</w:t>
      </w:r>
      <w:r w:rsidRPr="008D6CB8">
        <w:t xml:space="preserve"> O’Connell, Exh. </w:t>
      </w:r>
      <w:r>
        <w:t xml:space="preserve">ECO-10C </w:t>
      </w:r>
      <w:r w:rsidRPr="008D6CB8">
        <w:t>PSE’s response to Staff</w:t>
      </w:r>
      <w:r>
        <w:t xml:space="preserve"> data request 401, attachment W.</w:t>
      </w:r>
    </w:p>
  </w:footnote>
  <w:footnote w:id="15">
    <w:p w14:paraId="0AA6571F" w14:textId="79B8C2F1" w:rsidR="007A1404" w:rsidRDefault="007A1404">
      <w:pPr>
        <w:pStyle w:val="FootnoteText"/>
      </w:pPr>
      <w:r>
        <w:rPr>
          <w:rStyle w:val="FootnoteReference"/>
        </w:rPr>
        <w:footnoteRef/>
      </w:r>
      <w:r>
        <w:t xml:space="preserve"> </w:t>
      </w:r>
      <w:r w:rsidRPr="008D6CB8">
        <w:t xml:space="preserve">O’Connell, Exh. </w:t>
      </w:r>
      <w:r>
        <w:t xml:space="preserve">ECO-2C, </w:t>
      </w:r>
      <w:r w:rsidRPr="008D6CB8">
        <w:t>Staff’s proposed Environmental Remediation Adjustments “</w:t>
      </w:r>
      <w:r>
        <w:t>Lead Sheet E” Tab, cell C60; “Lead Sheet G” Tab, cell C58</w:t>
      </w:r>
      <w:r w:rsidRPr="008D6CB8">
        <w:t>.</w:t>
      </w:r>
    </w:p>
  </w:footnote>
  <w:footnote w:id="16">
    <w:p w14:paraId="73617E53" w14:textId="1E15632E" w:rsidR="007A1404" w:rsidRPr="004A1921" w:rsidRDefault="007A1404" w:rsidP="00761988">
      <w:pPr>
        <w:pStyle w:val="FootnoteText"/>
      </w:pPr>
      <w:r w:rsidRPr="004A1921">
        <w:rPr>
          <w:rStyle w:val="FootnoteReference"/>
        </w:rPr>
        <w:footnoteRef/>
      </w:r>
      <w:r w:rsidRPr="004A1921">
        <w:t xml:space="preserve"> </w:t>
      </w:r>
      <w:r w:rsidRPr="00CC4034">
        <w:rPr>
          <w:i/>
        </w:rPr>
        <w:t xml:space="preserve">Wash. Utils. &amp; Transp. Comm’n </w:t>
      </w:r>
      <w:r>
        <w:rPr>
          <w:i/>
        </w:rPr>
        <w:t>v. Puget Sound Energy</w:t>
      </w:r>
      <w:r w:rsidRPr="00AF5AE2">
        <w:t>,</w:t>
      </w:r>
      <w:r>
        <w:t xml:space="preserve"> Docket UE-</w:t>
      </w:r>
      <w:r w:rsidRPr="004A1921">
        <w:t>031725</w:t>
      </w:r>
      <w:r>
        <w:t xml:space="preserve">, </w:t>
      </w:r>
      <w:r w:rsidRPr="004A1921">
        <w:t xml:space="preserve">Order 12 at </w:t>
      </w:r>
      <w:r>
        <w:t>¶ 19, (April 7, 2004)</w:t>
      </w:r>
    </w:p>
  </w:footnote>
  <w:footnote w:id="17">
    <w:p w14:paraId="34F0C1BE" w14:textId="573547E1" w:rsidR="007A1404" w:rsidRDefault="007A1404" w:rsidP="00A67F9E">
      <w:pPr>
        <w:pStyle w:val="FootnoteText"/>
      </w:pPr>
      <w:r>
        <w:rPr>
          <w:rStyle w:val="FootnoteReference"/>
        </w:rPr>
        <w:footnoteRef/>
      </w:r>
      <w:r>
        <w:t xml:space="preserve"> </w:t>
      </w:r>
      <w:r w:rsidRPr="00F153DA">
        <w:t>O’Connell, Exh. No. ECO-</w:t>
      </w:r>
      <w:r>
        <w:t>4, PSE’s Environmental Report for the quarter ending March 31, 2017</w:t>
      </w:r>
      <w:r w:rsidRPr="00F153DA">
        <w:t>.</w:t>
      </w:r>
    </w:p>
  </w:footnote>
  <w:footnote w:id="18">
    <w:p w14:paraId="45760753" w14:textId="22FEFDB4" w:rsidR="007A1404" w:rsidRDefault="007A1404" w:rsidP="000627DD">
      <w:pPr>
        <w:pStyle w:val="FootnoteText"/>
      </w:pPr>
      <w:r>
        <w:rPr>
          <w:rStyle w:val="FootnoteReference"/>
        </w:rPr>
        <w:footnoteRef/>
      </w:r>
      <w:r>
        <w:t xml:space="preserve"> Rork, Exh. No. JKR-1T at 4: 2-6</w:t>
      </w:r>
      <w:r w:rsidRPr="00377838">
        <w:t>.</w:t>
      </w:r>
    </w:p>
  </w:footnote>
  <w:footnote w:id="19">
    <w:p w14:paraId="288403EF" w14:textId="0D015F42" w:rsidR="007A1404" w:rsidRDefault="007A1404">
      <w:pPr>
        <w:pStyle w:val="FootnoteText"/>
      </w:pPr>
      <w:r>
        <w:rPr>
          <w:rStyle w:val="FootnoteReference"/>
        </w:rPr>
        <w:footnoteRef/>
      </w:r>
      <w:r>
        <w:t xml:space="preserve"> O’Connell, Exh. No. ECO-5</w:t>
      </w:r>
      <w:r w:rsidRPr="0034449A">
        <w:t xml:space="preserve"> (</w:t>
      </w:r>
      <w:r>
        <w:t>PSE’s Response to Data Request 279</w:t>
      </w:r>
      <w:r w:rsidRPr="0034449A">
        <w:t>).</w:t>
      </w:r>
    </w:p>
  </w:footnote>
  <w:footnote w:id="20">
    <w:p w14:paraId="6E558ACC" w14:textId="5217E920" w:rsidR="007A1404" w:rsidRDefault="007A1404">
      <w:pPr>
        <w:pStyle w:val="FootnoteText"/>
      </w:pPr>
      <w:r>
        <w:rPr>
          <w:rStyle w:val="FootnoteReference"/>
        </w:rPr>
        <w:footnoteRef/>
      </w:r>
      <w:r>
        <w:t xml:space="preserve"> </w:t>
      </w:r>
      <w:r w:rsidRPr="00E75FB3">
        <w:t xml:space="preserve">O’Connell, </w:t>
      </w:r>
      <w:r>
        <w:t>Exh. No. ECO-6</w:t>
      </w:r>
      <w:r w:rsidRPr="00E75FB3">
        <w:t xml:space="preserve"> (PS</w:t>
      </w:r>
      <w:r>
        <w:t>E’s Response to Data Request 274</w:t>
      </w:r>
      <w:r w:rsidRPr="00E75FB3">
        <w:t>).</w:t>
      </w:r>
    </w:p>
  </w:footnote>
  <w:footnote w:id="21">
    <w:p w14:paraId="636D9813" w14:textId="2D508C50" w:rsidR="007A1404" w:rsidRDefault="007A1404" w:rsidP="005F77A1">
      <w:pPr>
        <w:pStyle w:val="FootnoteText"/>
      </w:pPr>
      <w:r>
        <w:rPr>
          <w:rStyle w:val="FootnoteReference"/>
        </w:rPr>
        <w:footnoteRef/>
      </w:r>
      <w:r>
        <w:t xml:space="preserve"> </w:t>
      </w:r>
      <w:r w:rsidRPr="00E75FB3">
        <w:t xml:space="preserve">O’Connell, </w:t>
      </w:r>
      <w:r>
        <w:t xml:space="preserve">Exh. No. ECO-7, </w:t>
      </w:r>
      <w:r w:rsidRPr="00DE1D18">
        <w:t>PSE’s res</w:t>
      </w:r>
      <w:r>
        <w:t>ponse to Staff data request 282</w:t>
      </w:r>
      <w:r w:rsidRPr="00E75FB3">
        <w:t>.</w:t>
      </w:r>
    </w:p>
  </w:footnote>
  <w:footnote w:id="22">
    <w:p w14:paraId="2C311693" w14:textId="41CD95D2" w:rsidR="007A1404" w:rsidRPr="00A5592F" w:rsidRDefault="007A1404" w:rsidP="002529B5">
      <w:pPr>
        <w:pStyle w:val="FootnoteText"/>
        <w:rPr>
          <w:i/>
        </w:rPr>
      </w:pPr>
      <w:r w:rsidRPr="00A5592F">
        <w:rPr>
          <w:rStyle w:val="FootnoteReference"/>
          <w:i/>
        </w:rPr>
        <w:footnoteRef/>
      </w:r>
      <w:r w:rsidRPr="00A5592F">
        <w:rPr>
          <w:i/>
        </w:rPr>
        <w:t xml:space="preserve"> </w:t>
      </w:r>
      <w:r w:rsidRPr="00E75FB3">
        <w:t xml:space="preserve">O’Connell, </w:t>
      </w:r>
      <w:r>
        <w:t xml:space="preserve">Exh. No. ECO-8, </w:t>
      </w:r>
      <w:r w:rsidRPr="00DE1D18">
        <w:t>PSE’s res</w:t>
      </w:r>
      <w:r>
        <w:t>ponse to Staff data request 280</w:t>
      </w:r>
      <w:r w:rsidRPr="00E75FB3">
        <w:t>.</w:t>
      </w:r>
    </w:p>
  </w:footnote>
  <w:footnote w:id="23">
    <w:p w14:paraId="334BAFC8" w14:textId="77777777" w:rsidR="007A1404" w:rsidRDefault="007A1404" w:rsidP="002F366E">
      <w:pPr>
        <w:pStyle w:val="FootnoteText"/>
      </w:pPr>
      <w:r>
        <w:rPr>
          <w:rStyle w:val="FootnoteReference"/>
        </w:rPr>
        <w:footnoteRef/>
      </w:r>
      <w:r>
        <w:t xml:space="preserve"> Free, Exh. No. SEF-1T at 25: 11-15</w:t>
      </w:r>
      <w:r w:rsidRPr="00377838">
        <w:t>.</w:t>
      </w:r>
    </w:p>
  </w:footnote>
  <w:footnote w:id="24">
    <w:p w14:paraId="79A36677" w14:textId="15BF651E" w:rsidR="007A1404" w:rsidRDefault="007A1404" w:rsidP="002F366E">
      <w:pPr>
        <w:pStyle w:val="FootnoteText"/>
      </w:pPr>
      <w:r>
        <w:rPr>
          <w:rStyle w:val="FootnoteReference"/>
        </w:rPr>
        <w:footnoteRef/>
      </w:r>
      <w:r>
        <w:t xml:space="preserve"> </w:t>
      </w:r>
      <w:r w:rsidRPr="00BE69E0">
        <w:rPr>
          <w:i/>
        </w:rPr>
        <w:t>Id.</w:t>
      </w:r>
      <w:r>
        <w:t xml:space="preserve">  At 25: 3-5. (“</w:t>
      </w:r>
      <w:r w:rsidRPr="00DF170F">
        <w:t>PSE is proposing to include only a portion of the unassigned insurance and third party recoveries to offset the actual costs included in this proceeding.</w:t>
      </w:r>
      <w:r>
        <w:t>”)</w:t>
      </w:r>
    </w:p>
  </w:footnote>
  <w:footnote w:id="25">
    <w:p w14:paraId="0C9EE921" w14:textId="77777777" w:rsidR="007A1404" w:rsidRDefault="007A1404" w:rsidP="002F366E">
      <w:pPr>
        <w:pStyle w:val="FootnoteText"/>
      </w:pPr>
      <w:r>
        <w:rPr>
          <w:rStyle w:val="FootnoteReference"/>
        </w:rPr>
        <w:footnoteRef/>
      </w:r>
      <w:r>
        <w:t xml:space="preserve"> O’Connell, Exh. No. ECO-11</w:t>
      </w:r>
      <w:r w:rsidRPr="00E97C09">
        <w:t xml:space="preserve"> (PSE Resp</w:t>
      </w:r>
      <w:r>
        <w:t>onse</w:t>
      </w:r>
      <w:r w:rsidRPr="00E97C09">
        <w:t xml:space="preserve"> to Staff D</w:t>
      </w:r>
      <w:r>
        <w:t xml:space="preserve">ata </w:t>
      </w:r>
      <w:r w:rsidRPr="00E97C09">
        <w:t>R</w:t>
      </w:r>
      <w:r>
        <w:t>equest</w:t>
      </w:r>
      <w:r w:rsidRPr="00E97C09">
        <w:t xml:space="preserve"> </w:t>
      </w:r>
      <w:r>
        <w:t>278)</w:t>
      </w:r>
    </w:p>
  </w:footnote>
  <w:footnote w:id="26">
    <w:p w14:paraId="4762613E" w14:textId="4A42E01E" w:rsidR="007A1404" w:rsidRDefault="007A1404" w:rsidP="002F366E">
      <w:pPr>
        <w:pStyle w:val="FootnoteText"/>
      </w:pPr>
      <w:r>
        <w:rPr>
          <w:rStyle w:val="FootnoteReference"/>
        </w:rPr>
        <w:footnoteRef/>
      </w:r>
      <w:r>
        <w:t xml:space="preserve"> </w:t>
      </w:r>
      <w:r>
        <w:rPr>
          <w:i/>
        </w:rPr>
        <w:t>See P</w:t>
      </w:r>
      <w:r w:rsidRPr="00D45949">
        <w:rPr>
          <w:i/>
        </w:rPr>
        <w:t>etition of Puget Sound Energy, Inc. for An Accounting Order Regarding the Accounting Treatment for Costs of its Electric Environmental Remediation Program</w:t>
      </w:r>
      <w:r w:rsidRPr="00D45949">
        <w:t xml:space="preserve">, Dockets UE-070724 and UE-072060 and UE-081016, Order 01, 3 </w:t>
      </w:r>
      <w:r>
        <w:t>§ (d) (Oct. 8, 2008);</w:t>
      </w:r>
      <w:r w:rsidRPr="00D45949">
        <w:rPr>
          <w:i/>
          <w:sz w:val="24"/>
          <w:szCs w:val="24"/>
        </w:rPr>
        <w:t xml:space="preserve"> </w:t>
      </w:r>
      <w:r w:rsidRPr="00D45949">
        <w:rPr>
          <w:i/>
        </w:rPr>
        <w:t xml:space="preserve">Petition of Puget Sound </w:t>
      </w:r>
      <w:r>
        <w:rPr>
          <w:i/>
        </w:rPr>
        <w:t xml:space="preserve">Power &amp; Light. for An Order Regarding the Accounting </w:t>
      </w:r>
      <w:r w:rsidRPr="00D45949">
        <w:rPr>
          <w:i/>
        </w:rPr>
        <w:t>Treatment for C</w:t>
      </w:r>
      <w:r>
        <w:rPr>
          <w:i/>
        </w:rPr>
        <w:t xml:space="preserve">osts of its </w:t>
      </w:r>
      <w:r w:rsidRPr="00D45949">
        <w:rPr>
          <w:i/>
        </w:rPr>
        <w:t>Environmental Remediation Program</w:t>
      </w:r>
      <w:r w:rsidRPr="00D45949">
        <w:t>, Docket UE-</w:t>
      </w:r>
      <w:r>
        <w:t xml:space="preserve">911476, </w:t>
      </w:r>
      <w:r w:rsidRPr="00D45949">
        <w:t xml:space="preserve">Order </w:t>
      </w:r>
      <w:r>
        <w:t>Authorizing Accounting Treatment</w:t>
      </w:r>
      <w:r w:rsidRPr="00D45949">
        <w:t xml:space="preserve">, </w:t>
      </w:r>
      <w:r>
        <w:t>5</w:t>
      </w:r>
      <w:r w:rsidRPr="00D45949">
        <w:t xml:space="preserve"> § (d</w:t>
      </w:r>
      <w:r>
        <w:t>) (Apr. 1, 1992</w:t>
      </w:r>
      <w:r w:rsidRPr="00D45949">
        <w:t>)</w:t>
      </w:r>
      <w:r>
        <w:t xml:space="preserve">; </w:t>
      </w:r>
      <w:r w:rsidRPr="00D45949">
        <w:t xml:space="preserve"> </w:t>
      </w:r>
      <w:r>
        <w:rPr>
          <w:i/>
        </w:rPr>
        <w:t>P</w:t>
      </w:r>
      <w:r w:rsidRPr="00D45949">
        <w:rPr>
          <w:i/>
        </w:rPr>
        <w:t>etition of Puget Sound Energy, Inc. for An Accounting Order Regarding the Accounting Treatment for Costs of its Electric Environmental Remediation Program</w:t>
      </w:r>
      <w:r w:rsidRPr="00D45949">
        <w:t>, Docket UE-</w:t>
      </w:r>
      <w:r>
        <w:t>991796</w:t>
      </w:r>
      <w:r w:rsidRPr="00D45949">
        <w:t xml:space="preserve">, Order </w:t>
      </w:r>
      <w:r w:rsidRPr="00E50F23">
        <w:t>Authorizing Accounting Treatment</w:t>
      </w:r>
      <w:r w:rsidRPr="00D45949">
        <w:t xml:space="preserve">, </w:t>
      </w:r>
      <w:r>
        <w:t>2</w:t>
      </w:r>
      <w:r w:rsidRPr="00D45949">
        <w:t xml:space="preserve"> </w:t>
      </w:r>
      <w:r>
        <w:t xml:space="preserve">§ (e) (Feb. 23, 2000); </w:t>
      </w:r>
      <w:r w:rsidRPr="00D45949">
        <w:rPr>
          <w:i/>
        </w:rPr>
        <w:t>Washington Natural Gas Company’s Accounting Petition for Environmental Remediation Program</w:t>
      </w:r>
      <w:r w:rsidRPr="00D45949">
        <w:t>, Docket UG-920781</w:t>
      </w:r>
      <w:r>
        <w:t>,</w:t>
      </w:r>
      <w:r w:rsidRPr="00D45949">
        <w:t xml:space="preserve"> </w:t>
      </w:r>
      <w:r w:rsidRPr="00A47B86">
        <w:t>2 § (</w:t>
      </w:r>
      <w:r>
        <w:t>d</w:t>
      </w:r>
      <w:r w:rsidRPr="00A47B86">
        <w:t xml:space="preserve">) </w:t>
      </w:r>
      <w:r w:rsidRPr="00D45949">
        <w:t xml:space="preserve">(Nov. 25, 1992).  </w:t>
      </w:r>
    </w:p>
  </w:footnote>
  <w:footnote w:id="27">
    <w:p w14:paraId="24396197" w14:textId="165E98B6" w:rsidR="007A1404" w:rsidRDefault="007A1404" w:rsidP="002F366E">
      <w:pPr>
        <w:pStyle w:val="FootnoteText"/>
      </w:pPr>
      <w:r>
        <w:rPr>
          <w:rStyle w:val="FootnoteReference"/>
        </w:rPr>
        <w:footnoteRef/>
      </w:r>
      <w:r>
        <w:t xml:space="preserve"> </w:t>
      </w:r>
      <w:r w:rsidRPr="00A47B86">
        <w:rPr>
          <w:i/>
        </w:rPr>
        <w:t>Id.</w:t>
      </w:r>
    </w:p>
  </w:footnote>
  <w:footnote w:id="28">
    <w:p w14:paraId="48619E12" w14:textId="0381971A" w:rsidR="007A1404" w:rsidRDefault="007A1404" w:rsidP="002F366E">
      <w:pPr>
        <w:pStyle w:val="FootnoteText"/>
      </w:pPr>
      <w:r>
        <w:rPr>
          <w:rStyle w:val="FootnoteReference"/>
        </w:rPr>
        <w:footnoteRef/>
      </w:r>
      <w:r>
        <w:t xml:space="preserve"> </w:t>
      </w:r>
      <w:r w:rsidRPr="00FE74F1">
        <w:t xml:space="preserve">O’Connell, Exh. </w:t>
      </w:r>
      <w:r>
        <w:t>ECO-2C</w:t>
      </w:r>
      <w:r w:rsidRPr="00FE74F1">
        <w:t xml:space="preserve">, </w:t>
      </w:r>
      <w:r w:rsidRPr="00CC0E7D">
        <w:t xml:space="preserve">Staff’s proposed Environmental Remediation Adjustments </w:t>
      </w:r>
      <w:r w:rsidRPr="00FE74F1">
        <w:t>“Environmen</w:t>
      </w:r>
      <w:r>
        <w:t>tal remediation G” Tab, cell G47,</w:t>
      </w:r>
      <w:r w:rsidRPr="00FE74F1">
        <w:t xml:space="preserve"> </w:t>
      </w:r>
      <w:r>
        <w:t>“Environmental remediation E” Tab, cell G31</w:t>
      </w:r>
      <w:r w:rsidRPr="00FE74F1">
        <w:t>.</w:t>
      </w:r>
    </w:p>
  </w:footnote>
  <w:footnote w:id="29">
    <w:p w14:paraId="7351E0D7" w14:textId="4CC24D80" w:rsidR="007A1404" w:rsidRDefault="007A1404" w:rsidP="00C67A7C">
      <w:pPr>
        <w:pStyle w:val="FootnoteText"/>
      </w:pPr>
      <w:r>
        <w:rPr>
          <w:rStyle w:val="FootnoteReference"/>
        </w:rPr>
        <w:footnoteRef/>
      </w:r>
      <w:r>
        <w:t xml:space="preserve"> </w:t>
      </w:r>
      <w:r w:rsidRPr="005C3751">
        <w:t>Exh. No. ECO-</w:t>
      </w:r>
      <w:r>
        <w:t>12</w:t>
      </w:r>
      <w:r w:rsidRPr="005C3751">
        <w:t xml:space="preserve"> </w:t>
      </w:r>
      <w:r w:rsidRPr="00D8114A">
        <w:t>PSE Re</w:t>
      </w:r>
      <w:r>
        <w:t xml:space="preserve">sponse to Staff Data Request 269, Attachment A, “Attach A Staff 269” Tab, cell </w:t>
      </w:r>
      <w:r w:rsidRPr="0038028D">
        <w:rPr>
          <w:highlight w:val="yellow"/>
        </w:rPr>
        <w:t>AN36</w:t>
      </w:r>
      <w:r>
        <w:t>)</w:t>
      </w:r>
    </w:p>
  </w:footnote>
  <w:footnote w:id="30">
    <w:p w14:paraId="272B8FB1" w14:textId="5A8802EB" w:rsidR="007A1404" w:rsidRDefault="007A1404" w:rsidP="00C67A7C">
      <w:pPr>
        <w:pStyle w:val="FootnoteText"/>
      </w:pPr>
      <w:r>
        <w:rPr>
          <w:rStyle w:val="FootnoteReference"/>
        </w:rPr>
        <w:footnoteRef/>
      </w:r>
      <w:r>
        <w:t xml:space="preserve"> </w:t>
      </w:r>
      <w:r w:rsidRPr="00D8114A">
        <w:t xml:space="preserve">O’Connell, Exh. No. </w:t>
      </w:r>
      <w:r>
        <w:t xml:space="preserve">ECO-14C, </w:t>
      </w:r>
      <w:r w:rsidRPr="00D8114A">
        <w:t>PSE Response to Staff Data Request 401, Attachment K</w:t>
      </w:r>
      <w:r>
        <w:t>.</w:t>
      </w:r>
    </w:p>
  </w:footnote>
  <w:footnote w:id="31">
    <w:p w14:paraId="4D344F3E" w14:textId="29593D88" w:rsidR="007A1404" w:rsidRDefault="007A1404" w:rsidP="00C67A7C">
      <w:pPr>
        <w:pStyle w:val="FootnoteText"/>
      </w:pPr>
      <w:r>
        <w:rPr>
          <w:rStyle w:val="FootnoteReference"/>
        </w:rPr>
        <w:footnoteRef/>
      </w:r>
      <w:r>
        <w:t xml:space="preserve"> </w:t>
      </w:r>
      <w:r w:rsidRPr="002C0406">
        <w:t xml:space="preserve">O’Connell, Exh. No. </w:t>
      </w:r>
      <w:r>
        <w:t xml:space="preserve">ECO-13C, </w:t>
      </w:r>
      <w:r w:rsidRPr="002C0406">
        <w:t>Tacoma Tide Flats letter</w:t>
      </w:r>
      <w:r>
        <w:t>.</w:t>
      </w:r>
    </w:p>
  </w:footnote>
  <w:footnote w:id="32">
    <w:p w14:paraId="6AD0E479" w14:textId="3BFEC131" w:rsidR="007A1404" w:rsidRDefault="007A1404" w:rsidP="00E223B0">
      <w:pPr>
        <w:pStyle w:val="FootnoteText"/>
      </w:pPr>
      <w:r>
        <w:rPr>
          <w:rStyle w:val="FootnoteReference"/>
        </w:rPr>
        <w:footnoteRef/>
      </w:r>
      <w:r>
        <w:t xml:space="preserve"> </w:t>
      </w:r>
      <w:r w:rsidRPr="002C0406">
        <w:t>O’Connell,</w:t>
      </w:r>
      <w:r>
        <w:t xml:space="preserve"> Exh. No. ECO-16, Washington Natural Gas and PSE’s Environmental Projects Quarterly reports excluding Tacoma Tide Flats.</w:t>
      </w:r>
    </w:p>
  </w:footnote>
  <w:footnote w:id="33">
    <w:p w14:paraId="6AD9E5D3" w14:textId="3282BC64" w:rsidR="007A1404" w:rsidRDefault="007A1404" w:rsidP="00E223B0">
      <w:pPr>
        <w:pStyle w:val="FootnoteText"/>
      </w:pPr>
      <w:r>
        <w:rPr>
          <w:rStyle w:val="FootnoteReference"/>
        </w:rPr>
        <w:footnoteRef/>
      </w:r>
      <w:r>
        <w:t xml:space="preserve"> O’Connell, Exh. No. ECO-17, PSE’s summary of environmental remediation costs for gas sites including Tacoma Tide Flats. December 31, 1997, page 1.</w:t>
      </w:r>
    </w:p>
  </w:footnote>
  <w:footnote w:id="34">
    <w:p w14:paraId="3356CBD9" w14:textId="4389DF90" w:rsidR="007A1404" w:rsidRDefault="007A1404" w:rsidP="00C67A7C">
      <w:pPr>
        <w:pStyle w:val="FootnoteText"/>
      </w:pPr>
      <w:r>
        <w:rPr>
          <w:rStyle w:val="FootnoteReference"/>
        </w:rPr>
        <w:footnoteRef/>
      </w:r>
      <w:r>
        <w:t xml:space="preserve"> O’Connell, Exh. ECO-12. “Attach. A Staff 269” Tab, cell 44BF.</w:t>
      </w:r>
    </w:p>
  </w:footnote>
  <w:footnote w:id="35">
    <w:p w14:paraId="77B433B8" w14:textId="227D53BA" w:rsidR="007A1404" w:rsidRDefault="007A1404" w:rsidP="0078395E">
      <w:pPr>
        <w:pStyle w:val="FootnoteText"/>
      </w:pPr>
      <w:r>
        <w:rPr>
          <w:rStyle w:val="FootnoteReference"/>
        </w:rPr>
        <w:footnoteRef/>
      </w:r>
      <w:r>
        <w:t xml:space="preserve"> O’Connell, Exh. ECO-2C, Staff’s proposed Environmental Remediation Adjustments “Environmental Remediation G” Tab, Cell C56 and C57.</w:t>
      </w:r>
    </w:p>
  </w:footnote>
  <w:footnote w:id="36">
    <w:p w14:paraId="2777CCA7" w14:textId="51E8C1D8" w:rsidR="007A1404" w:rsidRDefault="007A1404">
      <w:pPr>
        <w:pStyle w:val="FootnoteText"/>
      </w:pPr>
      <w:r>
        <w:rPr>
          <w:rStyle w:val="FootnoteReference"/>
        </w:rPr>
        <w:footnoteRef/>
      </w:r>
      <w:r>
        <w:t xml:space="preserve"> O’Connell, Exh. No. ECO-15, </w:t>
      </w:r>
      <w:r w:rsidRPr="00F23A92">
        <w:t>PSE R</w:t>
      </w:r>
      <w:r>
        <w:t>esponse to Staff DR 281. O’Connell, Exh. No. ECO-9, PSE Response to Staff Data Request 270, Data Request 271.</w:t>
      </w:r>
    </w:p>
  </w:footnote>
  <w:footnote w:id="37">
    <w:p w14:paraId="3EC77C64" w14:textId="70F3F3A2" w:rsidR="007A1404" w:rsidRDefault="007A1404">
      <w:pPr>
        <w:pStyle w:val="FootnoteText"/>
      </w:pPr>
      <w:r>
        <w:rPr>
          <w:rStyle w:val="FootnoteReference"/>
        </w:rPr>
        <w:footnoteRef/>
      </w:r>
      <w:r>
        <w:t xml:space="preserve"> O’Connell, Exh. No. ECO-10C, </w:t>
      </w:r>
      <w:r w:rsidRPr="00F23A92">
        <w:t>PSE R</w:t>
      </w:r>
      <w:r w:rsidR="004D3860">
        <w:t xml:space="preserve">esp. to Staff DR 401 </w:t>
      </w:r>
      <w:r>
        <w:t>Attachment W.</w:t>
      </w:r>
    </w:p>
  </w:footnote>
  <w:footnote w:id="38">
    <w:p w14:paraId="2BD7230B" w14:textId="665BA106" w:rsidR="007A1404" w:rsidRDefault="007A1404">
      <w:pPr>
        <w:pStyle w:val="FootnoteText"/>
      </w:pPr>
      <w:r>
        <w:rPr>
          <w:rStyle w:val="FootnoteReference"/>
        </w:rPr>
        <w:footnoteRef/>
      </w:r>
      <w:r>
        <w:t xml:space="preserve"> </w:t>
      </w:r>
      <w:r w:rsidRPr="00D45949">
        <w:rPr>
          <w:i/>
        </w:rPr>
        <w:t>Washington Natural Gas Company’s Accounting Petition for Environmental Remediation Program</w:t>
      </w:r>
      <w:r w:rsidRPr="00D45949">
        <w:t>, Docket UG-920781</w:t>
      </w:r>
      <w:r>
        <w:t>,</w:t>
      </w:r>
      <w:r w:rsidRPr="00D45949">
        <w:t xml:space="preserve"> </w:t>
      </w:r>
      <w:r w:rsidRPr="00A47B86">
        <w:t>2 § (</w:t>
      </w:r>
      <w:r>
        <w:t>c</w:t>
      </w:r>
      <w:r w:rsidRPr="00A47B86">
        <w:t xml:space="preserve">) </w:t>
      </w:r>
      <w:r w:rsidRPr="00D45949">
        <w:t xml:space="preserve">(Nov. 25, 1992).  </w:t>
      </w:r>
    </w:p>
  </w:footnote>
  <w:footnote w:id="39">
    <w:p w14:paraId="5B12194E" w14:textId="274F8B27" w:rsidR="007A1404" w:rsidRDefault="007A1404">
      <w:pPr>
        <w:pStyle w:val="FootnoteText"/>
      </w:pPr>
      <w:r>
        <w:rPr>
          <w:rStyle w:val="FootnoteReference"/>
        </w:rPr>
        <w:footnoteRef/>
      </w:r>
      <w:r>
        <w:t xml:space="preserve"> </w:t>
      </w:r>
      <w:r w:rsidRPr="00CB0A9E">
        <w:rPr>
          <w:i/>
        </w:rPr>
        <w:t>Id.</w:t>
      </w:r>
      <w:r>
        <w:t xml:space="preserve"> Page 2, Section d.</w:t>
      </w:r>
    </w:p>
  </w:footnote>
  <w:footnote w:id="40">
    <w:p w14:paraId="213972E2" w14:textId="7223FE60" w:rsidR="007A1404" w:rsidRDefault="007A1404">
      <w:pPr>
        <w:pStyle w:val="FootnoteText"/>
      </w:pPr>
      <w:r>
        <w:rPr>
          <w:rStyle w:val="FootnoteReference"/>
        </w:rPr>
        <w:footnoteRef/>
      </w:r>
      <w:r>
        <w:t xml:space="preserve"> WNG 1993</w:t>
      </w:r>
      <w:r w:rsidRPr="003C27B1">
        <w:t xml:space="preserve"> GRC Order</w:t>
      </w:r>
      <w:r>
        <w:t>, p. 17.</w:t>
      </w:r>
    </w:p>
  </w:footnote>
  <w:footnote w:id="41">
    <w:p w14:paraId="63121441" w14:textId="6F844B93" w:rsidR="007A1404" w:rsidRDefault="007A1404">
      <w:pPr>
        <w:pStyle w:val="FootnoteText"/>
      </w:pPr>
      <w:r>
        <w:rPr>
          <w:rStyle w:val="FootnoteReference"/>
        </w:rPr>
        <w:footnoteRef/>
      </w:r>
      <w:r>
        <w:t xml:space="preserve"> </w:t>
      </w:r>
      <w:r w:rsidRPr="00B02626">
        <w:rPr>
          <w:i/>
        </w:rPr>
        <w:t>Id.</w:t>
      </w:r>
    </w:p>
  </w:footnote>
  <w:footnote w:id="42">
    <w:p w14:paraId="246FF5A2" w14:textId="0029C071" w:rsidR="007A1404" w:rsidRDefault="007A1404">
      <w:pPr>
        <w:pStyle w:val="FootnoteText"/>
      </w:pPr>
      <w:r>
        <w:rPr>
          <w:rStyle w:val="FootnoteReference"/>
        </w:rPr>
        <w:footnoteRef/>
      </w:r>
      <w:r>
        <w:t xml:space="preserve"> </w:t>
      </w:r>
      <w:r>
        <w:rPr>
          <w:rStyle w:val="Hyperlink"/>
          <w:color w:val="000000" w:themeColor="text1"/>
          <w:u w:val="none"/>
        </w:rPr>
        <w:t xml:space="preserve">Puget Sound Energy, </w:t>
      </w:r>
      <w:r w:rsidRPr="00F36974">
        <w:t>https://pse.com/accountsandservices/YourAccount/Pages/Lease-Services.aspx visited on 06/26/2017</w:t>
      </w:r>
      <w:r>
        <w:t xml:space="preserve"> at 13:30.</w:t>
      </w:r>
    </w:p>
  </w:footnote>
  <w:footnote w:id="43">
    <w:p w14:paraId="54461DB3" w14:textId="10991BD5" w:rsidR="007A1404" w:rsidRDefault="007A1404">
      <w:pPr>
        <w:pStyle w:val="FootnoteText"/>
      </w:pPr>
      <w:r>
        <w:rPr>
          <w:rStyle w:val="FootnoteReference"/>
        </w:rPr>
        <w:footnoteRef/>
      </w:r>
      <w:r>
        <w:t xml:space="preserve"> O’Connell, Exh. No. ECO-20, </w:t>
      </w:r>
      <w:r w:rsidRPr="00CF66FC">
        <w:t xml:space="preserve">PSE Response to Staff Data Request </w:t>
      </w:r>
      <w:r>
        <w:t>221.</w:t>
      </w:r>
    </w:p>
  </w:footnote>
  <w:footnote w:id="44">
    <w:p w14:paraId="73B59A0D" w14:textId="06E59D73" w:rsidR="007A1404" w:rsidRDefault="007A1404">
      <w:pPr>
        <w:pStyle w:val="FootnoteText"/>
      </w:pPr>
      <w:r>
        <w:rPr>
          <w:rStyle w:val="FootnoteReference"/>
        </w:rPr>
        <w:footnoteRef/>
      </w:r>
      <w:r>
        <w:t xml:space="preserve"> O’Connell, Exh. No. ECO-18, </w:t>
      </w:r>
      <w:r w:rsidRPr="00D8114A">
        <w:t>PSE Re</w:t>
      </w:r>
      <w:r>
        <w:t>sponse to Staff Data Request 364, Attachment A</w:t>
      </w:r>
      <w:r w:rsidRPr="00B46F9C">
        <w:t>.</w:t>
      </w:r>
    </w:p>
  </w:footnote>
  <w:footnote w:id="45">
    <w:p w14:paraId="0C3E8A35" w14:textId="1206D67F" w:rsidR="007A1404" w:rsidRDefault="007A1404">
      <w:pPr>
        <w:pStyle w:val="FootnoteText"/>
      </w:pPr>
      <w:r>
        <w:rPr>
          <w:rStyle w:val="FootnoteReference"/>
        </w:rPr>
        <w:footnoteRef/>
      </w:r>
      <w:r>
        <w:t xml:space="preserve"> O’Connell,</w:t>
      </w:r>
      <w:r w:rsidRPr="00C257DA">
        <w:t xml:space="preserve"> Exh. No. </w:t>
      </w:r>
      <w:r>
        <w:t xml:space="preserve">ECO-23, </w:t>
      </w:r>
      <w:r w:rsidRPr="00C257DA">
        <w:t>PSE Response to Staff Data Request 218, Attachment A.</w:t>
      </w:r>
    </w:p>
  </w:footnote>
  <w:footnote w:id="46">
    <w:p w14:paraId="6DDFECF4" w14:textId="4FCC7C6F" w:rsidR="007A1404" w:rsidRDefault="007A1404" w:rsidP="00873F36">
      <w:pPr>
        <w:pStyle w:val="FootnoteText"/>
      </w:pPr>
      <w:r>
        <w:rPr>
          <w:rStyle w:val="FootnoteReference"/>
        </w:rPr>
        <w:footnoteRef/>
      </w:r>
      <w:r>
        <w:t xml:space="preserve"> O’Connell, Exh. No. ECO-19, </w:t>
      </w:r>
      <w:r w:rsidRPr="00235231">
        <w:t>PSE Re</w:t>
      </w:r>
      <w:r>
        <w:t>sponse to Staff Data Request 364, section C.</w:t>
      </w:r>
    </w:p>
  </w:footnote>
  <w:footnote w:id="47">
    <w:p w14:paraId="598DB00E" w14:textId="448E372F" w:rsidR="007A1404" w:rsidRDefault="007A1404">
      <w:pPr>
        <w:pStyle w:val="FootnoteText"/>
      </w:pPr>
      <w:r>
        <w:rPr>
          <w:rStyle w:val="FootnoteReference"/>
        </w:rPr>
        <w:footnoteRef/>
      </w:r>
      <w:r>
        <w:t xml:space="preserve"> WNG 1993</w:t>
      </w:r>
      <w:r w:rsidRPr="003C27B1">
        <w:t xml:space="preserve"> GRC Order</w:t>
      </w:r>
      <w:r>
        <w:t>. Page 16.</w:t>
      </w:r>
    </w:p>
  </w:footnote>
  <w:footnote w:id="48">
    <w:p w14:paraId="379B49B7" w14:textId="62C5851D" w:rsidR="007A1404" w:rsidRDefault="007A1404" w:rsidP="001F775A">
      <w:pPr>
        <w:pStyle w:val="FootnoteText"/>
      </w:pPr>
      <w:r>
        <w:rPr>
          <w:rStyle w:val="FootnoteReference"/>
        </w:rPr>
        <w:footnoteRef/>
      </w:r>
      <w:r w:rsidRPr="002E35AD">
        <w:rPr>
          <w:i/>
        </w:rPr>
        <w:t xml:space="preserve"> Id</w:t>
      </w:r>
      <w:r>
        <w:t>. Page 17.</w:t>
      </w:r>
    </w:p>
  </w:footnote>
  <w:footnote w:id="49">
    <w:p w14:paraId="147DA7DB" w14:textId="6D68B99B" w:rsidR="007A1404" w:rsidRDefault="007A1404" w:rsidP="00DC0A8E">
      <w:pPr>
        <w:pStyle w:val="FootnoteText"/>
      </w:pPr>
      <w:r>
        <w:rPr>
          <w:rStyle w:val="FootnoteReference"/>
        </w:rPr>
        <w:footnoteRef/>
      </w:r>
      <w:r>
        <w:t xml:space="preserve"> PSE 2016 Leasing Order, p. 16, ¶ 61.</w:t>
      </w:r>
    </w:p>
  </w:footnote>
  <w:footnote w:id="50">
    <w:p w14:paraId="11847B48" w14:textId="060EF1AD" w:rsidR="007A1404" w:rsidRDefault="007A1404" w:rsidP="001F775A">
      <w:pPr>
        <w:pStyle w:val="FootnoteText"/>
      </w:pPr>
      <w:r>
        <w:rPr>
          <w:rStyle w:val="FootnoteReference"/>
        </w:rPr>
        <w:footnoteRef/>
      </w:r>
      <w:r>
        <w:t xml:space="preserve"> </w:t>
      </w:r>
      <w:r w:rsidRPr="007A1404">
        <w:rPr>
          <w:i/>
        </w:rPr>
        <w:t>Id</w:t>
      </w:r>
      <w:r w:rsidRPr="00C35D4D">
        <w:rPr>
          <w:i/>
        </w:rPr>
        <w:t>.</w:t>
      </w:r>
      <w:r>
        <w:t xml:space="preserve"> p. 16, ¶ 62</w:t>
      </w:r>
    </w:p>
  </w:footnote>
  <w:footnote w:id="51">
    <w:p w14:paraId="08E69F1A" w14:textId="5F7626E6" w:rsidR="007A1404" w:rsidRDefault="007A1404">
      <w:pPr>
        <w:pStyle w:val="FootnoteText"/>
      </w:pPr>
      <w:r>
        <w:rPr>
          <w:rStyle w:val="FootnoteReference"/>
        </w:rPr>
        <w:footnoteRef/>
      </w:r>
      <w:r>
        <w:t xml:space="preserve"> </w:t>
      </w:r>
      <w:r w:rsidRPr="004F7E5E">
        <w:t xml:space="preserve">O’Connell, Exh. No. </w:t>
      </w:r>
      <w:r>
        <w:t xml:space="preserve">ECO-21, </w:t>
      </w:r>
      <w:r w:rsidRPr="004F7E5E">
        <w:t xml:space="preserve">PSE’s response to </w:t>
      </w:r>
      <w:r>
        <w:t>Staff data requests 312 and 408</w:t>
      </w:r>
      <w:r w:rsidRPr="004F7E5E">
        <w:t>.</w:t>
      </w:r>
    </w:p>
  </w:footnote>
  <w:footnote w:id="52">
    <w:p w14:paraId="66AFE6BF" w14:textId="22F0852F" w:rsidR="007A1404" w:rsidRDefault="007A1404">
      <w:pPr>
        <w:pStyle w:val="FootnoteText"/>
      </w:pPr>
      <w:r>
        <w:rPr>
          <w:rStyle w:val="FootnoteReference"/>
        </w:rPr>
        <w:footnoteRef/>
      </w:r>
      <w:r>
        <w:t xml:space="preserve"> PSE 2016 Leasing Order, Page 3, paragraph 8</w:t>
      </w:r>
    </w:p>
  </w:footnote>
  <w:footnote w:id="53">
    <w:p w14:paraId="08E16FA0" w14:textId="4FF764AF" w:rsidR="007A1404" w:rsidRPr="00EE1020" w:rsidRDefault="007A1404" w:rsidP="00137BF4">
      <w:pPr>
        <w:pStyle w:val="FootnoteText"/>
      </w:pPr>
      <w:r>
        <w:rPr>
          <w:rStyle w:val="FootnoteReference"/>
        </w:rPr>
        <w:footnoteRef/>
      </w:r>
      <w:r>
        <w:t xml:space="preserve"> </w:t>
      </w:r>
      <w:r w:rsidRPr="0068156C">
        <w:rPr>
          <w:i/>
        </w:rPr>
        <w:t>See</w:t>
      </w:r>
      <w:r>
        <w:rPr>
          <w:i/>
        </w:rPr>
        <w:t xml:space="preserve"> Petition of PUGET SOUND ENERGY, INC. </w:t>
      </w:r>
      <w:r w:rsidRPr="00BD651B">
        <w:rPr>
          <w:i/>
        </w:rPr>
        <w:t>for (i) Approval of a Special Con</w:t>
      </w:r>
      <w:r>
        <w:rPr>
          <w:i/>
        </w:rPr>
        <w:t xml:space="preserve">tract for Liquefied Natural Gas </w:t>
      </w:r>
      <w:r w:rsidRPr="00BD651B">
        <w:rPr>
          <w:i/>
        </w:rPr>
        <w:t xml:space="preserve">Fuel Service with Totem Ocean Trailer Express, Inc. and (ii) a Declaratory </w:t>
      </w:r>
      <w:r>
        <w:rPr>
          <w:i/>
        </w:rPr>
        <w:t xml:space="preserve">Order Approving the Methodology </w:t>
      </w:r>
      <w:r w:rsidRPr="00BD651B">
        <w:rPr>
          <w:i/>
        </w:rPr>
        <w:t>for Allocating Costs Between Regulated and Non-regulated Liquefied Natural Gas Services</w:t>
      </w:r>
      <w:r>
        <w:t>,</w:t>
      </w:r>
    </w:p>
    <w:p w14:paraId="4B84155B" w14:textId="77777777" w:rsidR="007A1404" w:rsidRDefault="007A1404" w:rsidP="00137BF4">
      <w:pPr>
        <w:pStyle w:val="FootnoteText"/>
      </w:pPr>
      <w:r w:rsidRPr="00593F7F">
        <w:t>Docket</w:t>
      </w:r>
      <w:r>
        <w:t xml:space="preserve"> UG-151663,</w:t>
      </w:r>
      <w:r w:rsidRPr="001B2E38">
        <w:t xml:space="preserve"> </w:t>
      </w:r>
      <w:r>
        <w:t>Order 10, Settlement Stipulation</w:t>
      </w:r>
      <w:r w:rsidRPr="00593F7F">
        <w:t xml:space="preserve"> (</w:t>
      </w:r>
      <w:r>
        <w:t>November 01,</w:t>
      </w:r>
      <w:r w:rsidRPr="00593F7F">
        <w:t xml:space="preserve"> 2016) (</w:t>
      </w:r>
      <w:r>
        <w:t xml:space="preserve">PSE 2016 TOTE </w:t>
      </w:r>
      <w:r w:rsidRPr="00593F7F">
        <w:t>Order).</w:t>
      </w:r>
    </w:p>
  </w:footnote>
  <w:footnote w:id="54">
    <w:p w14:paraId="6CF68C00" w14:textId="76A8EC0E" w:rsidR="007A1404" w:rsidRDefault="007A1404">
      <w:pPr>
        <w:pStyle w:val="FootnoteText"/>
      </w:pPr>
      <w:r>
        <w:rPr>
          <w:rStyle w:val="FootnoteReference"/>
        </w:rPr>
        <w:footnoteRef/>
      </w:r>
      <w:r>
        <w:t xml:space="preserve"> Puget Holdings is also the parent company of PSE.</w:t>
      </w:r>
    </w:p>
  </w:footnote>
  <w:footnote w:id="55">
    <w:p w14:paraId="73E1EA19" w14:textId="3D96B171" w:rsidR="007A1404" w:rsidRDefault="007A1404">
      <w:pPr>
        <w:pStyle w:val="FootnoteText"/>
      </w:pPr>
      <w:r>
        <w:rPr>
          <w:rStyle w:val="FootnoteReference"/>
        </w:rPr>
        <w:footnoteRef/>
      </w:r>
      <w:r>
        <w:t xml:space="preserve"> O’Connell, Exh. No. ECO-2C2</w:t>
      </w:r>
      <w:r w:rsidRPr="007024FA">
        <w:t xml:space="preserve"> (Staff’s proposed legal costs adjustments).</w:t>
      </w:r>
      <w:bookmarkStart w:id="26" w:name="_GoBack"/>
      <w:bookmarkEnd w:id="26"/>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4A4"/>
    <w:multiLevelType w:val="hybridMultilevel"/>
    <w:tmpl w:val="335CD3E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0CA67CB3"/>
    <w:multiLevelType w:val="hybridMultilevel"/>
    <w:tmpl w:val="4746A33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A725EC"/>
    <w:multiLevelType w:val="hybridMultilevel"/>
    <w:tmpl w:val="E75E9D10"/>
    <w:lvl w:ilvl="0" w:tplc="FB7457F0">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057ED4"/>
    <w:multiLevelType w:val="hybridMultilevel"/>
    <w:tmpl w:val="BDA01D44"/>
    <w:lvl w:ilvl="0" w:tplc="6CE4F678">
      <w:start w:val="1"/>
      <w:numFmt w:val="upperRoman"/>
      <w:pStyle w:val="Heading1"/>
      <w:lvlText w:val="%1."/>
      <w:lvlJc w:val="left"/>
      <w:pPr>
        <w:ind w:left="4950" w:hanging="360"/>
      </w:pPr>
      <w:rPr>
        <w:rFonts w:hint="default"/>
      </w:rPr>
    </w:lvl>
    <w:lvl w:ilvl="1" w:tplc="04090019">
      <w:start w:val="1"/>
      <w:numFmt w:val="lowerLetter"/>
      <w:lvlText w:val="%2."/>
      <w:lvlJc w:val="left"/>
      <w:pPr>
        <w:ind w:left="-1710" w:hanging="360"/>
      </w:pPr>
    </w:lvl>
    <w:lvl w:ilvl="2" w:tplc="19C64B74">
      <w:start w:val="1"/>
      <w:numFmt w:val="upperLetter"/>
      <w:lvlText w:val="%3."/>
      <w:lvlJc w:val="left"/>
      <w:pPr>
        <w:ind w:left="-720" w:hanging="450"/>
      </w:pPr>
      <w:rPr>
        <w:rFonts w:hint="default"/>
      </w:rPr>
    </w:lvl>
    <w:lvl w:ilvl="3" w:tplc="0409000F" w:tentative="1">
      <w:start w:val="1"/>
      <w:numFmt w:val="decimal"/>
      <w:lvlText w:val="%4."/>
      <w:lvlJc w:val="left"/>
      <w:pPr>
        <w:ind w:left="-270" w:hanging="360"/>
      </w:pPr>
    </w:lvl>
    <w:lvl w:ilvl="4" w:tplc="04090019" w:tentative="1">
      <w:start w:val="1"/>
      <w:numFmt w:val="lowerLetter"/>
      <w:lvlText w:val="%5."/>
      <w:lvlJc w:val="left"/>
      <w:pPr>
        <w:ind w:left="45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1890" w:hanging="360"/>
      </w:pPr>
    </w:lvl>
    <w:lvl w:ilvl="7" w:tplc="04090019" w:tentative="1">
      <w:start w:val="1"/>
      <w:numFmt w:val="lowerLetter"/>
      <w:lvlText w:val="%8."/>
      <w:lvlJc w:val="left"/>
      <w:pPr>
        <w:ind w:left="2610" w:hanging="360"/>
      </w:pPr>
    </w:lvl>
    <w:lvl w:ilvl="8" w:tplc="0409001B" w:tentative="1">
      <w:start w:val="1"/>
      <w:numFmt w:val="lowerRoman"/>
      <w:lvlText w:val="%9."/>
      <w:lvlJc w:val="right"/>
      <w:pPr>
        <w:ind w:left="3330" w:hanging="180"/>
      </w:pPr>
    </w:lvl>
  </w:abstractNum>
  <w:abstractNum w:abstractNumId="4" w15:restartNumberingAfterBreak="0">
    <w:nsid w:val="19E9417B"/>
    <w:multiLevelType w:val="hybridMultilevel"/>
    <w:tmpl w:val="7F22B1BE"/>
    <w:lvl w:ilvl="0" w:tplc="04090015">
      <w:start w:val="1"/>
      <w:numFmt w:val="upp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4837B2"/>
    <w:multiLevelType w:val="hybridMultilevel"/>
    <w:tmpl w:val="A0E61F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2063D9"/>
    <w:multiLevelType w:val="hybridMultilevel"/>
    <w:tmpl w:val="E75E9D10"/>
    <w:lvl w:ilvl="0" w:tplc="FB7457F0">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C553B4"/>
    <w:multiLevelType w:val="hybridMultilevel"/>
    <w:tmpl w:val="B386C668"/>
    <w:lvl w:ilvl="0" w:tplc="04090003">
      <w:start w:val="1"/>
      <w:numFmt w:val="bullet"/>
      <w:lvlText w:val="o"/>
      <w:lvlJc w:val="left"/>
      <w:pPr>
        <w:ind w:left="1494" w:hanging="360"/>
      </w:pPr>
      <w:rPr>
        <w:rFonts w:ascii="Courier New" w:hAnsi="Courier New" w:cs="Courier New"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2A3579B6"/>
    <w:multiLevelType w:val="hybridMultilevel"/>
    <w:tmpl w:val="FEB04F22"/>
    <w:lvl w:ilvl="0" w:tplc="04090015">
      <w:start w:val="1"/>
      <w:numFmt w:val="upp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E5278B"/>
    <w:multiLevelType w:val="hybridMultilevel"/>
    <w:tmpl w:val="61F803C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622E9E"/>
    <w:multiLevelType w:val="hybridMultilevel"/>
    <w:tmpl w:val="A0E61F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C46F70"/>
    <w:multiLevelType w:val="hybridMultilevel"/>
    <w:tmpl w:val="177A0682"/>
    <w:lvl w:ilvl="0" w:tplc="FB7457F0">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D007BF6"/>
    <w:multiLevelType w:val="hybridMultilevel"/>
    <w:tmpl w:val="FEB04F22"/>
    <w:lvl w:ilvl="0" w:tplc="04090015">
      <w:start w:val="1"/>
      <w:numFmt w:val="upp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86031A"/>
    <w:multiLevelType w:val="hybridMultilevel"/>
    <w:tmpl w:val="9126D6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4F15EF"/>
    <w:multiLevelType w:val="hybridMultilevel"/>
    <w:tmpl w:val="E6B42DF8"/>
    <w:lvl w:ilvl="0" w:tplc="C3B2235C">
      <w:start w:val="1"/>
      <w:numFmt w:val="upperLetter"/>
      <w:pStyle w:val="Heading2"/>
      <w:lvlText w:val="%1."/>
      <w:lvlJc w:val="left"/>
      <w:pPr>
        <w:ind w:left="1080" w:hanging="360"/>
      </w:pPr>
      <w:rPr>
        <w:rFonts w:ascii="Times New Roman" w:hAnsi="Times New Roman" w:cs="Times New Roman"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363633"/>
    <w:multiLevelType w:val="hybridMultilevel"/>
    <w:tmpl w:val="7D3AB60A"/>
    <w:lvl w:ilvl="0" w:tplc="C6BEFE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D922B47"/>
    <w:multiLevelType w:val="hybridMultilevel"/>
    <w:tmpl w:val="D89EB7F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63574A"/>
    <w:multiLevelType w:val="hybridMultilevel"/>
    <w:tmpl w:val="B85C2F6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2E5A02"/>
    <w:multiLevelType w:val="hybridMultilevel"/>
    <w:tmpl w:val="D632D83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AFE56E6"/>
    <w:multiLevelType w:val="hybridMultilevel"/>
    <w:tmpl w:val="66D6B9B2"/>
    <w:lvl w:ilvl="0" w:tplc="2ED89102">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7732B"/>
    <w:multiLevelType w:val="multilevel"/>
    <w:tmpl w:val="1AD6DCB4"/>
    <w:lvl w:ilvl="0">
      <w:start w:val="1"/>
      <w:numFmt w:val="decimal"/>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5A2D63"/>
    <w:multiLevelType w:val="hybridMultilevel"/>
    <w:tmpl w:val="FEB04F22"/>
    <w:lvl w:ilvl="0" w:tplc="04090015">
      <w:start w:val="1"/>
      <w:numFmt w:val="upp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C25FF4"/>
    <w:multiLevelType w:val="hybridMultilevel"/>
    <w:tmpl w:val="9704E51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352521B"/>
    <w:multiLevelType w:val="hybridMultilevel"/>
    <w:tmpl w:val="AF6EA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AA3DDB"/>
    <w:multiLevelType w:val="hybridMultilevel"/>
    <w:tmpl w:val="A0E61F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5BA39F2"/>
    <w:multiLevelType w:val="hybridMultilevel"/>
    <w:tmpl w:val="8FD66C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9F91AB2"/>
    <w:multiLevelType w:val="hybridMultilevel"/>
    <w:tmpl w:val="A3464958"/>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7" w15:restartNumberingAfterBreak="0">
    <w:nsid w:val="7E1074FB"/>
    <w:multiLevelType w:val="hybridMultilevel"/>
    <w:tmpl w:val="31BA3B9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FAF2480"/>
    <w:multiLevelType w:val="hybridMultilevel"/>
    <w:tmpl w:val="A0E61F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9"/>
  </w:num>
  <w:num w:numId="3">
    <w:abstractNumId w:val="14"/>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16"/>
  </w:num>
  <w:num w:numId="9">
    <w:abstractNumId w:val="7"/>
  </w:num>
  <w:num w:numId="10">
    <w:abstractNumId w:val="1"/>
  </w:num>
  <w:num w:numId="11">
    <w:abstractNumId w:val="17"/>
  </w:num>
  <w:num w:numId="12">
    <w:abstractNumId w:val="10"/>
  </w:num>
  <w:num w:numId="13">
    <w:abstractNumId w:val="14"/>
  </w:num>
  <w:num w:numId="14">
    <w:abstractNumId w:val="6"/>
  </w:num>
  <w:num w:numId="15">
    <w:abstractNumId w:val="11"/>
  </w:num>
  <w:num w:numId="16">
    <w:abstractNumId w:val="2"/>
  </w:num>
  <w:num w:numId="17">
    <w:abstractNumId w:val="23"/>
  </w:num>
  <w:num w:numId="18">
    <w:abstractNumId w:val="14"/>
  </w:num>
  <w:num w:numId="19">
    <w:abstractNumId w:val="3"/>
    <w:lvlOverride w:ilvl="0">
      <w:startOverride w:val="1"/>
    </w:lvlOverride>
  </w:num>
  <w:num w:numId="20">
    <w:abstractNumId w:val="3"/>
  </w:num>
  <w:num w:numId="21">
    <w:abstractNumId w:val="3"/>
    <w:lvlOverride w:ilvl="0">
      <w:startOverride w:val="1"/>
    </w:lvlOverride>
  </w:num>
  <w:num w:numId="22">
    <w:abstractNumId w:val="26"/>
  </w:num>
  <w:num w:numId="23">
    <w:abstractNumId w:val="14"/>
    <w:lvlOverride w:ilvl="0">
      <w:startOverride w:val="1"/>
    </w:lvlOverride>
  </w:num>
  <w:num w:numId="24">
    <w:abstractNumId w:val="28"/>
  </w:num>
  <w:num w:numId="25">
    <w:abstractNumId w:val="24"/>
  </w:num>
  <w:num w:numId="26">
    <w:abstractNumId w:val="27"/>
  </w:num>
  <w:num w:numId="27">
    <w:abstractNumId w:val="9"/>
  </w:num>
  <w:num w:numId="28">
    <w:abstractNumId w:val="20"/>
  </w:num>
  <w:num w:numId="29">
    <w:abstractNumId w:val="13"/>
  </w:num>
  <w:num w:numId="30">
    <w:abstractNumId w:val="0"/>
  </w:num>
  <w:num w:numId="31">
    <w:abstractNumId w:val="22"/>
  </w:num>
  <w:num w:numId="32">
    <w:abstractNumId w:val="25"/>
  </w:num>
  <w:num w:numId="33">
    <w:abstractNumId w:val="18"/>
  </w:num>
  <w:num w:numId="34">
    <w:abstractNumId w:val="5"/>
  </w:num>
  <w:num w:numId="35">
    <w:abstractNumId w:val="14"/>
    <w:lvlOverride w:ilvl="0">
      <w:startOverride w:val="1"/>
    </w:lvlOverride>
  </w:num>
  <w:num w:numId="36">
    <w:abstractNumId w:val="14"/>
    <w:lvlOverride w:ilvl="0">
      <w:startOverride w:val="1"/>
    </w:lvlOverride>
  </w:num>
  <w:num w:numId="37">
    <w:abstractNumId w:val="4"/>
  </w:num>
  <w:num w:numId="38">
    <w:abstractNumId w:val="8"/>
  </w:num>
  <w:num w:numId="39">
    <w:abstractNumId w:val="12"/>
  </w:num>
  <w:num w:numId="40">
    <w:abstractNumId w:val="15"/>
  </w:num>
  <w:num w:numId="41">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AD"/>
    <w:rsid w:val="00001366"/>
    <w:rsid w:val="00002EB4"/>
    <w:rsid w:val="00003068"/>
    <w:rsid w:val="00005919"/>
    <w:rsid w:val="00007391"/>
    <w:rsid w:val="000076E1"/>
    <w:rsid w:val="000105BA"/>
    <w:rsid w:val="00012BB3"/>
    <w:rsid w:val="0001308D"/>
    <w:rsid w:val="00013BEB"/>
    <w:rsid w:val="000140A9"/>
    <w:rsid w:val="000144C3"/>
    <w:rsid w:val="0001487C"/>
    <w:rsid w:val="00014B6F"/>
    <w:rsid w:val="0001556A"/>
    <w:rsid w:val="000160B8"/>
    <w:rsid w:val="000166D5"/>
    <w:rsid w:val="0001674B"/>
    <w:rsid w:val="00017B4C"/>
    <w:rsid w:val="0002053F"/>
    <w:rsid w:val="00020EA6"/>
    <w:rsid w:val="00020FA4"/>
    <w:rsid w:val="00022107"/>
    <w:rsid w:val="00022FC6"/>
    <w:rsid w:val="00023E8C"/>
    <w:rsid w:val="00025412"/>
    <w:rsid w:val="00026244"/>
    <w:rsid w:val="000274D0"/>
    <w:rsid w:val="0002755F"/>
    <w:rsid w:val="0003010E"/>
    <w:rsid w:val="000315A4"/>
    <w:rsid w:val="000325A8"/>
    <w:rsid w:val="00032935"/>
    <w:rsid w:val="000329D2"/>
    <w:rsid w:val="00032C72"/>
    <w:rsid w:val="00032CEA"/>
    <w:rsid w:val="00033300"/>
    <w:rsid w:val="0003404A"/>
    <w:rsid w:val="00035ABE"/>
    <w:rsid w:val="0003623E"/>
    <w:rsid w:val="000365E1"/>
    <w:rsid w:val="0004009B"/>
    <w:rsid w:val="00040469"/>
    <w:rsid w:val="0004278F"/>
    <w:rsid w:val="00042833"/>
    <w:rsid w:val="00042A8F"/>
    <w:rsid w:val="00043405"/>
    <w:rsid w:val="000437E5"/>
    <w:rsid w:val="00044197"/>
    <w:rsid w:val="0004590F"/>
    <w:rsid w:val="00045C6E"/>
    <w:rsid w:val="00046216"/>
    <w:rsid w:val="00046F31"/>
    <w:rsid w:val="00047C0D"/>
    <w:rsid w:val="00050BD7"/>
    <w:rsid w:val="0005166A"/>
    <w:rsid w:val="0005261E"/>
    <w:rsid w:val="00052DAA"/>
    <w:rsid w:val="00052EDB"/>
    <w:rsid w:val="00052F74"/>
    <w:rsid w:val="0005375C"/>
    <w:rsid w:val="000538CD"/>
    <w:rsid w:val="00053CAC"/>
    <w:rsid w:val="00053DDE"/>
    <w:rsid w:val="000541C9"/>
    <w:rsid w:val="000543EB"/>
    <w:rsid w:val="000549E4"/>
    <w:rsid w:val="00055BCE"/>
    <w:rsid w:val="000560D5"/>
    <w:rsid w:val="0005661C"/>
    <w:rsid w:val="0005685B"/>
    <w:rsid w:val="000569C2"/>
    <w:rsid w:val="00057BD1"/>
    <w:rsid w:val="00057C29"/>
    <w:rsid w:val="0006056E"/>
    <w:rsid w:val="000610B9"/>
    <w:rsid w:val="00061B84"/>
    <w:rsid w:val="00061DA1"/>
    <w:rsid w:val="000621E7"/>
    <w:rsid w:val="00062222"/>
    <w:rsid w:val="000627DD"/>
    <w:rsid w:val="00062CBA"/>
    <w:rsid w:val="0006308B"/>
    <w:rsid w:val="00063125"/>
    <w:rsid w:val="00063461"/>
    <w:rsid w:val="00065FA3"/>
    <w:rsid w:val="00065FEC"/>
    <w:rsid w:val="00066770"/>
    <w:rsid w:val="000669B5"/>
    <w:rsid w:val="00067696"/>
    <w:rsid w:val="00067A29"/>
    <w:rsid w:val="00070D52"/>
    <w:rsid w:val="00071912"/>
    <w:rsid w:val="0007345F"/>
    <w:rsid w:val="000736A2"/>
    <w:rsid w:val="00073703"/>
    <w:rsid w:val="000744D4"/>
    <w:rsid w:val="00074E24"/>
    <w:rsid w:val="00075863"/>
    <w:rsid w:val="000758AF"/>
    <w:rsid w:val="00076138"/>
    <w:rsid w:val="0008003C"/>
    <w:rsid w:val="00080968"/>
    <w:rsid w:val="00083370"/>
    <w:rsid w:val="00083538"/>
    <w:rsid w:val="00084B0C"/>
    <w:rsid w:val="00085307"/>
    <w:rsid w:val="000853DC"/>
    <w:rsid w:val="00086096"/>
    <w:rsid w:val="000863D3"/>
    <w:rsid w:val="0008657B"/>
    <w:rsid w:val="000867C1"/>
    <w:rsid w:val="00087484"/>
    <w:rsid w:val="00090908"/>
    <w:rsid w:val="00091530"/>
    <w:rsid w:val="00091A42"/>
    <w:rsid w:val="00093D14"/>
    <w:rsid w:val="000A0159"/>
    <w:rsid w:val="000A0A34"/>
    <w:rsid w:val="000A0ABF"/>
    <w:rsid w:val="000A1B99"/>
    <w:rsid w:val="000A1F34"/>
    <w:rsid w:val="000A2B6E"/>
    <w:rsid w:val="000A2F4C"/>
    <w:rsid w:val="000A3CFD"/>
    <w:rsid w:val="000A44E7"/>
    <w:rsid w:val="000A48BF"/>
    <w:rsid w:val="000A5F6B"/>
    <w:rsid w:val="000A6644"/>
    <w:rsid w:val="000A6937"/>
    <w:rsid w:val="000A6FD1"/>
    <w:rsid w:val="000A7022"/>
    <w:rsid w:val="000A7333"/>
    <w:rsid w:val="000A7789"/>
    <w:rsid w:val="000A7A4C"/>
    <w:rsid w:val="000A7E35"/>
    <w:rsid w:val="000B0BE1"/>
    <w:rsid w:val="000B0E31"/>
    <w:rsid w:val="000B172D"/>
    <w:rsid w:val="000B1CCA"/>
    <w:rsid w:val="000B2044"/>
    <w:rsid w:val="000B3467"/>
    <w:rsid w:val="000B400B"/>
    <w:rsid w:val="000B4A4E"/>
    <w:rsid w:val="000B5704"/>
    <w:rsid w:val="000B57C1"/>
    <w:rsid w:val="000B58E4"/>
    <w:rsid w:val="000B6643"/>
    <w:rsid w:val="000B6C36"/>
    <w:rsid w:val="000B6C89"/>
    <w:rsid w:val="000C02E3"/>
    <w:rsid w:val="000C06FE"/>
    <w:rsid w:val="000C07A9"/>
    <w:rsid w:val="000C0A00"/>
    <w:rsid w:val="000C0B24"/>
    <w:rsid w:val="000C0C11"/>
    <w:rsid w:val="000C1E37"/>
    <w:rsid w:val="000C2FC3"/>
    <w:rsid w:val="000C3134"/>
    <w:rsid w:val="000C31AB"/>
    <w:rsid w:val="000C41FB"/>
    <w:rsid w:val="000C45B4"/>
    <w:rsid w:val="000C64C8"/>
    <w:rsid w:val="000C6A1F"/>
    <w:rsid w:val="000C6C37"/>
    <w:rsid w:val="000C6D57"/>
    <w:rsid w:val="000C74D4"/>
    <w:rsid w:val="000D0A19"/>
    <w:rsid w:val="000D0CC2"/>
    <w:rsid w:val="000D14FB"/>
    <w:rsid w:val="000D19CA"/>
    <w:rsid w:val="000D1CF7"/>
    <w:rsid w:val="000D2545"/>
    <w:rsid w:val="000D27D8"/>
    <w:rsid w:val="000D2944"/>
    <w:rsid w:val="000D2A04"/>
    <w:rsid w:val="000D2B89"/>
    <w:rsid w:val="000D3B70"/>
    <w:rsid w:val="000D4403"/>
    <w:rsid w:val="000D5166"/>
    <w:rsid w:val="000D5B20"/>
    <w:rsid w:val="000D5D8D"/>
    <w:rsid w:val="000D64B8"/>
    <w:rsid w:val="000D6B9C"/>
    <w:rsid w:val="000D6C42"/>
    <w:rsid w:val="000D74CD"/>
    <w:rsid w:val="000D7910"/>
    <w:rsid w:val="000E0390"/>
    <w:rsid w:val="000E0584"/>
    <w:rsid w:val="000E1B43"/>
    <w:rsid w:val="000E259D"/>
    <w:rsid w:val="000E2853"/>
    <w:rsid w:val="000E4643"/>
    <w:rsid w:val="000E48DB"/>
    <w:rsid w:val="000E5C5C"/>
    <w:rsid w:val="000E5FD1"/>
    <w:rsid w:val="000E640C"/>
    <w:rsid w:val="000E72B5"/>
    <w:rsid w:val="000E7A01"/>
    <w:rsid w:val="000E7AE2"/>
    <w:rsid w:val="000E7FDE"/>
    <w:rsid w:val="000F0A77"/>
    <w:rsid w:val="000F0E8D"/>
    <w:rsid w:val="000F2A90"/>
    <w:rsid w:val="000F531D"/>
    <w:rsid w:val="000F5B67"/>
    <w:rsid w:val="000F5ED6"/>
    <w:rsid w:val="000F5F09"/>
    <w:rsid w:val="000F68A2"/>
    <w:rsid w:val="000F75F7"/>
    <w:rsid w:val="000F767F"/>
    <w:rsid w:val="0010019D"/>
    <w:rsid w:val="0010035B"/>
    <w:rsid w:val="00100C7F"/>
    <w:rsid w:val="00100F1C"/>
    <w:rsid w:val="00101846"/>
    <w:rsid w:val="00102D3F"/>
    <w:rsid w:val="00103CCC"/>
    <w:rsid w:val="00104335"/>
    <w:rsid w:val="001068CF"/>
    <w:rsid w:val="001076C6"/>
    <w:rsid w:val="00107771"/>
    <w:rsid w:val="0010799E"/>
    <w:rsid w:val="001103E2"/>
    <w:rsid w:val="00110B4F"/>
    <w:rsid w:val="00110D01"/>
    <w:rsid w:val="0011169A"/>
    <w:rsid w:val="00111748"/>
    <w:rsid w:val="00112B09"/>
    <w:rsid w:val="00113161"/>
    <w:rsid w:val="00113513"/>
    <w:rsid w:val="001148F8"/>
    <w:rsid w:val="001150B7"/>
    <w:rsid w:val="001151DA"/>
    <w:rsid w:val="00115341"/>
    <w:rsid w:val="0011555D"/>
    <w:rsid w:val="00115EAC"/>
    <w:rsid w:val="00117EE4"/>
    <w:rsid w:val="0012029B"/>
    <w:rsid w:val="00121A82"/>
    <w:rsid w:val="00122162"/>
    <w:rsid w:val="00124440"/>
    <w:rsid w:val="001246DC"/>
    <w:rsid w:val="00124903"/>
    <w:rsid w:val="00125931"/>
    <w:rsid w:val="00126657"/>
    <w:rsid w:val="00126C28"/>
    <w:rsid w:val="00126DFB"/>
    <w:rsid w:val="00126E6A"/>
    <w:rsid w:val="00127E18"/>
    <w:rsid w:val="001302FA"/>
    <w:rsid w:val="0013058C"/>
    <w:rsid w:val="0013075B"/>
    <w:rsid w:val="00130B5F"/>
    <w:rsid w:val="0013103C"/>
    <w:rsid w:val="00131089"/>
    <w:rsid w:val="00131AFF"/>
    <w:rsid w:val="00131C92"/>
    <w:rsid w:val="00132503"/>
    <w:rsid w:val="001336AD"/>
    <w:rsid w:val="00133D4E"/>
    <w:rsid w:val="00133DB2"/>
    <w:rsid w:val="00135616"/>
    <w:rsid w:val="00135F84"/>
    <w:rsid w:val="001364CB"/>
    <w:rsid w:val="00136E68"/>
    <w:rsid w:val="00137BF4"/>
    <w:rsid w:val="001400A4"/>
    <w:rsid w:val="001409A6"/>
    <w:rsid w:val="00142FB6"/>
    <w:rsid w:val="001434F0"/>
    <w:rsid w:val="00143E23"/>
    <w:rsid w:val="00143F93"/>
    <w:rsid w:val="00145B59"/>
    <w:rsid w:val="001460C3"/>
    <w:rsid w:val="00150395"/>
    <w:rsid w:val="00150F5B"/>
    <w:rsid w:val="00150FB3"/>
    <w:rsid w:val="00151DBF"/>
    <w:rsid w:val="00152151"/>
    <w:rsid w:val="0015239D"/>
    <w:rsid w:val="001524D0"/>
    <w:rsid w:val="00152B04"/>
    <w:rsid w:val="00153BF3"/>
    <w:rsid w:val="00153D46"/>
    <w:rsid w:val="0015401A"/>
    <w:rsid w:val="0015418D"/>
    <w:rsid w:val="0015460F"/>
    <w:rsid w:val="00154C47"/>
    <w:rsid w:val="001551C8"/>
    <w:rsid w:val="001553FE"/>
    <w:rsid w:val="00155E8D"/>
    <w:rsid w:val="00156760"/>
    <w:rsid w:val="00156BE7"/>
    <w:rsid w:val="00156E5A"/>
    <w:rsid w:val="0015768B"/>
    <w:rsid w:val="00157A51"/>
    <w:rsid w:val="00157CD2"/>
    <w:rsid w:val="0016014F"/>
    <w:rsid w:val="00160743"/>
    <w:rsid w:val="00160CC2"/>
    <w:rsid w:val="00161CA7"/>
    <w:rsid w:val="001633C4"/>
    <w:rsid w:val="00163998"/>
    <w:rsid w:val="00163F79"/>
    <w:rsid w:val="00164A72"/>
    <w:rsid w:val="00164F19"/>
    <w:rsid w:val="001659CC"/>
    <w:rsid w:val="00166036"/>
    <w:rsid w:val="00166C9A"/>
    <w:rsid w:val="001673D9"/>
    <w:rsid w:val="00167C75"/>
    <w:rsid w:val="00167DD5"/>
    <w:rsid w:val="00170796"/>
    <w:rsid w:val="0017132B"/>
    <w:rsid w:val="00171D6A"/>
    <w:rsid w:val="001722F8"/>
    <w:rsid w:val="001727AE"/>
    <w:rsid w:val="00173FEB"/>
    <w:rsid w:val="0017417F"/>
    <w:rsid w:val="00174634"/>
    <w:rsid w:val="00174853"/>
    <w:rsid w:val="00174E53"/>
    <w:rsid w:val="00176F15"/>
    <w:rsid w:val="00177280"/>
    <w:rsid w:val="00177C6E"/>
    <w:rsid w:val="00180244"/>
    <w:rsid w:val="001812D7"/>
    <w:rsid w:val="0018164B"/>
    <w:rsid w:val="00181A53"/>
    <w:rsid w:val="00182033"/>
    <w:rsid w:val="00182091"/>
    <w:rsid w:val="001830E6"/>
    <w:rsid w:val="00183860"/>
    <w:rsid w:val="00184A69"/>
    <w:rsid w:val="00184D8F"/>
    <w:rsid w:val="0018617F"/>
    <w:rsid w:val="00186773"/>
    <w:rsid w:val="001868C2"/>
    <w:rsid w:val="001868DA"/>
    <w:rsid w:val="00186ACA"/>
    <w:rsid w:val="00186D8C"/>
    <w:rsid w:val="00190044"/>
    <w:rsid w:val="00190110"/>
    <w:rsid w:val="00190721"/>
    <w:rsid w:val="00190DBA"/>
    <w:rsid w:val="001917FB"/>
    <w:rsid w:val="001919AF"/>
    <w:rsid w:val="00192187"/>
    <w:rsid w:val="00192375"/>
    <w:rsid w:val="00192914"/>
    <w:rsid w:val="00192C4E"/>
    <w:rsid w:val="00192E4A"/>
    <w:rsid w:val="00193339"/>
    <w:rsid w:val="00193A52"/>
    <w:rsid w:val="0019571B"/>
    <w:rsid w:val="00195D8A"/>
    <w:rsid w:val="00196321"/>
    <w:rsid w:val="001965CE"/>
    <w:rsid w:val="00196E67"/>
    <w:rsid w:val="0019718F"/>
    <w:rsid w:val="001A07C6"/>
    <w:rsid w:val="001A0BA4"/>
    <w:rsid w:val="001A0BAF"/>
    <w:rsid w:val="001A0C18"/>
    <w:rsid w:val="001A2610"/>
    <w:rsid w:val="001A4E75"/>
    <w:rsid w:val="001A5C82"/>
    <w:rsid w:val="001A6E35"/>
    <w:rsid w:val="001A7B47"/>
    <w:rsid w:val="001B0991"/>
    <w:rsid w:val="001B0DAD"/>
    <w:rsid w:val="001B168C"/>
    <w:rsid w:val="001B1A02"/>
    <w:rsid w:val="001B1B57"/>
    <w:rsid w:val="001B2217"/>
    <w:rsid w:val="001B2E38"/>
    <w:rsid w:val="001B3881"/>
    <w:rsid w:val="001B3D80"/>
    <w:rsid w:val="001B4376"/>
    <w:rsid w:val="001B4634"/>
    <w:rsid w:val="001B53AE"/>
    <w:rsid w:val="001B5680"/>
    <w:rsid w:val="001B5C88"/>
    <w:rsid w:val="001B66BA"/>
    <w:rsid w:val="001B6CFC"/>
    <w:rsid w:val="001B734E"/>
    <w:rsid w:val="001B7C85"/>
    <w:rsid w:val="001C026D"/>
    <w:rsid w:val="001C0490"/>
    <w:rsid w:val="001C07C2"/>
    <w:rsid w:val="001C16CB"/>
    <w:rsid w:val="001C3A4F"/>
    <w:rsid w:val="001C47F0"/>
    <w:rsid w:val="001C56EF"/>
    <w:rsid w:val="001C5AB1"/>
    <w:rsid w:val="001C6479"/>
    <w:rsid w:val="001C7314"/>
    <w:rsid w:val="001C74E6"/>
    <w:rsid w:val="001D069C"/>
    <w:rsid w:val="001D2541"/>
    <w:rsid w:val="001D2BD5"/>
    <w:rsid w:val="001D3C15"/>
    <w:rsid w:val="001D4BD1"/>
    <w:rsid w:val="001D5AB0"/>
    <w:rsid w:val="001D7FC9"/>
    <w:rsid w:val="001E0731"/>
    <w:rsid w:val="001E1027"/>
    <w:rsid w:val="001E1D7A"/>
    <w:rsid w:val="001E2667"/>
    <w:rsid w:val="001E3243"/>
    <w:rsid w:val="001E3997"/>
    <w:rsid w:val="001E40F5"/>
    <w:rsid w:val="001E47E6"/>
    <w:rsid w:val="001E4BAB"/>
    <w:rsid w:val="001E4D34"/>
    <w:rsid w:val="001E5BD3"/>
    <w:rsid w:val="001E5ED2"/>
    <w:rsid w:val="001E6338"/>
    <w:rsid w:val="001E7817"/>
    <w:rsid w:val="001F06CE"/>
    <w:rsid w:val="001F0AA3"/>
    <w:rsid w:val="001F0C24"/>
    <w:rsid w:val="001F125E"/>
    <w:rsid w:val="001F15D6"/>
    <w:rsid w:val="001F266A"/>
    <w:rsid w:val="001F3415"/>
    <w:rsid w:val="001F35F8"/>
    <w:rsid w:val="001F45C1"/>
    <w:rsid w:val="001F56E7"/>
    <w:rsid w:val="001F6106"/>
    <w:rsid w:val="001F734A"/>
    <w:rsid w:val="001F75EC"/>
    <w:rsid w:val="001F775A"/>
    <w:rsid w:val="00201CA6"/>
    <w:rsid w:val="0020266E"/>
    <w:rsid w:val="00203070"/>
    <w:rsid w:val="00204931"/>
    <w:rsid w:val="002052A4"/>
    <w:rsid w:val="00205830"/>
    <w:rsid w:val="0020694D"/>
    <w:rsid w:val="0020700A"/>
    <w:rsid w:val="0020738C"/>
    <w:rsid w:val="002073E4"/>
    <w:rsid w:val="00207429"/>
    <w:rsid w:val="00211737"/>
    <w:rsid w:val="00211B1B"/>
    <w:rsid w:val="00212717"/>
    <w:rsid w:val="002128CD"/>
    <w:rsid w:val="00212F9D"/>
    <w:rsid w:val="002136A4"/>
    <w:rsid w:val="00214CD1"/>
    <w:rsid w:val="00215CB7"/>
    <w:rsid w:val="00217652"/>
    <w:rsid w:val="00217AAE"/>
    <w:rsid w:val="00220F49"/>
    <w:rsid w:val="00221332"/>
    <w:rsid w:val="002217E1"/>
    <w:rsid w:val="002222F9"/>
    <w:rsid w:val="002223DE"/>
    <w:rsid w:val="00222602"/>
    <w:rsid w:val="00222981"/>
    <w:rsid w:val="00222C3F"/>
    <w:rsid w:val="00224272"/>
    <w:rsid w:val="00224ACE"/>
    <w:rsid w:val="00225599"/>
    <w:rsid w:val="00225680"/>
    <w:rsid w:val="002264CA"/>
    <w:rsid w:val="00227454"/>
    <w:rsid w:val="00227B6E"/>
    <w:rsid w:val="002307D1"/>
    <w:rsid w:val="00230CBA"/>
    <w:rsid w:val="00231994"/>
    <w:rsid w:val="0023226B"/>
    <w:rsid w:val="002327FC"/>
    <w:rsid w:val="0023282C"/>
    <w:rsid w:val="002329FA"/>
    <w:rsid w:val="0023350B"/>
    <w:rsid w:val="0023449E"/>
    <w:rsid w:val="002348B0"/>
    <w:rsid w:val="00234EE9"/>
    <w:rsid w:val="00235231"/>
    <w:rsid w:val="00235813"/>
    <w:rsid w:val="0023585E"/>
    <w:rsid w:val="00235C4C"/>
    <w:rsid w:val="00235C9D"/>
    <w:rsid w:val="00235EB1"/>
    <w:rsid w:val="00237969"/>
    <w:rsid w:val="00240814"/>
    <w:rsid w:val="002409E1"/>
    <w:rsid w:val="00241879"/>
    <w:rsid w:val="00241ECE"/>
    <w:rsid w:val="0024290C"/>
    <w:rsid w:val="00243780"/>
    <w:rsid w:val="00243BD1"/>
    <w:rsid w:val="0024470E"/>
    <w:rsid w:val="002453AA"/>
    <w:rsid w:val="0024551B"/>
    <w:rsid w:val="002459F3"/>
    <w:rsid w:val="00245E33"/>
    <w:rsid w:val="002462FD"/>
    <w:rsid w:val="002508E1"/>
    <w:rsid w:val="00251B1A"/>
    <w:rsid w:val="00251F97"/>
    <w:rsid w:val="002529B5"/>
    <w:rsid w:val="00252B8B"/>
    <w:rsid w:val="00254151"/>
    <w:rsid w:val="002542FE"/>
    <w:rsid w:val="0025558A"/>
    <w:rsid w:val="00255B83"/>
    <w:rsid w:val="00255C70"/>
    <w:rsid w:val="0025612E"/>
    <w:rsid w:val="002563C4"/>
    <w:rsid w:val="00256CD8"/>
    <w:rsid w:val="00256F74"/>
    <w:rsid w:val="00257755"/>
    <w:rsid w:val="0026145C"/>
    <w:rsid w:val="0026154C"/>
    <w:rsid w:val="00261827"/>
    <w:rsid w:val="00261E0C"/>
    <w:rsid w:val="00261E8A"/>
    <w:rsid w:val="00262FA2"/>
    <w:rsid w:val="002631FE"/>
    <w:rsid w:val="00263395"/>
    <w:rsid w:val="002635D7"/>
    <w:rsid w:val="002645DA"/>
    <w:rsid w:val="00264A69"/>
    <w:rsid w:val="00264E7F"/>
    <w:rsid w:val="00264FBF"/>
    <w:rsid w:val="00265920"/>
    <w:rsid w:val="0026736E"/>
    <w:rsid w:val="002678B2"/>
    <w:rsid w:val="00267CAA"/>
    <w:rsid w:val="002702D1"/>
    <w:rsid w:val="002729F7"/>
    <w:rsid w:val="00272E7A"/>
    <w:rsid w:val="00272FCF"/>
    <w:rsid w:val="0027357D"/>
    <w:rsid w:val="00273C06"/>
    <w:rsid w:val="00273ED9"/>
    <w:rsid w:val="00274691"/>
    <w:rsid w:val="002746FC"/>
    <w:rsid w:val="00274789"/>
    <w:rsid w:val="002747BC"/>
    <w:rsid w:val="00274F25"/>
    <w:rsid w:val="002752E0"/>
    <w:rsid w:val="00275D09"/>
    <w:rsid w:val="00275D72"/>
    <w:rsid w:val="00276B63"/>
    <w:rsid w:val="00276BDA"/>
    <w:rsid w:val="00277DD8"/>
    <w:rsid w:val="002801CE"/>
    <w:rsid w:val="0028084F"/>
    <w:rsid w:val="0028109C"/>
    <w:rsid w:val="002810B9"/>
    <w:rsid w:val="00281890"/>
    <w:rsid w:val="00282ED0"/>
    <w:rsid w:val="00283D4B"/>
    <w:rsid w:val="002851CB"/>
    <w:rsid w:val="002856A8"/>
    <w:rsid w:val="002878E9"/>
    <w:rsid w:val="00290064"/>
    <w:rsid w:val="00291CA4"/>
    <w:rsid w:val="002924F8"/>
    <w:rsid w:val="00292B1C"/>
    <w:rsid w:val="00293755"/>
    <w:rsid w:val="00293FB6"/>
    <w:rsid w:val="0029457D"/>
    <w:rsid w:val="00294DEC"/>
    <w:rsid w:val="00296AFE"/>
    <w:rsid w:val="00296B4E"/>
    <w:rsid w:val="002971CC"/>
    <w:rsid w:val="002A042F"/>
    <w:rsid w:val="002A0BE4"/>
    <w:rsid w:val="002A0C6F"/>
    <w:rsid w:val="002A0C7B"/>
    <w:rsid w:val="002A1A18"/>
    <w:rsid w:val="002A2675"/>
    <w:rsid w:val="002A3994"/>
    <w:rsid w:val="002A3F07"/>
    <w:rsid w:val="002A41B0"/>
    <w:rsid w:val="002A4331"/>
    <w:rsid w:val="002A652F"/>
    <w:rsid w:val="002A65A8"/>
    <w:rsid w:val="002A6D13"/>
    <w:rsid w:val="002A7659"/>
    <w:rsid w:val="002A7EFD"/>
    <w:rsid w:val="002B0B99"/>
    <w:rsid w:val="002B0E39"/>
    <w:rsid w:val="002B1362"/>
    <w:rsid w:val="002B1A28"/>
    <w:rsid w:val="002B2B8E"/>
    <w:rsid w:val="002B2C80"/>
    <w:rsid w:val="002B40D0"/>
    <w:rsid w:val="002B4E4D"/>
    <w:rsid w:val="002B5026"/>
    <w:rsid w:val="002B5BBC"/>
    <w:rsid w:val="002B5CE8"/>
    <w:rsid w:val="002B6278"/>
    <w:rsid w:val="002B63DE"/>
    <w:rsid w:val="002B68CF"/>
    <w:rsid w:val="002C039A"/>
    <w:rsid w:val="002C0406"/>
    <w:rsid w:val="002C2458"/>
    <w:rsid w:val="002C2E27"/>
    <w:rsid w:val="002C3B0A"/>
    <w:rsid w:val="002C44FA"/>
    <w:rsid w:val="002C6100"/>
    <w:rsid w:val="002C6306"/>
    <w:rsid w:val="002C6994"/>
    <w:rsid w:val="002C6A6B"/>
    <w:rsid w:val="002C6AF3"/>
    <w:rsid w:val="002C7850"/>
    <w:rsid w:val="002D18EF"/>
    <w:rsid w:val="002D1B24"/>
    <w:rsid w:val="002D22C5"/>
    <w:rsid w:val="002D25D7"/>
    <w:rsid w:val="002D2889"/>
    <w:rsid w:val="002D2E31"/>
    <w:rsid w:val="002D2EAF"/>
    <w:rsid w:val="002D33C6"/>
    <w:rsid w:val="002D3729"/>
    <w:rsid w:val="002D3C4A"/>
    <w:rsid w:val="002D3D19"/>
    <w:rsid w:val="002D4051"/>
    <w:rsid w:val="002D42B1"/>
    <w:rsid w:val="002D4A99"/>
    <w:rsid w:val="002D5666"/>
    <w:rsid w:val="002D5B64"/>
    <w:rsid w:val="002D6362"/>
    <w:rsid w:val="002D784A"/>
    <w:rsid w:val="002E0C9F"/>
    <w:rsid w:val="002E0E71"/>
    <w:rsid w:val="002E0F85"/>
    <w:rsid w:val="002E19ED"/>
    <w:rsid w:val="002E2A26"/>
    <w:rsid w:val="002E35AD"/>
    <w:rsid w:val="002E39C1"/>
    <w:rsid w:val="002E4A8B"/>
    <w:rsid w:val="002E4F53"/>
    <w:rsid w:val="002E5F9F"/>
    <w:rsid w:val="002E6466"/>
    <w:rsid w:val="002E7356"/>
    <w:rsid w:val="002E7B6B"/>
    <w:rsid w:val="002E7E4B"/>
    <w:rsid w:val="002F206F"/>
    <w:rsid w:val="002F366E"/>
    <w:rsid w:val="002F37CF"/>
    <w:rsid w:val="002F6353"/>
    <w:rsid w:val="002F668B"/>
    <w:rsid w:val="002F69D9"/>
    <w:rsid w:val="003005B4"/>
    <w:rsid w:val="003019EF"/>
    <w:rsid w:val="003022AE"/>
    <w:rsid w:val="00302643"/>
    <w:rsid w:val="00302887"/>
    <w:rsid w:val="00302FE2"/>
    <w:rsid w:val="00303653"/>
    <w:rsid w:val="00304ADA"/>
    <w:rsid w:val="00304BF2"/>
    <w:rsid w:val="003050E9"/>
    <w:rsid w:val="00305402"/>
    <w:rsid w:val="00305496"/>
    <w:rsid w:val="003056B1"/>
    <w:rsid w:val="00305F70"/>
    <w:rsid w:val="0030656C"/>
    <w:rsid w:val="003069C3"/>
    <w:rsid w:val="00306D09"/>
    <w:rsid w:val="00307F0E"/>
    <w:rsid w:val="003102A4"/>
    <w:rsid w:val="003103CE"/>
    <w:rsid w:val="00311191"/>
    <w:rsid w:val="003111E5"/>
    <w:rsid w:val="003113DC"/>
    <w:rsid w:val="0031143B"/>
    <w:rsid w:val="003122ED"/>
    <w:rsid w:val="00312F6D"/>
    <w:rsid w:val="00313421"/>
    <w:rsid w:val="003144CC"/>
    <w:rsid w:val="00316424"/>
    <w:rsid w:val="00316523"/>
    <w:rsid w:val="00317001"/>
    <w:rsid w:val="00317E65"/>
    <w:rsid w:val="003207CE"/>
    <w:rsid w:val="00320EDE"/>
    <w:rsid w:val="003213C0"/>
    <w:rsid w:val="00321892"/>
    <w:rsid w:val="00321D57"/>
    <w:rsid w:val="003225D0"/>
    <w:rsid w:val="00324061"/>
    <w:rsid w:val="0032408A"/>
    <w:rsid w:val="0032530A"/>
    <w:rsid w:val="00325AD5"/>
    <w:rsid w:val="00326ABD"/>
    <w:rsid w:val="00326F95"/>
    <w:rsid w:val="003276EF"/>
    <w:rsid w:val="00330848"/>
    <w:rsid w:val="00330FD9"/>
    <w:rsid w:val="003310E6"/>
    <w:rsid w:val="00331ED9"/>
    <w:rsid w:val="003320D1"/>
    <w:rsid w:val="0033412E"/>
    <w:rsid w:val="00336061"/>
    <w:rsid w:val="00336588"/>
    <w:rsid w:val="00336D73"/>
    <w:rsid w:val="003403B4"/>
    <w:rsid w:val="00340BDB"/>
    <w:rsid w:val="0034237D"/>
    <w:rsid w:val="00342A07"/>
    <w:rsid w:val="00343946"/>
    <w:rsid w:val="0034449A"/>
    <w:rsid w:val="00345BA9"/>
    <w:rsid w:val="00346430"/>
    <w:rsid w:val="003469C6"/>
    <w:rsid w:val="0035196E"/>
    <w:rsid w:val="00351AA1"/>
    <w:rsid w:val="00351CC4"/>
    <w:rsid w:val="00352BBC"/>
    <w:rsid w:val="00352C04"/>
    <w:rsid w:val="00353712"/>
    <w:rsid w:val="003541EB"/>
    <w:rsid w:val="00355977"/>
    <w:rsid w:val="00355D49"/>
    <w:rsid w:val="00356ADB"/>
    <w:rsid w:val="00356B17"/>
    <w:rsid w:val="00356B62"/>
    <w:rsid w:val="00357298"/>
    <w:rsid w:val="003607CE"/>
    <w:rsid w:val="003609E0"/>
    <w:rsid w:val="00360E25"/>
    <w:rsid w:val="00361847"/>
    <w:rsid w:val="00361960"/>
    <w:rsid w:val="003625F0"/>
    <w:rsid w:val="0036279B"/>
    <w:rsid w:val="00363F15"/>
    <w:rsid w:val="00364182"/>
    <w:rsid w:val="00365C85"/>
    <w:rsid w:val="00365D99"/>
    <w:rsid w:val="0036774A"/>
    <w:rsid w:val="00370D3E"/>
    <w:rsid w:val="00371184"/>
    <w:rsid w:val="0037119A"/>
    <w:rsid w:val="00372393"/>
    <w:rsid w:val="00373359"/>
    <w:rsid w:val="00373839"/>
    <w:rsid w:val="00373FC1"/>
    <w:rsid w:val="003743D8"/>
    <w:rsid w:val="00374932"/>
    <w:rsid w:val="00374E07"/>
    <w:rsid w:val="00377838"/>
    <w:rsid w:val="0038028D"/>
    <w:rsid w:val="003810FC"/>
    <w:rsid w:val="00381B37"/>
    <w:rsid w:val="00381ED9"/>
    <w:rsid w:val="003824BD"/>
    <w:rsid w:val="00382768"/>
    <w:rsid w:val="0038288E"/>
    <w:rsid w:val="00382AFA"/>
    <w:rsid w:val="00383D60"/>
    <w:rsid w:val="00384720"/>
    <w:rsid w:val="00385D9E"/>
    <w:rsid w:val="00386431"/>
    <w:rsid w:val="00387223"/>
    <w:rsid w:val="00390410"/>
    <w:rsid w:val="00390FB8"/>
    <w:rsid w:val="00391849"/>
    <w:rsid w:val="00392982"/>
    <w:rsid w:val="00393FD6"/>
    <w:rsid w:val="00394483"/>
    <w:rsid w:val="00394E5D"/>
    <w:rsid w:val="00394EF6"/>
    <w:rsid w:val="00395B8E"/>
    <w:rsid w:val="00396A6C"/>
    <w:rsid w:val="00397353"/>
    <w:rsid w:val="00397D00"/>
    <w:rsid w:val="003A0A79"/>
    <w:rsid w:val="003A16A3"/>
    <w:rsid w:val="003A1A14"/>
    <w:rsid w:val="003A1C7E"/>
    <w:rsid w:val="003A2AE2"/>
    <w:rsid w:val="003A3135"/>
    <w:rsid w:val="003A3C17"/>
    <w:rsid w:val="003A3C66"/>
    <w:rsid w:val="003A3F55"/>
    <w:rsid w:val="003A4017"/>
    <w:rsid w:val="003A407B"/>
    <w:rsid w:val="003A5D10"/>
    <w:rsid w:val="003A6130"/>
    <w:rsid w:val="003A63AA"/>
    <w:rsid w:val="003B08E1"/>
    <w:rsid w:val="003B1819"/>
    <w:rsid w:val="003B1A28"/>
    <w:rsid w:val="003B1AC8"/>
    <w:rsid w:val="003B1B67"/>
    <w:rsid w:val="003B33B6"/>
    <w:rsid w:val="003B3C9E"/>
    <w:rsid w:val="003B4765"/>
    <w:rsid w:val="003B4FB2"/>
    <w:rsid w:val="003B6DBB"/>
    <w:rsid w:val="003B6E07"/>
    <w:rsid w:val="003B7582"/>
    <w:rsid w:val="003B759D"/>
    <w:rsid w:val="003C1045"/>
    <w:rsid w:val="003C18FC"/>
    <w:rsid w:val="003C1D75"/>
    <w:rsid w:val="003C213A"/>
    <w:rsid w:val="003C27B1"/>
    <w:rsid w:val="003C2810"/>
    <w:rsid w:val="003C29AA"/>
    <w:rsid w:val="003C29FA"/>
    <w:rsid w:val="003C3275"/>
    <w:rsid w:val="003C3776"/>
    <w:rsid w:val="003C385F"/>
    <w:rsid w:val="003C42D7"/>
    <w:rsid w:val="003C49AB"/>
    <w:rsid w:val="003C4BA2"/>
    <w:rsid w:val="003C502C"/>
    <w:rsid w:val="003C5667"/>
    <w:rsid w:val="003C5813"/>
    <w:rsid w:val="003C60E3"/>
    <w:rsid w:val="003C63D5"/>
    <w:rsid w:val="003C6D0D"/>
    <w:rsid w:val="003D0D28"/>
    <w:rsid w:val="003D21FF"/>
    <w:rsid w:val="003D24B0"/>
    <w:rsid w:val="003D3985"/>
    <w:rsid w:val="003D3A78"/>
    <w:rsid w:val="003D439C"/>
    <w:rsid w:val="003D4B5A"/>
    <w:rsid w:val="003D62BB"/>
    <w:rsid w:val="003D6646"/>
    <w:rsid w:val="003D686A"/>
    <w:rsid w:val="003D6874"/>
    <w:rsid w:val="003E020C"/>
    <w:rsid w:val="003E2604"/>
    <w:rsid w:val="003E39AB"/>
    <w:rsid w:val="003E425E"/>
    <w:rsid w:val="003E4330"/>
    <w:rsid w:val="003E4346"/>
    <w:rsid w:val="003E4840"/>
    <w:rsid w:val="003E5730"/>
    <w:rsid w:val="003E5736"/>
    <w:rsid w:val="003E6BD1"/>
    <w:rsid w:val="003E7393"/>
    <w:rsid w:val="003E78E7"/>
    <w:rsid w:val="003E7CD6"/>
    <w:rsid w:val="003F1810"/>
    <w:rsid w:val="003F1CD8"/>
    <w:rsid w:val="003F26BA"/>
    <w:rsid w:val="003F2974"/>
    <w:rsid w:val="003F2C74"/>
    <w:rsid w:val="003F36CC"/>
    <w:rsid w:val="003F4433"/>
    <w:rsid w:val="003F593A"/>
    <w:rsid w:val="003F5955"/>
    <w:rsid w:val="003F5E46"/>
    <w:rsid w:val="003F6F2D"/>
    <w:rsid w:val="003F71BB"/>
    <w:rsid w:val="003F73CE"/>
    <w:rsid w:val="003F788B"/>
    <w:rsid w:val="003F7DEA"/>
    <w:rsid w:val="0040003A"/>
    <w:rsid w:val="00400128"/>
    <w:rsid w:val="004011D5"/>
    <w:rsid w:val="004015FC"/>
    <w:rsid w:val="00401E03"/>
    <w:rsid w:val="0040241A"/>
    <w:rsid w:val="004026AD"/>
    <w:rsid w:val="004027A6"/>
    <w:rsid w:val="00402AE1"/>
    <w:rsid w:val="004031D6"/>
    <w:rsid w:val="00403245"/>
    <w:rsid w:val="00403E5C"/>
    <w:rsid w:val="00405BC5"/>
    <w:rsid w:val="0040652D"/>
    <w:rsid w:val="004078AC"/>
    <w:rsid w:val="0041068F"/>
    <w:rsid w:val="00410D10"/>
    <w:rsid w:val="00411032"/>
    <w:rsid w:val="00411E77"/>
    <w:rsid w:val="004129E0"/>
    <w:rsid w:val="00413ADA"/>
    <w:rsid w:val="00413D72"/>
    <w:rsid w:val="00416149"/>
    <w:rsid w:val="00416249"/>
    <w:rsid w:val="0041627C"/>
    <w:rsid w:val="00416791"/>
    <w:rsid w:val="00416806"/>
    <w:rsid w:val="00416A6E"/>
    <w:rsid w:val="00417260"/>
    <w:rsid w:val="004202F0"/>
    <w:rsid w:val="0042040E"/>
    <w:rsid w:val="00420D60"/>
    <w:rsid w:val="004210A7"/>
    <w:rsid w:val="0042148E"/>
    <w:rsid w:val="00421EA5"/>
    <w:rsid w:val="00422BA7"/>
    <w:rsid w:val="00423A56"/>
    <w:rsid w:val="0042424F"/>
    <w:rsid w:val="00424779"/>
    <w:rsid w:val="00424AA5"/>
    <w:rsid w:val="0042716B"/>
    <w:rsid w:val="004279B4"/>
    <w:rsid w:val="00427B54"/>
    <w:rsid w:val="00430880"/>
    <w:rsid w:val="004308DA"/>
    <w:rsid w:val="00430B11"/>
    <w:rsid w:val="00432473"/>
    <w:rsid w:val="00432480"/>
    <w:rsid w:val="00432C4E"/>
    <w:rsid w:val="00434D77"/>
    <w:rsid w:val="00436132"/>
    <w:rsid w:val="00436282"/>
    <w:rsid w:val="00437057"/>
    <w:rsid w:val="004378C8"/>
    <w:rsid w:val="00437AD4"/>
    <w:rsid w:val="00437E38"/>
    <w:rsid w:val="0044004E"/>
    <w:rsid w:val="0044005D"/>
    <w:rsid w:val="00441371"/>
    <w:rsid w:val="00441BA6"/>
    <w:rsid w:val="0044216D"/>
    <w:rsid w:val="004423DE"/>
    <w:rsid w:val="00442DC0"/>
    <w:rsid w:val="0044308C"/>
    <w:rsid w:val="00444307"/>
    <w:rsid w:val="00444490"/>
    <w:rsid w:val="004448DD"/>
    <w:rsid w:val="00444C76"/>
    <w:rsid w:val="0044563E"/>
    <w:rsid w:val="00445641"/>
    <w:rsid w:val="004456CC"/>
    <w:rsid w:val="004460D5"/>
    <w:rsid w:val="004479DB"/>
    <w:rsid w:val="00450409"/>
    <w:rsid w:val="004508B5"/>
    <w:rsid w:val="00450F87"/>
    <w:rsid w:val="0045178B"/>
    <w:rsid w:val="00451C1E"/>
    <w:rsid w:val="00452EE9"/>
    <w:rsid w:val="00452EF2"/>
    <w:rsid w:val="00452F44"/>
    <w:rsid w:val="0045327A"/>
    <w:rsid w:val="00453A9D"/>
    <w:rsid w:val="00453AC1"/>
    <w:rsid w:val="004550C9"/>
    <w:rsid w:val="00455AAB"/>
    <w:rsid w:val="00457431"/>
    <w:rsid w:val="00461111"/>
    <w:rsid w:val="00461B64"/>
    <w:rsid w:val="00463044"/>
    <w:rsid w:val="00463621"/>
    <w:rsid w:val="0046395F"/>
    <w:rsid w:val="004649DF"/>
    <w:rsid w:val="00464D0C"/>
    <w:rsid w:val="0046529C"/>
    <w:rsid w:val="00465AFF"/>
    <w:rsid w:val="00465CDB"/>
    <w:rsid w:val="00466228"/>
    <w:rsid w:val="0046630B"/>
    <w:rsid w:val="00466930"/>
    <w:rsid w:val="00466A41"/>
    <w:rsid w:val="00467019"/>
    <w:rsid w:val="00467B03"/>
    <w:rsid w:val="00470B02"/>
    <w:rsid w:val="00471368"/>
    <w:rsid w:val="00471C3F"/>
    <w:rsid w:val="00471C4C"/>
    <w:rsid w:val="00471D52"/>
    <w:rsid w:val="004725CA"/>
    <w:rsid w:val="00473BD6"/>
    <w:rsid w:val="00475228"/>
    <w:rsid w:val="004757FB"/>
    <w:rsid w:val="00476D15"/>
    <w:rsid w:val="00480120"/>
    <w:rsid w:val="00480CDE"/>
    <w:rsid w:val="0048145D"/>
    <w:rsid w:val="00481C86"/>
    <w:rsid w:val="00482046"/>
    <w:rsid w:val="00482E6F"/>
    <w:rsid w:val="004853CC"/>
    <w:rsid w:val="00486467"/>
    <w:rsid w:val="004867EF"/>
    <w:rsid w:val="004869A4"/>
    <w:rsid w:val="004877A6"/>
    <w:rsid w:val="0048792E"/>
    <w:rsid w:val="004879D7"/>
    <w:rsid w:val="00490D4E"/>
    <w:rsid w:val="00491B43"/>
    <w:rsid w:val="00491D44"/>
    <w:rsid w:val="0049343A"/>
    <w:rsid w:val="004940D7"/>
    <w:rsid w:val="00494CBF"/>
    <w:rsid w:val="0049618E"/>
    <w:rsid w:val="00496EF7"/>
    <w:rsid w:val="00497405"/>
    <w:rsid w:val="004A004D"/>
    <w:rsid w:val="004A1142"/>
    <w:rsid w:val="004A16C4"/>
    <w:rsid w:val="004A27B2"/>
    <w:rsid w:val="004A2F25"/>
    <w:rsid w:val="004A317D"/>
    <w:rsid w:val="004A3277"/>
    <w:rsid w:val="004A42EC"/>
    <w:rsid w:val="004A4771"/>
    <w:rsid w:val="004A700C"/>
    <w:rsid w:val="004A7358"/>
    <w:rsid w:val="004B18EA"/>
    <w:rsid w:val="004B2041"/>
    <w:rsid w:val="004B211C"/>
    <w:rsid w:val="004B2A2A"/>
    <w:rsid w:val="004B2C7B"/>
    <w:rsid w:val="004B377C"/>
    <w:rsid w:val="004B3EF7"/>
    <w:rsid w:val="004B4D8D"/>
    <w:rsid w:val="004B52EA"/>
    <w:rsid w:val="004B6148"/>
    <w:rsid w:val="004B650B"/>
    <w:rsid w:val="004B6C6C"/>
    <w:rsid w:val="004B79A0"/>
    <w:rsid w:val="004C03A6"/>
    <w:rsid w:val="004C050A"/>
    <w:rsid w:val="004C1286"/>
    <w:rsid w:val="004C2C39"/>
    <w:rsid w:val="004C3F22"/>
    <w:rsid w:val="004C49B7"/>
    <w:rsid w:val="004C5252"/>
    <w:rsid w:val="004C56B8"/>
    <w:rsid w:val="004C56DB"/>
    <w:rsid w:val="004C6090"/>
    <w:rsid w:val="004C6C73"/>
    <w:rsid w:val="004D019A"/>
    <w:rsid w:val="004D02CC"/>
    <w:rsid w:val="004D0E4B"/>
    <w:rsid w:val="004D2073"/>
    <w:rsid w:val="004D3860"/>
    <w:rsid w:val="004D423E"/>
    <w:rsid w:val="004D48ED"/>
    <w:rsid w:val="004D4ABF"/>
    <w:rsid w:val="004D540B"/>
    <w:rsid w:val="004D54F5"/>
    <w:rsid w:val="004D56B8"/>
    <w:rsid w:val="004D5A63"/>
    <w:rsid w:val="004D603A"/>
    <w:rsid w:val="004D6E1F"/>
    <w:rsid w:val="004D6E31"/>
    <w:rsid w:val="004D6E90"/>
    <w:rsid w:val="004D6F57"/>
    <w:rsid w:val="004E08CD"/>
    <w:rsid w:val="004E1B1D"/>
    <w:rsid w:val="004E2B00"/>
    <w:rsid w:val="004E3C38"/>
    <w:rsid w:val="004E4A0F"/>
    <w:rsid w:val="004E67D2"/>
    <w:rsid w:val="004F096D"/>
    <w:rsid w:val="004F10E9"/>
    <w:rsid w:val="004F464F"/>
    <w:rsid w:val="004F50C8"/>
    <w:rsid w:val="004F55D9"/>
    <w:rsid w:val="004F5944"/>
    <w:rsid w:val="004F5D33"/>
    <w:rsid w:val="004F5FA2"/>
    <w:rsid w:val="004F616C"/>
    <w:rsid w:val="004F7C0A"/>
    <w:rsid w:val="004F7E5E"/>
    <w:rsid w:val="0050004A"/>
    <w:rsid w:val="00500502"/>
    <w:rsid w:val="005005AE"/>
    <w:rsid w:val="00500C80"/>
    <w:rsid w:val="00500DD9"/>
    <w:rsid w:val="0050116B"/>
    <w:rsid w:val="00502602"/>
    <w:rsid w:val="005031A2"/>
    <w:rsid w:val="0050349F"/>
    <w:rsid w:val="00503A3F"/>
    <w:rsid w:val="0050423F"/>
    <w:rsid w:val="00504548"/>
    <w:rsid w:val="00506266"/>
    <w:rsid w:val="00506A57"/>
    <w:rsid w:val="005078F5"/>
    <w:rsid w:val="0051073B"/>
    <w:rsid w:val="00510B6A"/>
    <w:rsid w:val="005113EC"/>
    <w:rsid w:val="00511967"/>
    <w:rsid w:val="00512D2E"/>
    <w:rsid w:val="00513163"/>
    <w:rsid w:val="00513783"/>
    <w:rsid w:val="00513A81"/>
    <w:rsid w:val="00513F2D"/>
    <w:rsid w:val="005141AE"/>
    <w:rsid w:val="00514CA6"/>
    <w:rsid w:val="00514D38"/>
    <w:rsid w:val="00514DB7"/>
    <w:rsid w:val="00516089"/>
    <w:rsid w:val="005170D4"/>
    <w:rsid w:val="00520032"/>
    <w:rsid w:val="00522223"/>
    <w:rsid w:val="00522602"/>
    <w:rsid w:val="0052366E"/>
    <w:rsid w:val="00523E47"/>
    <w:rsid w:val="0052440F"/>
    <w:rsid w:val="005249FD"/>
    <w:rsid w:val="00525DD0"/>
    <w:rsid w:val="00525EB7"/>
    <w:rsid w:val="005266CB"/>
    <w:rsid w:val="005270D3"/>
    <w:rsid w:val="005277A1"/>
    <w:rsid w:val="00527F68"/>
    <w:rsid w:val="005306C2"/>
    <w:rsid w:val="00530D64"/>
    <w:rsid w:val="00531227"/>
    <w:rsid w:val="00531BE8"/>
    <w:rsid w:val="0053267C"/>
    <w:rsid w:val="00532933"/>
    <w:rsid w:val="00532CBB"/>
    <w:rsid w:val="00532DE9"/>
    <w:rsid w:val="005331EC"/>
    <w:rsid w:val="005338E4"/>
    <w:rsid w:val="00534317"/>
    <w:rsid w:val="00534AD7"/>
    <w:rsid w:val="00534D1F"/>
    <w:rsid w:val="00535E12"/>
    <w:rsid w:val="00536045"/>
    <w:rsid w:val="00536A99"/>
    <w:rsid w:val="005401A5"/>
    <w:rsid w:val="00540335"/>
    <w:rsid w:val="00540687"/>
    <w:rsid w:val="00540803"/>
    <w:rsid w:val="00540ADA"/>
    <w:rsid w:val="0054155C"/>
    <w:rsid w:val="00541C24"/>
    <w:rsid w:val="00541CF9"/>
    <w:rsid w:val="005424B6"/>
    <w:rsid w:val="00542C22"/>
    <w:rsid w:val="00544701"/>
    <w:rsid w:val="00544AB8"/>
    <w:rsid w:val="00544D57"/>
    <w:rsid w:val="00545992"/>
    <w:rsid w:val="00545A73"/>
    <w:rsid w:val="0054647F"/>
    <w:rsid w:val="00546788"/>
    <w:rsid w:val="00547594"/>
    <w:rsid w:val="00547968"/>
    <w:rsid w:val="00547F23"/>
    <w:rsid w:val="00551A60"/>
    <w:rsid w:val="00551CEF"/>
    <w:rsid w:val="00552600"/>
    <w:rsid w:val="00553410"/>
    <w:rsid w:val="00553440"/>
    <w:rsid w:val="005537D8"/>
    <w:rsid w:val="005540FA"/>
    <w:rsid w:val="0055435C"/>
    <w:rsid w:val="00555077"/>
    <w:rsid w:val="00555113"/>
    <w:rsid w:val="00555D94"/>
    <w:rsid w:val="005563BD"/>
    <w:rsid w:val="00557092"/>
    <w:rsid w:val="00557F15"/>
    <w:rsid w:val="0056009C"/>
    <w:rsid w:val="005608FB"/>
    <w:rsid w:val="005614FA"/>
    <w:rsid w:val="00564839"/>
    <w:rsid w:val="00564ACF"/>
    <w:rsid w:val="00564BD3"/>
    <w:rsid w:val="00564C3A"/>
    <w:rsid w:val="00564E2D"/>
    <w:rsid w:val="00564EAF"/>
    <w:rsid w:val="00565422"/>
    <w:rsid w:val="00567133"/>
    <w:rsid w:val="0056761E"/>
    <w:rsid w:val="005700DB"/>
    <w:rsid w:val="005702B8"/>
    <w:rsid w:val="00570359"/>
    <w:rsid w:val="0057042C"/>
    <w:rsid w:val="005707D7"/>
    <w:rsid w:val="00571AC3"/>
    <w:rsid w:val="0057308F"/>
    <w:rsid w:val="00573157"/>
    <w:rsid w:val="00574BB2"/>
    <w:rsid w:val="00574E1D"/>
    <w:rsid w:val="0057744D"/>
    <w:rsid w:val="00577A15"/>
    <w:rsid w:val="00577DBE"/>
    <w:rsid w:val="00580307"/>
    <w:rsid w:val="00581889"/>
    <w:rsid w:val="00582169"/>
    <w:rsid w:val="00582E1C"/>
    <w:rsid w:val="00584592"/>
    <w:rsid w:val="00585045"/>
    <w:rsid w:val="00585107"/>
    <w:rsid w:val="00585A22"/>
    <w:rsid w:val="0058652F"/>
    <w:rsid w:val="005870D7"/>
    <w:rsid w:val="00587160"/>
    <w:rsid w:val="00587A98"/>
    <w:rsid w:val="00587BFC"/>
    <w:rsid w:val="00587E7B"/>
    <w:rsid w:val="00587FB8"/>
    <w:rsid w:val="00591783"/>
    <w:rsid w:val="00591A7A"/>
    <w:rsid w:val="00591E3B"/>
    <w:rsid w:val="0059202D"/>
    <w:rsid w:val="00592717"/>
    <w:rsid w:val="00593F7F"/>
    <w:rsid w:val="005944F2"/>
    <w:rsid w:val="00594E2F"/>
    <w:rsid w:val="005954D0"/>
    <w:rsid w:val="005956EF"/>
    <w:rsid w:val="00595F53"/>
    <w:rsid w:val="0059679F"/>
    <w:rsid w:val="005970E9"/>
    <w:rsid w:val="00597817"/>
    <w:rsid w:val="00597C9F"/>
    <w:rsid w:val="005A0E6B"/>
    <w:rsid w:val="005A1DDE"/>
    <w:rsid w:val="005A2AC2"/>
    <w:rsid w:val="005A2D46"/>
    <w:rsid w:val="005A386F"/>
    <w:rsid w:val="005A3FD8"/>
    <w:rsid w:val="005A4976"/>
    <w:rsid w:val="005A5CBF"/>
    <w:rsid w:val="005A6C74"/>
    <w:rsid w:val="005A7435"/>
    <w:rsid w:val="005A7DDF"/>
    <w:rsid w:val="005B034F"/>
    <w:rsid w:val="005B1247"/>
    <w:rsid w:val="005B15EF"/>
    <w:rsid w:val="005B1609"/>
    <w:rsid w:val="005B188A"/>
    <w:rsid w:val="005B2EFB"/>
    <w:rsid w:val="005B3323"/>
    <w:rsid w:val="005B3960"/>
    <w:rsid w:val="005B4CE5"/>
    <w:rsid w:val="005B5876"/>
    <w:rsid w:val="005B632C"/>
    <w:rsid w:val="005B7E2C"/>
    <w:rsid w:val="005C267A"/>
    <w:rsid w:val="005C3751"/>
    <w:rsid w:val="005C40FA"/>
    <w:rsid w:val="005C468F"/>
    <w:rsid w:val="005C5295"/>
    <w:rsid w:val="005C5394"/>
    <w:rsid w:val="005C5CBC"/>
    <w:rsid w:val="005C5E56"/>
    <w:rsid w:val="005C5F3A"/>
    <w:rsid w:val="005C689A"/>
    <w:rsid w:val="005D05AE"/>
    <w:rsid w:val="005D09AB"/>
    <w:rsid w:val="005D1C41"/>
    <w:rsid w:val="005D2B2E"/>
    <w:rsid w:val="005D3F0D"/>
    <w:rsid w:val="005D47F6"/>
    <w:rsid w:val="005D5748"/>
    <w:rsid w:val="005D6905"/>
    <w:rsid w:val="005D6BA3"/>
    <w:rsid w:val="005D7740"/>
    <w:rsid w:val="005E0A56"/>
    <w:rsid w:val="005E0AD0"/>
    <w:rsid w:val="005E0B39"/>
    <w:rsid w:val="005E24E6"/>
    <w:rsid w:val="005E428F"/>
    <w:rsid w:val="005E4A7B"/>
    <w:rsid w:val="005E5060"/>
    <w:rsid w:val="005E5F04"/>
    <w:rsid w:val="005E6D0C"/>
    <w:rsid w:val="005F0113"/>
    <w:rsid w:val="005F0B79"/>
    <w:rsid w:val="005F0C61"/>
    <w:rsid w:val="005F1AE8"/>
    <w:rsid w:val="005F1B2C"/>
    <w:rsid w:val="005F1C50"/>
    <w:rsid w:val="005F230D"/>
    <w:rsid w:val="005F2EB0"/>
    <w:rsid w:val="005F33C7"/>
    <w:rsid w:val="005F3A9E"/>
    <w:rsid w:val="005F3AC4"/>
    <w:rsid w:val="005F41CD"/>
    <w:rsid w:val="005F4293"/>
    <w:rsid w:val="005F4B2C"/>
    <w:rsid w:val="005F5B4A"/>
    <w:rsid w:val="005F66BA"/>
    <w:rsid w:val="005F77A1"/>
    <w:rsid w:val="006005C0"/>
    <w:rsid w:val="006025CA"/>
    <w:rsid w:val="00602C03"/>
    <w:rsid w:val="00603C2B"/>
    <w:rsid w:val="00604A5F"/>
    <w:rsid w:val="0060597B"/>
    <w:rsid w:val="006066A1"/>
    <w:rsid w:val="00606C66"/>
    <w:rsid w:val="00607844"/>
    <w:rsid w:val="006102F9"/>
    <w:rsid w:val="00610B3A"/>
    <w:rsid w:val="00610FA8"/>
    <w:rsid w:val="0061172E"/>
    <w:rsid w:val="00611A27"/>
    <w:rsid w:val="006127D0"/>
    <w:rsid w:val="00612C86"/>
    <w:rsid w:val="00613A48"/>
    <w:rsid w:val="00613D48"/>
    <w:rsid w:val="0061590C"/>
    <w:rsid w:val="0061598C"/>
    <w:rsid w:val="00616A37"/>
    <w:rsid w:val="006178DF"/>
    <w:rsid w:val="00617941"/>
    <w:rsid w:val="00623621"/>
    <w:rsid w:val="00624AC9"/>
    <w:rsid w:val="00624CA1"/>
    <w:rsid w:val="00624DBC"/>
    <w:rsid w:val="006251D9"/>
    <w:rsid w:val="00625D61"/>
    <w:rsid w:val="006262A6"/>
    <w:rsid w:val="00627337"/>
    <w:rsid w:val="006277DE"/>
    <w:rsid w:val="006304C8"/>
    <w:rsid w:val="0063121E"/>
    <w:rsid w:val="0063157D"/>
    <w:rsid w:val="00631846"/>
    <w:rsid w:val="00631BE5"/>
    <w:rsid w:val="00632566"/>
    <w:rsid w:val="00632582"/>
    <w:rsid w:val="00632A98"/>
    <w:rsid w:val="00632B69"/>
    <w:rsid w:val="00634AAD"/>
    <w:rsid w:val="00635352"/>
    <w:rsid w:val="006355F2"/>
    <w:rsid w:val="0063715A"/>
    <w:rsid w:val="006376AE"/>
    <w:rsid w:val="00637E63"/>
    <w:rsid w:val="00640D0B"/>
    <w:rsid w:val="00641601"/>
    <w:rsid w:val="0064218C"/>
    <w:rsid w:val="0064233D"/>
    <w:rsid w:val="006427DE"/>
    <w:rsid w:val="0064290B"/>
    <w:rsid w:val="0064319A"/>
    <w:rsid w:val="006447E2"/>
    <w:rsid w:val="00644CEC"/>
    <w:rsid w:val="006457EA"/>
    <w:rsid w:val="00645ABD"/>
    <w:rsid w:val="00645D2F"/>
    <w:rsid w:val="00645E15"/>
    <w:rsid w:val="00646EF3"/>
    <w:rsid w:val="00646FE4"/>
    <w:rsid w:val="006501FF"/>
    <w:rsid w:val="00650467"/>
    <w:rsid w:val="006508F4"/>
    <w:rsid w:val="00650C1A"/>
    <w:rsid w:val="0065142D"/>
    <w:rsid w:val="00651B20"/>
    <w:rsid w:val="006535A0"/>
    <w:rsid w:val="00653BBA"/>
    <w:rsid w:val="006547C5"/>
    <w:rsid w:val="00654B4F"/>
    <w:rsid w:val="00654BA9"/>
    <w:rsid w:val="00654FE7"/>
    <w:rsid w:val="006553E3"/>
    <w:rsid w:val="00655920"/>
    <w:rsid w:val="00656662"/>
    <w:rsid w:val="00656AEE"/>
    <w:rsid w:val="00657355"/>
    <w:rsid w:val="00657549"/>
    <w:rsid w:val="006575E9"/>
    <w:rsid w:val="00657854"/>
    <w:rsid w:val="006602DF"/>
    <w:rsid w:val="00660445"/>
    <w:rsid w:val="00660909"/>
    <w:rsid w:val="00662130"/>
    <w:rsid w:val="006631C9"/>
    <w:rsid w:val="00663566"/>
    <w:rsid w:val="006644FB"/>
    <w:rsid w:val="006648BA"/>
    <w:rsid w:val="00665426"/>
    <w:rsid w:val="006667D0"/>
    <w:rsid w:val="00667FAE"/>
    <w:rsid w:val="006704A7"/>
    <w:rsid w:val="00670A21"/>
    <w:rsid w:val="00671AEB"/>
    <w:rsid w:val="00672F7B"/>
    <w:rsid w:val="0067346C"/>
    <w:rsid w:val="00673524"/>
    <w:rsid w:val="006744A7"/>
    <w:rsid w:val="006752D7"/>
    <w:rsid w:val="006764F7"/>
    <w:rsid w:val="006769A9"/>
    <w:rsid w:val="006769BC"/>
    <w:rsid w:val="00677528"/>
    <w:rsid w:val="00677F6E"/>
    <w:rsid w:val="0068005F"/>
    <w:rsid w:val="0068156C"/>
    <w:rsid w:val="00682036"/>
    <w:rsid w:val="006824BA"/>
    <w:rsid w:val="00682653"/>
    <w:rsid w:val="00683417"/>
    <w:rsid w:val="0068394B"/>
    <w:rsid w:val="0068431A"/>
    <w:rsid w:val="00684930"/>
    <w:rsid w:val="006867CA"/>
    <w:rsid w:val="006876B0"/>
    <w:rsid w:val="00690DCD"/>
    <w:rsid w:val="00690EA6"/>
    <w:rsid w:val="006919FA"/>
    <w:rsid w:val="00691DC5"/>
    <w:rsid w:val="00692A19"/>
    <w:rsid w:val="00693452"/>
    <w:rsid w:val="006955DD"/>
    <w:rsid w:val="00696187"/>
    <w:rsid w:val="00697633"/>
    <w:rsid w:val="00697CAC"/>
    <w:rsid w:val="006A0C0E"/>
    <w:rsid w:val="006A1B44"/>
    <w:rsid w:val="006A39ED"/>
    <w:rsid w:val="006A41EE"/>
    <w:rsid w:val="006A7340"/>
    <w:rsid w:val="006A73CE"/>
    <w:rsid w:val="006A74B5"/>
    <w:rsid w:val="006A7DA9"/>
    <w:rsid w:val="006A7F58"/>
    <w:rsid w:val="006B0A0F"/>
    <w:rsid w:val="006B122D"/>
    <w:rsid w:val="006B169B"/>
    <w:rsid w:val="006B1FCA"/>
    <w:rsid w:val="006B20FF"/>
    <w:rsid w:val="006B3F01"/>
    <w:rsid w:val="006B43D8"/>
    <w:rsid w:val="006B4ABB"/>
    <w:rsid w:val="006B4FBC"/>
    <w:rsid w:val="006B53D1"/>
    <w:rsid w:val="006B683D"/>
    <w:rsid w:val="006B6F29"/>
    <w:rsid w:val="006C09B1"/>
    <w:rsid w:val="006C1453"/>
    <w:rsid w:val="006C1AA7"/>
    <w:rsid w:val="006C31A6"/>
    <w:rsid w:val="006C3CD7"/>
    <w:rsid w:val="006C46D2"/>
    <w:rsid w:val="006C4903"/>
    <w:rsid w:val="006C4B14"/>
    <w:rsid w:val="006C4FAB"/>
    <w:rsid w:val="006C5AF9"/>
    <w:rsid w:val="006C684B"/>
    <w:rsid w:val="006D1D09"/>
    <w:rsid w:val="006D36BF"/>
    <w:rsid w:val="006D4996"/>
    <w:rsid w:val="006D4B93"/>
    <w:rsid w:val="006D5801"/>
    <w:rsid w:val="006D5F10"/>
    <w:rsid w:val="006D7E2C"/>
    <w:rsid w:val="006E00AB"/>
    <w:rsid w:val="006E03C1"/>
    <w:rsid w:val="006E047F"/>
    <w:rsid w:val="006E18DB"/>
    <w:rsid w:val="006E19A7"/>
    <w:rsid w:val="006E203F"/>
    <w:rsid w:val="006E212B"/>
    <w:rsid w:val="006E2FBC"/>
    <w:rsid w:val="006E38F0"/>
    <w:rsid w:val="006E4526"/>
    <w:rsid w:val="006E4AB9"/>
    <w:rsid w:val="006E6177"/>
    <w:rsid w:val="006E7F05"/>
    <w:rsid w:val="006F097E"/>
    <w:rsid w:val="006F0A0D"/>
    <w:rsid w:val="006F0FE7"/>
    <w:rsid w:val="006F1612"/>
    <w:rsid w:val="006F23A8"/>
    <w:rsid w:val="006F4B11"/>
    <w:rsid w:val="006F5EA1"/>
    <w:rsid w:val="006F7990"/>
    <w:rsid w:val="007000E1"/>
    <w:rsid w:val="00700138"/>
    <w:rsid w:val="007003EC"/>
    <w:rsid w:val="007005C6"/>
    <w:rsid w:val="007006C6"/>
    <w:rsid w:val="00701FC0"/>
    <w:rsid w:val="007024FA"/>
    <w:rsid w:val="00703659"/>
    <w:rsid w:val="00703C4A"/>
    <w:rsid w:val="00704264"/>
    <w:rsid w:val="00705DC5"/>
    <w:rsid w:val="00706B4E"/>
    <w:rsid w:val="00706E28"/>
    <w:rsid w:val="0070792D"/>
    <w:rsid w:val="007079D8"/>
    <w:rsid w:val="00707F57"/>
    <w:rsid w:val="00710482"/>
    <w:rsid w:val="00710EB1"/>
    <w:rsid w:val="007114A4"/>
    <w:rsid w:val="00711D9E"/>
    <w:rsid w:val="0071291D"/>
    <w:rsid w:val="00712DE3"/>
    <w:rsid w:val="00713027"/>
    <w:rsid w:val="007132C0"/>
    <w:rsid w:val="00713753"/>
    <w:rsid w:val="00713C92"/>
    <w:rsid w:val="00716ABC"/>
    <w:rsid w:val="00716F0A"/>
    <w:rsid w:val="00720A02"/>
    <w:rsid w:val="007211B3"/>
    <w:rsid w:val="0072207D"/>
    <w:rsid w:val="0072243D"/>
    <w:rsid w:val="007231CE"/>
    <w:rsid w:val="00723CC9"/>
    <w:rsid w:val="00724060"/>
    <w:rsid w:val="00724793"/>
    <w:rsid w:val="00724898"/>
    <w:rsid w:val="00724D19"/>
    <w:rsid w:val="00724F97"/>
    <w:rsid w:val="007309F4"/>
    <w:rsid w:val="007316D6"/>
    <w:rsid w:val="007328E4"/>
    <w:rsid w:val="00733882"/>
    <w:rsid w:val="0073436C"/>
    <w:rsid w:val="00734444"/>
    <w:rsid w:val="00735298"/>
    <w:rsid w:val="00735921"/>
    <w:rsid w:val="007368D1"/>
    <w:rsid w:val="00736EFE"/>
    <w:rsid w:val="00736F65"/>
    <w:rsid w:val="00737360"/>
    <w:rsid w:val="00737B37"/>
    <w:rsid w:val="00737F10"/>
    <w:rsid w:val="0074037A"/>
    <w:rsid w:val="00740804"/>
    <w:rsid w:val="007416AA"/>
    <w:rsid w:val="0074176C"/>
    <w:rsid w:val="00743FE7"/>
    <w:rsid w:val="007441AC"/>
    <w:rsid w:val="00744804"/>
    <w:rsid w:val="00744D41"/>
    <w:rsid w:val="0074579C"/>
    <w:rsid w:val="00745FBD"/>
    <w:rsid w:val="00747C88"/>
    <w:rsid w:val="0075052C"/>
    <w:rsid w:val="00750B19"/>
    <w:rsid w:val="007511EB"/>
    <w:rsid w:val="00753A36"/>
    <w:rsid w:val="0075453B"/>
    <w:rsid w:val="007560BB"/>
    <w:rsid w:val="00756435"/>
    <w:rsid w:val="007601DF"/>
    <w:rsid w:val="00760517"/>
    <w:rsid w:val="007606CA"/>
    <w:rsid w:val="00760814"/>
    <w:rsid w:val="007609ED"/>
    <w:rsid w:val="00760AC7"/>
    <w:rsid w:val="00761104"/>
    <w:rsid w:val="0076119E"/>
    <w:rsid w:val="00761241"/>
    <w:rsid w:val="0076167E"/>
    <w:rsid w:val="00761988"/>
    <w:rsid w:val="007619F5"/>
    <w:rsid w:val="007621CA"/>
    <w:rsid w:val="00762305"/>
    <w:rsid w:val="00762548"/>
    <w:rsid w:val="0076274D"/>
    <w:rsid w:val="00763499"/>
    <w:rsid w:val="007637C9"/>
    <w:rsid w:val="00764A6B"/>
    <w:rsid w:val="00765AAB"/>
    <w:rsid w:val="00766CAB"/>
    <w:rsid w:val="0076735B"/>
    <w:rsid w:val="00770AB8"/>
    <w:rsid w:val="00770F4D"/>
    <w:rsid w:val="0077167F"/>
    <w:rsid w:val="0077278A"/>
    <w:rsid w:val="0077292D"/>
    <w:rsid w:val="00772DFE"/>
    <w:rsid w:val="0077568E"/>
    <w:rsid w:val="007759B4"/>
    <w:rsid w:val="007765F5"/>
    <w:rsid w:val="007766E1"/>
    <w:rsid w:val="00777BEA"/>
    <w:rsid w:val="00777FCC"/>
    <w:rsid w:val="00777FD5"/>
    <w:rsid w:val="00781418"/>
    <w:rsid w:val="00781521"/>
    <w:rsid w:val="00782135"/>
    <w:rsid w:val="0078239E"/>
    <w:rsid w:val="0078379F"/>
    <w:rsid w:val="0078395E"/>
    <w:rsid w:val="00783AB3"/>
    <w:rsid w:val="00784256"/>
    <w:rsid w:val="00784509"/>
    <w:rsid w:val="007857B6"/>
    <w:rsid w:val="0078598D"/>
    <w:rsid w:val="007859C4"/>
    <w:rsid w:val="00785A4F"/>
    <w:rsid w:val="00785F26"/>
    <w:rsid w:val="00787688"/>
    <w:rsid w:val="0079075B"/>
    <w:rsid w:val="007912FA"/>
    <w:rsid w:val="0079149D"/>
    <w:rsid w:val="00791613"/>
    <w:rsid w:val="0079179D"/>
    <w:rsid w:val="00791A0B"/>
    <w:rsid w:val="007928D2"/>
    <w:rsid w:val="00792F44"/>
    <w:rsid w:val="00794EF9"/>
    <w:rsid w:val="0079506E"/>
    <w:rsid w:val="00796310"/>
    <w:rsid w:val="00796970"/>
    <w:rsid w:val="00796C16"/>
    <w:rsid w:val="007A11AB"/>
    <w:rsid w:val="007A1404"/>
    <w:rsid w:val="007A2334"/>
    <w:rsid w:val="007A302A"/>
    <w:rsid w:val="007A3144"/>
    <w:rsid w:val="007A33E7"/>
    <w:rsid w:val="007A46CE"/>
    <w:rsid w:val="007A5B03"/>
    <w:rsid w:val="007A5B27"/>
    <w:rsid w:val="007A5B5D"/>
    <w:rsid w:val="007A65FF"/>
    <w:rsid w:val="007B05AE"/>
    <w:rsid w:val="007B0A7C"/>
    <w:rsid w:val="007B0EF4"/>
    <w:rsid w:val="007B186D"/>
    <w:rsid w:val="007B1ACB"/>
    <w:rsid w:val="007B2363"/>
    <w:rsid w:val="007B36E5"/>
    <w:rsid w:val="007B4267"/>
    <w:rsid w:val="007B46D9"/>
    <w:rsid w:val="007B4908"/>
    <w:rsid w:val="007B49D7"/>
    <w:rsid w:val="007B5104"/>
    <w:rsid w:val="007B5613"/>
    <w:rsid w:val="007B6078"/>
    <w:rsid w:val="007B6AE1"/>
    <w:rsid w:val="007B7155"/>
    <w:rsid w:val="007C073B"/>
    <w:rsid w:val="007C0F21"/>
    <w:rsid w:val="007C13AD"/>
    <w:rsid w:val="007C14AB"/>
    <w:rsid w:val="007C1595"/>
    <w:rsid w:val="007C1B26"/>
    <w:rsid w:val="007C22CC"/>
    <w:rsid w:val="007C2953"/>
    <w:rsid w:val="007C30AE"/>
    <w:rsid w:val="007C3D1C"/>
    <w:rsid w:val="007C41A9"/>
    <w:rsid w:val="007C43B5"/>
    <w:rsid w:val="007C499C"/>
    <w:rsid w:val="007C4BEB"/>
    <w:rsid w:val="007C51AA"/>
    <w:rsid w:val="007C58A1"/>
    <w:rsid w:val="007C5A88"/>
    <w:rsid w:val="007C61F3"/>
    <w:rsid w:val="007D079C"/>
    <w:rsid w:val="007D08EC"/>
    <w:rsid w:val="007D0B87"/>
    <w:rsid w:val="007D0B8E"/>
    <w:rsid w:val="007D24C9"/>
    <w:rsid w:val="007D335B"/>
    <w:rsid w:val="007D34D4"/>
    <w:rsid w:val="007D3E01"/>
    <w:rsid w:val="007D4069"/>
    <w:rsid w:val="007D4DEC"/>
    <w:rsid w:val="007D6351"/>
    <w:rsid w:val="007D6645"/>
    <w:rsid w:val="007D6702"/>
    <w:rsid w:val="007D76D2"/>
    <w:rsid w:val="007E015A"/>
    <w:rsid w:val="007E02D0"/>
    <w:rsid w:val="007E11CA"/>
    <w:rsid w:val="007E6938"/>
    <w:rsid w:val="007E6E40"/>
    <w:rsid w:val="007F0D70"/>
    <w:rsid w:val="007F0E5B"/>
    <w:rsid w:val="007F1CE7"/>
    <w:rsid w:val="007F3100"/>
    <w:rsid w:val="007F3E5A"/>
    <w:rsid w:val="007F4AB3"/>
    <w:rsid w:val="007F5926"/>
    <w:rsid w:val="007F5C5F"/>
    <w:rsid w:val="007F5EA1"/>
    <w:rsid w:val="007F6879"/>
    <w:rsid w:val="007F6B9D"/>
    <w:rsid w:val="007F6D90"/>
    <w:rsid w:val="007F7205"/>
    <w:rsid w:val="008003D0"/>
    <w:rsid w:val="008004C0"/>
    <w:rsid w:val="00801465"/>
    <w:rsid w:val="0080185F"/>
    <w:rsid w:val="00802ABC"/>
    <w:rsid w:val="00803052"/>
    <w:rsid w:val="00805849"/>
    <w:rsid w:val="00805940"/>
    <w:rsid w:val="00805F94"/>
    <w:rsid w:val="00810C0E"/>
    <w:rsid w:val="00810EC6"/>
    <w:rsid w:val="00811D3B"/>
    <w:rsid w:val="0081227B"/>
    <w:rsid w:val="0081298B"/>
    <w:rsid w:val="00813C76"/>
    <w:rsid w:val="00813D9C"/>
    <w:rsid w:val="008147EE"/>
    <w:rsid w:val="00814B85"/>
    <w:rsid w:val="00814F49"/>
    <w:rsid w:val="008155D9"/>
    <w:rsid w:val="00815D3F"/>
    <w:rsid w:val="00816BD2"/>
    <w:rsid w:val="008173AB"/>
    <w:rsid w:val="008176F0"/>
    <w:rsid w:val="008177E2"/>
    <w:rsid w:val="00817CD4"/>
    <w:rsid w:val="008203D4"/>
    <w:rsid w:val="008204D5"/>
    <w:rsid w:val="00820AFB"/>
    <w:rsid w:val="00820C01"/>
    <w:rsid w:val="00821C17"/>
    <w:rsid w:val="00821F6C"/>
    <w:rsid w:val="0082248C"/>
    <w:rsid w:val="008225AD"/>
    <w:rsid w:val="00822AD2"/>
    <w:rsid w:val="008237BF"/>
    <w:rsid w:val="008238A8"/>
    <w:rsid w:val="008249A5"/>
    <w:rsid w:val="00825AE0"/>
    <w:rsid w:val="0082756A"/>
    <w:rsid w:val="00827FC1"/>
    <w:rsid w:val="00830DBC"/>
    <w:rsid w:val="00831179"/>
    <w:rsid w:val="00831194"/>
    <w:rsid w:val="0083262D"/>
    <w:rsid w:val="00833E5C"/>
    <w:rsid w:val="0083400E"/>
    <w:rsid w:val="00834614"/>
    <w:rsid w:val="008363EB"/>
    <w:rsid w:val="00836712"/>
    <w:rsid w:val="0083683A"/>
    <w:rsid w:val="00840DAB"/>
    <w:rsid w:val="008413BA"/>
    <w:rsid w:val="00843C17"/>
    <w:rsid w:val="00843DD5"/>
    <w:rsid w:val="0084479B"/>
    <w:rsid w:val="0084543A"/>
    <w:rsid w:val="008461D0"/>
    <w:rsid w:val="0084655B"/>
    <w:rsid w:val="00846E64"/>
    <w:rsid w:val="00847D50"/>
    <w:rsid w:val="00850A64"/>
    <w:rsid w:val="00850F7D"/>
    <w:rsid w:val="00851770"/>
    <w:rsid w:val="008533E1"/>
    <w:rsid w:val="00853DB0"/>
    <w:rsid w:val="0085455A"/>
    <w:rsid w:val="0085508D"/>
    <w:rsid w:val="0085570A"/>
    <w:rsid w:val="00855B7D"/>
    <w:rsid w:val="00855C1F"/>
    <w:rsid w:val="00856BD2"/>
    <w:rsid w:val="00856FF7"/>
    <w:rsid w:val="00857232"/>
    <w:rsid w:val="008574D4"/>
    <w:rsid w:val="0085787B"/>
    <w:rsid w:val="00860D69"/>
    <w:rsid w:val="00861707"/>
    <w:rsid w:val="00863C53"/>
    <w:rsid w:val="00863FF0"/>
    <w:rsid w:val="0086404F"/>
    <w:rsid w:val="00864ABF"/>
    <w:rsid w:val="00864D9D"/>
    <w:rsid w:val="00865435"/>
    <w:rsid w:val="008657F4"/>
    <w:rsid w:val="00866193"/>
    <w:rsid w:val="00867244"/>
    <w:rsid w:val="00867E24"/>
    <w:rsid w:val="00870729"/>
    <w:rsid w:val="00872208"/>
    <w:rsid w:val="0087259A"/>
    <w:rsid w:val="008725C1"/>
    <w:rsid w:val="00872632"/>
    <w:rsid w:val="008736F3"/>
    <w:rsid w:val="00873BEA"/>
    <w:rsid w:val="00873F36"/>
    <w:rsid w:val="00874A47"/>
    <w:rsid w:val="008752C0"/>
    <w:rsid w:val="00876299"/>
    <w:rsid w:val="0087629E"/>
    <w:rsid w:val="00876D4C"/>
    <w:rsid w:val="00876D98"/>
    <w:rsid w:val="00880D29"/>
    <w:rsid w:val="0088168D"/>
    <w:rsid w:val="0088498A"/>
    <w:rsid w:val="008854AE"/>
    <w:rsid w:val="00885FB2"/>
    <w:rsid w:val="008860A2"/>
    <w:rsid w:val="008861AD"/>
    <w:rsid w:val="0088661F"/>
    <w:rsid w:val="008875B0"/>
    <w:rsid w:val="008876C8"/>
    <w:rsid w:val="00887EF3"/>
    <w:rsid w:val="0089036C"/>
    <w:rsid w:val="00890864"/>
    <w:rsid w:val="00890EDC"/>
    <w:rsid w:val="0089189C"/>
    <w:rsid w:val="008919E7"/>
    <w:rsid w:val="008935CF"/>
    <w:rsid w:val="008937AC"/>
    <w:rsid w:val="00893C70"/>
    <w:rsid w:val="00894D30"/>
    <w:rsid w:val="00895E14"/>
    <w:rsid w:val="008972A2"/>
    <w:rsid w:val="008A0AB6"/>
    <w:rsid w:val="008A10CF"/>
    <w:rsid w:val="008A1521"/>
    <w:rsid w:val="008A1629"/>
    <w:rsid w:val="008A1CCF"/>
    <w:rsid w:val="008A2F6B"/>
    <w:rsid w:val="008A30E4"/>
    <w:rsid w:val="008A317A"/>
    <w:rsid w:val="008A34A9"/>
    <w:rsid w:val="008A3DC8"/>
    <w:rsid w:val="008A41AF"/>
    <w:rsid w:val="008A4D13"/>
    <w:rsid w:val="008A5431"/>
    <w:rsid w:val="008A5D66"/>
    <w:rsid w:val="008A6389"/>
    <w:rsid w:val="008A6894"/>
    <w:rsid w:val="008A6B3B"/>
    <w:rsid w:val="008A7998"/>
    <w:rsid w:val="008B004C"/>
    <w:rsid w:val="008B00F6"/>
    <w:rsid w:val="008B0556"/>
    <w:rsid w:val="008B0560"/>
    <w:rsid w:val="008B0D90"/>
    <w:rsid w:val="008B0EF5"/>
    <w:rsid w:val="008B303F"/>
    <w:rsid w:val="008B3F51"/>
    <w:rsid w:val="008B4E44"/>
    <w:rsid w:val="008B5265"/>
    <w:rsid w:val="008B5491"/>
    <w:rsid w:val="008B55C3"/>
    <w:rsid w:val="008B59C0"/>
    <w:rsid w:val="008B6068"/>
    <w:rsid w:val="008B73C9"/>
    <w:rsid w:val="008C04E0"/>
    <w:rsid w:val="008C06F8"/>
    <w:rsid w:val="008C126B"/>
    <w:rsid w:val="008C1391"/>
    <w:rsid w:val="008C3C24"/>
    <w:rsid w:val="008C3CEF"/>
    <w:rsid w:val="008C4B11"/>
    <w:rsid w:val="008C51B0"/>
    <w:rsid w:val="008C5985"/>
    <w:rsid w:val="008C5F16"/>
    <w:rsid w:val="008C674D"/>
    <w:rsid w:val="008C6BEE"/>
    <w:rsid w:val="008C7B22"/>
    <w:rsid w:val="008C7F3A"/>
    <w:rsid w:val="008D0DB6"/>
    <w:rsid w:val="008D1569"/>
    <w:rsid w:val="008D28C6"/>
    <w:rsid w:val="008D2A4C"/>
    <w:rsid w:val="008D2F24"/>
    <w:rsid w:val="008D30C4"/>
    <w:rsid w:val="008D414B"/>
    <w:rsid w:val="008D41E6"/>
    <w:rsid w:val="008D4A2E"/>
    <w:rsid w:val="008D4B08"/>
    <w:rsid w:val="008D4D0F"/>
    <w:rsid w:val="008D506F"/>
    <w:rsid w:val="008D5FF9"/>
    <w:rsid w:val="008D6CB8"/>
    <w:rsid w:val="008D7FDA"/>
    <w:rsid w:val="008E084B"/>
    <w:rsid w:val="008E0C42"/>
    <w:rsid w:val="008E1930"/>
    <w:rsid w:val="008E1A17"/>
    <w:rsid w:val="008E2233"/>
    <w:rsid w:val="008E3ABE"/>
    <w:rsid w:val="008E499A"/>
    <w:rsid w:val="008E561C"/>
    <w:rsid w:val="008E56DB"/>
    <w:rsid w:val="008E5BF2"/>
    <w:rsid w:val="008E6A6E"/>
    <w:rsid w:val="008E7CF7"/>
    <w:rsid w:val="008F00F2"/>
    <w:rsid w:val="008F092C"/>
    <w:rsid w:val="008F13C4"/>
    <w:rsid w:val="008F1AE1"/>
    <w:rsid w:val="008F2EB3"/>
    <w:rsid w:val="008F2F6F"/>
    <w:rsid w:val="008F38DE"/>
    <w:rsid w:val="008F3A9E"/>
    <w:rsid w:val="008F3D16"/>
    <w:rsid w:val="008F3EEA"/>
    <w:rsid w:val="008F40E7"/>
    <w:rsid w:val="008F51FF"/>
    <w:rsid w:val="008F5B5D"/>
    <w:rsid w:val="008F5F62"/>
    <w:rsid w:val="008F6007"/>
    <w:rsid w:val="008F678F"/>
    <w:rsid w:val="008F6F30"/>
    <w:rsid w:val="008F70DB"/>
    <w:rsid w:val="008F7832"/>
    <w:rsid w:val="00901BC6"/>
    <w:rsid w:val="009024F3"/>
    <w:rsid w:val="00903BAC"/>
    <w:rsid w:val="00904239"/>
    <w:rsid w:val="0090429E"/>
    <w:rsid w:val="009049EE"/>
    <w:rsid w:val="00904E3D"/>
    <w:rsid w:val="00905160"/>
    <w:rsid w:val="00905C5C"/>
    <w:rsid w:val="00907FA4"/>
    <w:rsid w:val="00910873"/>
    <w:rsid w:val="009111CF"/>
    <w:rsid w:val="0091124B"/>
    <w:rsid w:val="009113EA"/>
    <w:rsid w:val="009128AC"/>
    <w:rsid w:val="0091525F"/>
    <w:rsid w:val="0091549B"/>
    <w:rsid w:val="00916DF5"/>
    <w:rsid w:val="00917FE0"/>
    <w:rsid w:val="009201A4"/>
    <w:rsid w:val="0092150D"/>
    <w:rsid w:val="0092293A"/>
    <w:rsid w:val="009235D2"/>
    <w:rsid w:val="00923A9E"/>
    <w:rsid w:val="00923CC1"/>
    <w:rsid w:val="00925556"/>
    <w:rsid w:val="00925684"/>
    <w:rsid w:val="00927650"/>
    <w:rsid w:val="00931602"/>
    <w:rsid w:val="009316BE"/>
    <w:rsid w:val="009327AE"/>
    <w:rsid w:val="00932D22"/>
    <w:rsid w:val="00933116"/>
    <w:rsid w:val="009342CD"/>
    <w:rsid w:val="00934DEC"/>
    <w:rsid w:val="0093508C"/>
    <w:rsid w:val="009358EA"/>
    <w:rsid w:val="0093596B"/>
    <w:rsid w:val="009366C1"/>
    <w:rsid w:val="00941B30"/>
    <w:rsid w:val="0094239A"/>
    <w:rsid w:val="00942F0C"/>
    <w:rsid w:val="00944118"/>
    <w:rsid w:val="00945B2E"/>
    <w:rsid w:val="00945FEF"/>
    <w:rsid w:val="00946388"/>
    <w:rsid w:val="009474A4"/>
    <w:rsid w:val="009503EE"/>
    <w:rsid w:val="00950C5F"/>
    <w:rsid w:val="00950DF4"/>
    <w:rsid w:val="009510A5"/>
    <w:rsid w:val="00952059"/>
    <w:rsid w:val="009521D1"/>
    <w:rsid w:val="009523BB"/>
    <w:rsid w:val="009526D2"/>
    <w:rsid w:val="009528E7"/>
    <w:rsid w:val="0095345A"/>
    <w:rsid w:val="00953640"/>
    <w:rsid w:val="009549AA"/>
    <w:rsid w:val="00954A78"/>
    <w:rsid w:val="009550F7"/>
    <w:rsid w:val="00955645"/>
    <w:rsid w:val="0095691F"/>
    <w:rsid w:val="00956CAE"/>
    <w:rsid w:val="00956F15"/>
    <w:rsid w:val="00956F33"/>
    <w:rsid w:val="009574DE"/>
    <w:rsid w:val="009579E4"/>
    <w:rsid w:val="00957D3D"/>
    <w:rsid w:val="00961CDF"/>
    <w:rsid w:val="00962F56"/>
    <w:rsid w:val="00965625"/>
    <w:rsid w:val="00966849"/>
    <w:rsid w:val="0096692D"/>
    <w:rsid w:val="0096719B"/>
    <w:rsid w:val="009673A9"/>
    <w:rsid w:val="009674AD"/>
    <w:rsid w:val="009674D0"/>
    <w:rsid w:val="00967827"/>
    <w:rsid w:val="009716E3"/>
    <w:rsid w:val="00971B9A"/>
    <w:rsid w:val="00972D9D"/>
    <w:rsid w:val="00974AE1"/>
    <w:rsid w:val="009752F7"/>
    <w:rsid w:val="0097585C"/>
    <w:rsid w:val="00975982"/>
    <w:rsid w:val="00976427"/>
    <w:rsid w:val="00980923"/>
    <w:rsid w:val="00980FF0"/>
    <w:rsid w:val="00981219"/>
    <w:rsid w:val="00981235"/>
    <w:rsid w:val="009812E1"/>
    <w:rsid w:val="009819AC"/>
    <w:rsid w:val="00981F49"/>
    <w:rsid w:val="00982698"/>
    <w:rsid w:val="00982C5D"/>
    <w:rsid w:val="0098342A"/>
    <w:rsid w:val="0098408F"/>
    <w:rsid w:val="009847B0"/>
    <w:rsid w:val="0098500F"/>
    <w:rsid w:val="00985B4A"/>
    <w:rsid w:val="00985B6F"/>
    <w:rsid w:val="00985D8F"/>
    <w:rsid w:val="00985F8E"/>
    <w:rsid w:val="00987068"/>
    <w:rsid w:val="00987F6A"/>
    <w:rsid w:val="00990B05"/>
    <w:rsid w:val="00990F3F"/>
    <w:rsid w:val="00991BCA"/>
    <w:rsid w:val="009924C7"/>
    <w:rsid w:val="00993B04"/>
    <w:rsid w:val="0099510B"/>
    <w:rsid w:val="00996417"/>
    <w:rsid w:val="00997DB2"/>
    <w:rsid w:val="009A0102"/>
    <w:rsid w:val="009A0C10"/>
    <w:rsid w:val="009A0FCA"/>
    <w:rsid w:val="009A1178"/>
    <w:rsid w:val="009A191C"/>
    <w:rsid w:val="009A2445"/>
    <w:rsid w:val="009A2774"/>
    <w:rsid w:val="009A2B4F"/>
    <w:rsid w:val="009A2EC2"/>
    <w:rsid w:val="009A3CF1"/>
    <w:rsid w:val="009A3E40"/>
    <w:rsid w:val="009A3F67"/>
    <w:rsid w:val="009A4D8E"/>
    <w:rsid w:val="009A605E"/>
    <w:rsid w:val="009A7637"/>
    <w:rsid w:val="009A76A5"/>
    <w:rsid w:val="009A79CC"/>
    <w:rsid w:val="009B0B07"/>
    <w:rsid w:val="009B12EC"/>
    <w:rsid w:val="009B2D5D"/>
    <w:rsid w:val="009B2FAC"/>
    <w:rsid w:val="009B3F37"/>
    <w:rsid w:val="009B4D0E"/>
    <w:rsid w:val="009B6E03"/>
    <w:rsid w:val="009C091C"/>
    <w:rsid w:val="009C14BB"/>
    <w:rsid w:val="009C2DDD"/>
    <w:rsid w:val="009C2E45"/>
    <w:rsid w:val="009C388A"/>
    <w:rsid w:val="009C3913"/>
    <w:rsid w:val="009C56A6"/>
    <w:rsid w:val="009C6084"/>
    <w:rsid w:val="009C6405"/>
    <w:rsid w:val="009C6D8D"/>
    <w:rsid w:val="009C7C82"/>
    <w:rsid w:val="009D0A85"/>
    <w:rsid w:val="009D2250"/>
    <w:rsid w:val="009D2DC6"/>
    <w:rsid w:val="009D4790"/>
    <w:rsid w:val="009D4A4A"/>
    <w:rsid w:val="009D4E52"/>
    <w:rsid w:val="009D5DB3"/>
    <w:rsid w:val="009D62F0"/>
    <w:rsid w:val="009D66AC"/>
    <w:rsid w:val="009D6E8C"/>
    <w:rsid w:val="009D737B"/>
    <w:rsid w:val="009E0074"/>
    <w:rsid w:val="009E06BE"/>
    <w:rsid w:val="009E104B"/>
    <w:rsid w:val="009E19E4"/>
    <w:rsid w:val="009E34E5"/>
    <w:rsid w:val="009E4773"/>
    <w:rsid w:val="009E49A5"/>
    <w:rsid w:val="009E5C77"/>
    <w:rsid w:val="009E5EF9"/>
    <w:rsid w:val="009E6633"/>
    <w:rsid w:val="009E7491"/>
    <w:rsid w:val="009F01E5"/>
    <w:rsid w:val="009F0917"/>
    <w:rsid w:val="009F0B68"/>
    <w:rsid w:val="009F1A98"/>
    <w:rsid w:val="009F25AD"/>
    <w:rsid w:val="009F280D"/>
    <w:rsid w:val="009F33B0"/>
    <w:rsid w:val="009F45B4"/>
    <w:rsid w:val="009F4AA1"/>
    <w:rsid w:val="009F527E"/>
    <w:rsid w:val="009F558C"/>
    <w:rsid w:val="009F5F47"/>
    <w:rsid w:val="009F6119"/>
    <w:rsid w:val="009F621F"/>
    <w:rsid w:val="009F66BB"/>
    <w:rsid w:val="009F6FBD"/>
    <w:rsid w:val="009F7194"/>
    <w:rsid w:val="009F7E7D"/>
    <w:rsid w:val="00A01025"/>
    <w:rsid w:val="00A01CC7"/>
    <w:rsid w:val="00A01D8E"/>
    <w:rsid w:val="00A020B6"/>
    <w:rsid w:val="00A02EC2"/>
    <w:rsid w:val="00A040EC"/>
    <w:rsid w:val="00A04458"/>
    <w:rsid w:val="00A0514C"/>
    <w:rsid w:val="00A05401"/>
    <w:rsid w:val="00A0542B"/>
    <w:rsid w:val="00A0789C"/>
    <w:rsid w:val="00A07DCD"/>
    <w:rsid w:val="00A10992"/>
    <w:rsid w:val="00A10C68"/>
    <w:rsid w:val="00A10E5B"/>
    <w:rsid w:val="00A11403"/>
    <w:rsid w:val="00A11A02"/>
    <w:rsid w:val="00A12BFA"/>
    <w:rsid w:val="00A12D85"/>
    <w:rsid w:val="00A13766"/>
    <w:rsid w:val="00A13A92"/>
    <w:rsid w:val="00A1451E"/>
    <w:rsid w:val="00A14B50"/>
    <w:rsid w:val="00A15B38"/>
    <w:rsid w:val="00A15CB3"/>
    <w:rsid w:val="00A15D40"/>
    <w:rsid w:val="00A16182"/>
    <w:rsid w:val="00A16AE7"/>
    <w:rsid w:val="00A16BEB"/>
    <w:rsid w:val="00A17F14"/>
    <w:rsid w:val="00A21376"/>
    <w:rsid w:val="00A21495"/>
    <w:rsid w:val="00A224E6"/>
    <w:rsid w:val="00A231BB"/>
    <w:rsid w:val="00A2377E"/>
    <w:rsid w:val="00A23A54"/>
    <w:rsid w:val="00A2408B"/>
    <w:rsid w:val="00A242C3"/>
    <w:rsid w:val="00A243E0"/>
    <w:rsid w:val="00A25276"/>
    <w:rsid w:val="00A269F1"/>
    <w:rsid w:val="00A27022"/>
    <w:rsid w:val="00A274B2"/>
    <w:rsid w:val="00A27A86"/>
    <w:rsid w:val="00A31693"/>
    <w:rsid w:val="00A31AF7"/>
    <w:rsid w:val="00A31E5E"/>
    <w:rsid w:val="00A33F44"/>
    <w:rsid w:val="00A3442B"/>
    <w:rsid w:val="00A34786"/>
    <w:rsid w:val="00A34CA1"/>
    <w:rsid w:val="00A34DCF"/>
    <w:rsid w:val="00A3554A"/>
    <w:rsid w:val="00A37AED"/>
    <w:rsid w:val="00A4003C"/>
    <w:rsid w:val="00A40041"/>
    <w:rsid w:val="00A40E86"/>
    <w:rsid w:val="00A41FBF"/>
    <w:rsid w:val="00A43B01"/>
    <w:rsid w:val="00A4434B"/>
    <w:rsid w:val="00A44506"/>
    <w:rsid w:val="00A456DE"/>
    <w:rsid w:val="00A45870"/>
    <w:rsid w:val="00A458CE"/>
    <w:rsid w:val="00A45C46"/>
    <w:rsid w:val="00A47B86"/>
    <w:rsid w:val="00A5038D"/>
    <w:rsid w:val="00A512B1"/>
    <w:rsid w:val="00A5159D"/>
    <w:rsid w:val="00A51A33"/>
    <w:rsid w:val="00A525BE"/>
    <w:rsid w:val="00A530C4"/>
    <w:rsid w:val="00A54CBA"/>
    <w:rsid w:val="00A54D61"/>
    <w:rsid w:val="00A5592F"/>
    <w:rsid w:val="00A55AB3"/>
    <w:rsid w:val="00A5631E"/>
    <w:rsid w:val="00A56E98"/>
    <w:rsid w:val="00A572DF"/>
    <w:rsid w:val="00A57740"/>
    <w:rsid w:val="00A609EA"/>
    <w:rsid w:val="00A60D0D"/>
    <w:rsid w:val="00A60DFE"/>
    <w:rsid w:val="00A61740"/>
    <w:rsid w:val="00A6176F"/>
    <w:rsid w:val="00A62C63"/>
    <w:rsid w:val="00A63830"/>
    <w:rsid w:val="00A63A72"/>
    <w:rsid w:val="00A63CC8"/>
    <w:rsid w:val="00A63DE2"/>
    <w:rsid w:val="00A6412D"/>
    <w:rsid w:val="00A647AB"/>
    <w:rsid w:val="00A65697"/>
    <w:rsid w:val="00A6643D"/>
    <w:rsid w:val="00A67EFA"/>
    <w:rsid w:val="00A67F9E"/>
    <w:rsid w:val="00A70F82"/>
    <w:rsid w:val="00A71E0B"/>
    <w:rsid w:val="00A720A7"/>
    <w:rsid w:val="00A73EEA"/>
    <w:rsid w:val="00A73F4F"/>
    <w:rsid w:val="00A747F4"/>
    <w:rsid w:val="00A74995"/>
    <w:rsid w:val="00A76523"/>
    <w:rsid w:val="00A76FA9"/>
    <w:rsid w:val="00A7726E"/>
    <w:rsid w:val="00A77D67"/>
    <w:rsid w:val="00A81895"/>
    <w:rsid w:val="00A819F1"/>
    <w:rsid w:val="00A82409"/>
    <w:rsid w:val="00A826CB"/>
    <w:rsid w:val="00A833A7"/>
    <w:rsid w:val="00A83CE5"/>
    <w:rsid w:val="00A83DE1"/>
    <w:rsid w:val="00A847BD"/>
    <w:rsid w:val="00A84C2A"/>
    <w:rsid w:val="00A84D0A"/>
    <w:rsid w:val="00A85DF6"/>
    <w:rsid w:val="00A870EA"/>
    <w:rsid w:val="00A8799D"/>
    <w:rsid w:val="00A87A5F"/>
    <w:rsid w:val="00A911B9"/>
    <w:rsid w:val="00A91A52"/>
    <w:rsid w:val="00A92174"/>
    <w:rsid w:val="00A935D6"/>
    <w:rsid w:val="00A94218"/>
    <w:rsid w:val="00A95199"/>
    <w:rsid w:val="00A9580A"/>
    <w:rsid w:val="00A95B0D"/>
    <w:rsid w:val="00A9698F"/>
    <w:rsid w:val="00A969A2"/>
    <w:rsid w:val="00A97CB8"/>
    <w:rsid w:val="00AA03CB"/>
    <w:rsid w:val="00AA10D4"/>
    <w:rsid w:val="00AA133F"/>
    <w:rsid w:val="00AA232B"/>
    <w:rsid w:val="00AA48C6"/>
    <w:rsid w:val="00AA4D60"/>
    <w:rsid w:val="00AA552D"/>
    <w:rsid w:val="00AA5952"/>
    <w:rsid w:val="00AA5CE6"/>
    <w:rsid w:val="00AB0261"/>
    <w:rsid w:val="00AB14AC"/>
    <w:rsid w:val="00AB157A"/>
    <w:rsid w:val="00AB1CDA"/>
    <w:rsid w:val="00AB48C7"/>
    <w:rsid w:val="00AB4EDF"/>
    <w:rsid w:val="00AB5532"/>
    <w:rsid w:val="00AB6492"/>
    <w:rsid w:val="00AB67A1"/>
    <w:rsid w:val="00AB6C2E"/>
    <w:rsid w:val="00AC059E"/>
    <w:rsid w:val="00AC0E30"/>
    <w:rsid w:val="00AC132D"/>
    <w:rsid w:val="00AC146F"/>
    <w:rsid w:val="00AC1579"/>
    <w:rsid w:val="00AC212C"/>
    <w:rsid w:val="00AC2C50"/>
    <w:rsid w:val="00AC2EBD"/>
    <w:rsid w:val="00AC2FBC"/>
    <w:rsid w:val="00AC3068"/>
    <w:rsid w:val="00AC3456"/>
    <w:rsid w:val="00AC3599"/>
    <w:rsid w:val="00AC3A4B"/>
    <w:rsid w:val="00AC524C"/>
    <w:rsid w:val="00AC5F5F"/>
    <w:rsid w:val="00AC608A"/>
    <w:rsid w:val="00AC6B26"/>
    <w:rsid w:val="00AD01FF"/>
    <w:rsid w:val="00AD111C"/>
    <w:rsid w:val="00AD1919"/>
    <w:rsid w:val="00AD3312"/>
    <w:rsid w:val="00AD5133"/>
    <w:rsid w:val="00AD60B5"/>
    <w:rsid w:val="00AD73F1"/>
    <w:rsid w:val="00AD7A5F"/>
    <w:rsid w:val="00AE0068"/>
    <w:rsid w:val="00AE099D"/>
    <w:rsid w:val="00AE103E"/>
    <w:rsid w:val="00AE10BD"/>
    <w:rsid w:val="00AE273E"/>
    <w:rsid w:val="00AE40E3"/>
    <w:rsid w:val="00AE4243"/>
    <w:rsid w:val="00AE5432"/>
    <w:rsid w:val="00AE5B57"/>
    <w:rsid w:val="00AE6582"/>
    <w:rsid w:val="00AE6A80"/>
    <w:rsid w:val="00AE7FEF"/>
    <w:rsid w:val="00AF0463"/>
    <w:rsid w:val="00AF06E7"/>
    <w:rsid w:val="00AF09B9"/>
    <w:rsid w:val="00AF28D3"/>
    <w:rsid w:val="00AF3ACB"/>
    <w:rsid w:val="00AF5AC6"/>
    <w:rsid w:val="00AF5AE2"/>
    <w:rsid w:val="00AF66BD"/>
    <w:rsid w:val="00AF78D5"/>
    <w:rsid w:val="00AF7C2A"/>
    <w:rsid w:val="00AF7F9D"/>
    <w:rsid w:val="00B0032A"/>
    <w:rsid w:val="00B0066B"/>
    <w:rsid w:val="00B00F6A"/>
    <w:rsid w:val="00B0195E"/>
    <w:rsid w:val="00B02626"/>
    <w:rsid w:val="00B0373A"/>
    <w:rsid w:val="00B041E4"/>
    <w:rsid w:val="00B0430C"/>
    <w:rsid w:val="00B044C3"/>
    <w:rsid w:val="00B04550"/>
    <w:rsid w:val="00B04F10"/>
    <w:rsid w:val="00B0504E"/>
    <w:rsid w:val="00B0550D"/>
    <w:rsid w:val="00B0592E"/>
    <w:rsid w:val="00B05A6C"/>
    <w:rsid w:val="00B065A6"/>
    <w:rsid w:val="00B069A0"/>
    <w:rsid w:val="00B06CBB"/>
    <w:rsid w:val="00B06DCD"/>
    <w:rsid w:val="00B070F1"/>
    <w:rsid w:val="00B07266"/>
    <w:rsid w:val="00B10570"/>
    <w:rsid w:val="00B10854"/>
    <w:rsid w:val="00B12C22"/>
    <w:rsid w:val="00B13018"/>
    <w:rsid w:val="00B13041"/>
    <w:rsid w:val="00B13EB9"/>
    <w:rsid w:val="00B1565D"/>
    <w:rsid w:val="00B15F22"/>
    <w:rsid w:val="00B1662C"/>
    <w:rsid w:val="00B16E1C"/>
    <w:rsid w:val="00B174BA"/>
    <w:rsid w:val="00B17782"/>
    <w:rsid w:val="00B20998"/>
    <w:rsid w:val="00B2291D"/>
    <w:rsid w:val="00B24299"/>
    <w:rsid w:val="00B24A99"/>
    <w:rsid w:val="00B24AAF"/>
    <w:rsid w:val="00B25158"/>
    <w:rsid w:val="00B2626C"/>
    <w:rsid w:val="00B262CB"/>
    <w:rsid w:val="00B27C57"/>
    <w:rsid w:val="00B30A18"/>
    <w:rsid w:val="00B313E8"/>
    <w:rsid w:val="00B32B51"/>
    <w:rsid w:val="00B32E5C"/>
    <w:rsid w:val="00B33739"/>
    <w:rsid w:val="00B3424C"/>
    <w:rsid w:val="00B34745"/>
    <w:rsid w:val="00B348FF"/>
    <w:rsid w:val="00B34C6A"/>
    <w:rsid w:val="00B34DAE"/>
    <w:rsid w:val="00B36B12"/>
    <w:rsid w:val="00B372CD"/>
    <w:rsid w:val="00B37E0B"/>
    <w:rsid w:val="00B412AB"/>
    <w:rsid w:val="00B41311"/>
    <w:rsid w:val="00B41C33"/>
    <w:rsid w:val="00B426FF"/>
    <w:rsid w:val="00B430B1"/>
    <w:rsid w:val="00B46989"/>
    <w:rsid w:val="00B46F9C"/>
    <w:rsid w:val="00B50030"/>
    <w:rsid w:val="00B5091E"/>
    <w:rsid w:val="00B50B3F"/>
    <w:rsid w:val="00B50F09"/>
    <w:rsid w:val="00B51750"/>
    <w:rsid w:val="00B52187"/>
    <w:rsid w:val="00B5223C"/>
    <w:rsid w:val="00B53112"/>
    <w:rsid w:val="00B545E3"/>
    <w:rsid w:val="00B54F82"/>
    <w:rsid w:val="00B558FB"/>
    <w:rsid w:val="00B5759D"/>
    <w:rsid w:val="00B57A80"/>
    <w:rsid w:val="00B60040"/>
    <w:rsid w:val="00B6085A"/>
    <w:rsid w:val="00B60FAA"/>
    <w:rsid w:val="00B61D82"/>
    <w:rsid w:val="00B632B8"/>
    <w:rsid w:val="00B6347C"/>
    <w:rsid w:val="00B63698"/>
    <w:rsid w:val="00B63D91"/>
    <w:rsid w:val="00B63DBA"/>
    <w:rsid w:val="00B640A8"/>
    <w:rsid w:val="00B6429C"/>
    <w:rsid w:val="00B644E5"/>
    <w:rsid w:val="00B64A40"/>
    <w:rsid w:val="00B65C8C"/>
    <w:rsid w:val="00B67979"/>
    <w:rsid w:val="00B67A59"/>
    <w:rsid w:val="00B67DAB"/>
    <w:rsid w:val="00B718B5"/>
    <w:rsid w:val="00B725D3"/>
    <w:rsid w:val="00B72C62"/>
    <w:rsid w:val="00B7451F"/>
    <w:rsid w:val="00B7599F"/>
    <w:rsid w:val="00B762C3"/>
    <w:rsid w:val="00B77AA6"/>
    <w:rsid w:val="00B805FB"/>
    <w:rsid w:val="00B810D1"/>
    <w:rsid w:val="00B82BB6"/>
    <w:rsid w:val="00B82C99"/>
    <w:rsid w:val="00B8302B"/>
    <w:rsid w:val="00B834EA"/>
    <w:rsid w:val="00B83768"/>
    <w:rsid w:val="00B84388"/>
    <w:rsid w:val="00B85074"/>
    <w:rsid w:val="00B8526D"/>
    <w:rsid w:val="00B85B03"/>
    <w:rsid w:val="00B85CAA"/>
    <w:rsid w:val="00B86EA1"/>
    <w:rsid w:val="00B86FCC"/>
    <w:rsid w:val="00B872C9"/>
    <w:rsid w:val="00B87495"/>
    <w:rsid w:val="00B876E9"/>
    <w:rsid w:val="00B903C2"/>
    <w:rsid w:val="00B90CBC"/>
    <w:rsid w:val="00B921FD"/>
    <w:rsid w:val="00B92E57"/>
    <w:rsid w:val="00B9305D"/>
    <w:rsid w:val="00B94561"/>
    <w:rsid w:val="00B94C57"/>
    <w:rsid w:val="00B9547B"/>
    <w:rsid w:val="00B9629D"/>
    <w:rsid w:val="00B96DE6"/>
    <w:rsid w:val="00B97396"/>
    <w:rsid w:val="00B976E2"/>
    <w:rsid w:val="00BA149F"/>
    <w:rsid w:val="00BA19DA"/>
    <w:rsid w:val="00BA2B83"/>
    <w:rsid w:val="00BA3A87"/>
    <w:rsid w:val="00BA5099"/>
    <w:rsid w:val="00BA5445"/>
    <w:rsid w:val="00BA70F8"/>
    <w:rsid w:val="00BA74FB"/>
    <w:rsid w:val="00BA7DFC"/>
    <w:rsid w:val="00BB0909"/>
    <w:rsid w:val="00BB10A1"/>
    <w:rsid w:val="00BB154A"/>
    <w:rsid w:val="00BB1662"/>
    <w:rsid w:val="00BB181E"/>
    <w:rsid w:val="00BB1B7E"/>
    <w:rsid w:val="00BB1C67"/>
    <w:rsid w:val="00BB221C"/>
    <w:rsid w:val="00BB253E"/>
    <w:rsid w:val="00BB27D1"/>
    <w:rsid w:val="00BB28B0"/>
    <w:rsid w:val="00BB2A99"/>
    <w:rsid w:val="00BB2F46"/>
    <w:rsid w:val="00BB38C9"/>
    <w:rsid w:val="00BB429E"/>
    <w:rsid w:val="00BB43F8"/>
    <w:rsid w:val="00BB4C47"/>
    <w:rsid w:val="00BB5051"/>
    <w:rsid w:val="00BB5317"/>
    <w:rsid w:val="00BB69B5"/>
    <w:rsid w:val="00BB6A8B"/>
    <w:rsid w:val="00BB6BAC"/>
    <w:rsid w:val="00BB6BBD"/>
    <w:rsid w:val="00BB6CBF"/>
    <w:rsid w:val="00BB7A43"/>
    <w:rsid w:val="00BB7AC5"/>
    <w:rsid w:val="00BC0BC5"/>
    <w:rsid w:val="00BC1064"/>
    <w:rsid w:val="00BC137E"/>
    <w:rsid w:val="00BC38EB"/>
    <w:rsid w:val="00BC41EC"/>
    <w:rsid w:val="00BC4C9C"/>
    <w:rsid w:val="00BC4CA0"/>
    <w:rsid w:val="00BC513F"/>
    <w:rsid w:val="00BC59F3"/>
    <w:rsid w:val="00BC5F4E"/>
    <w:rsid w:val="00BC6048"/>
    <w:rsid w:val="00BC70A4"/>
    <w:rsid w:val="00BC7A2A"/>
    <w:rsid w:val="00BD05F9"/>
    <w:rsid w:val="00BD0B31"/>
    <w:rsid w:val="00BD0F99"/>
    <w:rsid w:val="00BD14B9"/>
    <w:rsid w:val="00BD2C6E"/>
    <w:rsid w:val="00BD373A"/>
    <w:rsid w:val="00BD3AC4"/>
    <w:rsid w:val="00BD3C93"/>
    <w:rsid w:val="00BD44E2"/>
    <w:rsid w:val="00BD4C2B"/>
    <w:rsid w:val="00BD533D"/>
    <w:rsid w:val="00BD5CD0"/>
    <w:rsid w:val="00BD5F37"/>
    <w:rsid w:val="00BD5FD2"/>
    <w:rsid w:val="00BD651B"/>
    <w:rsid w:val="00BD68B7"/>
    <w:rsid w:val="00BD6B8E"/>
    <w:rsid w:val="00BD7D03"/>
    <w:rsid w:val="00BE0220"/>
    <w:rsid w:val="00BE0EB3"/>
    <w:rsid w:val="00BE13E1"/>
    <w:rsid w:val="00BE161D"/>
    <w:rsid w:val="00BE19AA"/>
    <w:rsid w:val="00BE1D2D"/>
    <w:rsid w:val="00BE1FC9"/>
    <w:rsid w:val="00BE2912"/>
    <w:rsid w:val="00BE3710"/>
    <w:rsid w:val="00BE3D7A"/>
    <w:rsid w:val="00BE4B80"/>
    <w:rsid w:val="00BE63CA"/>
    <w:rsid w:val="00BE675D"/>
    <w:rsid w:val="00BE69E0"/>
    <w:rsid w:val="00BE6A48"/>
    <w:rsid w:val="00BE6C64"/>
    <w:rsid w:val="00BE70E1"/>
    <w:rsid w:val="00BE7FF9"/>
    <w:rsid w:val="00BF063E"/>
    <w:rsid w:val="00BF0865"/>
    <w:rsid w:val="00BF0F14"/>
    <w:rsid w:val="00BF0F30"/>
    <w:rsid w:val="00BF1C44"/>
    <w:rsid w:val="00BF2076"/>
    <w:rsid w:val="00BF2A14"/>
    <w:rsid w:val="00BF36DB"/>
    <w:rsid w:val="00BF3EA7"/>
    <w:rsid w:val="00BF4177"/>
    <w:rsid w:val="00BF452F"/>
    <w:rsid w:val="00BF4A6A"/>
    <w:rsid w:val="00BF5DC5"/>
    <w:rsid w:val="00BF624D"/>
    <w:rsid w:val="00BF6B8A"/>
    <w:rsid w:val="00C0103E"/>
    <w:rsid w:val="00C02CB3"/>
    <w:rsid w:val="00C035A8"/>
    <w:rsid w:val="00C03A68"/>
    <w:rsid w:val="00C04843"/>
    <w:rsid w:val="00C04A6F"/>
    <w:rsid w:val="00C04C29"/>
    <w:rsid w:val="00C05994"/>
    <w:rsid w:val="00C0669F"/>
    <w:rsid w:val="00C06882"/>
    <w:rsid w:val="00C0762D"/>
    <w:rsid w:val="00C1004A"/>
    <w:rsid w:val="00C1048A"/>
    <w:rsid w:val="00C1098A"/>
    <w:rsid w:val="00C10E58"/>
    <w:rsid w:val="00C13E05"/>
    <w:rsid w:val="00C14ED6"/>
    <w:rsid w:val="00C1573E"/>
    <w:rsid w:val="00C15A37"/>
    <w:rsid w:val="00C16164"/>
    <w:rsid w:val="00C16904"/>
    <w:rsid w:val="00C16D5C"/>
    <w:rsid w:val="00C17208"/>
    <w:rsid w:val="00C21893"/>
    <w:rsid w:val="00C21971"/>
    <w:rsid w:val="00C21E8E"/>
    <w:rsid w:val="00C22E48"/>
    <w:rsid w:val="00C23146"/>
    <w:rsid w:val="00C23A19"/>
    <w:rsid w:val="00C257DA"/>
    <w:rsid w:val="00C25D68"/>
    <w:rsid w:val="00C26107"/>
    <w:rsid w:val="00C269FF"/>
    <w:rsid w:val="00C26B9D"/>
    <w:rsid w:val="00C26CF1"/>
    <w:rsid w:val="00C26F03"/>
    <w:rsid w:val="00C27D04"/>
    <w:rsid w:val="00C31468"/>
    <w:rsid w:val="00C322D4"/>
    <w:rsid w:val="00C3261D"/>
    <w:rsid w:val="00C3354F"/>
    <w:rsid w:val="00C336C3"/>
    <w:rsid w:val="00C33C3D"/>
    <w:rsid w:val="00C34611"/>
    <w:rsid w:val="00C3475C"/>
    <w:rsid w:val="00C347EA"/>
    <w:rsid w:val="00C35D4D"/>
    <w:rsid w:val="00C36AFD"/>
    <w:rsid w:val="00C36D7B"/>
    <w:rsid w:val="00C37F77"/>
    <w:rsid w:val="00C4080F"/>
    <w:rsid w:val="00C4137C"/>
    <w:rsid w:val="00C4182F"/>
    <w:rsid w:val="00C41E45"/>
    <w:rsid w:val="00C42432"/>
    <w:rsid w:val="00C43DB9"/>
    <w:rsid w:val="00C447FD"/>
    <w:rsid w:val="00C455C9"/>
    <w:rsid w:val="00C4628B"/>
    <w:rsid w:val="00C46337"/>
    <w:rsid w:val="00C47D8E"/>
    <w:rsid w:val="00C50B2D"/>
    <w:rsid w:val="00C51AF8"/>
    <w:rsid w:val="00C53AE9"/>
    <w:rsid w:val="00C5454F"/>
    <w:rsid w:val="00C5578C"/>
    <w:rsid w:val="00C55D9B"/>
    <w:rsid w:val="00C56331"/>
    <w:rsid w:val="00C56476"/>
    <w:rsid w:val="00C57CB5"/>
    <w:rsid w:val="00C60846"/>
    <w:rsid w:val="00C60A96"/>
    <w:rsid w:val="00C60CBB"/>
    <w:rsid w:val="00C621E4"/>
    <w:rsid w:val="00C62FEA"/>
    <w:rsid w:val="00C641EC"/>
    <w:rsid w:val="00C644DA"/>
    <w:rsid w:val="00C66A3F"/>
    <w:rsid w:val="00C66C70"/>
    <w:rsid w:val="00C66F68"/>
    <w:rsid w:val="00C677A2"/>
    <w:rsid w:val="00C67A7C"/>
    <w:rsid w:val="00C70198"/>
    <w:rsid w:val="00C7045F"/>
    <w:rsid w:val="00C70C3D"/>
    <w:rsid w:val="00C70F65"/>
    <w:rsid w:val="00C71192"/>
    <w:rsid w:val="00C71364"/>
    <w:rsid w:val="00C71B63"/>
    <w:rsid w:val="00C71E76"/>
    <w:rsid w:val="00C72A95"/>
    <w:rsid w:val="00C73986"/>
    <w:rsid w:val="00C748FF"/>
    <w:rsid w:val="00C75D43"/>
    <w:rsid w:val="00C76816"/>
    <w:rsid w:val="00C77529"/>
    <w:rsid w:val="00C77894"/>
    <w:rsid w:val="00C800CD"/>
    <w:rsid w:val="00C8049E"/>
    <w:rsid w:val="00C8071D"/>
    <w:rsid w:val="00C81622"/>
    <w:rsid w:val="00C839CC"/>
    <w:rsid w:val="00C850E1"/>
    <w:rsid w:val="00C85BA8"/>
    <w:rsid w:val="00C86E4C"/>
    <w:rsid w:val="00C8731B"/>
    <w:rsid w:val="00C8761B"/>
    <w:rsid w:val="00C90241"/>
    <w:rsid w:val="00C9044F"/>
    <w:rsid w:val="00C90C92"/>
    <w:rsid w:val="00C91369"/>
    <w:rsid w:val="00C928C3"/>
    <w:rsid w:val="00C92AFF"/>
    <w:rsid w:val="00C93035"/>
    <w:rsid w:val="00C93119"/>
    <w:rsid w:val="00C94102"/>
    <w:rsid w:val="00C944AD"/>
    <w:rsid w:val="00C95B6D"/>
    <w:rsid w:val="00C962B9"/>
    <w:rsid w:val="00C97E30"/>
    <w:rsid w:val="00CA0D20"/>
    <w:rsid w:val="00CA0D98"/>
    <w:rsid w:val="00CA13F1"/>
    <w:rsid w:val="00CA1519"/>
    <w:rsid w:val="00CA2BD7"/>
    <w:rsid w:val="00CA40A7"/>
    <w:rsid w:val="00CA4DDD"/>
    <w:rsid w:val="00CA4FCD"/>
    <w:rsid w:val="00CA5C33"/>
    <w:rsid w:val="00CA618A"/>
    <w:rsid w:val="00CA68DF"/>
    <w:rsid w:val="00CA71EF"/>
    <w:rsid w:val="00CB04E5"/>
    <w:rsid w:val="00CB0A9E"/>
    <w:rsid w:val="00CB0D10"/>
    <w:rsid w:val="00CB0F67"/>
    <w:rsid w:val="00CB1457"/>
    <w:rsid w:val="00CB1731"/>
    <w:rsid w:val="00CB1A40"/>
    <w:rsid w:val="00CB1C65"/>
    <w:rsid w:val="00CB2EEB"/>
    <w:rsid w:val="00CB6386"/>
    <w:rsid w:val="00CB6785"/>
    <w:rsid w:val="00CB68C3"/>
    <w:rsid w:val="00CB762D"/>
    <w:rsid w:val="00CB7B3A"/>
    <w:rsid w:val="00CC044C"/>
    <w:rsid w:val="00CC0736"/>
    <w:rsid w:val="00CC086F"/>
    <w:rsid w:val="00CC09B5"/>
    <w:rsid w:val="00CC0A17"/>
    <w:rsid w:val="00CC0E7D"/>
    <w:rsid w:val="00CC14E4"/>
    <w:rsid w:val="00CC1D26"/>
    <w:rsid w:val="00CC2980"/>
    <w:rsid w:val="00CC3153"/>
    <w:rsid w:val="00CC3BC5"/>
    <w:rsid w:val="00CC3F1B"/>
    <w:rsid w:val="00CC4034"/>
    <w:rsid w:val="00CC59C4"/>
    <w:rsid w:val="00CC5A0C"/>
    <w:rsid w:val="00CC7D90"/>
    <w:rsid w:val="00CD0188"/>
    <w:rsid w:val="00CD109F"/>
    <w:rsid w:val="00CD1721"/>
    <w:rsid w:val="00CD32EA"/>
    <w:rsid w:val="00CD3DF4"/>
    <w:rsid w:val="00CD3E83"/>
    <w:rsid w:val="00CD3F0E"/>
    <w:rsid w:val="00CD4301"/>
    <w:rsid w:val="00CD4586"/>
    <w:rsid w:val="00CD478F"/>
    <w:rsid w:val="00CD4D9D"/>
    <w:rsid w:val="00CD670B"/>
    <w:rsid w:val="00CD6776"/>
    <w:rsid w:val="00CD719A"/>
    <w:rsid w:val="00CD7339"/>
    <w:rsid w:val="00CD7E03"/>
    <w:rsid w:val="00CE0872"/>
    <w:rsid w:val="00CE0D5F"/>
    <w:rsid w:val="00CE2246"/>
    <w:rsid w:val="00CE2724"/>
    <w:rsid w:val="00CE293C"/>
    <w:rsid w:val="00CE3BC4"/>
    <w:rsid w:val="00CE5240"/>
    <w:rsid w:val="00CE5587"/>
    <w:rsid w:val="00CE6D18"/>
    <w:rsid w:val="00CF0337"/>
    <w:rsid w:val="00CF089E"/>
    <w:rsid w:val="00CF0D30"/>
    <w:rsid w:val="00CF0FAD"/>
    <w:rsid w:val="00CF12E0"/>
    <w:rsid w:val="00CF1461"/>
    <w:rsid w:val="00CF2A4A"/>
    <w:rsid w:val="00CF3960"/>
    <w:rsid w:val="00CF3AD2"/>
    <w:rsid w:val="00CF4ABB"/>
    <w:rsid w:val="00CF4C80"/>
    <w:rsid w:val="00CF4E05"/>
    <w:rsid w:val="00CF53AB"/>
    <w:rsid w:val="00CF58E2"/>
    <w:rsid w:val="00CF5BE2"/>
    <w:rsid w:val="00CF66FC"/>
    <w:rsid w:val="00CF69E5"/>
    <w:rsid w:val="00CF6A9E"/>
    <w:rsid w:val="00CF7631"/>
    <w:rsid w:val="00CF7A8C"/>
    <w:rsid w:val="00CF7F47"/>
    <w:rsid w:val="00D00D4A"/>
    <w:rsid w:val="00D00DF7"/>
    <w:rsid w:val="00D010B8"/>
    <w:rsid w:val="00D016F1"/>
    <w:rsid w:val="00D01D17"/>
    <w:rsid w:val="00D02400"/>
    <w:rsid w:val="00D03D35"/>
    <w:rsid w:val="00D04162"/>
    <w:rsid w:val="00D04C90"/>
    <w:rsid w:val="00D054E5"/>
    <w:rsid w:val="00D05695"/>
    <w:rsid w:val="00D05FD6"/>
    <w:rsid w:val="00D07099"/>
    <w:rsid w:val="00D10F61"/>
    <w:rsid w:val="00D12FBF"/>
    <w:rsid w:val="00D144E5"/>
    <w:rsid w:val="00D1457D"/>
    <w:rsid w:val="00D14656"/>
    <w:rsid w:val="00D148EA"/>
    <w:rsid w:val="00D149E2"/>
    <w:rsid w:val="00D14B5E"/>
    <w:rsid w:val="00D14C21"/>
    <w:rsid w:val="00D174B2"/>
    <w:rsid w:val="00D17CBA"/>
    <w:rsid w:val="00D202A5"/>
    <w:rsid w:val="00D20F88"/>
    <w:rsid w:val="00D20F89"/>
    <w:rsid w:val="00D21100"/>
    <w:rsid w:val="00D21693"/>
    <w:rsid w:val="00D224F6"/>
    <w:rsid w:val="00D227E2"/>
    <w:rsid w:val="00D2389E"/>
    <w:rsid w:val="00D24A37"/>
    <w:rsid w:val="00D25656"/>
    <w:rsid w:val="00D260BD"/>
    <w:rsid w:val="00D269BD"/>
    <w:rsid w:val="00D277CA"/>
    <w:rsid w:val="00D30409"/>
    <w:rsid w:val="00D3092D"/>
    <w:rsid w:val="00D31E52"/>
    <w:rsid w:val="00D32E7E"/>
    <w:rsid w:val="00D331AE"/>
    <w:rsid w:val="00D3385E"/>
    <w:rsid w:val="00D35535"/>
    <w:rsid w:val="00D360CF"/>
    <w:rsid w:val="00D36119"/>
    <w:rsid w:val="00D36DE3"/>
    <w:rsid w:val="00D40390"/>
    <w:rsid w:val="00D40FDE"/>
    <w:rsid w:val="00D4123E"/>
    <w:rsid w:val="00D413E9"/>
    <w:rsid w:val="00D4273E"/>
    <w:rsid w:val="00D42909"/>
    <w:rsid w:val="00D4335B"/>
    <w:rsid w:val="00D43422"/>
    <w:rsid w:val="00D43A99"/>
    <w:rsid w:val="00D44155"/>
    <w:rsid w:val="00D441F2"/>
    <w:rsid w:val="00D44A72"/>
    <w:rsid w:val="00D44FE8"/>
    <w:rsid w:val="00D452D2"/>
    <w:rsid w:val="00D45949"/>
    <w:rsid w:val="00D45A6E"/>
    <w:rsid w:val="00D45A86"/>
    <w:rsid w:val="00D46BA8"/>
    <w:rsid w:val="00D46E24"/>
    <w:rsid w:val="00D4727A"/>
    <w:rsid w:val="00D475AE"/>
    <w:rsid w:val="00D47A45"/>
    <w:rsid w:val="00D5001F"/>
    <w:rsid w:val="00D5042C"/>
    <w:rsid w:val="00D50693"/>
    <w:rsid w:val="00D50973"/>
    <w:rsid w:val="00D50AB7"/>
    <w:rsid w:val="00D50E84"/>
    <w:rsid w:val="00D51223"/>
    <w:rsid w:val="00D51830"/>
    <w:rsid w:val="00D51E50"/>
    <w:rsid w:val="00D51E89"/>
    <w:rsid w:val="00D5389D"/>
    <w:rsid w:val="00D54622"/>
    <w:rsid w:val="00D553E1"/>
    <w:rsid w:val="00D55F95"/>
    <w:rsid w:val="00D567CC"/>
    <w:rsid w:val="00D56DBD"/>
    <w:rsid w:val="00D571E7"/>
    <w:rsid w:val="00D575AD"/>
    <w:rsid w:val="00D57D28"/>
    <w:rsid w:val="00D60C75"/>
    <w:rsid w:val="00D60FEE"/>
    <w:rsid w:val="00D62503"/>
    <w:rsid w:val="00D6305D"/>
    <w:rsid w:val="00D63504"/>
    <w:rsid w:val="00D65056"/>
    <w:rsid w:val="00D65193"/>
    <w:rsid w:val="00D65C8A"/>
    <w:rsid w:val="00D668FC"/>
    <w:rsid w:val="00D67791"/>
    <w:rsid w:val="00D70702"/>
    <w:rsid w:val="00D72C69"/>
    <w:rsid w:val="00D72EEF"/>
    <w:rsid w:val="00D73274"/>
    <w:rsid w:val="00D74EE8"/>
    <w:rsid w:val="00D7637E"/>
    <w:rsid w:val="00D763DE"/>
    <w:rsid w:val="00D76A1D"/>
    <w:rsid w:val="00D776B4"/>
    <w:rsid w:val="00D77814"/>
    <w:rsid w:val="00D77EF6"/>
    <w:rsid w:val="00D8032C"/>
    <w:rsid w:val="00D80A4E"/>
    <w:rsid w:val="00D8114A"/>
    <w:rsid w:val="00D816D8"/>
    <w:rsid w:val="00D821BD"/>
    <w:rsid w:val="00D82E43"/>
    <w:rsid w:val="00D8301C"/>
    <w:rsid w:val="00D84B63"/>
    <w:rsid w:val="00D8556E"/>
    <w:rsid w:val="00D85DEF"/>
    <w:rsid w:val="00D86FB4"/>
    <w:rsid w:val="00D87B1E"/>
    <w:rsid w:val="00D905B3"/>
    <w:rsid w:val="00D908BE"/>
    <w:rsid w:val="00D909ED"/>
    <w:rsid w:val="00D90D40"/>
    <w:rsid w:val="00D90EC2"/>
    <w:rsid w:val="00D91321"/>
    <w:rsid w:val="00D927AF"/>
    <w:rsid w:val="00D92EB0"/>
    <w:rsid w:val="00D93453"/>
    <w:rsid w:val="00D93EC1"/>
    <w:rsid w:val="00D95368"/>
    <w:rsid w:val="00D958C8"/>
    <w:rsid w:val="00D95C43"/>
    <w:rsid w:val="00D9641A"/>
    <w:rsid w:val="00D96456"/>
    <w:rsid w:val="00D97267"/>
    <w:rsid w:val="00D97EF3"/>
    <w:rsid w:val="00DA0638"/>
    <w:rsid w:val="00DA0B9C"/>
    <w:rsid w:val="00DA1B86"/>
    <w:rsid w:val="00DA284D"/>
    <w:rsid w:val="00DA294D"/>
    <w:rsid w:val="00DA29F3"/>
    <w:rsid w:val="00DA4658"/>
    <w:rsid w:val="00DA4781"/>
    <w:rsid w:val="00DA512E"/>
    <w:rsid w:val="00DA52CF"/>
    <w:rsid w:val="00DA5D0E"/>
    <w:rsid w:val="00DA62B0"/>
    <w:rsid w:val="00DA693E"/>
    <w:rsid w:val="00DA6E91"/>
    <w:rsid w:val="00DA70BB"/>
    <w:rsid w:val="00DA7361"/>
    <w:rsid w:val="00DA7823"/>
    <w:rsid w:val="00DA790F"/>
    <w:rsid w:val="00DB02FC"/>
    <w:rsid w:val="00DB0ADB"/>
    <w:rsid w:val="00DB0B61"/>
    <w:rsid w:val="00DB131B"/>
    <w:rsid w:val="00DB17BA"/>
    <w:rsid w:val="00DB2F47"/>
    <w:rsid w:val="00DB3A38"/>
    <w:rsid w:val="00DB3B30"/>
    <w:rsid w:val="00DB44C8"/>
    <w:rsid w:val="00DB4BC7"/>
    <w:rsid w:val="00DB6185"/>
    <w:rsid w:val="00DB7068"/>
    <w:rsid w:val="00DB726D"/>
    <w:rsid w:val="00DB7AF1"/>
    <w:rsid w:val="00DC09D5"/>
    <w:rsid w:val="00DC0A8E"/>
    <w:rsid w:val="00DC0EC3"/>
    <w:rsid w:val="00DC1161"/>
    <w:rsid w:val="00DC2B2A"/>
    <w:rsid w:val="00DC2ED2"/>
    <w:rsid w:val="00DC3370"/>
    <w:rsid w:val="00DC35FF"/>
    <w:rsid w:val="00DC3631"/>
    <w:rsid w:val="00DC47C9"/>
    <w:rsid w:val="00DC4F46"/>
    <w:rsid w:val="00DC52A5"/>
    <w:rsid w:val="00DC63A2"/>
    <w:rsid w:val="00DC63A5"/>
    <w:rsid w:val="00DD0799"/>
    <w:rsid w:val="00DD0F81"/>
    <w:rsid w:val="00DD13F6"/>
    <w:rsid w:val="00DD1AB6"/>
    <w:rsid w:val="00DD1F35"/>
    <w:rsid w:val="00DD2A47"/>
    <w:rsid w:val="00DD2AD5"/>
    <w:rsid w:val="00DD33F5"/>
    <w:rsid w:val="00DD3897"/>
    <w:rsid w:val="00DD43A0"/>
    <w:rsid w:val="00DD49B2"/>
    <w:rsid w:val="00DD4BDD"/>
    <w:rsid w:val="00DD619F"/>
    <w:rsid w:val="00DD66D6"/>
    <w:rsid w:val="00DD6AB8"/>
    <w:rsid w:val="00DD71FC"/>
    <w:rsid w:val="00DD743A"/>
    <w:rsid w:val="00DE0118"/>
    <w:rsid w:val="00DE1231"/>
    <w:rsid w:val="00DE175B"/>
    <w:rsid w:val="00DE1B89"/>
    <w:rsid w:val="00DE1D18"/>
    <w:rsid w:val="00DE20F2"/>
    <w:rsid w:val="00DE2D7D"/>
    <w:rsid w:val="00DE35CF"/>
    <w:rsid w:val="00DE35E0"/>
    <w:rsid w:val="00DE3A25"/>
    <w:rsid w:val="00DE3E50"/>
    <w:rsid w:val="00DE3F1D"/>
    <w:rsid w:val="00DE4D37"/>
    <w:rsid w:val="00DE4EA5"/>
    <w:rsid w:val="00DE51AD"/>
    <w:rsid w:val="00DE51D1"/>
    <w:rsid w:val="00DE643E"/>
    <w:rsid w:val="00DE7108"/>
    <w:rsid w:val="00DF2208"/>
    <w:rsid w:val="00DF2B17"/>
    <w:rsid w:val="00DF3047"/>
    <w:rsid w:val="00DF3EC1"/>
    <w:rsid w:val="00DF4389"/>
    <w:rsid w:val="00DF4878"/>
    <w:rsid w:val="00DF5A4F"/>
    <w:rsid w:val="00DF5BF6"/>
    <w:rsid w:val="00DF73DB"/>
    <w:rsid w:val="00E025FB"/>
    <w:rsid w:val="00E037B6"/>
    <w:rsid w:val="00E0622E"/>
    <w:rsid w:val="00E0691B"/>
    <w:rsid w:val="00E07240"/>
    <w:rsid w:val="00E07383"/>
    <w:rsid w:val="00E07C4F"/>
    <w:rsid w:val="00E1127D"/>
    <w:rsid w:val="00E11F57"/>
    <w:rsid w:val="00E14913"/>
    <w:rsid w:val="00E14AA5"/>
    <w:rsid w:val="00E1524D"/>
    <w:rsid w:val="00E171EA"/>
    <w:rsid w:val="00E17CB2"/>
    <w:rsid w:val="00E17EF1"/>
    <w:rsid w:val="00E204A1"/>
    <w:rsid w:val="00E204E5"/>
    <w:rsid w:val="00E20671"/>
    <w:rsid w:val="00E209C5"/>
    <w:rsid w:val="00E21878"/>
    <w:rsid w:val="00E2237C"/>
    <w:rsid w:val="00E223B0"/>
    <w:rsid w:val="00E228D1"/>
    <w:rsid w:val="00E22B28"/>
    <w:rsid w:val="00E23129"/>
    <w:rsid w:val="00E23EEB"/>
    <w:rsid w:val="00E24135"/>
    <w:rsid w:val="00E241CB"/>
    <w:rsid w:val="00E24B42"/>
    <w:rsid w:val="00E25669"/>
    <w:rsid w:val="00E25F91"/>
    <w:rsid w:val="00E26581"/>
    <w:rsid w:val="00E305A4"/>
    <w:rsid w:val="00E30756"/>
    <w:rsid w:val="00E307B6"/>
    <w:rsid w:val="00E30CE9"/>
    <w:rsid w:val="00E30F65"/>
    <w:rsid w:val="00E31BF6"/>
    <w:rsid w:val="00E32B70"/>
    <w:rsid w:val="00E3395C"/>
    <w:rsid w:val="00E3458F"/>
    <w:rsid w:val="00E353E4"/>
    <w:rsid w:val="00E35BE5"/>
    <w:rsid w:val="00E35CD0"/>
    <w:rsid w:val="00E35FAE"/>
    <w:rsid w:val="00E36CCA"/>
    <w:rsid w:val="00E379BA"/>
    <w:rsid w:val="00E37D39"/>
    <w:rsid w:val="00E37DC6"/>
    <w:rsid w:val="00E41706"/>
    <w:rsid w:val="00E41E16"/>
    <w:rsid w:val="00E429E3"/>
    <w:rsid w:val="00E42EDE"/>
    <w:rsid w:val="00E43478"/>
    <w:rsid w:val="00E45386"/>
    <w:rsid w:val="00E453DD"/>
    <w:rsid w:val="00E4599C"/>
    <w:rsid w:val="00E45A75"/>
    <w:rsid w:val="00E46306"/>
    <w:rsid w:val="00E46A65"/>
    <w:rsid w:val="00E46B4A"/>
    <w:rsid w:val="00E479A5"/>
    <w:rsid w:val="00E479EA"/>
    <w:rsid w:val="00E47D20"/>
    <w:rsid w:val="00E50554"/>
    <w:rsid w:val="00E50F23"/>
    <w:rsid w:val="00E51D01"/>
    <w:rsid w:val="00E54C8C"/>
    <w:rsid w:val="00E551E2"/>
    <w:rsid w:val="00E55636"/>
    <w:rsid w:val="00E559F4"/>
    <w:rsid w:val="00E55BD2"/>
    <w:rsid w:val="00E57892"/>
    <w:rsid w:val="00E57C24"/>
    <w:rsid w:val="00E602B9"/>
    <w:rsid w:val="00E60427"/>
    <w:rsid w:val="00E606B3"/>
    <w:rsid w:val="00E60C2A"/>
    <w:rsid w:val="00E60F4C"/>
    <w:rsid w:val="00E616B7"/>
    <w:rsid w:val="00E62381"/>
    <w:rsid w:val="00E62E3D"/>
    <w:rsid w:val="00E63351"/>
    <w:rsid w:val="00E63A35"/>
    <w:rsid w:val="00E63E28"/>
    <w:rsid w:val="00E6419A"/>
    <w:rsid w:val="00E6441D"/>
    <w:rsid w:val="00E6614A"/>
    <w:rsid w:val="00E6759E"/>
    <w:rsid w:val="00E676D4"/>
    <w:rsid w:val="00E67C50"/>
    <w:rsid w:val="00E70068"/>
    <w:rsid w:val="00E7053D"/>
    <w:rsid w:val="00E708F2"/>
    <w:rsid w:val="00E70A1E"/>
    <w:rsid w:val="00E70EA9"/>
    <w:rsid w:val="00E71106"/>
    <w:rsid w:val="00E7166F"/>
    <w:rsid w:val="00E71688"/>
    <w:rsid w:val="00E7178B"/>
    <w:rsid w:val="00E71DFF"/>
    <w:rsid w:val="00E71E19"/>
    <w:rsid w:val="00E734A1"/>
    <w:rsid w:val="00E7378B"/>
    <w:rsid w:val="00E738E7"/>
    <w:rsid w:val="00E739E6"/>
    <w:rsid w:val="00E73E55"/>
    <w:rsid w:val="00E74523"/>
    <w:rsid w:val="00E74B02"/>
    <w:rsid w:val="00E74E43"/>
    <w:rsid w:val="00E756C8"/>
    <w:rsid w:val="00E75B8F"/>
    <w:rsid w:val="00E75FB3"/>
    <w:rsid w:val="00E81B01"/>
    <w:rsid w:val="00E835E4"/>
    <w:rsid w:val="00E83AC2"/>
    <w:rsid w:val="00E8468D"/>
    <w:rsid w:val="00E846B8"/>
    <w:rsid w:val="00E84D15"/>
    <w:rsid w:val="00E85191"/>
    <w:rsid w:val="00E85674"/>
    <w:rsid w:val="00E864DA"/>
    <w:rsid w:val="00E8679A"/>
    <w:rsid w:val="00E86E4A"/>
    <w:rsid w:val="00E86FED"/>
    <w:rsid w:val="00E87020"/>
    <w:rsid w:val="00E907B8"/>
    <w:rsid w:val="00E91591"/>
    <w:rsid w:val="00E915E5"/>
    <w:rsid w:val="00E921CA"/>
    <w:rsid w:val="00E9224D"/>
    <w:rsid w:val="00E93B37"/>
    <w:rsid w:val="00E93C3D"/>
    <w:rsid w:val="00E941B1"/>
    <w:rsid w:val="00E950B4"/>
    <w:rsid w:val="00E95B8D"/>
    <w:rsid w:val="00E96920"/>
    <w:rsid w:val="00E96975"/>
    <w:rsid w:val="00E96C0D"/>
    <w:rsid w:val="00E96FB3"/>
    <w:rsid w:val="00E96FF6"/>
    <w:rsid w:val="00E978C2"/>
    <w:rsid w:val="00E97C09"/>
    <w:rsid w:val="00EA02D2"/>
    <w:rsid w:val="00EA11FF"/>
    <w:rsid w:val="00EA136A"/>
    <w:rsid w:val="00EA1594"/>
    <w:rsid w:val="00EA17F6"/>
    <w:rsid w:val="00EA210D"/>
    <w:rsid w:val="00EA2C49"/>
    <w:rsid w:val="00EA3F96"/>
    <w:rsid w:val="00EA4E03"/>
    <w:rsid w:val="00EA4E7B"/>
    <w:rsid w:val="00EA5826"/>
    <w:rsid w:val="00EA6352"/>
    <w:rsid w:val="00EA78A7"/>
    <w:rsid w:val="00EA7A5F"/>
    <w:rsid w:val="00EB0EEE"/>
    <w:rsid w:val="00EB1877"/>
    <w:rsid w:val="00EB1EFB"/>
    <w:rsid w:val="00EB254B"/>
    <w:rsid w:val="00EB3227"/>
    <w:rsid w:val="00EB37E7"/>
    <w:rsid w:val="00EB3B65"/>
    <w:rsid w:val="00EB40CC"/>
    <w:rsid w:val="00EB44C5"/>
    <w:rsid w:val="00EB4752"/>
    <w:rsid w:val="00EB6034"/>
    <w:rsid w:val="00EB6728"/>
    <w:rsid w:val="00EB6931"/>
    <w:rsid w:val="00EB6DDC"/>
    <w:rsid w:val="00EB785F"/>
    <w:rsid w:val="00EB787F"/>
    <w:rsid w:val="00EB7B6C"/>
    <w:rsid w:val="00EB7D26"/>
    <w:rsid w:val="00EC194C"/>
    <w:rsid w:val="00EC1AC4"/>
    <w:rsid w:val="00EC25CD"/>
    <w:rsid w:val="00EC31A2"/>
    <w:rsid w:val="00EC48B8"/>
    <w:rsid w:val="00EC532C"/>
    <w:rsid w:val="00EC5712"/>
    <w:rsid w:val="00EC5CC5"/>
    <w:rsid w:val="00EC5D82"/>
    <w:rsid w:val="00EC5F4E"/>
    <w:rsid w:val="00ED0D2F"/>
    <w:rsid w:val="00ED1428"/>
    <w:rsid w:val="00ED285C"/>
    <w:rsid w:val="00ED3FBB"/>
    <w:rsid w:val="00ED4208"/>
    <w:rsid w:val="00ED4502"/>
    <w:rsid w:val="00ED49F7"/>
    <w:rsid w:val="00ED51FD"/>
    <w:rsid w:val="00ED5DDD"/>
    <w:rsid w:val="00ED6B6D"/>
    <w:rsid w:val="00ED7138"/>
    <w:rsid w:val="00ED79B1"/>
    <w:rsid w:val="00EE056E"/>
    <w:rsid w:val="00EE08E1"/>
    <w:rsid w:val="00EE1020"/>
    <w:rsid w:val="00EE1487"/>
    <w:rsid w:val="00EE2020"/>
    <w:rsid w:val="00EE2EFC"/>
    <w:rsid w:val="00EE2F5A"/>
    <w:rsid w:val="00EE35C8"/>
    <w:rsid w:val="00EE3B84"/>
    <w:rsid w:val="00EE466B"/>
    <w:rsid w:val="00EE4EB9"/>
    <w:rsid w:val="00EE4FE6"/>
    <w:rsid w:val="00EE534F"/>
    <w:rsid w:val="00EE5F0E"/>
    <w:rsid w:val="00EE6164"/>
    <w:rsid w:val="00EF10C1"/>
    <w:rsid w:val="00EF1552"/>
    <w:rsid w:val="00EF19B2"/>
    <w:rsid w:val="00EF27B1"/>
    <w:rsid w:val="00EF2918"/>
    <w:rsid w:val="00EF2EEE"/>
    <w:rsid w:val="00EF3438"/>
    <w:rsid w:val="00EF3C89"/>
    <w:rsid w:val="00EF4F14"/>
    <w:rsid w:val="00EF5170"/>
    <w:rsid w:val="00EF62A7"/>
    <w:rsid w:val="00EF62FF"/>
    <w:rsid w:val="00EF7161"/>
    <w:rsid w:val="00F008EC"/>
    <w:rsid w:val="00F02159"/>
    <w:rsid w:val="00F02430"/>
    <w:rsid w:val="00F02B3B"/>
    <w:rsid w:val="00F02FD0"/>
    <w:rsid w:val="00F0309E"/>
    <w:rsid w:val="00F0321E"/>
    <w:rsid w:val="00F03B04"/>
    <w:rsid w:val="00F045CA"/>
    <w:rsid w:val="00F07561"/>
    <w:rsid w:val="00F07C57"/>
    <w:rsid w:val="00F07D30"/>
    <w:rsid w:val="00F100C0"/>
    <w:rsid w:val="00F11443"/>
    <w:rsid w:val="00F1209A"/>
    <w:rsid w:val="00F12C35"/>
    <w:rsid w:val="00F13FBE"/>
    <w:rsid w:val="00F147A8"/>
    <w:rsid w:val="00F153DA"/>
    <w:rsid w:val="00F15F25"/>
    <w:rsid w:val="00F16B00"/>
    <w:rsid w:val="00F205FC"/>
    <w:rsid w:val="00F20F3F"/>
    <w:rsid w:val="00F21AB6"/>
    <w:rsid w:val="00F21B68"/>
    <w:rsid w:val="00F222F0"/>
    <w:rsid w:val="00F22962"/>
    <w:rsid w:val="00F22D84"/>
    <w:rsid w:val="00F23871"/>
    <w:rsid w:val="00F23A92"/>
    <w:rsid w:val="00F248E3"/>
    <w:rsid w:val="00F24B98"/>
    <w:rsid w:val="00F26EA7"/>
    <w:rsid w:val="00F27558"/>
    <w:rsid w:val="00F277D6"/>
    <w:rsid w:val="00F27A10"/>
    <w:rsid w:val="00F27CF1"/>
    <w:rsid w:val="00F30FA1"/>
    <w:rsid w:val="00F319E8"/>
    <w:rsid w:val="00F31BB4"/>
    <w:rsid w:val="00F32B8A"/>
    <w:rsid w:val="00F3337E"/>
    <w:rsid w:val="00F3396F"/>
    <w:rsid w:val="00F3428B"/>
    <w:rsid w:val="00F34384"/>
    <w:rsid w:val="00F34A26"/>
    <w:rsid w:val="00F35629"/>
    <w:rsid w:val="00F35AB5"/>
    <w:rsid w:val="00F36039"/>
    <w:rsid w:val="00F36974"/>
    <w:rsid w:val="00F40218"/>
    <w:rsid w:val="00F4077E"/>
    <w:rsid w:val="00F40A5F"/>
    <w:rsid w:val="00F411EC"/>
    <w:rsid w:val="00F42B39"/>
    <w:rsid w:val="00F42D3A"/>
    <w:rsid w:val="00F4304E"/>
    <w:rsid w:val="00F433E1"/>
    <w:rsid w:val="00F43BE3"/>
    <w:rsid w:val="00F442EB"/>
    <w:rsid w:val="00F44BC5"/>
    <w:rsid w:val="00F44D5B"/>
    <w:rsid w:val="00F45B13"/>
    <w:rsid w:val="00F46729"/>
    <w:rsid w:val="00F46F38"/>
    <w:rsid w:val="00F47362"/>
    <w:rsid w:val="00F47617"/>
    <w:rsid w:val="00F47E2C"/>
    <w:rsid w:val="00F5016D"/>
    <w:rsid w:val="00F508F7"/>
    <w:rsid w:val="00F50957"/>
    <w:rsid w:val="00F50DC8"/>
    <w:rsid w:val="00F52490"/>
    <w:rsid w:val="00F537B4"/>
    <w:rsid w:val="00F5448C"/>
    <w:rsid w:val="00F54CF1"/>
    <w:rsid w:val="00F54F98"/>
    <w:rsid w:val="00F55992"/>
    <w:rsid w:val="00F60F46"/>
    <w:rsid w:val="00F6182E"/>
    <w:rsid w:val="00F6231E"/>
    <w:rsid w:val="00F6334E"/>
    <w:rsid w:val="00F63798"/>
    <w:rsid w:val="00F6382B"/>
    <w:rsid w:val="00F638D2"/>
    <w:rsid w:val="00F63BDC"/>
    <w:rsid w:val="00F655D0"/>
    <w:rsid w:val="00F656C6"/>
    <w:rsid w:val="00F66088"/>
    <w:rsid w:val="00F67408"/>
    <w:rsid w:val="00F678F7"/>
    <w:rsid w:val="00F701CE"/>
    <w:rsid w:val="00F71D69"/>
    <w:rsid w:val="00F720F8"/>
    <w:rsid w:val="00F72670"/>
    <w:rsid w:val="00F72F65"/>
    <w:rsid w:val="00F73A61"/>
    <w:rsid w:val="00F73AD6"/>
    <w:rsid w:val="00F74F65"/>
    <w:rsid w:val="00F75D24"/>
    <w:rsid w:val="00F76AC2"/>
    <w:rsid w:val="00F76CFC"/>
    <w:rsid w:val="00F7771D"/>
    <w:rsid w:val="00F82331"/>
    <w:rsid w:val="00F83351"/>
    <w:rsid w:val="00F86488"/>
    <w:rsid w:val="00F877C0"/>
    <w:rsid w:val="00F87968"/>
    <w:rsid w:val="00F87D25"/>
    <w:rsid w:val="00F90387"/>
    <w:rsid w:val="00F90897"/>
    <w:rsid w:val="00F909CF"/>
    <w:rsid w:val="00F91074"/>
    <w:rsid w:val="00F91847"/>
    <w:rsid w:val="00F91EE3"/>
    <w:rsid w:val="00F925FD"/>
    <w:rsid w:val="00F92633"/>
    <w:rsid w:val="00F92B3A"/>
    <w:rsid w:val="00F92B40"/>
    <w:rsid w:val="00F92F00"/>
    <w:rsid w:val="00F94105"/>
    <w:rsid w:val="00F94AF8"/>
    <w:rsid w:val="00F94AF9"/>
    <w:rsid w:val="00F965D0"/>
    <w:rsid w:val="00F9737E"/>
    <w:rsid w:val="00F97612"/>
    <w:rsid w:val="00F977F1"/>
    <w:rsid w:val="00FA01D5"/>
    <w:rsid w:val="00FA0296"/>
    <w:rsid w:val="00FA1E31"/>
    <w:rsid w:val="00FA215D"/>
    <w:rsid w:val="00FA2ADC"/>
    <w:rsid w:val="00FA3175"/>
    <w:rsid w:val="00FA33FF"/>
    <w:rsid w:val="00FA3763"/>
    <w:rsid w:val="00FA3827"/>
    <w:rsid w:val="00FA5720"/>
    <w:rsid w:val="00FB2DB9"/>
    <w:rsid w:val="00FB3065"/>
    <w:rsid w:val="00FB378E"/>
    <w:rsid w:val="00FB3B75"/>
    <w:rsid w:val="00FB3E57"/>
    <w:rsid w:val="00FB3FD5"/>
    <w:rsid w:val="00FB48F9"/>
    <w:rsid w:val="00FB5263"/>
    <w:rsid w:val="00FB5589"/>
    <w:rsid w:val="00FB5621"/>
    <w:rsid w:val="00FB6B13"/>
    <w:rsid w:val="00FC0ECF"/>
    <w:rsid w:val="00FC10E0"/>
    <w:rsid w:val="00FC1E94"/>
    <w:rsid w:val="00FC3C6B"/>
    <w:rsid w:val="00FC4226"/>
    <w:rsid w:val="00FC43BB"/>
    <w:rsid w:val="00FC43EF"/>
    <w:rsid w:val="00FC485A"/>
    <w:rsid w:val="00FC5E31"/>
    <w:rsid w:val="00FC6175"/>
    <w:rsid w:val="00FC68B0"/>
    <w:rsid w:val="00FC6E57"/>
    <w:rsid w:val="00FC7E52"/>
    <w:rsid w:val="00FD0C09"/>
    <w:rsid w:val="00FD1460"/>
    <w:rsid w:val="00FD1571"/>
    <w:rsid w:val="00FD17DC"/>
    <w:rsid w:val="00FD1F29"/>
    <w:rsid w:val="00FD1FAC"/>
    <w:rsid w:val="00FD2BC9"/>
    <w:rsid w:val="00FD4802"/>
    <w:rsid w:val="00FD5568"/>
    <w:rsid w:val="00FD77B1"/>
    <w:rsid w:val="00FD7D51"/>
    <w:rsid w:val="00FE0E98"/>
    <w:rsid w:val="00FE1086"/>
    <w:rsid w:val="00FE2399"/>
    <w:rsid w:val="00FE2A6D"/>
    <w:rsid w:val="00FE2DC1"/>
    <w:rsid w:val="00FE311E"/>
    <w:rsid w:val="00FE369B"/>
    <w:rsid w:val="00FE6CBB"/>
    <w:rsid w:val="00FE74F1"/>
    <w:rsid w:val="00FE7AB1"/>
    <w:rsid w:val="00FF1B91"/>
    <w:rsid w:val="00FF2B71"/>
    <w:rsid w:val="00FF2E89"/>
    <w:rsid w:val="00FF30A4"/>
    <w:rsid w:val="00FF3277"/>
    <w:rsid w:val="00FF39C5"/>
    <w:rsid w:val="00FF41F4"/>
    <w:rsid w:val="00FF44D5"/>
    <w:rsid w:val="00FF4868"/>
    <w:rsid w:val="00FF5FE4"/>
    <w:rsid w:val="00FF6BAC"/>
    <w:rsid w:val="00FF7113"/>
    <w:rsid w:val="00FF7643"/>
    <w:rsid w:val="00FF7A62"/>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B0AA705"/>
  <w15:docId w15:val="{B35B694A-EE43-4817-A82A-0B17627F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09E"/>
  </w:style>
  <w:style w:type="paragraph" w:styleId="Heading1">
    <w:name w:val="heading 1"/>
    <w:aliases w:val="Section Header"/>
    <w:basedOn w:val="Normal"/>
    <w:next w:val="Normal"/>
    <w:link w:val="Heading1Char"/>
    <w:uiPriority w:val="9"/>
    <w:qFormat/>
    <w:rsid w:val="008F38DE"/>
    <w:pPr>
      <w:numPr>
        <w:numId w:val="1"/>
      </w:numPr>
      <w:spacing w:line="480" w:lineRule="auto"/>
      <w:jc w:val="center"/>
      <w:outlineLvl w:val="0"/>
    </w:pPr>
    <w:rPr>
      <w:rFonts w:eastAsia="Times New Roman"/>
      <w:b/>
    </w:rPr>
  </w:style>
  <w:style w:type="paragraph" w:styleId="Heading2">
    <w:name w:val="heading 2"/>
    <w:basedOn w:val="Normal"/>
    <w:next w:val="Normal"/>
    <w:link w:val="Heading2Char"/>
    <w:uiPriority w:val="9"/>
    <w:unhideWhenUsed/>
    <w:qFormat/>
    <w:rsid w:val="00513F2D"/>
    <w:pPr>
      <w:numPr>
        <w:numId w:val="3"/>
      </w:numPr>
      <w:spacing w:line="480" w:lineRule="auto"/>
      <w:outlineLvl w:val="1"/>
    </w:pPr>
    <w:rPr>
      <w:rFonts w:eastAsia="Times New Roman"/>
      <w:b/>
    </w:rPr>
  </w:style>
  <w:style w:type="paragraph" w:styleId="Heading3">
    <w:name w:val="heading 3"/>
    <w:basedOn w:val="Heading1"/>
    <w:next w:val="Normal"/>
    <w:link w:val="Heading3Char"/>
    <w:uiPriority w:val="9"/>
    <w:unhideWhenUsed/>
    <w:rsid w:val="00C36D7B"/>
    <w:pPr>
      <w:keepNext/>
      <w:keepLines/>
      <w:numPr>
        <w:numId w:val="2"/>
      </w:numPr>
      <w:spacing w:before="40"/>
      <w:ind w:left="1080"/>
      <w:jc w:val="left"/>
      <w:outlineLvl w:val="2"/>
    </w:pPr>
    <w:rPr>
      <w:rFonts w:eastAsiaTheme="majorEastAsia" w:cstheme="majorBidi"/>
    </w:rPr>
  </w:style>
  <w:style w:type="paragraph" w:styleId="Heading4">
    <w:name w:val="heading 4"/>
    <w:basedOn w:val="Normal"/>
    <w:next w:val="Normal"/>
    <w:link w:val="Heading4Char"/>
    <w:uiPriority w:val="9"/>
    <w:unhideWhenUsed/>
    <w:rsid w:val="006547C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unhideWhenUsed/>
    <w:qFormat/>
    <w:rsid w:val="0054068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Question"/>
    <w:basedOn w:val="Heading2"/>
    <w:next w:val="Normal"/>
    <w:link w:val="Heading8Char"/>
    <w:uiPriority w:val="9"/>
    <w:unhideWhenUsed/>
    <w:qFormat/>
    <w:rsid w:val="008F38DE"/>
    <w:pPr>
      <w:numPr>
        <w:numId w:val="0"/>
      </w:numPr>
      <w:ind w:left="720" w:hanging="720"/>
      <w:outlineLvl w:val="7"/>
    </w:pPr>
  </w:style>
  <w:style w:type="paragraph" w:styleId="Heading9">
    <w:name w:val="heading 9"/>
    <w:basedOn w:val="Normal"/>
    <w:next w:val="Normal"/>
    <w:link w:val="Heading9Char"/>
    <w:uiPriority w:val="9"/>
    <w:unhideWhenUsed/>
    <w:qFormat/>
    <w:rsid w:val="005406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er Char"/>
    <w:basedOn w:val="DefaultParagraphFont"/>
    <w:link w:val="Heading1"/>
    <w:uiPriority w:val="9"/>
    <w:rsid w:val="008F38DE"/>
    <w:rPr>
      <w:rFonts w:eastAsia="Times New Roman"/>
      <w:b/>
    </w:rPr>
  </w:style>
  <w:style w:type="paragraph" w:styleId="Footer">
    <w:name w:val="footer"/>
    <w:basedOn w:val="Normal"/>
    <w:link w:val="FooterChar"/>
    <w:uiPriority w:val="99"/>
    <w:unhideWhenUsed/>
    <w:rsid w:val="004026AD"/>
    <w:pPr>
      <w:tabs>
        <w:tab w:val="center" w:pos="4680"/>
        <w:tab w:val="right" w:pos="9360"/>
      </w:tabs>
    </w:pPr>
  </w:style>
  <w:style w:type="character" w:customStyle="1" w:styleId="FooterChar">
    <w:name w:val="Footer Char"/>
    <w:basedOn w:val="DefaultParagraphFont"/>
    <w:link w:val="Footer"/>
    <w:uiPriority w:val="99"/>
    <w:rsid w:val="004026AD"/>
  </w:style>
  <w:style w:type="character" w:styleId="PageNumber">
    <w:name w:val="page number"/>
    <w:basedOn w:val="DefaultParagraphFont"/>
    <w:uiPriority w:val="99"/>
    <w:rsid w:val="004026AD"/>
    <w:rPr>
      <w:rFonts w:cs="Times New Roman"/>
    </w:rPr>
  </w:style>
  <w:style w:type="character" w:styleId="LineNumber">
    <w:name w:val="line number"/>
    <w:basedOn w:val="DefaultParagraphFont"/>
    <w:uiPriority w:val="99"/>
    <w:semiHidden/>
    <w:unhideWhenUsed/>
    <w:rsid w:val="000E0390"/>
    <w:rPr>
      <w:rFonts w:ascii="Times New Roman" w:hAnsi="Times New Roman"/>
      <w:sz w:val="24"/>
    </w:rPr>
  </w:style>
  <w:style w:type="paragraph" w:styleId="Header">
    <w:name w:val="header"/>
    <w:basedOn w:val="Normal"/>
    <w:link w:val="HeaderChar"/>
    <w:unhideWhenUsed/>
    <w:rsid w:val="00CC09B5"/>
    <w:pPr>
      <w:tabs>
        <w:tab w:val="center" w:pos="4680"/>
        <w:tab w:val="right" w:pos="9360"/>
      </w:tabs>
    </w:pPr>
  </w:style>
  <w:style w:type="character" w:customStyle="1" w:styleId="HeaderChar">
    <w:name w:val="Header Char"/>
    <w:basedOn w:val="DefaultParagraphFont"/>
    <w:link w:val="Header"/>
    <w:rsid w:val="00CC09B5"/>
  </w:style>
  <w:style w:type="paragraph" w:styleId="NoSpacing">
    <w:name w:val="No Spacing"/>
    <w:aliases w:val="Answer"/>
    <w:basedOn w:val="Normal"/>
    <w:uiPriority w:val="1"/>
    <w:qFormat/>
    <w:rsid w:val="00713027"/>
    <w:pPr>
      <w:spacing w:line="480" w:lineRule="auto"/>
      <w:ind w:left="720" w:hanging="720"/>
    </w:pPr>
    <w:rPr>
      <w:rFonts w:eastAsia="Times New Roman"/>
    </w:rPr>
  </w:style>
  <w:style w:type="character" w:customStyle="1" w:styleId="Heading2Char">
    <w:name w:val="Heading 2 Char"/>
    <w:basedOn w:val="DefaultParagraphFont"/>
    <w:link w:val="Heading2"/>
    <w:uiPriority w:val="9"/>
    <w:rsid w:val="00513F2D"/>
    <w:rPr>
      <w:rFonts w:eastAsia="Times New Roman"/>
      <w:b/>
    </w:rPr>
  </w:style>
  <w:style w:type="paragraph" w:styleId="ListParagraph">
    <w:name w:val="List Paragraph"/>
    <w:basedOn w:val="Normal"/>
    <w:uiPriority w:val="34"/>
    <w:qFormat/>
    <w:rsid w:val="00473BD6"/>
    <w:pPr>
      <w:ind w:left="720"/>
      <w:contextualSpacing/>
    </w:pPr>
  </w:style>
  <w:style w:type="character" w:styleId="Hyperlink">
    <w:name w:val="Hyperlink"/>
    <w:basedOn w:val="DefaultParagraphFont"/>
    <w:uiPriority w:val="99"/>
    <w:unhideWhenUsed/>
    <w:rsid w:val="00305402"/>
    <w:rPr>
      <w:color w:val="0000FF" w:themeColor="hyperlink"/>
      <w:u w:val="single"/>
    </w:rPr>
  </w:style>
  <w:style w:type="character" w:styleId="CommentReference">
    <w:name w:val="annotation reference"/>
    <w:basedOn w:val="DefaultParagraphFont"/>
    <w:uiPriority w:val="99"/>
    <w:semiHidden/>
    <w:unhideWhenUsed/>
    <w:rsid w:val="00D32E7E"/>
    <w:rPr>
      <w:sz w:val="16"/>
      <w:szCs w:val="16"/>
    </w:rPr>
  </w:style>
  <w:style w:type="paragraph" w:styleId="CommentText">
    <w:name w:val="annotation text"/>
    <w:basedOn w:val="Normal"/>
    <w:link w:val="CommentTextChar"/>
    <w:uiPriority w:val="99"/>
    <w:semiHidden/>
    <w:unhideWhenUsed/>
    <w:rsid w:val="00D32E7E"/>
    <w:rPr>
      <w:sz w:val="20"/>
      <w:szCs w:val="20"/>
    </w:rPr>
  </w:style>
  <w:style w:type="character" w:customStyle="1" w:styleId="CommentTextChar">
    <w:name w:val="Comment Text Char"/>
    <w:basedOn w:val="DefaultParagraphFont"/>
    <w:link w:val="CommentText"/>
    <w:uiPriority w:val="99"/>
    <w:semiHidden/>
    <w:rsid w:val="00D32E7E"/>
    <w:rPr>
      <w:sz w:val="20"/>
      <w:szCs w:val="20"/>
    </w:rPr>
  </w:style>
  <w:style w:type="paragraph" w:styleId="CommentSubject">
    <w:name w:val="annotation subject"/>
    <w:basedOn w:val="CommentText"/>
    <w:next w:val="CommentText"/>
    <w:link w:val="CommentSubjectChar"/>
    <w:uiPriority w:val="99"/>
    <w:semiHidden/>
    <w:unhideWhenUsed/>
    <w:rsid w:val="00D32E7E"/>
    <w:rPr>
      <w:b/>
      <w:bCs/>
    </w:rPr>
  </w:style>
  <w:style w:type="character" w:customStyle="1" w:styleId="CommentSubjectChar">
    <w:name w:val="Comment Subject Char"/>
    <w:basedOn w:val="CommentTextChar"/>
    <w:link w:val="CommentSubject"/>
    <w:uiPriority w:val="99"/>
    <w:semiHidden/>
    <w:rsid w:val="00D32E7E"/>
    <w:rPr>
      <w:b/>
      <w:bCs/>
      <w:sz w:val="20"/>
      <w:szCs w:val="20"/>
    </w:rPr>
  </w:style>
  <w:style w:type="paragraph" w:styleId="BalloonText">
    <w:name w:val="Balloon Text"/>
    <w:basedOn w:val="Normal"/>
    <w:link w:val="BalloonTextChar"/>
    <w:uiPriority w:val="99"/>
    <w:semiHidden/>
    <w:unhideWhenUsed/>
    <w:rsid w:val="00D32E7E"/>
    <w:rPr>
      <w:rFonts w:ascii="Tahoma" w:hAnsi="Tahoma" w:cs="Tahoma"/>
      <w:sz w:val="16"/>
      <w:szCs w:val="16"/>
    </w:rPr>
  </w:style>
  <w:style w:type="character" w:customStyle="1" w:styleId="BalloonTextChar">
    <w:name w:val="Balloon Text Char"/>
    <w:basedOn w:val="DefaultParagraphFont"/>
    <w:link w:val="BalloonText"/>
    <w:uiPriority w:val="99"/>
    <w:semiHidden/>
    <w:rsid w:val="00D32E7E"/>
    <w:rPr>
      <w:rFonts w:ascii="Tahoma" w:hAnsi="Tahoma" w:cs="Tahoma"/>
      <w:sz w:val="16"/>
      <w:szCs w:val="16"/>
    </w:rPr>
  </w:style>
  <w:style w:type="paragraph" w:styleId="TOCHeading">
    <w:name w:val="TOC Heading"/>
    <w:basedOn w:val="Heading1"/>
    <w:next w:val="Normal"/>
    <w:uiPriority w:val="39"/>
    <w:unhideWhenUsed/>
    <w:qFormat/>
    <w:rsid w:val="008004C0"/>
    <w:pPr>
      <w:keepNext/>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9A0C10"/>
    <w:pPr>
      <w:tabs>
        <w:tab w:val="left" w:pos="540"/>
        <w:tab w:val="left" w:pos="1620"/>
        <w:tab w:val="right" w:leader="dot" w:pos="9350"/>
      </w:tabs>
      <w:ind w:left="1080"/>
    </w:pPr>
    <w:rPr>
      <w:rFonts w:eastAsiaTheme="minorEastAsia"/>
      <w:noProof/>
      <w:sz w:val="22"/>
      <w:szCs w:val="22"/>
    </w:rPr>
  </w:style>
  <w:style w:type="paragraph" w:styleId="TOC1">
    <w:name w:val="toc 1"/>
    <w:basedOn w:val="Normal"/>
    <w:next w:val="Normal"/>
    <w:autoRedefine/>
    <w:uiPriority w:val="39"/>
    <w:unhideWhenUsed/>
    <w:qFormat/>
    <w:rsid w:val="009A0C10"/>
    <w:pPr>
      <w:tabs>
        <w:tab w:val="left" w:pos="540"/>
        <w:tab w:val="right" w:leader="dot" w:pos="9350"/>
      </w:tabs>
      <w:spacing w:after="100"/>
      <w:ind w:left="450" w:hanging="450"/>
    </w:pPr>
    <w:rPr>
      <w:rFonts w:ascii="Times New Roman Bold" w:eastAsiaTheme="minorEastAsia" w:hAnsi="Times New Roman Bold"/>
      <w:caps/>
      <w:noProof/>
      <w:lang w:eastAsia="ja-JP"/>
    </w:rPr>
  </w:style>
  <w:style w:type="paragraph" w:styleId="TOC3">
    <w:name w:val="toc 3"/>
    <w:basedOn w:val="Normal"/>
    <w:next w:val="Normal"/>
    <w:autoRedefine/>
    <w:uiPriority w:val="39"/>
    <w:unhideWhenUsed/>
    <w:qFormat/>
    <w:rsid w:val="008004C0"/>
    <w:pPr>
      <w:spacing w:after="100" w:line="276" w:lineRule="auto"/>
      <w:ind w:left="440"/>
    </w:pPr>
    <w:rPr>
      <w:rFonts w:eastAsiaTheme="minorEastAsia"/>
      <w:lang w:eastAsia="ja-JP"/>
    </w:rPr>
  </w:style>
  <w:style w:type="character" w:styleId="Strong">
    <w:name w:val="Strong"/>
    <w:basedOn w:val="DefaultParagraphFont"/>
    <w:uiPriority w:val="22"/>
    <w:qFormat/>
    <w:rsid w:val="008004C0"/>
    <w:rPr>
      <w:b/>
      <w:bCs/>
    </w:rPr>
  </w:style>
  <w:style w:type="paragraph" w:styleId="FootnoteText">
    <w:name w:val="footnote text"/>
    <w:aliases w:val="ALTS FOOTNOTE,Footnote Text Char1 Char,Footnote Text Char Char Char,Footnote Text Char1 Char Char Char,Footnote Text Char Char Char Char Char,Footnote Text Char Char1 Char,Footnote Text Char1 Char1 Char,Footnote Text Char Char1,fn,f"/>
    <w:basedOn w:val="Normal"/>
    <w:link w:val="FootnoteTextChar"/>
    <w:unhideWhenUsed/>
    <w:qFormat/>
    <w:rsid w:val="006B3F01"/>
    <w:rPr>
      <w:sz w:val="20"/>
      <w:szCs w:val="20"/>
    </w:rPr>
  </w:style>
  <w:style w:type="character" w:customStyle="1" w:styleId="FootnoteTextChar">
    <w:name w:val="Footnote Text Char"/>
    <w:aliases w:val="ALTS FOOTNOTE Char,Footnote Text Char1 Char Char1,Footnote Text Char Char Char Char1,Footnote Text Char1 Char Char Char Char1,Footnote Text Char Char Char Char Char Char1,Footnote Text Char Char1 Char Char1,fn Char1,f Char"/>
    <w:basedOn w:val="DefaultParagraphFont"/>
    <w:link w:val="FootnoteText"/>
    <w:rsid w:val="006B3F01"/>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Style 24,Style 30,Style 39"/>
    <w:basedOn w:val="DefaultParagraphFont"/>
    <w:uiPriority w:val="99"/>
    <w:unhideWhenUsed/>
    <w:qFormat/>
    <w:rsid w:val="006B3F01"/>
    <w:rPr>
      <w:vertAlign w:val="superscript"/>
    </w:rPr>
  </w:style>
  <w:style w:type="paragraph" w:styleId="Title">
    <w:name w:val="Title"/>
    <w:basedOn w:val="Normal"/>
    <w:next w:val="Normal"/>
    <w:link w:val="TitleChar"/>
    <w:uiPriority w:val="10"/>
    <w:qFormat/>
    <w:rsid w:val="00EB47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4752"/>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577A15"/>
  </w:style>
  <w:style w:type="table" w:styleId="TableGrid">
    <w:name w:val="Table Grid"/>
    <w:basedOn w:val="TableNormal"/>
    <w:uiPriority w:val="59"/>
    <w:rsid w:val="0043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6D7B"/>
    <w:rPr>
      <w:rFonts w:eastAsiaTheme="majorEastAsia" w:cstheme="majorBidi"/>
      <w:b/>
    </w:rPr>
  </w:style>
  <w:style w:type="character" w:customStyle="1" w:styleId="Heading4Char">
    <w:name w:val="Heading 4 Char"/>
    <w:basedOn w:val="DefaultParagraphFont"/>
    <w:link w:val="Heading4"/>
    <w:uiPriority w:val="9"/>
    <w:rsid w:val="006547C5"/>
    <w:rPr>
      <w:rFonts w:asciiTheme="majorHAnsi" w:eastAsiaTheme="majorEastAsia" w:hAnsiTheme="majorHAnsi" w:cstheme="majorBidi"/>
      <w:i/>
      <w:iCs/>
      <w:color w:val="365F91" w:themeColor="accent1" w:themeShade="BF"/>
    </w:rPr>
  </w:style>
  <w:style w:type="character" w:customStyle="1" w:styleId="Heading8Char">
    <w:name w:val="Heading 8 Char"/>
    <w:aliases w:val="Question Char"/>
    <w:basedOn w:val="DefaultParagraphFont"/>
    <w:link w:val="Heading8"/>
    <w:uiPriority w:val="9"/>
    <w:rsid w:val="008F38DE"/>
    <w:rPr>
      <w:rFonts w:eastAsia="Times New Roman"/>
      <w:b/>
    </w:rPr>
  </w:style>
  <w:style w:type="character" w:customStyle="1" w:styleId="Heading9Char">
    <w:name w:val="Heading 9 Char"/>
    <w:basedOn w:val="DefaultParagraphFont"/>
    <w:link w:val="Heading9"/>
    <w:uiPriority w:val="9"/>
    <w:rsid w:val="00540687"/>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uiPriority w:val="9"/>
    <w:rsid w:val="00540687"/>
    <w:rPr>
      <w:rFonts w:asciiTheme="majorHAnsi" w:eastAsiaTheme="majorEastAsia" w:hAnsiTheme="majorHAnsi" w:cstheme="majorBidi"/>
      <w:i/>
      <w:iCs/>
      <w:color w:val="243F60" w:themeColor="accent1" w:themeShade="7F"/>
    </w:rPr>
  </w:style>
  <w:style w:type="paragraph" w:styleId="BodyTextIndent2">
    <w:name w:val="Body Text Indent 2"/>
    <w:basedOn w:val="Normal"/>
    <w:link w:val="BodyTextIndent2Char"/>
    <w:rsid w:val="00090908"/>
    <w:pPr>
      <w:spacing w:line="480" w:lineRule="auto"/>
      <w:ind w:left="720" w:hanging="360"/>
    </w:pPr>
    <w:rPr>
      <w:rFonts w:eastAsia="Times New Roman"/>
    </w:rPr>
  </w:style>
  <w:style w:type="character" w:customStyle="1" w:styleId="BodyTextIndent2Char">
    <w:name w:val="Body Text Indent 2 Char"/>
    <w:basedOn w:val="DefaultParagraphFont"/>
    <w:link w:val="BodyTextIndent2"/>
    <w:rsid w:val="00090908"/>
    <w:rPr>
      <w:rFonts w:eastAsia="Times New Roman"/>
    </w:rPr>
  </w:style>
  <w:style w:type="paragraph" w:customStyle="1" w:styleId="Default">
    <w:name w:val="Default"/>
    <w:rsid w:val="00F91074"/>
    <w:pPr>
      <w:autoSpaceDE w:val="0"/>
      <w:autoSpaceDN w:val="0"/>
      <w:adjustRightInd w:val="0"/>
    </w:pPr>
    <w:rPr>
      <w:color w:val="00000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uiPriority w:val="99"/>
    <w:locked/>
    <w:rsid w:val="00B25158"/>
    <w:rPr>
      <w:sz w:val="22"/>
    </w:rPr>
  </w:style>
  <w:style w:type="character" w:styleId="SubtleReference">
    <w:name w:val="Subtle Reference"/>
    <w:basedOn w:val="DefaultParagraphFont"/>
    <w:uiPriority w:val="31"/>
    <w:qFormat/>
    <w:rsid w:val="00EB7B6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870">
      <w:bodyDiv w:val="1"/>
      <w:marLeft w:val="0"/>
      <w:marRight w:val="0"/>
      <w:marTop w:val="0"/>
      <w:marBottom w:val="0"/>
      <w:divBdr>
        <w:top w:val="none" w:sz="0" w:space="0" w:color="auto"/>
        <w:left w:val="none" w:sz="0" w:space="0" w:color="auto"/>
        <w:bottom w:val="none" w:sz="0" w:space="0" w:color="auto"/>
        <w:right w:val="none" w:sz="0" w:space="0" w:color="auto"/>
      </w:divBdr>
    </w:div>
    <w:div w:id="144785909">
      <w:bodyDiv w:val="1"/>
      <w:marLeft w:val="0"/>
      <w:marRight w:val="0"/>
      <w:marTop w:val="0"/>
      <w:marBottom w:val="0"/>
      <w:divBdr>
        <w:top w:val="none" w:sz="0" w:space="0" w:color="auto"/>
        <w:left w:val="none" w:sz="0" w:space="0" w:color="auto"/>
        <w:bottom w:val="none" w:sz="0" w:space="0" w:color="auto"/>
        <w:right w:val="none" w:sz="0" w:space="0" w:color="auto"/>
      </w:divBdr>
    </w:div>
    <w:div w:id="203251515">
      <w:bodyDiv w:val="1"/>
      <w:marLeft w:val="0"/>
      <w:marRight w:val="0"/>
      <w:marTop w:val="0"/>
      <w:marBottom w:val="0"/>
      <w:divBdr>
        <w:top w:val="none" w:sz="0" w:space="0" w:color="auto"/>
        <w:left w:val="none" w:sz="0" w:space="0" w:color="auto"/>
        <w:bottom w:val="none" w:sz="0" w:space="0" w:color="auto"/>
        <w:right w:val="none" w:sz="0" w:space="0" w:color="auto"/>
      </w:divBdr>
    </w:div>
    <w:div w:id="272329427">
      <w:bodyDiv w:val="1"/>
      <w:marLeft w:val="0"/>
      <w:marRight w:val="0"/>
      <w:marTop w:val="0"/>
      <w:marBottom w:val="0"/>
      <w:divBdr>
        <w:top w:val="none" w:sz="0" w:space="0" w:color="auto"/>
        <w:left w:val="none" w:sz="0" w:space="0" w:color="auto"/>
        <w:bottom w:val="none" w:sz="0" w:space="0" w:color="auto"/>
        <w:right w:val="none" w:sz="0" w:space="0" w:color="auto"/>
      </w:divBdr>
    </w:div>
    <w:div w:id="358554388">
      <w:bodyDiv w:val="1"/>
      <w:marLeft w:val="0"/>
      <w:marRight w:val="0"/>
      <w:marTop w:val="0"/>
      <w:marBottom w:val="0"/>
      <w:divBdr>
        <w:top w:val="none" w:sz="0" w:space="0" w:color="auto"/>
        <w:left w:val="none" w:sz="0" w:space="0" w:color="auto"/>
        <w:bottom w:val="none" w:sz="0" w:space="0" w:color="auto"/>
        <w:right w:val="none" w:sz="0" w:space="0" w:color="auto"/>
      </w:divBdr>
    </w:div>
    <w:div w:id="386075804">
      <w:bodyDiv w:val="1"/>
      <w:marLeft w:val="0"/>
      <w:marRight w:val="0"/>
      <w:marTop w:val="0"/>
      <w:marBottom w:val="0"/>
      <w:divBdr>
        <w:top w:val="none" w:sz="0" w:space="0" w:color="auto"/>
        <w:left w:val="none" w:sz="0" w:space="0" w:color="auto"/>
        <w:bottom w:val="none" w:sz="0" w:space="0" w:color="auto"/>
        <w:right w:val="none" w:sz="0" w:space="0" w:color="auto"/>
      </w:divBdr>
    </w:div>
    <w:div w:id="412624103">
      <w:bodyDiv w:val="1"/>
      <w:marLeft w:val="0"/>
      <w:marRight w:val="0"/>
      <w:marTop w:val="0"/>
      <w:marBottom w:val="0"/>
      <w:divBdr>
        <w:top w:val="none" w:sz="0" w:space="0" w:color="auto"/>
        <w:left w:val="none" w:sz="0" w:space="0" w:color="auto"/>
        <w:bottom w:val="none" w:sz="0" w:space="0" w:color="auto"/>
        <w:right w:val="none" w:sz="0" w:space="0" w:color="auto"/>
      </w:divBdr>
    </w:div>
    <w:div w:id="423693588">
      <w:bodyDiv w:val="1"/>
      <w:marLeft w:val="0"/>
      <w:marRight w:val="0"/>
      <w:marTop w:val="0"/>
      <w:marBottom w:val="0"/>
      <w:divBdr>
        <w:top w:val="none" w:sz="0" w:space="0" w:color="auto"/>
        <w:left w:val="none" w:sz="0" w:space="0" w:color="auto"/>
        <w:bottom w:val="none" w:sz="0" w:space="0" w:color="auto"/>
        <w:right w:val="none" w:sz="0" w:space="0" w:color="auto"/>
      </w:divBdr>
    </w:div>
    <w:div w:id="516626037">
      <w:bodyDiv w:val="1"/>
      <w:marLeft w:val="0"/>
      <w:marRight w:val="0"/>
      <w:marTop w:val="0"/>
      <w:marBottom w:val="0"/>
      <w:divBdr>
        <w:top w:val="none" w:sz="0" w:space="0" w:color="auto"/>
        <w:left w:val="none" w:sz="0" w:space="0" w:color="auto"/>
        <w:bottom w:val="none" w:sz="0" w:space="0" w:color="auto"/>
        <w:right w:val="none" w:sz="0" w:space="0" w:color="auto"/>
      </w:divBdr>
    </w:div>
    <w:div w:id="561333161">
      <w:bodyDiv w:val="1"/>
      <w:marLeft w:val="0"/>
      <w:marRight w:val="0"/>
      <w:marTop w:val="0"/>
      <w:marBottom w:val="0"/>
      <w:divBdr>
        <w:top w:val="none" w:sz="0" w:space="0" w:color="auto"/>
        <w:left w:val="none" w:sz="0" w:space="0" w:color="auto"/>
        <w:bottom w:val="none" w:sz="0" w:space="0" w:color="auto"/>
        <w:right w:val="none" w:sz="0" w:space="0" w:color="auto"/>
      </w:divBdr>
    </w:div>
    <w:div w:id="718282522">
      <w:bodyDiv w:val="1"/>
      <w:marLeft w:val="0"/>
      <w:marRight w:val="0"/>
      <w:marTop w:val="0"/>
      <w:marBottom w:val="0"/>
      <w:divBdr>
        <w:top w:val="none" w:sz="0" w:space="0" w:color="auto"/>
        <w:left w:val="none" w:sz="0" w:space="0" w:color="auto"/>
        <w:bottom w:val="none" w:sz="0" w:space="0" w:color="auto"/>
        <w:right w:val="none" w:sz="0" w:space="0" w:color="auto"/>
      </w:divBdr>
    </w:div>
    <w:div w:id="754088742">
      <w:bodyDiv w:val="1"/>
      <w:marLeft w:val="0"/>
      <w:marRight w:val="0"/>
      <w:marTop w:val="0"/>
      <w:marBottom w:val="0"/>
      <w:divBdr>
        <w:top w:val="none" w:sz="0" w:space="0" w:color="auto"/>
        <w:left w:val="none" w:sz="0" w:space="0" w:color="auto"/>
        <w:bottom w:val="none" w:sz="0" w:space="0" w:color="auto"/>
        <w:right w:val="none" w:sz="0" w:space="0" w:color="auto"/>
      </w:divBdr>
    </w:div>
    <w:div w:id="949507351">
      <w:bodyDiv w:val="1"/>
      <w:marLeft w:val="0"/>
      <w:marRight w:val="0"/>
      <w:marTop w:val="0"/>
      <w:marBottom w:val="0"/>
      <w:divBdr>
        <w:top w:val="none" w:sz="0" w:space="0" w:color="auto"/>
        <w:left w:val="none" w:sz="0" w:space="0" w:color="auto"/>
        <w:bottom w:val="none" w:sz="0" w:space="0" w:color="auto"/>
        <w:right w:val="none" w:sz="0" w:space="0" w:color="auto"/>
      </w:divBdr>
    </w:div>
    <w:div w:id="1037194893">
      <w:bodyDiv w:val="1"/>
      <w:marLeft w:val="0"/>
      <w:marRight w:val="0"/>
      <w:marTop w:val="0"/>
      <w:marBottom w:val="0"/>
      <w:divBdr>
        <w:top w:val="none" w:sz="0" w:space="0" w:color="auto"/>
        <w:left w:val="none" w:sz="0" w:space="0" w:color="auto"/>
        <w:bottom w:val="none" w:sz="0" w:space="0" w:color="auto"/>
        <w:right w:val="none" w:sz="0" w:space="0" w:color="auto"/>
      </w:divBdr>
    </w:div>
    <w:div w:id="1054164036">
      <w:bodyDiv w:val="1"/>
      <w:marLeft w:val="0"/>
      <w:marRight w:val="0"/>
      <w:marTop w:val="0"/>
      <w:marBottom w:val="0"/>
      <w:divBdr>
        <w:top w:val="none" w:sz="0" w:space="0" w:color="auto"/>
        <w:left w:val="none" w:sz="0" w:space="0" w:color="auto"/>
        <w:bottom w:val="none" w:sz="0" w:space="0" w:color="auto"/>
        <w:right w:val="none" w:sz="0" w:space="0" w:color="auto"/>
      </w:divBdr>
    </w:div>
    <w:div w:id="1452019460">
      <w:bodyDiv w:val="1"/>
      <w:marLeft w:val="0"/>
      <w:marRight w:val="0"/>
      <w:marTop w:val="0"/>
      <w:marBottom w:val="0"/>
      <w:divBdr>
        <w:top w:val="none" w:sz="0" w:space="0" w:color="auto"/>
        <w:left w:val="none" w:sz="0" w:space="0" w:color="auto"/>
        <w:bottom w:val="none" w:sz="0" w:space="0" w:color="auto"/>
        <w:right w:val="none" w:sz="0" w:space="0" w:color="auto"/>
      </w:divBdr>
    </w:div>
    <w:div w:id="1504470851">
      <w:bodyDiv w:val="1"/>
      <w:marLeft w:val="0"/>
      <w:marRight w:val="0"/>
      <w:marTop w:val="0"/>
      <w:marBottom w:val="0"/>
      <w:divBdr>
        <w:top w:val="none" w:sz="0" w:space="0" w:color="auto"/>
        <w:left w:val="none" w:sz="0" w:space="0" w:color="auto"/>
        <w:bottom w:val="none" w:sz="0" w:space="0" w:color="auto"/>
        <w:right w:val="none" w:sz="0" w:space="0" w:color="auto"/>
      </w:divBdr>
    </w:div>
    <w:div w:id="1667584907">
      <w:bodyDiv w:val="1"/>
      <w:marLeft w:val="0"/>
      <w:marRight w:val="0"/>
      <w:marTop w:val="0"/>
      <w:marBottom w:val="0"/>
      <w:divBdr>
        <w:top w:val="none" w:sz="0" w:space="0" w:color="auto"/>
        <w:left w:val="none" w:sz="0" w:space="0" w:color="auto"/>
        <w:bottom w:val="none" w:sz="0" w:space="0" w:color="auto"/>
        <w:right w:val="none" w:sz="0" w:space="0" w:color="auto"/>
      </w:divBdr>
    </w:div>
    <w:div w:id="1691106751">
      <w:bodyDiv w:val="1"/>
      <w:marLeft w:val="0"/>
      <w:marRight w:val="0"/>
      <w:marTop w:val="0"/>
      <w:marBottom w:val="0"/>
      <w:divBdr>
        <w:top w:val="none" w:sz="0" w:space="0" w:color="auto"/>
        <w:left w:val="none" w:sz="0" w:space="0" w:color="auto"/>
        <w:bottom w:val="none" w:sz="0" w:space="0" w:color="auto"/>
        <w:right w:val="none" w:sz="0" w:space="0" w:color="auto"/>
      </w:divBdr>
    </w:div>
    <w:div w:id="1717968995">
      <w:bodyDiv w:val="1"/>
      <w:marLeft w:val="0"/>
      <w:marRight w:val="0"/>
      <w:marTop w:val="0"/>
      <w:marBottom w:val="0"/>
      <w:divBdr>
        <w:top w:val="none" w:sz="0" w:space="0" w:color="auto"/>
        <w:left w:val="none" w:sz="0" w:space="0" w:color="auto"/>
        <w:bottom w:val="none" w:sz="0" w:space="0" w:color="auto"/>
        <w:right w:val="none" w:sz="0" w:space="0" w:color="auto"/>
      </w:divBdr>
    </w:div>
    <w:div w:id="1748265950">
      <w:bodyDiv w:val="1"/>
      <w:marLeft w:val="0"/>
      <w:marRight w:val="0"/>
      <w:marTop w:val="0"/>
      <w:marBottom w:val="0"/>
      <w:divBdr>
        <w:top w:val="none" w:sz="0" w:space="0" w:color="auto"/>
        <w:left w:val="none" w:sz="0" w:space="0" w:color="auto"/>
        <w:bottom w:val="none" w:sz="0" w:space="0" w:color="auto"/>
        <w:right w:val="none" w:sz="0" w:space="0" w:color="auto"/>
      </w:divBdr>
    </w:div>
    <w:div w:id="1755660755">
      <w:bodyDiv w:val="1"/>
      <w:marLeft w:val="0"/>
      <w:marRight w:val="0"/>
      <w:marTop w:val="0"/>
      <w:marBottom w:val="0"/>
      <w:divBdr>
        <w:top w:val="none" w:sz="0" w:space="0" w:color="auto"/>
        <w:left w:val="none" w:sz="0" w:space="0" w:color="auto"/>
        <w:bottom w:val="none" w:sz="0" w:space="0" w:color="auto"/>
        <w:right w:val="none" w:sz="0" w:space="0" w:color="auto"/>
      </w:divBdr>
    </w:div>
    <w:div w:id="1859002375">
      <w:bodyDiv w:val="1"/>
      <w:marLeft w:val="0"/>
      <w:marRight w:val="0"/>
      <w:marTop w:val="0"/>
      <w:marBottom w:val="0"/>
      <w:divBdr>
        <w:top w:val="none" w:sz="0" w:space="0" w:color="auto"/>
        <w:left w:val="none" w:sz="0" w:space="0" w:color="auto"/>
        <w:bottom w:val="none" w:sz="0" w:space="0" w:color="auto"/>
        <w:right w:val="none" w:sz="0" w:space="0" w:color="auto"/>
      </w:divBdr>
    </w:div>
    <w:div w:id="1961255561">
      <w:bodyDiv w:val="1"/>
      <w:marLeft w:val="0"/>
      <w:marRight w:val="0"/>
      <w:marTop w:val="0"/>
      <w:marBottom w:val="0"/>
      <w:divBdr>
        <w:top w:val="none" w:sz="0" w:space="0" w:color="auto"/>
        <w:left w:val="none" w:sz="0" w:space="0" w:color="auto"/>
        <w:bottom w:val="none" w:sz="0" w:space="0" w:color="auto"/>
        <w:right w:val="none" w:sz="0" w:space="0" w:color="auto"/>
      </w:divBdr>
    </w:div>
    <w:div w:id="2077968394">
      <w:bodyDiv w:val="1"/>
      <w:marLeft w:val="0"/>
      <w:marRight w:val="0"/>
      <w:marTop w:val="0"/>
      <w:marBottom w:val="0"/>
      <w:divBdr>
        <w:top w:val="none" w:sz="0" w:space="0" w:color="auto"/>
        <w:left w:val="none" w:sz="0" w:space="0" w:color="auto"/>
        <w:bottom w:val="none" w:sz="0" w:space="0" w:color="auto"/>
        <w:right w:val="none" w:sz="0" w:space="0" w:color="auto"/>
      </w:divBdr>
    </w:div>
    <w:div w:id="20797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2017-06-30T07:00:00+00:00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9CC9C6-BB73-4DB8-B2F3-A2C534969D98}">
  <ds:schemaRefs>
    <ds:schemaRef ds:uri="http://schemas.microsoft.com/sharepoint/v3/contenttype/forms"/>
  </ds:schemaRefs>
</ds:datastoreItem>
</file>

<file path=customXml/itemProps2.xml><?xml version="1.0" encoding="utf-8"?>
<ds:datastoreItem xmlns:ds="http://schemas.openxmlformats.org/officeDocument/2006/customXml" ds:itemID="{FE071C75-7D90-41E4-91D3-C93606751324}">
  <ds:schemaRef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fields"/>
    <ds:schemaRef ds:uri="http://schemas.microsoft.com/office/2006/metadata/properties"/>
    <ds:schemaRef ds:uri="24f70c62-691b-492e-ba59-9d389529a97e"/>
    <ds:schemaRef ds:uri="http://purl.org/dc/terms/"/>
  </ds:schemaRefs>
</ds:datastoreItem>
</file>

<file path=customXml/itemProps3.xml><?xml version="1.0" encoding="utf-8"?>
<ds:datastoreItem xmlns:ds="http://schemas.openxmlformats.org/officeDocument/2006/customXml" ds:itemID="{E3290C0F-354A-4102-A36A-2DAB162EFADD}"/>
</file>

<file path=customXml/itemProps4.xml><?xml version="1.0" encoding="utf-8"?>
<ds:datastoreItem xmlns:ds="http://schemas.openxmlformats.org/officeDocument/2006/customXml" ds:itemID="{9EBDCC46-8A47-4351-A7E7-6DAA0A7B09AF}">
  <ds:schemaRefs>
    <ds:schemaRef ds:uri="http://schemas.openxmlformats.org/officeDocument/2006/bibliography"/>
  </ds:schemaRefs>
</ds:datastoreItem>
</file>

<file path=customXml/itemProps5.xml><?xml version="1.0" encoding="utf-8"?>
<ds:datastoreItem xmlns:ds="http://schemas.openxmlformats.org/officeDocument/2006/customXml" ds:itemID="{87D4E901-C621-4F1A-8180-4D119D7DE3BE}"/>
</file>

<file path=docProps/app.xml><?xml version="1.0" encoding="utf-8"?>
<Properties xmlns="http://schemas.openxmlformats.org/officeDocument/2006/extended-properties" xmlns:vt="http://schemas.openxmlformats.org/officeDocument/2006/docPropsVTypes">
  <Template>Normal.dotm</Template>
  <TotalTime>3460</TotalTime>
  <Pages>36</Pages>
  <Words>6943</Words>
  <Characters>39576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Exhibit No.__ (ECO-1CT)</vt:lpstr>
    </vt:vector>
  </TitlesOfParts>
  <Company>Washington Utilities and Transportation Commission</Company>
  <LinksUpToDate>false</LinksUpToDate>
  <CharactersWithSpaces>46427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No.__ (ECO-1CT)</dc:title>
  <dc:creator>Jason Ball</dc:creator>
  <dc:description/>
  <cp:lastModifiedBy>Gross, Krista (UTC)</cp:lastModifiedBy>
  <cp:revision>300</cp:revision>
  <cp:lastPrinted>2017-06-30T15:14:00Z</cp:lastPrinted>
  <dcterms:created xsi:type="dcterms:W3CDTF">2017-06-14T00:19:00Z</dcterms:created>
  <dcterms:modified xsi:type="dcterms:W3CDTF">2017-06-30T15:26:00Z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