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A8" w:rsidRPr="00C51C42" w:rsidRDefault="00CB72CC" w:rsidP="00CB72CC">
      <w:pPr>
        <w:jc w:val="center"/>
        <w:rPr>
          <w:rFonts w:ascii="Times New Roman" w:eastAsia="Times New Roman" w:hAnsi="Times New Roman" w:cs="Times New Roman"/>
          <w:caps/>
          <w:color w:val="1F497D"/>
          <w:sz w:val="28"/>
          <w:szCs w:val="28"/>
        </w:rPr>
      </w:pPr>
      <w:bookmarkStart w:id="0" w:name="_GoBack"/>
      <w:bookmarkEnd w:id="0"/>
      <w:r w:rsidRPr="00C51C42">
        <w:rPr>
          <w:rFonts w:ascii="Times New Roman" w:eastAsia="Times New Roman" w:hAnsi="Times New Roman" w:cs="Times New Roman"/>
          <w:caps/>
          <w:color w:val="1F497D"/>
          <w:sz w:val="28"/>
          <w:szCs w:val="28"/>
        </w:rPr>
        <w:t xml:space="preserve">Before the </w:t>
      </w:r>
      <w:r w:rsidR="00AF65A8" w:rsidRPr="00C51C42">
        <w:rPr>
          <w:rFonts w:ascii="Times New Roman" w:eastAsia="Times New Roman" w:hAnsi="Times New Roman" w:cs="Times New Roman"/>
          <w:caps/>
          <w:color w:val="1F497D"/>
          <w:sz w:val="28"/>
          <w:szCs w:val="28"/>
        </w:rPr>
        <w:t xml:space="preserve">Washington Utilities </w:t>
      </w:r>
      <w:r w:rsidRPr="00C51C42">
        <w:rPr>
          <w:rFonts w:ascii="Times New Roman" w:eastAsia="Times New Roman" w:hAnsi="Times New Roman" w:cs="Times New Roman"/>
          <w:caps/>
          <w:color w:val="1F497D"/>
          <w:sz w:val="28"/>
          <w:szCs w:val="28"/>
        </w:rPr>
        <w:t>and</w:t>
      </w:r>
      <w:r w:rsidR="00AF65A8" w:rsidRPr="00C51C42">
        <w:rPr>
          <w:rFonts w:ascii="Times New Roman" w:eastAsia="Times New Roman" w:hAnsi="Times New Roman" w:cs="Times New Roman"/>
          <w:caps/>
          <w:color w:val="1F497D"/>
          <w:sz w:val="28"/>
          <w:szCs w:val="28"/>
        </w:rPr>
        <w:t xml:space="preserve"> Transportation Commission</w:t>
      </w:r>
    </w:p>
    <w:p w:rsidR="00CB72CC" w:rsidRPr="00C51C42" w:rsidRDefault="00CB72CC" w:rsidP="00CB72CC">
      <w:pPr>
        <w:jc w:val="center"/>
        <w:rPr>
          <w:rFonts w:ascii="Times New Roman" w:eastAsia="Times New Roman" w:hAnsi="Times New Roman" w:cs="Times New Roman"/>
          <w:caps/>
          <w:color w:val="1F497D"/>
          <w:sz w:val="28"/>
          <w:szCs w:val="28"/>
        </w:rPr>
      </w:pPr>
    </w:p>
    <w:p w:rsidR="00CB72CC" w:rsidRPr="00C51C42" w:rsidRDefault="00CB72CC" w:rsidP="00CB72CC">
      <w:pPr>
        <w:jc w:val="center"/>
        <w:rPr>
          <w:rFonts w:ascii="Times New Roman" w:eastAsia="Times New Roman" w:hAnsi="Times New Roman" w:cs="Times New Roman"/>
          <w:caps/>
          <w:color w:val="1F497D"/>
          <w:sz w:val="28"/>
          <w:szCs w:val="28"/>
        </w:rPr>
      </w:pPr>
      <w:r w:rsidRPr="00C51C42">
        <w:rPr>
          <w:rFonts w:ascii="Times New Roman" w:eastAsia="Times New Roman" w:hAnsi="Times New Roman" w:cs="Times New Roman"/>
          <w:caps/>
          <w:color w:val="1F497D"/>
          <w:sz w:val="28"/>
          <w:szCs w:val="28"/>
        </w:rPr>
        <w:t>Docket UE-112133</w:t>
      </w:r>
    </w:p>
    <w:p w:rsidR="00AF65A8" w:rsidRPr="00C51C42" w:rsidRDefault="00AF65A8" w:rsidP="001F6083">
      <w:pPr>
        <w:rPr>
          <w:rFonts w:ascii="Times New Roman" w:eastAsia="Times New Roman" w:hAnsi="Times New Roman" w:cs="Times New Roman"/>
          <w:caps/>
          <w:color w:val="1F497D"/>
          <w:sz w:val="28"/>
          <w:szCs w:val="28"/>
        </w:rPr>
      </w:pPr>
    </w:p>
    <w:p w:rsidR="00CB72CC" w:rsidRPr="00C51C42" w:rsidRDefault="00CB72CC" w:rsidP="00CB72CC">
      <w:pPr>
        <w:jc w:val="center"/>
        <w:rPr>
          <w:rFonts w:ascii="Times New Roman" w:eastAsia="Times New Roman" w:hAnsi="Times New Roman" w:cs="Times New Roman"/>
          <w:caps/>
          <w:color w:val="1F497D"/>
          <w:sz w:val="28"/>
          <w:szCs w:val="28"/>
        </w:rPr>
      </w:pPr>
      <w:r w:rsidRPr="00C51C42">
        <w:rPr>
          <w:rFonts w:ascii="Times New Roman" w:eastAsia="Times New Roman" w:hAnsi="Times New Roman" w:cs="Times New Roman"/>
          <w:caps/>
          <w:color w:val="1F497D"/>
          <w:sz w:val="28"/>
          <w:szCs w:val="28"/>
        </w:rPr>
        <w:t xml:space="preserve">Comments of Tacoma Power responding to notice of opportunity to comment on draft interconnection rules issued </w:t>
      </w:r>
      <w:r w:rsidR="00C51C42" w:rsidRPr="00C51C42">
        <w:rPr>
          <w:rFonts w:ascii="Times New Roman" w:eastAsia="Times New Roman" w:hAnsi="Times New Roman" w:cs="Times New Roman"/>
          <w:caps/>
          <w:color w:val="1F497D"/>
          <w:sz w:val="28"/>
          <w:szCs w:val="28"/>
        </w:rPr>
        <w:t>APRIL 16</w:t>
      </w:r>
      <w:r w:rsidR="00C51C42" w:rsidRPr="00C51C42">
        <w:rPr>
          <w:rFonts w:ascii="Times New Roman" w:eastAsia="Times New Roman" w:hAnsi="Times New Roman" w:cs="Times New Roman"/>
          <w:caps/>
          <w:color w:val="1F497D"/>
          <w:sz w:val="28"/>
          <w:szCs w:val="28"/>
          <w:vertAlign w:val="superscript"/>
        </w:rPr>
        <w:t>th</w:t>
      </w:r>
      <w:r w:rsidRPr="00C51C42">
        <w:rPr>
          <w:rFonts w:ascii="Times New Roman" w:eastAsia="Times New Roman" w:hAnsi="Times New Roman" w:cs="Times New Roman"/>
          <w:caps/>
          <w:color w:val="1F497D"/>
          <w:sz w:val="28"/>
          <w:szCs w:val="28"/>
        </w:rPr>
        <w:t>, 2013</w:t>
      </w:r>
    </w:p>
    <w:p w:rsidR="00CB72CC" w:rsidRPr="00C51C42" w:rsidRDefault="00CB72CC" w:rsidP="00CB72CC">
      <w:pPr>
        <w:jc w:val="center"/>
        <w:rPr>
          <w:rFonts w:ascii="Times New Roman" w:eastAsia="Times New Roman" w:hAnsi="Times New Roman" w:cs="Times New Roman"/>
          <w:caps/>
          <w:color w:val="1F497D"/>
          <w:sz w:val="28"/>
          <w:szCs w:val="28"/>
        </w:rPr>
      </w:pPr>
    </w:p>
    <w:p w:rsidR="00CB72CC" w:rsidRPr="00C51C42" w:rsidRDefault="00C51C42" w:rsidP="00CB72CC">
      <w:pPr>
        <w:jc w:val="center"/>
        <w:rPr>
          <w:rFonts w:ascii="Times New Roman" w:eastAsia="Times New Roman" w:hAnsi="Times New Roman" w:cs="Times New Roman"/>
          <w:color w:val="1F497D"/>
          <w:sz w:val="28"/>
          <w:szCs w:val="28"/>
        </w:rPr>
      </w:pPr>
      <w:r>
        <w:rPr>
          <w:rFonts w:ascii="Times New Roman" w:eastAsia="Times New Roman" w:hAnsi="Times New Roman" w:cs="Times New Roman"/>
          <w:color w:val="1F497D"/>
          <w:sz w:val="28"/>
          <w:szCs w:val="28"/>
        </w:rPr>
        <w:t>M</w:t>
      </w:r>
      <w:r w:rsidRPr="00C51C42">
        <w:rPr>
          <w:rFonts w:ascii="Times New Roman" w:eastAsia="Times New Roman" w:hAnsi="Times New Roman" w:cs="Times New Roman"/>
          <w:color w:val="1F497D"/>
          <w:sz w:val="28"/>
          <w:szCs w:val="28"/>
        </w:rPr>
        <w:t>ay 17</w:t>
      </w:r>
      <w:r w:rsidR="00CB72CC" w:rsidRPr="00C51C42">
        <w:rPr>
          <w:rFonts w:ascii="Times New Roman" w:eastAsia="Times New Roman" w:hAnsi="Times New Roman" w:cs="Times New Roman"/>
          <w:color w:val="1F497D"/>
          <w:sz w:val="28"/>
          <w:szCs w:val="28"/>
        </w:rPr>
        <w:t>, 2013</w:t>
      </w:r>
    </w:p>
    <w:p w:rsidR="00CB72CC" w:rsidRPr="00C51C42" w:rsidRDefault="00CB72CC" w:rsidP="001F6083">
      <w:pPr>
        <w:rPr>
          <w:rFonts w:ascii="Times New Roman" w:eastAsia="Times New Roman" w:hAnsi="Times New Roman" w:cs="Times New Roman"/>
          <w:color w:val="1F497D"/>
          <w:sz w:val="24"/>
          <w:szCs w:val="24"/>
        </w:rPr>
      </w:pPr>
    </w:p>
    <w:p w:rsidR="00477884" w:rsidRPr="00C51C42" w:rsidRDefault="00AF65A8" w:rsidP="00C51C42">
      <w:pPr>
        <w:rPr>
          <w:rFonts w:ascii="Times New Roman" w:eastAsia="Times New Roman" w:hAnsi="Times New Roman" w:cs="Times New Roman"/>
          <w:color w:val="1F497D"/>
          <w:sz w:val="24"/>
          <w:szCs w:val="24"/>
        </w:rPr>
      </w:pPr>
      <w:r w:rsidRPr="00C51C42">
        <w:rPr>
          <w:rFonts w:ascii="Times New Roman" w:eastAsia="Times New Roman" w:hAnsi="Times New Roman" w:cs="Times New Roman"/>
          <w:color w:val="1F497D"/>
          <w:sz w:val="24"/>
          <w:szCs w:val="24"/>
        </w:rPr>
        <w:t>Thank you for the</w:t>
      </w:r>
      <w:r w:rsidR="00C51C42" w:rsidRPr="00C51C42">
        <w:rPr>
          <w:rFonts w:ascii="Times New Roman" w:eastAsia="Times New Roman" w:hAnsi="Times New Roman" w:cs="Times New Roman"/>
          <w:color w:val="1F497D"/>
          <w:sz w:val="24"/>
          <w:szCs w:val="24"/>
        </w:rPr>
        <w:t xml:space="preserve"> thoughtful revisions to the latest draft of </w:t>
      </w:r>
      <w:r w:rsidRPr="00C51C42">
        <w:rPr>
          <w:rFonts w:ascii="Times New Roman" w:eastAsia="Times New Roman" w:hAnsi="Times New Roman" w:cs="Times New Roman"/>
          <w:color w:val="1F497D"/>
          <w:sz w:val="24"/>
          <w:szCs w:val="24"/>
        </w:rPr>
        <w:t>the proposed changes to WAC section 480</w:t>
      </w:r>
      <w:r w:rsidR="00477884" w:rsidRPr="00C51C42">
        <w:rPr>
          <w:rFonts w:ascii="Times New Roman" w:eastAsia="Times New Roman" w:hAnsi="Times New Roman" w:cs="Times New Roman"/>
          <w:color w:val="1F497D"/>
          <w:sz w:val="24"/>
          <w:szCs w:val="24"/>
        </w:rPr>
        <w:t>-108 via docket (UE-112133)</w:t>
      </w:r>
      <w:r w:rsidRPr="00C51C42">
        <w:rPr>
          <w:rFonts w:ascii="Times New Roman" w:eastAsia="Times New Roman" w:hAnsi="Times New Roman" w:cs="Times New Roman"/>
          <w:color w:val="1F497D"/>
          <w:sz w:val="24"/>
          <w:szCs w:val="24"/>
        </w:rPr>
        <w:t xml:space="preserve"> </w:t>
      </w:r>
      <w:r w:rsidR="00D3111D" w:rsidRPr="00C51C42">
        <w:rPr>
          <w:rFonts w:ascii="Times New Roman" w:eastAsia="Times New Roman" w:hAnsi="Times New Roman" w:cs="Times New Roman"/>
          <w:color w:val="1F497D"/>
          <w:sz w:val="24"/>
          <w:szCs w:val="24"/>
        </w:rPr>
        <w:t>regarding</w:t>
      </w:r>
      <w:r w:rsidRPr="00C51C42">
        <w:rPr>
          <w:rFonts w:ascii="Times New Roman" w:eastAsia="Times New Roman" w:hAnsi="Times New Roman" w:cs="Times New Roman"/>
          <w:color w:val="1F497D"/>
          <w:sz w:val="24"/>
          <w:szCs w:val="24"/>
        </w:rPr>
        <w:t xml:space="preserve"> the interconnection of small generators.  Tacoma Power believes the proposed</w:t>
      </w:r>
      <w:r w:rsidR="00D3111D" w:rsidRPr="00C51C42">
        <w:rPr>
          <w:rFonts w:ascii="Times New Roman" w:eastAsia="Times New Roman" w:hAnsi="Times New Roman" w:cs="Times New Roman"/>
          <w:color w:val="1F497D"/>
          <w:sz w:val="24"/>
          <w:szCs w:val="24"/>
        </w:rPr>
        <w:t xml:space="preserve"> rules will simplify and streamline </w:t>
      </w:r>
      <w:r w:rsidRPr="00C51C42">
        <w:rPr>
          <w:rFonts w:ascii="Times New Roman" w:eastAsia="Times New Roman" w:hAnsi="Times New Roman" w:cs="Times New Roman"/>
          <w:color w:val="1F497D"/>
          <w:sz w:val="24"/>
          <w:szCs w:val="24"/>
        </w:rPr>
        <w:t>the interconnection process for most customers.</w:t>
      </w:r>
      <w:r w:rsidR="00D3111D" w:rsidRPr="00C51C42">
        <w:rPr>
          <w:rFonts w:ascii="Times New Roman" w:eastAsia="Times New Roman" w:hAnsi="Times New Roman" w:cs="Times New Roman"/>
          <w:color w:val="1F497D"/>
          <w:sz w:val="24"/>
          <w:szCs w:val="24"/>
        </w:rPr>
        <w:t xml:space="preserve">  </w:t>
      </w:r>
    </w:p>
    <w:p w:rsidR="00C51C42" w:rsidRPr="00C51C42" w:rsidRDefault="00C51C42" w:rsidP="009D3275">
      <w:pPr>
        <w:rPr>
          <w:rFonts w:ascii="Times New Roman" w:eastAsia="Times New Roman" w:hAnsi="Times New Roman" w:cs="Times New Roman"/>
          <w:color w:val="1F497D"/>
          <w:sz w:val="24"/>
          <w:szCs w:val="24"/>
        </w:rPr>
      </w:pPr>
    </w:p>
    <w:p w:rsidR="00C51C42" w:rsidRPr="00C51C42" w:rsidRDefault="00C51C42" w:rsidP="00C51C42">
      <w:pPr>
        <w:autoSpaceDE w:val="0"/>
        <w:autoSpaceDN w:val="0"/>
        <w:rPr>
          <w:rFonts w:ascii="Times New Roman" w:hAnsi="Times New Roman" w:cs="Times New Roman"/>
          <w:color w:val="1F497D"/>
          <w:sz w:val="24"/>
          <w:szCs w:val="24"/>
        </w:rPr>
      </w:pPr>
      <w:r w:rsidRPr="00C51C42">
        <w:rPr>
          <w:rFonts w:ascii="Times New Roman" w:hAnsi="Times New Roman" w:cs="Times New Roman"/>
          <w:color w:val="1F497D"/>
          <w:sz w:val="24"/>
          <w:szCs w:val="24"/>
        </w:rPr>
        <w:t xml:space="preserve">The </w:t>
      </w:r>
      <w:r w:rsidRPr="00C51C42">
        <w:rPr>
          <w:rFonts w:ascii="Times New Roman" w:hAnsi="Times New Roman" w:cs="Times New Roman"/>
          <w:color w:val="1F497D" w:themeColor="dark2"/>
          <w:sz w:val="24"/>
          <w:szCs w:val="24"/>
        </w:rPr>
        <w:t>February 5, 2013 version of the rules</w:t>
      </w:r>
      <w:r w:rsidRPr="00C51C42">
        <w:rPr>
          <w:rFonts w:ascii="Times New Roman" w:hAnsi="Times New Roman" w:cs="Times New Roman"/>
          <w:color w:val="1F497D"/>
          <w:sz w:val="24"/>
          <w:szCs w:val="24"/>
        </w:rPr>
        <w:t xml:space="preserve"> contained conflicting </w:t>
      </w:r>
      <w:r w:rsidRPr="00C51C42">
        <w:rPr>
          <w:rFonts w:ascii="Times New Roman" w:hAnsi="Times New Roman" w:cs="Times New Roman"/>
          <w:color w:val="1F497D" w:themeColor="dark2"/>
          <w:sz w:val="24"/>
          <w:szCs w:val="24"/>
        </w:rPr>
        <w:t>clauses</w:t>
      </w:r>
      <w:r w:rsidRPr="00C51C42">
        <w:rPr>
          <w:rFonts w:ascii="Times New Roman" w:hAnsi="Times New Roman" w:cs="Times New Roman"/>
          <w:color w:val="1F497D"/>
          <w:sz w:val="24"/>
          <w:szCs w:val="24"/>
        </w:rPr>
        <w:t xml:space="preserve"> regarding Tier 1 </w:t>
      </w:r>
      <w:r w:rsidRPr="00C51C42">
        <w:rPr>
          <w:rFonts w:ascii="Times New Roman" w:hAnsi="Times New Roman" w:cs="Times New Roman"/>
          <w:color w:val="1F497D" w:themeColor="dark2"/>
          <w:sz w:val="24"/>
          <w:szCs w:val="24"/>
        </w:rPr>
        <w:t xml:space="preserve">application on </w:t>
      </w:r>
      <w:r w:rsidRPr="00C51C42">
        <w:rPr>
          <w:rFonts w:ascii="Times New Roman" w:hAnsi="Times New Roman" w:cs="Times New Roman"/>
          <w:color w:val="1F497D"/>
          <w:sz w:val="24"/>
          <w:szCs w:val="24"/>
        </w:rPr>
        <w:t>network circuits, so Tacoma Power proposed eliminating</w:t>
      </w:r>
      <w:r>
        <w:rPr>
          <w:rFonts w:ascii="Times New Roman" w:hAnsi="Times New Roman" w:cs="Times New Roman"/>
          <w:color w:val="1F497D"/>
          <w:sz w:val="24"/>
          <w:szCs w:val="24"/>
        </w:rPr>
        <w:t xml:space="preserve"> only</w:t>
      </w:r>
      <w:r w:rsidRPr="00C51C42">
        <w:rPr>
          <w:rFonts w:ascii="Times New Roman" w:hAnsi="Times New Roman" w:cs="Times New Roman"/>
          <w:color w:val="1F497D"/>
          <w:sz w:val="24"/>
          <w:szCs w:val="24"/>
        </w:rPr>
        <w:t xml:space="preserve"> </w:t>
      </w:r>
      <w:r w:rsidRPr="00C51C42">
        <w:rPr>
          <w:rFonts w:ascii="Times New Roman" w:hAnsi="Times New Roman" w:cs="Times New Roman"/>
          <w:b/>
          <w:bCs/>
          <w:sz w:val="24"/>
          <w:szCs w:val="24"/>
        </w:rPr>
        <w:t>480-108-BBB(1)(a)(ix</w:t>
      </w:r>
      <w:r w:rsidRPr="00C51C42">
        <w:rPr>
          <w:rFonts w:ascii="Times New Roman" w:hAnsi="Times New Roman" w:cs="Times New Roman"/>
          <w:color w:val="1F497D"/>
          <w:sz w:val="24"/>
          <w:szCs w:val="24"/>
        </w:rPr>
        <w:t>) to fix the conflict.  Tacoma Power is concerned that April 16</w:t>
      </w:r>
      <w:r w:rsidRPr="00C51C42">
        <w:rPr>
          <w:rFonts w:ascii="Times New Roman" w:hAnsi="Times New Roman" w:cs="Times New Roman"/>
          <w:color w:val="1F497D"/>
          <w:sz w:val="24"/>
          <w:szCs w:val="24"/>
          <w:vertAlign w:val="superscript"/>
        </w:rPr>
        <w:t>th</w:t>
      </w:r>
      <w:r w:rsidRPr="00C51C42">
        <w:rPr>
          <w:rFonts w:ascii="Times New Roman" w:hAnsi="Times New Roman" w:cs="Times New Roman"/>
          <w:color w:val="1F497D"/>
          <w:sz w:val="24"/>
          <w:szCs w:val="24"/>
        </w:rPr>
        <w:t xml:space="preserve"> version removed both </w:t>
      </w:r>
      <w:r w:rsidRPr="00C51C42">
        <w:rPr>
          <w:rFonts w:ascii="Times New Roman" w:hAnsi="Times New Roman" w:cs="Times New Roman"/>
          <w:b/>
          <w:bCs/>
          <w:sz w:val="24"/>
          <w:szCs w:val="24"/>
        </w:rPr>
        <w:t>480-108-</w:t>
      </w:r>
      <w:proofErr w:type="gramStart"/>
      <w:r w:rsidRPr="00C51C42">
        <w:rPr>
          <w:rFonts w:ascii="Times New Roman" w:hAnsi="Times New Roman" w:cs="Times New Roman"/>
          <w:b/>
          <w:bCs/>
          <w:sz w:val="24"/>
          <w:szCs w:val="24"/>
        </w:rPr>
        <w:t>BBB(</w:t>
      </w:r>
      <w:proofErr w:type="gramEnd"/>
      <w:r w:rsidRPr="00C51C42">
        <w:rPr>
          <w:rFonts w:ascii="Times New Roman" w:hAnsi="Times New Roman" w:cs="Times New Roman"/>
          <w:b/>
          <w:bCs/>
          <w:sz w:val="24"/>
          <w:szCs w:val="24"/>
        </w:rPr>
        <w:t xml:space="preserve">1)(a)(iii) </w:t>
      </w:r>
      <w:r w:rsidRPr="00C51C42">
        <w:rPr>
          <w:rFonts w:ascii="Times New Roman" w:hAnsi="Times New Roman" w:cs="Times New Roman"/>
          <w:color w:val="1F497D"/>
          <w:sz w:val="24"/>
          <w:szCs w:val="24"/>
        </w:rPr>
        <w:t>and</w:t>
      </w:r>
      <w:r w:rsidRPr="00C51C42">
        <w:rPr>
          <w:rFonts w:ascii="Times New Roman" w:hAnsi="Times New Roman" w:cs="Times New Roman"/>
          <w:b/>
          <w:bCs/>
          <w:sz w:val="24"/>
          <w:szCs w:val="24"/>
        </w:rPr>
        <w:t xml:space="preserve"> 480-108-BBB(1)(a)(ix</w:t>
      </w:r>
      <w:r w:rsidRPr="00C51C42">
        <w:rPr>
          <w:rFonts w:ascii="Times New Roman" w:hAnsi="Times New Roman" w:cs="Times New Roman"/>
          <w:color w:val="1F497D"/>
          <w:sz w:val="24"/>
          <w:szCs w:val="24"/>
        </w:rPr>
        <w:t xml:space="preserve">), thereby removing all restriction on Tier 1 connections </w:t>
      </w:r>
      <w:r w:rsidRPr="00C51C42">
        <w:rPr>
          <w:rFonts w:ascii="Times New Roman" w:hAnsi="Times New Roman" w:cs="Times New Roman"/>
          <w:color w:val="1F497D" w:themeColor="dark2"/>
          <w:sz w:val="24"/>
          <w:szCs w:val="24"/>
        </w:rPr>
        <w:t xml:space="preserve">to </w:t>
      </w:r>
      <w:r w:rsidRPr="00C51C42">
        <w:rPr>
          <w:rFonts w:ascii="Times New Roman" w:hAnsi="Times New Roman" w:cs="Times New Roman"/>
          <w:color w:val="1F497D"/>
          <w:sz w:val="24"/>
          <w:szCs w:val="24"/>
        </w:rPr>
        <w:t>network system</w:t>
      </w:r>
      <w:r w:rsidRPr="00C51C42">
        <w:rPr>
          <w:rFonts w:ascii="Times New Roman" w:hAnsi="Times New Roman" w:cs="Times New Roman"/>
          <w:color w:val="1F497D" w:themeColor="dark2"/>
          <w:sz w:val="24"/>
          <w:szCs w:val="24"/>
        </w:rPr>
        <w:t>s</w:t>
      </w:r>
      <w:r w:rsidRPr="00C51C42">
        <w:rPr>
          <w:rFonts w:ascii="Times New Roman" w:hAnsi="Times New Roman" w:cs="Times New Roman"/>
          <w:color w:val="1F497D"/>
          <w:sz w:val="24"/>
          <w:szCs w:val="24"/>
        </w:rPr>
        <w:t xml:space="preserve">.  Tacoma Power supports either reinstating the “radial only” restriction previously in </w:t>
      </w:r>
      <w:r w:rsidRPr="00C51C42">
        <w:rPr>
          <w:rFonts w:ascii="Times New Roman" w:hAnsi="Times New Roman" w:cs="Times New Roman"/>
          <w:b/>
          <w:bCs/>
          <w:sz w:val="24"/>
          <w:szCs w:val="24"/>
        </w:rPr>
        <w:t xml:space="preserve">480-108-BBB(1)(a)(iii), </w:t>
      </w:r>
      <w:r w:rsidRPr="00C51C42">
        <w:rPr>
          <w:rFonts w:ascii="Times New Roman" w:hAnsi="Times New Roman" w:cs="Times New Roman"/>
          <w:color w:val="1F497D"/>
          <w:sz w:val="24"/>
          <w:szCs w:val="24"/>
        </w:rPr>
        <w:t xml:space="preserve">or adding </w:t>
      </w:r>
      <w:r w:rsidRPr="00C51C42">
        <w:rPr>
          <w:rFonts w:ascii="Times New Roman" w:hAnsi="Times New Roman" w:cs="Times New Roman"/>
          <w:b/>
          <w:bCs/>
          <w:sz w:val="24"/>
          <w:szCs w:val="24"/>
        </w:rPr>
        <w:t xml:space="preserve">480-108-020(1)(b)(Viii) </w:t>
      </w:r>
      <w:r w:rsidRPr="00C51C42">
        <w:rPr>
          <w:rFonts w:ascii="Times New Roman" w:hAnsi="Times New Roman" w:cs="Times New Roman"/>
          <w:color w:val="1F497D"/>
          <w:sz w:val="24"/>
          <w:szCs w:val="24"/>
        </w:rPr>
        <w:t>to Tier 1 so that both Tier 1 and Tier 2 applications have the same restrictions</w:t>
      </w:r>
      <w:r w:rsidRPr="00C51C42">
        <w:rPr>
          <w:rFonts w:ascii="Times New Roman" w:hAnsi="Times New Roman" w:cs="Times New Roman"/>
          <w:color w:val="1F497D" w:themeColor="dark2"/>
          <w:sz w:val="24"/>
          <w:szCs w:val="24"/>
        </w:rPr>
        <w:t xml:space="preserve"> regarding network systems</w:t>
      </w:r>
      <w:r w:rsidRPr="00C51C42">
        <w:rPr>
          <w:rFonts w:ascii="Times New Roman" w:hAnsi="Times New Roman" w:cs="Times New Roman"/>
          <w:color w:val="1F497D"/>
          <w:sz w:val="24"/>
          <w:szCs w:val="24"/>
        </w:rPr>
        <w:t>.</w:t>
      </w:r>
    </w:p>
    <w:p w:rsidR="00C51C42" w:rsidRPr="00C51C42" w:rsidRDefault="00C51C42" w:rsidP="00C51C42">
      <w:pPr>
        <w:autoSpaceDE w:val="0"/>
        <w:autoSpaceDN w:val="0"/>
        <w:rPr>
          <w:rFonts w:ascii="Times New Roman" w:hAnsi="Times New Roman" w:cs="Times New Roman"/>
          <w:color w:val="1F497D"/>
          <w:sz w:val="24"/>
          <w:szCs w:val="24"/>
        </w:rPr>
      </w:pPr>
    </w:p>
    <w:p w:rsidR="00C51C42" w:rsidRDefault="00C51C42" w:rsidP="00C51C42">
      <w:pPr>
        <w:autoSpaceDE w:val="0"/>
        <w:autoSpaceDN w:val="0"/>
        <w:rPr>
          <w:rFonts w:ascii="Times New Roman" w:hAnsi="Times New Roman" w:cs="Times New Roman"/>
          <w:color w:val="1F497D"/>
          <w:sz w:val="24"/>
          <w:szCs w:val="24"/>
        </w:rPr>
      </w:pPr>
      <w:r w:rsidRPr="00C51C42">
        <w:rPr>
          <w:rFonts w:ascii="Times New Roman" w:hAnsi="Times New Roman" w:cs="Times New Roman"/>
          <w:color w:val="1F497D"/>
          <w:sz w:val="24"/>
          <w:szCs w:val="24"/>
        </w:rPr>
        <w:t xml:space="preserve">If the Commission prefers closer alignment with FERC’s </w:t>
      </w:r>
      <w:r>
        <w:rPr>
          <w:rFonts w:ascii="Times New Roman" w:hAnsi="Times New Roman" w:cs="Times New Roman"/>
          <w:color w:val="1F497D"/>
          <w:sz w:val="24"/>
          <w:szCs w:val="24"/>
        </w:rPr>
        <w:t>c</w:t>
      </w:r>
      <w:r w:rsidRPr="00C51C42">
        <w:rPr>
          <w:rFonts w:ascii="Times New Roman" w:hAnsi="Times New Roman" w:cs="Times New Roman"/>
          <w:color w:val="1F497D"/>
          <w:sz w:val="24"/>
          <w:szCs w:val="24"/>
        </w:rPr>
        <w:t>urrent Small Generator Interconnection Procedures section 2.2.1.3</w:t>
      </w:r>
      <w:r w:rsidRPr="00C51C42">
        <w:rPr>
          <w:rFonts w:ascii="Times New Roman" w:hAnsi="Times New Roman" w:cs="Times New Roman"/>
          <w:color w:val="1F497D" w:themeColor="dark2"/>
          <w:sz w:val="24"/>
          <w:szCs w:val="24"/>
        </w:rPr>
        <w:t xml:space="preserve">, further modifications could be made.  </w:t>
      </w:r>
      <w:r w:rsidRPr="00C51C42">
        <w:rPr>
          <w:rFonts w:ascii="Times New Roman" w:hAnsi="Times New Roman" w:cs="Times New Roman"/>
          <w:color w:val="1F497D"/>
          <w:sz w:val="24"/>
          <w:szCs w:val="24"/>
        </w:rPr>
        <w:t>  The</w:t>
      </w:r>
      <w:r>
        <w:rPr>
          <w:rFonts w:ascii="Times New Roman" w:hAnsi="Times New Roman" w:cs="Times New Roman"/>
          <w:color w:val="1F497D"/>
          <w:sz w:val="24"/>
          <w:szCs w:val="24"/>
        </w:rPr>
        <w:t xml:space="preserve"> definition of spot network in </w:t>
      </w:r>
      <w:proofErr w:type="spellStart"/>
      <w:r>
        <w:rPr>
          <w:rFonts w:ascii="Times New Roman" w:hAnsi="Times New Roman" w:cs="Times New Roman"/>
          <w:color w:val="1F497D"/>
          <w:sz w:val="24"/>
          <w:szCs w:val="24"/>
        </w:rPr>
        <w:t>SGIP</w:t>
      </w:r>
      <w:proofErr w:type="spellEnd"/>
      <w:r w:rsidRPr="00C51C42">
        <w:rPr>
          <w:rFonts w:ascii="Times New Roman" w:hAnsi="Times New Roman" w:cs="Times New Roman"/>
          <w:color w:val="1F497D"/>
          <w:sz w:val="24"/>
          <w:szCs w:val="24"/>
        </w:rPr>
        <w:t xml:space="preserve"> section 2.2.1.3 is a general term describing any network using network protectors.  The definitions proposed in this rule for </w:t>
      </w:r>
      <w:r w:rsidRPr="00C51C42">
        <w:rPr>
          <w:rFonts w:ascii="Times New Roman" w:hAnsi="Times New Roman" w:cs="Times New Roman"/>
          <w:color w:val="1F497D" w:themeColor="dark2"/>
          <w:sz w:val="24"/>
          <w:szCs w:val="24"/>
        </w:rPr>
        <w:t>“</w:t>
      </w:r>
      <w:r w:rsidRPr="00C51C42">
        <w:rPr>
          <w:rFonts w:ascii="Times New Roman" w:hAnsi="Times New Roman" w:cs="Times New Roman"/>
          <w:color w:val="1F497D"/>
          <w:sz w:val="24"/>
          <w:szCs w:val="24"/>
        </w:rPr>
        <w:t>spot network</w:t>
      </w:r>
      <w:r w:rsidRPr="00C51C42">
        <w:rPr>
          <w:rFonts w:ascii="Times New Roman" w:hAnsi="Times New Roman" w:cs="Times New Roman"/>
          <w:color w:val="1F497D" w:themeColor="dark2"/>
          <w:sz w:val="24"/>
          <w:szCs w:val="24"/>
        </w:rPr>
        <w:t>”</w:t>
      </w:r>
      <w:r w:rsidRPr="00C51C42">
        <w:rPr>
          <w:rFonts w:ascii="Times New Roman" w:hAnsi="Times New Roman" w:cs="Times New Roman"/>
          <w:color w:val="1F497D"/>
          <w:sz w:val="24"/>
          <w:szCs w:val="24"/>
        </w:rPr>
        <w:t xml:space="preserve"> and </w:t>
      </w:r>
      <w:r w:rsidRPr="00C51C42">
        <w:rPr>
          <w:rFonts w:ascii="Times New Roman" w:hAnsi="Times New Roman" w:cs="Times New Roman"/>
          <w:color w:val="1F497D" w:themeColor="dark2"/>
          <w:sz w:val="24"/>
          <w:szCs w:val="24"/>
        </w:rPr>
        <w:t>“</w:t>
      </w:r>
      <w:r w:rsidRPr="00C51C42">
        <w:rPr>
          <w:rFonts w:ascii="Times New Roman" w:hAnsi="Times New Roman" w:cs="Times New Roman"/>
          <w:color w:val="1F497D"/>
          <w:sz w:val="24"/>
          <w:szCs w:val="24"/>
        </w:rPr>
        <w:t>grid network</w:t>
      </w:r>
      <w:r w:rsidRPr="00C51C42">
        <w:rPr>
          <w:rFonts w:ascii="Times New Roman" w:hAnsi="Times New Roman" w:cs="Times New Roman"/>
          <w:color w:val="1F497D" w:themeColor="dark2"/>
          <w:sz w:val="24"/>
          <w:szCs w:val="24"/>
        </w:rPr>
        <w:t>”</w:t>
      </w:r>
      <w:r w:rsidRPr="00C51C42">
        <w:rPr>
          <w:rFonts w:ascii="Times New Roman" w:hAnsi="Times New Roman" w:cs="Times New Roman"/>
          <w:color w:val="1F497D"/>
          <w:sz w:val="24"/>
          <w:szCs w:val="24"/>
        </w:rPr>
        <w:t xml:space="preserve"> delineate the topologies of specific networks.   The technical challenges for distributed generation are similar for </w:t>
      </w:r>
      <w:r w:rsidRPr="00C51C42">
        <w:rPr>
          <w:rFonts w:ascii="Times New Roman" w:hAnsi="Times New Roman" w:cs="Times New Roman"/>
          <w:color w:val="1F497D" w:themeColor="dark2"/>
          <w:sz w:val="24"/>
          <w:szCs w:val="24"/>
        </w:rPr>
        <w:t xml:space="preserve">both kinds of networks, so there is no need </w:t>
      </w:r>
      <w:r>
        <w:rPr>
          <w:rFonts w:ascii="Times New Roman" w:hAnsi="Times New Roman" w:cs="Times New Roman"/>
          <w:color w:val="1F497D" w:themeColor="dark2"/>
          <w:sz w:val="24"/>
          <w:szCs w:val="24"/>
        </w:rPr>
        <w:t xml:space="preserve">to </w:t>
      </w:r>
      <w:r w:rsidRPr="00C51C42">
        <w:rPr>
          <w:rFonts w:ascii="Times New Roman" w:hAnsi="Times New Roman" w:cs="Times New Roman"/>
          <w:color w:val="1F497D" w:themeColor="dark2"/>
          <w:sz w:val="24"/>
          <w:szCs w:val="24"/>
        </w:rPr>
        <w:t>defin</w:t>
      </w:r>
      <w:r>
        <w:rPr>
          <w:rFonts w:ascii="Times New Roman" w:hAnsi="Times New Roman" w:cs="Times New Roman"/>
          <w:color w:val="1F497D" w:themeColor="dark2"/>
          <w:sz w:val="24"/>
          <w:szCs w:val="24"/>
        </w:rPr>
        <w:t>e</w:t>
      </w:r>
      <w:r w:rsidRPr="00C51C42">
        <w:rPr>
          <w:rFonts w:ascii="Times New Roman" w:hAnsi="Times New Roman" w:cs="Times New Roman"/>
          <w:color w:val="1F497D" w:themeColor="dark2"/>
          <w:sz w:val="24"/>
          <w:szCs w:val="24"/>
        </w:rPr>
        <w:t xml:space="preserve"> them separately. </w:t>
      </w:r>
      <w:r>
        <w:rPr>
          <w:rFonts w:ascii="Times New Roman" w:hAnsi="Times New Roman" w:cs="Times New Roman"/>
          <w:color w:val="1F497D" w:themeColor="dark2"/>
          <w:sz w:val="24"/>
          <w:szCs w:val="24"/>
        </w:rPr>
        <w:t xml:space="preserve"> Additionally, t</w:t>
      </w:r>
      <w:r w:rsidRPr="00C51C42">
        <w:rPr>
          <w:rFonts w:ascii="Times New Roman" w:hAnsi="Times New Roman" w:cs="Times New Roman"/>
          <w:color w:val="1F497D" w:themeColor="dark2"/>
          <w:sz w:val="24"/>
          <w:szCs w:val="24"/>
        </w:rPr>
        <w:t>he term “grid network</w:t>
      </w:r>
      <w:r>
        <w:rPr>
          <w:rFonts w:ascii="Times New Roman" w:hAnsi="Times New Roman" w:cs="Times New Roman"/>
          <w:color w:val="1F497D" w:themeColor="dark2"/>
          <w:sz w:val="24"/>
          <w:szCs w:val="24"/>
        </w:rPr>
        <w:t>”</w:t>
      </w:r>
      <w:r w:rsidRPr="00C51C42">
        <w:rPr>
          <w:rFonts w:ascii="Times New Roman" w:hAnsi="Times New Roman" w:cs="Times New Roman"/>
          <w:color w:val="1F497D" w:themeColor="dark2"/>
          <w:sz w:val="24"/>
          <w:szCs w:val="24"/>
        </w:rPr>
        <w:t xml:space="preserve"> is defined, but never used within rule. The only reference spot network in section </w:t>
      </w:r>
      <w:r w:rsidRPr="00C51C42">
        <w:rPr>
          <w:rFonts w:ascii="Times New Roman" w:hAnsi="Times New Roman" w:cs="Times New Roman"/>
          <w:b/>
          <w:bCs/>
          <w:sz w:val="24"/>
          <w:szCs w:val="24"/>
        </w:rPr>
        <w:t>480-108-020(1</w:t>
      </w:r>
      <w:proofErr w:type="gramStart"/>
      <w:r w:rsidRPr="00C51C42">
        <w:rPr>
          <w:rFonts w:ascii="Times New Roman" w:hAnsi="Times New Roman" w:cs="Times New Roman"/>
          <w:b/>
          <w:bCs/>
          <w:sz w:val="24"/>
          <w:szCs w:val="24"/>
        </w:rPr>
        <w:t>)(</w:t>
      </w:r>
      <w:proofErr w:type="gramEnd"/>
      <w:r w:rsidRPr="00C51C42">
        <w:rPr>
          <w:rFonts w:ascii="Times New Roman" w:hAnsi="Times New Roman" w:cs="Times New Roman"/>
          <w:b/>
          <w:bCs/>
          <w:sz w:val="24"/>
          <w:szCs w:val="24"/>
        </w:rPr>
        <w:t xml:space="preserve">b)(Viii) </w:t>
      </w:r>
      <w:r w:rsidRPr="00C51C42">
        <w:rPr>
          <w:rFonts w:ascii="Times New Roman" w:hAnsi="Times New Roman" w:cs="Times New Roman"/>
          <w:color w:val="1F497D" w:themeColor="dark2"/>
          <w:sz w:val="24"/>
          <w:szCs w:val="24"/>
        </w:rPr>
        <w:t>should refer to the more general concept of a network, not the specific topology of the defined term.</w:t>
      </w:r>
      <w:r w:rsidRPr="00C51C42">
        <w:rPr>
          <w:rFonts w:ascii="Times New Roman" w:hAnsi="Times New Roman" w:cs="Times New Roman"/>
          <w:color w:val="1F497D"/>
          <w:sz w:val="24"/>
          <w:szCs w:val="24"/>
        </w:rPr>
        <w:t>  Thus the following changes could be made:</w:t>
      </w:r>
    </w:p>
    <w:p w:rsidR="00C51C42" w:rsidRDefault="00C51C42" w:rsidP="00C51C42">
      <w:pPr>
        <w:autoSpaceDE w:val="0"/>
        <w:autoSpaceDN w:val="0"/>
        <w:rPr>
          <w:rFonts w:ascii="Times New Roman" w:hAnsi="Times New Roman" w:cs="Times New Roman"/>
          <w:color w:val="1F497D"/>
          <w:sz w:val="24"/>
          <w:szCs w:val="24"/>
        </w:rPr>
      </w:pPr>
    </w:p>
    <w:p w:rsidR="00C51C42" w:rsidRDefault="00C51C42" w:rsidP="00C51C42">
      <w:pPr>
        <w:pStyle w:val="ListParagraph"/>
        <w:numPr>
          <w:ilvl w:val="0"/>
          <w:numId w:val="8"/>
        </w:numPr>
        <w:autoSpaceDE w:val="0"/>
        <w:autoSpaceDN w:val="0"/>
        <w:rPr>
          <w:rFonts w:ascii="Times New Roman" w:hAnsi="Times New Roman" w:cs="Times New Roman"/>
          <w:color w:val="000000"/>
          <w:sz w:val="24"/>
          <w:szCs w:val="24"/>
        </w:rPr>
      </w:pPr>
      <w:r w:rsidRPr="00C51C42">
        <w:rPr>
          <w:rFonts w:ascii="Times New Roman" w:hAnsi="Times New Roman" w:cs="Times New Roman"/>
          <w:color w:val="1F497D"/>
          <w:sz w:val="24"/>
          <w:szCs w:val="24"/>
        </w:rPr>
        <w:t xml:space="preserve">Removing the defined term: </w:t>
      </w:r>
      <w:r w:rsidRPr="00C51C42">
        <w:rPr>
          <w:rFonts w:ascii="Times New Roman" w:hAnsi="Times New Roman" w:cs="Times New Roman"/>
          <w:b/>
          <w:bCs/>
          <w:color w:val="000000"/>
          <w:sz w:val="24"/>
          <w:szCs w:val="24"/>
        </w:rPr>
        <w:t xml:space="preserve">"Grid network distribution system" </w:t>
      </w:r>
      <w:r w:rsidRPr="00C51C42">
        <w:rPr>
          <w:rFonts w:ascii="Times New Roman" w:hAnsi="Times New Roman" w:cs="Times New Roman"/>
          <w:color w:val="000000"/>
          <w:sz w:val="24"/>
          <w:szCs w:val="24"/>
        </w:rPr>
        <w:t>means electrical service from a distribution system consisting of two or more primary circuits from one or more substations or transmission supply points that collectively feed secondary circuits serving more than one location and more than one electrical company customer.”</w:t>
      </w:r>
    </w:p>
    <w:p w:rsidR="00830793" w:rsidRPr="00C51C42" w:rsidRDefault="00830793" w:rsidP="00830793">
      <w:pPr>
        <w:pStyle w:val="ListParagraph"/>
        <w:autoSpaceDE w:val="0"/>
        <w:autoSpaceDN w:val="0"/>
        <w:rPr>
          <w:rFonts w:ascii="Times New Roman" w:hAnsi="Times New Roman" w:cs="Times New Roman"/>
          <w:color w:val="000000"/>
          <w:sz w:val="24"/>
          <w:szCs w:val="24"/>
        </w:rPr>
      </w:pPr>
    </w:p>
    <w:p w:rsidR="00C51C42" w:rsidRPr="00C51C42" w:rsidRDefault="00C51C42" w:rsidP="00C51C42">
      <w:pPr>
        <w:pStyle w:val="ListParagraph"/>
        <w:numPr>
          <w:ilvl w:val="0"/>
          <w:numId w:val="8"/>
        </w:numPr>
        <w:autoSpaceDE w:val="0"/>
        <w:autoSpaceDN w:val="0"/>
        <w:rPr>
          <w:rFonts w:ascii="Times New Roman" w:hAnsi="Times New Roman" w:cs="Times New Roman"/>
          <w:sz w:val="24"/>
          <w:szCs w:val="24"/>
        </w:rPr>
      </w:pPr>
      <w:r w:rsidRPr="00C51C42">
        <w:rPr>
          <w:rFonts w:ascii="Times New Roman" w:hAnsi="Times New Roman" w:cs="Times New Roman"/>
          <w:color w:val="1F497D"/>
          <w:sz w:val="24"/>
          <w:szCs w:val="24"/>
        </w:rPr>
        <w:t xml:space="preserve">Removing the defined term: </w:t>
      </w:r>
      <w:r w:rsidRPr="00C51C42">
        <w:rPr>
          <w:rFonts w:ascii="Times New Roman" w:hAnsi="Times New Roman" w:cs="Times New Roman"/>
          <w:b/>
          <w:bCs/>
          <w:sz w:val="24"/>
          <w:szCs w:val="24"/>
        </w:rPr>
        <w:t xml:space="preserve">"Spot network distribution system" </w:t>
      </w:r>
      <w:r w:rsidRPr="00C51C42">
        <w:rPr>
          <w:rFonts w:ascii="Times New Roman" w:hAnsi="Times New Roman" w:cs="Times New Roman"/>
          <w:sz w:val="24"/>
          <w:szCs w:val="24"/>
        </w:rPr>
        <w:t xml:space="preserve">means electrical service from a distribution system consisting of two or more primary circuits from one or more substations or transmission supply points arranged such </w:t>
      </w:r>
      <w:r w:rsidRPr="00C51C42">
        <w:rPr>
          <w:rFonts w:ascii="Times New Roman" w:hAnsi="Times New Roman" w:cs="Times New Roman"/>
          <w:sz w:val="24"/>
          <w:szCs w:val="24"/>
        </w:rPr>
        <w:lastRenderedPageBreak/>
        <w:t>that they collectively feed a secondary circuit serving a single location (e.g., a large facility or campus) containing one or more electrical company customers.</w:t>
      </w:r>
    </w:p>
    <w:p w:rsidR="00C51C42" w:rsidRDefault="00C51C42" w:rsidP="00C51C42">
      <w:pPr>
        <w:autoSpaceDE w:val="0"/>
        <w:autoSpaceDN w:val="0"/>
        <w:rPr>
          <w:rFonts w:ascii="Times New Roman" w:hAnsi="Times New Roman" w:cs="Times New Roman"/>
          <w:sz w:val="24"/>
          <w:szCs w:val="24"/>
        </w:rPr>
      </w:pPr>
    </w:p>
    <w:p w:rsidR="00C51C42" w:rsidRPr="00C51C42" w:rsidRDefault="00C51C42" w:rsidP="00C51C42">
      <w:pPr>
        <w:pStyle w:val="ListParagraph"/>
        <w:numPr>
          <w:ilvl w:val="0"/>
          <w:numId w:val="8"/>
        </w:numPr>
        <w:autoSpaceDE w:val="0"/>
        <w:autoSpaceDN w:val="0"/>
        <w:rPr>
          <w:rFonts w:ascii="Times New Roman" w:hAnsi="Times New Roman" w:cs="Times New Roman"/>
          <w:color w:val="1F497D"/>
          <w:sz w:val="24"/>
          <w:szCs w:val="24"/>
        </w:rPr>
      </w:pPr>
      <w:r w:rsidRPr="00C51C42">
        <w:rPr>
          <w:rFonts w:ascii="Times New Roman" w:hAnsi="Times New Roman" w:cs="Times New Roman"/>
          <w:color w:val="1F497D"/>
          <w:sz w:val="24"/>
          <w:szCs w:val="24"/>
        </w:rPr>
        <w:t xml:space="preserve">Revising the defined term “Network protectors” to eliminate the word “spot” so that it states: </w:t>
      </w:r>
      <w:r w:rsidRPr="00C51C42">
        <w:rPr>
          <w:rFonts w:ascii="Times New Roman" w:hAnsi="Times New Roman" w:cs="Times New Roman"/>
          <w:b/>
          <w:bCs/>
          <w:sz w:val="24"/>
          <w:szCs w:val="24"/>
        </w:rPr>
        <w:t xml:space="preserve">"Network protectors" </w:t>
      </w:r>
      <w:r w:rsidRPr="00C51C42">
        <w:rPr>
          <w:rFonts w:ascii="Times New Roman" w:hAnsi="Times New Roman" w:cs="Times New Roman"/>
          <w:sz w:val="24"/>
          <w:szCs w:val="24"/>
        </w:rPr>
        <w:t xml:space="preserve">means devices installed on a </w:t>
      </w:r>
      <w:r w:rsidRPr="00C51C42">
        <w:rPr>
          <w:rFonts w:ascii="Times New Roman" w:hAnsi="Times New Roman" w:cs="Times New Roman"/>
          <w:strike/>
          <w:sz w:val="24"/>
          <w:szCs w:val="24"/>
        </w:rPr>
        <w:t>spot</w:t>
      </w:r>
      <w:r w:rsidRPr="00C51C42">
        <w:rPr>
          <w:rFonts w:ascii="Times New Roman" w:hAnsi="Times New Roman" w:cs="Times New Roman"/>
          <w:sz w:val="24"/>
          <w:szCs w:val="24"/>
        </w:rPr>
        <w:t xml:space="preserve"> network distribution system designed to detect and interrupt reverse current-flow (flow out of the network) as quickly as possible, typically within three to six cycles. </w:t>
      </w:r>
    </w:p>
    <w:p w:rsidR="00C51C42" w:rsidRPr="00C51C42" w:rsidRDefault="00C51C42" w:rsidP="00C51C42">
      <w:pPr>
        <w:autoSpaceDE w:val="0"/>
        <w:autoSpaceDN w:val="0"/>
        <w:rPr>
          <w:rFonts w:ascii="Times New Roman" w:hAnsi="Times New Roman" w:cs="Times New Roman"/>
          <w:color w:val="1F497D"/>
          <w:sz w:val="24"/>
          <w:szCs w:val="24"/>
        </w:rPr>
      </w:pPr>
    </w:p>
    <w:p w:rsidR="00C51C42" w:rsidRPr="00C51C42" w:rsidRDefault="00C51C42" w:rsidP="00C51C42">
      <w:pPr>
        <w:pStyle w:val="ListParagraph"/>
        <w:numPr>
          <w:ilvl w:val="0"/>
          <w:numId w:val="8"/>
        </w:numPr>
        <w:autoSpaceDE w:val="0"/>
        <w:autoSpaceDN w:val="0"/>
        <w:rPr>
          <w:rFonts w:ascii="Times New Roman" w:hAnsi="Times New Roman" w:cs="Times New Roman"/>
          <w:color w:val="1F497D"/>
          <w:sz w:val="24"/>
          <w:szCs w:val="24"/>
        </w:rPr>
      </w:pPr>
      <w:r w:rsidRPr="00C51C42">
        <w:rPr>
          <w:rFonts w:ascii="Times New Roman" w:hAnsi="Times New Roman" w:cs="Times New Roman"/>
          <w:color w:val="1F497D" w:themeColor="dark2"/>
          <w:sz w:val="24"/>
          <w:szCs w:val="24"/>
        </w:rPr>
        <w:t>I</w:t>
      </w:r>
      <w:r w:rsidRPr="00C51C42">
        <w:rPr>
          <w:rFonts w:ascii="Times New Roman" w:hAnsi="Times New Roman" w:cs="Times New Roman"/>
          <w:color w:val="1F497D"/>
          <w:sz w:val="24"/>
          <w:szCs w:val="24"/>
        </w:rPr>
        <w:t xml:space="preserve">nclude section </w:t>
      </w:r>
      <w:r w:rsidRPr="00C51C42">
        <w:rPr>
          <w:rFonts w:ascii="Times New Roman" w:hAnsi="Times New Roman" w:cs="Times New Roman"/>
          <w:b/>
          <w:bCs/>
          <w:sz w:val="24"/>
          <w:szCs w:val="24"/>
        </w:rPr>
        <w:t>480-108-020(1</w:t>
      </w:r>
      <w:proofErr w:type="gramStart"/>
      <w:r w:rsidRPr="00C51C42">
        <w:rPr>
          <w:rFonts w:ascii="Times New Roman" w:hAnsi="Times New Roman" w:cs="Times New Roman"/>
          <w:b/>
          <w:bCs/>
          <w:sz w:val="24"/>
          <w:szCs w:val="24"/>
        </w:rPr>
        <w:t>)(</w:t>
      </w:r>
      <w:proofErr w:type="gramEnd"/>
      <w:r w:rsidRPr="00C51C42">
        <w:rPr>
          <w:rFonts w:ascii="Times New Roman" w:hAnsi="Times New Roman" w:cs="Times New Roman"/>
          <w:b/>
          <w:bCs/>
          <w:sz w:val="24"/>
          <w:szCs w:val="24"/>
        </w:rPr>
        <w:t xml:space="preserve">b)(Viii) </w:t>
      </w:r>
      <w:r w:rsidRPr="00C51C42">
        <w:rPr>
          <w:rFonts w:ascii="Times New Roman" w:hAnsi="Times New Roman" w:cs="Times New Roman"/>
          <w:color w:val="1F497D"/>
          <w:sz w:val="24"/>
          <w:szCs w:val="24"/>
        </w:rPr>
        <w:t xml:space="preserve">as section </w:t>
      </w:r>
      <w:r w:rsidRPr="00C51C42">
        <w:rPr>
          <w:rFonts w:ascii="Times New Roman" w:hAnsi="Times New Roman" w:cs="Times New Roman"/>
          <w:b/>
          <w:bCs/>
          <w:sz w:val="24"/>
          <w:szCs w:val="24"/>
        </w:rPr>
        <w:t xml:space="preserve">480-108-020(1)(a)(x) </w:t>
      </w:r>
      <w:r w:rsidRPr="00C51C42">
        <w:rPr>
          <w:rFonts w:ascii="Times New Roman" w:hAnsi="Times New Roman" w:cs="Times New Roman"/>
          <w:color w:val="1F497D"/>
          <w:sz w:val="24"/>
          <w:szCs w:val="24"/>
        </w:rPr>
        <w:t xml:space="preserve">so that Tier 1 and Tier 2 applications share the same network restrictions. </w:t>
      </w:r>
    </w:p>
    <w:p w:rsidR="00F42F54" w:rsidRPr="00C51C42" w:rsidRDefault="00F42F54" w:rsidP="001F6083">
      <w:pPr>
        <w:rPr>
          <w:rFonts w:ascii="Times New Roman" w:eastAsia="Times New Roman" w:hAnsi="Times New Roman" w:cs="Times New Roman"/>
          <w:color w:val="1F497D"/>
          <w:sz w:val="24"/>
          <w:szCs w:val="24"/>
        </w:rPr>
      </w:pPr>
    </w:p>
    <w:p w:rsidR="00F42F54" w:rsidRDefault="00F42F54" w:rsidP="001F6083">
      <w:pPr>
        <w:rPr>
          <w:rFonts w:ascii="Times New Roman" w:eastAsia="Times New Roman" w:hAnsi="Times New Roman" w:cs="Times New Roman"/>
          <w:b/>
          <w:bCs/>
          <w:sz w:val="24"/>
          <w:szCs w:val="24"/>
        </w:rPr>
      </w:pPr>
      <w:r w:rsidRPr="00C51C42">
        <w:rPr>
          <w:rFonts w:ascii="Times New Roman" w:eastAsia="Times New Roman" w:hAnsi="Times New Roman" w:cs="Times New Roman"/>
          <w:color w:val="1F497D"/>
          <w:sz w:val="24"/>
          <w:szCs w:val="24"/>
        </w:rPr>
        <w:t xml:space="preserve">Tacoma Power thanks you for considering these suggestions to </w:t>
      </w:r>
      <w:r w:rsidRPr="00C51C42">
        <w:rPr>
          <w:rFonts w:ascii="Times New Roman" w:eastAsia="Times New Roman" w:hAnsi="Times New Roman" w:cs="Times New Roman"/>
          <w:b/>
          <w:bCs/>
          <w:sz w:val="24"/>
          <w:szCs w:val="24"/>
        </w:rPr>
        <w:t xml:space="preserve">WAC 480. </w:t>
      </w:r>
    </w:p>
    <w:p w:rsidR="00830793" w:rsidRPr="00C51C42" w:rsidRDefault="00830793" w:rsidP="001F6083">
      <w:pPr>
        <w:rPr>
          <w:rFonts w:ascii="Times New Roman" w:eastAsia="Times New Roman" w:hAnsi="Times New Roman" w:cs="Times New Roman"/>
          <w:color w:val="1F497D"/>
          <w:sz w:val="24"/>
          <w:szCs w:val="24"/>
        </w:rPr>
      </w:pPr>
    </w:p>
    <w:p w:rsidR="00F42F54" w:rsidRPr="00C51C42" w:rsidRDefault="00F42F54" w:rsidP="001F6083">
      <w:pPr>
        <w:rPr>
          <w:rFonts w:ascii="Times New Roman" w:eastAsia="Times New Roman" w:hAnsi="Times New Roman" w:cs="Times New Roman"/>
          <w:color w:val="1F497D"/>
          <w:sz w:val="24"/>
          <w:szCs w:val="24"/>
        </w:rPr>
      </w:pPr>
      <w:r w:rsidRPr="00C51C42">
        <w:rPr>
          <w:rFonts w:ascii="Times New Roman" w:eastAsia="Times New Roman" w:hAnsi="Times New Roman" w:cs="Times New Roman"/>
          <w:color w:val="1F497D"/>
          <w:sz w:val="24"/>
          <w:szCs w:val="24"/>
        </w:rPr>
        <w:t>Sincerely,</w:t>
      </w:r>
    </w:p>
    <w:p w:rsidR="000A01E6" w:rsidRPr="00C51C42" w:rsidRDefault="000A01E6" w:rsidP="001F6083">
      <w:pPr>
        <w:rPr>
          <w:rFonts w:ascii="Times New Roman" w:eastAsia="Times New Roman" w:hAnsi="Times New Roman" w:cs="Times New Roman"/>
          <w:color w:val="1F497D"/>
          <w:sz w:val="24"/>
          <w:szCs w:val="24"/>
        </w:rPr>
      </w:pPr>
    </w:p>
    <w:p w:rsidR="00F42F54" w:rsidRPr="00C51C42" w:rsidRDefault="00F42F54" w:rsidP="001F6083">
      <w:pPr>
        <w:rPr>
          <w:rFonts w:ascii="Times New Roman" w:eastAsia="Times New Roman" w:hAnsi="Times New Roman" w:cs="Times New Roman"/>
          <w:color w:val="1F497D"/>
          <w:sz w:val="24"/>
          <w:szCs w:val="24"/>
        </w:rPr>
      </w:pPr>
      <w:r w:rsidRPr="00C51C42">
        <w:rPr>
          <w:rFonts w:ascii="Times New Roman" w:eastAsia="Times New Roman" w:hAnsi="Times New Roman" w:cs="Times New Roman"/>
          <w:color w:val="1F497D"/>
          <w:sz w:val="24"/>
          <w:szCs w:val="24"/>
        </w:rPr>
        <w:t>Mark Pigman, P.E.</w:t>
      </w:r>
    </w:p>
    <w:p w:rsidR="00F42F54" w:rsidRPr="00C51C42" w:rsidRDefault="00F42F54" w:rsidP="001F6083">
      <w:pPr>
        <w:rPr>
          <w:rFonts w:ascii="Times New Roman" w:eastAsia="Times New Roman" w:hAnsi="Times New Roman" w:cs="Times New Roman"/>
          <w:color w:val="1F497D"/>
          <w:sz w:val="24"/>
          <w:szCs w:val="24"/>
        </w:rPr>
      </w:pPr>
      <w:r w:rsidRPr="00C51C42">
        <w:rPr>
          <w:rFonts w:ascii="Times New Roman" w:eastAsia="Times New Roman" w:hAnsi="Times New Roman" w:cs="Times New Roman"/>
          <w:color w:val="1F497D"/>
          <w:sz w:val="24"/>
          <w:szCs w:val="24"/>
        </w:rPr>
        <w:t>T&amp;D System Planning</w:t>
      </w:r>
    </w:p>
    <w:p w:rsidR="00F42F54" w:rsidRPr="00C51C42" w:rsidRDefault="00F42F54" w:rsidP="001F6083">
      <w:pPr>
        <w:rPr>
          <w:rFonts w:ascii="Times New Roman" w:eastAsia="Times New Roman" w:hAnsi="Times New Roman" w:cs="Times New Roman"/>
          <w:color w:val="1F497D"/>
          <w:sz w:val="24"/>
          <w:szCs w:val="24"/>
        </w:rPr>
      </w:pPr>
      <w:r w:rsidRPr="00C51C42">
        <w:rPr>
          <w:rFonts w:ascii="Times New Roman" w:eastAsia="Times New Roman" w:hAnsi="Times New Roman" w:cs="Times New Roman"/>
          <w:color w:val="1F497D"/>
          <w:sz w:val="24"/>
          <w:szCs w:val="24"/>
        </w:rPr>
        <w:t>Tacoma Power</w:t>
      </w:r>
    </w:p>
    <w:p w:rsidR="0024722C" w:rsidRPr="00C51C42" w:rsidRDefault="00F42F54" w:rsidP="001F6083">
      <w:pPr>
        <w:rPr>
          <w:rFonts w:ascii="Times New Roman" w:eastAsia="Times New Roman" w:hAnsi="Times New Roman" w:cs="Times New Roman"/>
          <w:color w:val="1F497D"/>
          <w:sz w:val="24"/>
          <w:szCs w:val="24"/>
        </w:rPr>
      </w:pPr>
      <w:r w:rsidRPr="00C51C42">
        <w:rPr>
          <w:rFonts w:ascii="Times New Roman" w:eastAsia="Times New Roman" w:hAnsi="Times New Roman" w:cs="Times New Roman"/>
          <w:color w:val="1F497D"/>
          <w:sz w:val="24"/>
          <w:szCs w:val="24"/>
        </w:rPr>
        <w:t>3628 S 35th St</w:t>
      </w:r>
    </w:p>
    <w:p w:rsidR="00D603CA" w:rsidRPr="00C51C42" w:rsidRDefault="00830793" w:rsidP="001F6083">
      <w:pPr>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Tacoma, WA 98405</w:t>
      </w:r>
    </w:p>
    <w:p w:rsidR="00D603CA" w:rsidRPr="00C51C42" w:rsidRDefault="00D603CA" w:rsidP="001F6083">
      <w:pPr>
        <w:rPr>
          <w:rFonts w:ascii="Times New Roman" w:eastAsia="Times New Roman" w:hAnsi="Times New Roman" w:cs="Times New Roman"/>
          <w:sz w:val="24"/>
          <w:szCs w:val="24"/>
        </w:rPr>
      </w:pPr>
    </w:p>
    <w:p w:rsidR="00F6034D" w:rsidRPr="00C51C42" w:rsidRDefault="00F6034D">
      <w:pPr>
        <w:rPr>
          <w:rFonts w:ascii="Times New Roman" w:hAnsi="Times New Roman" w:cs="Times New Roman"/>
          <w:sz w:val="24"/>
          <w:szCs w:val="24"/>
        </w:rPr>
      </w:pPr>
    </w:p>
    <w:sectPr w:rsidR="00F6034D" w:rsidRPr="00C51C42" w:rsidSect="00F42F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CC" w:rsidRDefault="00CB72CC" w:rsidP="00CB72CC">
      <w:r>
        <w:separator/>
      </w:r>
    </w:p>
  </w:endnote>
  <w:endnote w:type="continuationSeparator" w:id="0">
    <w:p w:rsidR="00CB72CC" w:rsidRDefault="00CB72CC" w:rsidP="00CB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E9" w:rsidRDefault="00651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35175"/>
      <w:docPartObj>
        <w:docPartGallery w:val="Page Numbers (Bottom of Page)"/>
        <w:docPartUnique/>
      </w:docPartObj>
    </w:sdtPr>
    <w:sdtEndPr>
      <w:rPr>
        <w:noProof/>
      </w:rPr>
    </w:sdtEndPr>
    <w:sdtContent>
      <w:p w:rsidR="006512E9" w:rsidRDefault="006512E9">
        <w:pPr>
          <w:pStyle w:val="Footer"/>
          <w:jc w:val="center"/>
        </w:pPr>
        <w:r>
          <w:fldChar w:fldCharType="begin"/>
        </w:r>
        <w:r>
          <w:instrText xml:space="preserve"> PAGE   \* MERGEFORMAT </w:instrText>
        </w:r>
        <w:r>
          <w:fldChar w:fldCharType="separate"/>
        </w:r>
        <w:r w:rsidR="00677F83">
          <w:rPr>
            <w:noProof/>
          </w:rPr>
          <w:t>2</w:t>
        </w:r>
        <w:r>
          <w:rPr>
            <w:noProof/>
          </w:rPr>
          <w:fldChar w:fldCharType="end"/>
        </w:r>
      </w:p>
    </w:sdtContent>
  </w:sdt>
  <w:p w:rsidR="006512E9" w:rsidRDefault="006512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E9" w:rsidRDefault="00651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CC" w:rsidRDefault="00CB72CC" w:rsidP="00CB72CC">
      <w:r>
        <w:separator/>
      </w:r>
    </w:p>
  </w:footnote>
  <w:footnote w:type="continuationSeparator" w:id="0">
    <w:p w:rsidR="00CB72CC" w:rsidRDefault="00CB72CC" w:rsidP="00CB7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E9" w:rsidRDefault="00651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E9" w:rsidRDefault="006512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E9" w:rsidRDefault="00651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15835"/>
    <w:multiLevelType w:val="hybridMultilevel"/>
    <w:tmpl w:val="B594A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93F6C"/>
    <w:multiLevelType w:val="hybridMultilevel"/>
    <w:tmpl w:val="0A1E94A8"/>
    <w:lvl w:ilvl="0" w:tplc="883E51F8">
      <w:start w:val="1"/>
      <w:numFmt w:val="decimal"/>
      <w:lvlText w:val="%1."/>
      <w:lvlJc w:val="left"/>
      <w:pPr>
        <w:ind w:left="720" w:hanging="360"/>
      </w:pPr>
      <w:rPr>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CB08E5"/>
    <w:multiLevelType w:val="hybridMultilevel"/>
    <w:tmpl w:val="E2FC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30E80"/>
    <w:multiLevelType w:val="hybridMultilevel"/>
    <w:tmpl w:val="EF3C7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A872AA"/>
    <w:multiLevelType w:val="hybridMultilevel"/>
    <w:tmpl w:val="A3D6C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AC62EB"/>
    <w:multiLevelType w:val="hybridMultilevel"/>
    <w:tmpl w:val="42F2D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51E9F"/>
    <w:multiLevelType w:val="hybridMultilevel"/>
    <w:tmpl w:val="01521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F1FA2"/>
    <w:multiLevelType w:val="hybridMultilevel"/>
    <w:tmpl w:val="7D186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6083"/>
    <w:rsid w:val="00010C32"/>
    <w:rsid w:val="00045F51"/>
    <w:rsid w:val="000A01E6"/>
    <w:rsid w:val="000C46D3"/>
    <w:rsid w:val="000E560A"/>
    <w:rsid w:val="00121B55"/>
    <w:rsid w:val="001F6083"/>
    <w:rsid w:val="0024722C"/>
    <w:rsid w:val="002B6BCC"/>
    <w:rsid w:val="002E47A2"/>
    <w:rsid w:val="00425ED9"/>
    <w:rsid w:val="0046788F"/>
    <w:rsid w:val="00477884"/>
    <w:rsid w:val="004A06B5"/>
    <w:rsid w:val="005046AC"/>
    <w:rsid w:val="00552222"/>
    <w:rsid w:val="00560FB0"/>
    <w:rsid w:val="0057370F"/>
    <w:rsid w:val="0064567B"/>
    <w:rsid w:val="006512E9"/>
    <w:rsid w:val="00677F83"/>
    <w:rsid w:val="006A0C78"/>
    <w:rsid w:val="00761DF9"/>
    <w:rsid w:val="00793F7C"/>
    <w:rsid w:val="007B1993"/>
    <w:rsid w:val="008129EC"/>
    <w:rsid w:val="0081615E"/>
    <w:rsid w:val="00830793"/>
    <w:rsid w:val="00855CD8"/>
    <w:rsid w:val="008C4375"/>
    <w:rsid w:val="008D49AB"/>
    <w:rsid w:val="008E52F4"/>
    <w:rsid w:val="00971AA9"/>
    <w:rsid w:val="00980B89"/>
    <w:rsid w:val="009B602B"/>
    <w:rsid w:val="009D3275"/>
    <w:rsid w:val="009E6FEC"/>
    <w:rsid w:val="009F5196"/>
    <w:rsid w:val="00A00BEC"/>
    <w:rsid w:val="00AD394D"/>
    <w:rsid w:val="00AF65A8"/>
    <w:rsid w:val="00B42424"/>
    <w:rsid w:val="00B472CC"/>
    <w:rsid w:val="00B819BB"/>
    <w:rsid w:val="00BC32AC"/>
    <w:rsid w:val="00BE5848"/>
    <w:rsid w:val="00C0193B"/>
    <w:rsid w:val="00C2025F"/>
    <w:rsid w:val="00C51C42"/>
    <w:rsid w:val="00C8175E"/>
    <w:rsid w:val="00CA653A"/>
    <w:rsid w:val="00CB72CC"/>
    <w:rsid w:val="00D3111D"/>
    <w:rsid w:val="00D603CA"/>
    <w:rsid w:val="00DB4712"/>
    <w:rsid w:val="00E01718"/>
    <w:rsid w:val="00E126F3"/>
    <w:rsid w:val="00E53B38"/>
    <w:rsid w:val="00F15E73"/>
    <w:rsid w:val="00F42F54"/>
    <w:rsid w:val="00F6034D"/>
    <w:rsid w:val="00F6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7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083"/>
    <w:rPr>
      <w:color w:val="0000FF"/>
      <w:u w:val="single"/>
    </w:rPr>
  </w:style>
  <w:style w:type="paragraph" w:customStyle="1" w:styleId="default">
    <w:name w:val="default"/>
    <w:basedOn w:val="Normal"/>
    <w:rsid w:val="001F6083"/>
    <w:rPr>
      <w:rFonts w:ascii="Courier New" w:eastAsia="Times New Roman" w:hAnsi="Courier New" w:cs="Courier New"/>
      <w:color w:val="000000"/>
      <w:sz w:val="24"/>
      <w:szCs w:val="24"/>
    </w:rPr>
  </w:style>
  <w:style w:type="character" w:customStyle="1" w:styleId="spelle">
    <w:name w:val="spelle"/>
    <w:basedOn w:val="DefaultParagraphFont"/>
    <w:rsid w:val="001F6083"/>
  </w:style>
  <w:style w:type="character" w:styleId="Strong">
    <w:name w:val="Strong"/>
    <w:basedOn w:val="DefaultParagraphFont"/>
    <w:uiPriority w:val="22"/>
    <w:qFormat/>
    <w:rsid w:val="001F6083"/>
    <w:rPr>
      <w:b/>
      <w:bCs/>
    </w:rPr>
  </w:style>
  <w:style w:type="paragraph" w:styleId="ListParagraph">
    <w:name w:val="List Paragraph"/>
    <w:basedOn w:val="Normal"/>
    <w:uiPriority w:val="34"/>
    <w:qFormat/>
    <w:rsid w:val="00761DF9"/>
    <w:pPr>
      <w:ind w:left="720"/>
      <w:contextualSpacing/>
    </w:pPr>
  </w:style>
  <w:style w:type="paragraph" w:styleId="Quote">
    <w:name w:val="Quote"/>
    <w:basedOn w:val="Normal"/>
    <w:next w:val="Normal"/>
    <w:link w:val="QuoteChar"/>
    <w:uiPriority w:val="29"/>
    <w:qFormat/>
    <w:rsid w:val="00F15E73"/>
    <w:pPr>
      <w:ind w:left="-720"/>
    </w:pPr>
    <w:rPr>
      <w:i/>
      <w:iCs/>
      <w:color w:val="000000" w:themeColor="text1"/>
    </w:rPr>
  </w:style>
  <w:style w:type="character" w:customStyle="1" w:styleId="QuoteChar">
    <w:name w:val="Quote Char"/>
    <w:basedOn w:val="DefaultParagraphFont"/>
    <w:link w:val="Quote"/>
    <w:uiPriority w:val="29"/>
    <w:rsid w:val="00F15E73"/>
    <w:rPr>
      <w:i/>
      <w:iCs/>
      <w:color w:val="000000" w:themeColor="text1"/>
    </w:rPr>
  </w:style>
  <w:style w:type="paragraph" w:styleId="Subtitle">
    <w:name w:val="Subtitle"/>
    <w:basedOn w:val="Normal"/>
    <w:next w:val="Normal"/>
    <w:link w:val="SubtitleChar"/>
    <w:uiPriority w:val="11"/>
    <w:qFormat/>
    <w:rsid w:val="00E126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26F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B72CC"/>
    <w:pPr>
      <w:tabs>
        <w:tab w:val="center" w:pos="4680"/>
        <w:tab w:val="right" w:pos="9360"/>
      </w:tabs>
    </w:pPr>
  </w:style>
  <w:style w:type="character" w:customStyle="1" w:styleId="HeaderChar">
    <w:name w:val="Header Char"/>
    <w:basedOn w:val="DefaultParagraphFont"/>
    <w:link w:val="Header"/>
    <w:uiPriority w:val="99"/>
    <w:rsid w:val="00CB72CC"/>
  </w:style>
  <w:style w:type="paragraph" w:styleId="Footer">
    <w:name w:val="footer"/>
    <w:basedOn w:val="Normal"/>
    <w:link w:val="FooterChar"/>
    <w:uiPriority w:val="99"/>
    <w:unhideWhenUsed/>
    <w:rsid w:val="00CB72CC"/>
    <w:pPr>
      <w:tabs>
        <w:tab w:val="center" w:pos="4680"/>
        <w:tab w:val="right" w:pos="9360"/>
      </w:tabs>
    </w:pPr>
  </w:style>
  <w:style w:type="character" w:customStyle="1" w:styleId="FooterChar">
    <w:name w:val="Footer Char"/>
    <w:basedOn w:val="DefaultParagraphFont"/>
    <w:link w:val="Footer"/>
    <w:uiPriority w:val="99"/>
    <w:rsid w:val="00CB72CC"/>
  </w:style>
  <w:style w:type="paragraph" w:customStyle="1" w:styleId="Default0">
    <w:name w:val="Default"/>
    <w:basedOn w:val="Normal"/>
    <w:rsid w:val="00C51C42"/>
    <w:pPr>
      <w:autoSpaceDE w:val="0"/>
      <w:autoSpaceDN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3748">
      <w:bodyDiv w:val="1"/>
      <w:marLeft w:val="0"/>
      <w:marRight w:val="0"/>
      <w:marTop w:val="0"/>
      <w:marBottom w:val="0"/>
      <w:divBdr>
        <w:top w:val="none" w:sz="0" w:space="0" w:color="auto"/>
        <w:left w:val="none" w:sz="0" w:space="0" w:color="auto"/>
        <w:bottom w:val="none" w:sz="0" w:space="0" w:color="auto"/>
        <w:right w:val="none" w:sz="0" w:space="0" w:color="auto"/>
      </w:divBdr>
      <w:divsChild>
        <w:div w:id="1816801285">
          <w:blockQuote w:val="1"/>
          <w:marLeft w:val="720"/>
          <w:marRight w:val="0"/>
          <w:marTop w:val="100"/>
          <w:marBottom w:val="100"/>
          <w:divBdr>
            <w:top w:val="none" w:sz="0" w:space="0" w:color="auto"/>
            <w:left w:val="none" w:sz="0" w:space="0" w:color="auto"/>
            <w:bottom w:val="none" w:sz="0" w:space="0" w:color="auto"/>
            <w:right w:val="none" w:sz="0" w:space="0" w:color="auto"/>
          </w:divBdr>
        </w:div>
        <w:div w:id="345178718">
          <w:marLeft w:val="0"/>
          <w:marRight w:val="0"/>
          <w:marTop w:val="0"/>
          <w:marBottom w:val="0"/>
          <w:divBdr>
            <w:top w:val="none" w:sz="0" w:space="0" w:color="auto"/>
            <w:left w:val="none" w:sz="0" w:space="0" w:color="auto"/>
            <w:bottom w:val="none" w:sz="0" w:space="0" w:color="auto"/>
            <w:right w:val="none" w:sz="0" w:space="0" w:color="auto"/>
          </w:divBdr>
          <w:divsChild>
            <w:div w:id="1251085714">
              <w:marLeft w:val="0"/>
              <w:marRight w:val="0"/>
              <w:marTop w:val="0"/>
              <w:marBottom w:val="0"/>
              <w:divBdr>
                <w:top w:val="single" w:sz="8" w:space="3" w:color="B5C4DF"/>
                <w:left w:val="none" w:sz="0" w:space="0" w:color="auto"/>
                <w:bottom w:val="none" w:sz="0" w:space="0" w:color="auto"/>
                <w:right w:val="none" w:sz="0" w:space="0" w:color="auto"/>
              </w:divBdr>
            </w:div>
          </w:divsChild>
        </w:div>
        <w:div w:id="30151863">
          <w:marLeft w:val="0"/>
          <w:marRight w:val="0"/>
          <w:marTop w:val="0"/>
          <w:marBottom w:val="0"/>
          <w:divBdr>
            <w:top w:val="none" w:sz="0" w:space="0" w:color="auto"/>
            <w:left w:val="none" w:sz="0" w:space="0" w:color="auto"/>
            <w:bottom w:val="none" w:sz="0" w:space="0" w:color="auto"/>
            <w:right w:val="none" w:sz="0" w:space="0" w:color="auto"/>
          </w:divBdr>
          <w:divsChild>
            <w:div w:id="1664620626">
              <w:marLeft w:val="0"/>
              <w:marRight w:val="0"/>
              <w:marTop w:val="0"/>
              <w:marBottom w:val="0"/>
              <w:divBdr>
                <w:top w:val="single" w:sz="8" w:space="3" w:color="B5C4DF"/>
                <w:left w:val="none" w:sz="0" w:space="0" w:color="auto"/>
                <w:bottom w:val="none" w:sz="0" w:space="0" w:color="auto"/>
                <w:right w:val="none" w:sz="0" w:space="0" w:color="auto"/>
              </w:divBdr>
            </w:div>
          </w:divsChild>
        </w:div>
        <w:div w:id="995960807">
          <w:marLeft w:val="0"/>
          <w:marRight w:val="0"/>
          <w:marTop w:val="0"/>
          <w:marBottom w:val="0"/>
          <w:divBdr>
            <w:top w:val="none" w:sz="0" w:space="0" w:color="auto"/>
            <w:left w:val="none" w:sz="0" w:space="0" w:color="auto"/>
            <w:bottom w:val="none" w:sz="0" w:space="0" w:color="auto"/>
            <w:right w:val="none" w:sz="0" w:space="0" w:color="auto"/>
          </w:divBdr>
        </w:div>
        <w:div w:id="1451782475">
          <w:marLeft w:val="0"/>
          <w:marRight w:val="0"/>
          <w:marTop w:val="0"/>
          <w:marBottom w:val="0"/>
          <w:divBdr>
            <w:top w:val="none" w:sz="0" w:space="0" w:color="auto"/>
            <w:left w:val="none" w:sz="0" w:space="0" w:color="auto"/>
            <w:bottom w:val="none" w:sz="0" w:space="0" w:color="auto"/>
            <w:right w:val="none" w:sz="0" w:space="0" w:color="auto"/>
          </w:divBdr>
        </w:div>
        <w:div w:id="2065985944">
          <w:marLeft w:val="0"/>
          <w:marRight w:val="0"/>
          <w:marTop w:val="0"/>
          <w:marBottom w:val="0"/>
          <w:divBdr>
            <w:top w:val="none" w:sz="0" w:space="0" w:color="auto"/>
            <w:left w:val="none" w:sz="0" w:space="0" w:color="auto"/>
            <w:bottom w:val="none" w:sz="0" w:space="0" w:color="auto"/>
            <w:right w:val="none" w:sz="0" w:space="0" w:color="auto"/>
          </w:divBdr>
        </w:div>
        <w:div w:id="109908183">
          <w:marLeft w:val="0"/>
          <w:marRight w:val="0"/>
          <w:marTop w:val="0"/>
          <w:marBottom w:val="0"/>
          <w:divBdr>
            <w:top w:val="none" w:sz="0" w:space="0" w:color="auto"/>
            <w:left w:val="none" w:sz="0" w:space="0" w:color="auto"/>
            <w:bottom w:val="none" w:sz="0" w:space="0" w:color="auto"/>
            <w:right w:val="none" w:sz="0" w:space="0" w:color="auto"/>
          </w:divBdr>
        </w:div>
        <w:div w:id="394162231">
          <w:marLeft w:val="0"/>
          <w:marRight w:val="0"/>
          <w:marTop w:val="0"/>
          <w:marBottom w:val="0"/>
          <w:divBdr>
            <w:top w:val="none" w:sz="0" w:space="0" w:color="auto"/>
            <w:left w:val="none" w:sz="0" w:space="0" w:color="auto"/>
            <w:bottom w:val="none" w:sz="0" w:space="0" w:color="auto"/>
            <w:right w:val="none" w:sz="0" w:space="0" w:color="auto"/>
          </w:divBdr>
        </w:div>
        <w:div w:id="1911620840">
          <w:marLeft w:val="0"/>
          <w:marRight w:val="0"/>
          <w:marTop w:val="0"/>
          <w:marBottom w:val="0"/>
          <w:divBdr>
            <w:top w:val="none" w:sz="0" w:space="0" w:color="auto"/>
            <w:left w:val="none" w:sz="0" w:space="0" w:color="auto"/>
            <w:bottom w:val="none" w:sz="0" w:space="0" w:color="auto"/>
            <w:right w:val="none" w:sz="0" w:space="0" w:color="auto"/>
          </w:divBdr>
          <w:divsChild>
            <w:div w:id="288249898">
              <w:marLeft w:val="0"/>
              <w:marRight w:val="0"/>
              <w:marTop w:val="0"/>
              <w:marBottom w:val="0"/>
              <w:divBdr>
                <w:top w:val="none" w:sz="0" w:space="0" w:color="auto"/>
                <w:left w:val="none" w:sz="0" w:space="0" w:color="auto"/>
                <w:bottom w:val="none" w:sz="0" w:space="0" w:color="auto"/>
                <w:right w:val="none" w:sz="0" w:space="0" w:color="auto"/>
              </w:divBdr>
            </w:div>
            <w:div w:id="1491823086">
              <w:marLeft w:val="0"/>
              <w:marRight w:val="0"/>
              <w:marTop w:val="0"/>
              <w:marBottom w:val="0"/>
              <w:divBdr>
                <w:top w:val="none" w:sz="0" w:space="0" w:color="auto"/>
                <w:left w:val="none" w:sz="0" w:space="0" w:color="auto"/>
                <w:bottom w:val="none" w:sz="0" w:space="0" w:color="auto"/>
                <w:right w:val="none" w:sz="0" w:space="0" w:color="auto"/>
              </w:divBdr>
            </w:div>
          </w:divsChild>
        </w:div>
        <w:div w:id="1267158534">
          <w:marLeft w:val="0"/>
          <w:marRight w:val="0"/>
          <w:marTop w:val="0"/>
          <w:marBottom w:val="0"/>
          <w:divBdr>
            <w:top w:val="none" w:sz="0" w:space="0" w:color="auto"/>
            <w:left w:val="none" w:sz="0" w:space="0" w:color="auto"/>
            <w:bottom w:val="none" w:sz="0" w:space="0" w:color="auto"/>
            <w:right w:val="none" w:sz="0" w:space="0" w:color="auto"/>
          </w:divBdr>
        </w:div>
        <w:div w:id="1521504392">
          <w:marLeft w:val="0"/>
          <w:marRight w:val="0"/>
          <w:marTop w:val="0"/>
          <w:marBottom w:val="0"/>
          <w:divBdr>
            <w:top w:val="none" w:sz="0" w:space="0" w:color="auto"/>
            <w:left w:val="none" w:sz="0" w:space="0" w:color="auto"/>
            <w:bottom w:val="none" w:sz="0" w:space="0" w:color="auto"/>
            <w:right w:val="none" w:sz="0" w:space="0" w:color="auto"/>
          </w:divBdr>
        </w:div>
        <w:div w:id="53234914">
          <w:marLeft w:val="0"/>
          <w:marRight w:val="0"/>
          <w:marTop w:val="0"/>
          <w:marBottom w:val="0"/>
          <w:divBdr>
            <w:top w:val="none" w:sz="0" w:space="0" w:color="auto"/>
            <w:left w:val="none" w:sz="0" w:space="0" w:color="auto"/>
            <w:bottom w:val="none" w:sz="0" w:space="0" w:color="auto"/>
            <w:right w:val="none" w:sz="0" w:space="0" w:color="auto"/>
          </w:divBdr>
        </w:div>
      </w:divsChild>
    </w:div>
    <w:div w:id="1767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2011-12-14T08:00:00+00:00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72D3F4E407594A9C69547AA3C5F758" ma:contentTypeVersion="143" ma:contentTypeDescription="" ma:contentTypeScope="" ma:versionID="1eb39db915c04178f0b1a9a200e29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4FBAB7-33B5-45CC-9D3C-48F85B0EABB8}"/>
</file>

<file path=customXml/itemProps2.xml><?xml version="1.0" encoding="utf-8"?>
<ds:datastoreItem xmlns:ds="http://schemas.openxmlformats.org/officeDocument/2006/customXml" ds:itemID="{D1E28124-9221-4CAE-A30F-4A84F6C3751E}"/>
</file>

<file path=customXml/itemProps3.xml><?xml version="1.0" encoding="utf-8"?>
<ds:datastoreItem xmlns:ds="http://schemas.openxmlformats.org/officeDocument/2006/customXml" ds:itemID="{9DD74E09-E09F-4040-8C28-A6A8EAAB1190}"/>
</file>

<file path=customXml/itemProps4.xml><?xml version="1.0" encoding="utf-8"?>
<ds:datastoreItem xmlns:ds="http://schemas.openxmlformats.org/officeDocument/2006/customXml" ds:itemID="{60BF75AC-07CA-4736-9B8D-5C526A4DDD39}"/>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Pigman</cp:lastModifiedBy>
  <cp:revision>2</cp:revision>
  <dcterms:created xsi:type="dcterms:W3CDTF">2013-05-17T21:28:00Z</dcterms:created>
  <dcterms:modified xsi:type="dcterms:W3CDTF">2013-05-17T21:28:00Z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0x0101006E56B4D1795A2E4DB2F0B01679ED314A001072D3F4E407594A9C69547AA3C5F758</vt:lpwstr>
  </property>
  <property fmtid="{D5CDD505-2E9C-101B-9397-08002B2CF9AE}" pid="3" name="_docset_NoMedatataSyncRequired">
    <vt:lpwstr>False</vt:lpwstr>
  </property>
</Properties>
</file>