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CB" w:rsidRDefault="000C0FCB" w:rsidP="006F6BEB">
      <w:pPr>
        <w:tabs>
          <w:tab w:val="center" w:pos="4680"/>
        </w:tabs>
        <w:ind w:left="-360" w:right="-252"/>
        <w:jc w:val="center"/>
      </w:pPr>
    </w:p>
    <w:p w:rsidR="000C0FCB" w:rsidRDefault="000C0FCB" w:rsidP="006F6BEB">
      <w:pPr>
        <w:tabs>
          <w:tab w:val="center" w:pos="4680"/>
        </w:tabs>
        <w:ind w:left="-360" w:right="-252"/>
        <w:jc w:val="center"/>
      </w:pPr>
    </w:p>
    <w:p w:rsidR="000C0FCB" w:rsidRDefault="000C0FCB" w:rsidP="006F6BEB">
      <w:pPr>
        <w:tabs>
          <w:tab w:val="center" w:pos="4680"/>
        </w:tabs>
        <w:ind w:left="-360" w:right="-252"/>
        <w:jc w:val="center"/>
      </w:pPr>
    </w:p>
    <w:p w:rsidR="006F6BEB" w:rsidRPr="002B0FF4" w:rsidRDefault="006F6BEB" w:rsidP="006F6BEB">
      <w:pPr>
        <w:tabs>
          <w:tab w:val="center" w:pos="4680"/>
        </w:tabs>
        <w:ind w:left="-360" w:right="-252"/>
        <w:jc w:val="center"/>
      </w:pPr>
      <w:r w:rsidRPr="002B0FF4">
        <w:t>BEFORE THE WASHINGTON UTILITIES AND TRANSPORTATION COMMISSION</w:t>
      </w:r>
    </w:p>
    <w:p w:rsidR="006F6BEB" w:rsidRPr="002B0FF4" w:rsidRDefault="006F6BEB" w:rsidP="006F6BEB">
      <w:pPr>
        <w:jc w:val="both"/>
      </w:pPr>
    </w:p>
    <w:p w:rsidR="006F6BEB" w:rsidRPr="002B0FF4" w:rsidRDefault="006F6BEB" w:rsidP="006F6BEB">
      <w:pPr>
        <w:jc w:val="both"/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6F6BEB" w:rsidRPr="002B0FF4" w:rsidTr="001C0468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F6BEB" w:rsidRPr="002B0FF4" w:rsidRDefault="006F6BEB" w:rsidP="001C0468">
            <w:r>
              <w:t xml:space="preserve">In the Matter of the Petition of:  </w:t>
            </w:r>
          </w:p>
          <w:p w:rsidR="006F6BEB" w:rsidRPr="002B0FF4" w:rsidRDefault="006F6BEB" w:rsidP="001C0468"/>
          <w:p w:rsidR="006F6BEB" w:rsidRPr="002B0FF4" w:rsidRDefault="006F6BEB" w:rsidP="001C0468">
            <w:r w:rsidRPr="002B0FF4">
              <w:t xml:space="preserve">PUGET SOUND ENERGY, INC., </w:t>
            </w:r>
          </w:p>
          <w:p w:rsidR="006F6BEB" w:rsidRPr="002B0FF4" w:rsidRDefault="006F6BEB" w:rsidP="001C0468"/>
          <w:p w:rsidR="006F6BEB" w:rsidRPr="002B0FF4" w:rsidRDefault="006F6BEB" w:rsidP="001C0468">
            <w:pPr>
              <w:spacing w:after="19"/>
            </w:pPr>
            <w:r>
              <w:t xml:space="preserve">For an Order Temporarily Suspending </w:t>
            </w:r>
            <w:proofErr w:type="spellStart"/>
            <w:r>
              <w:t>SQI</w:t>
            </w:r>
            <w:proofErr w:type="spellEnd"/>
            <w:r>
              <w:t xml:space="preserve"> Nos. 2, 5, 6 during the 2013 </w:t>
            </w:r>
            <w:proofErr w:type="spellStart"/>
            <w:r>
              <w:t>SQI</w:t>
            </w:r>
            <w:proofErr w:type="spellEnd"/>
            <w:r>
              <w:t xml:space="preserve"> Program Year due to the Implementation of New Customer Service Information System</w:t>
            </w:r>
            <w:r w:rsidRPr="002B0FF4">
              <w:t>.</w:t>
            </w:r>
          </w:p>
          <w:p w:rsidR="006F6BEB" w:rsidRPr="002B0FF4" w:rsidRDefault="006F6BEB" w:rsidP="001C0468">
            <w:pPr>
              <w:spacing w:after="19"/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6471" w:rsidRDefault="006F6BEB" w:rsidP="001C0468">
            <w:pPr>
              <w:ind w:left="776"/>
            </w:pPr>
            <w:r w:rsidRPr="002B0FF4">
              <w:t xml:space="preserve">DOCKETS </w:t>
            </w:r>
            <w:proofErr w:type="spellStart"/>
            <w:r w:rsidRPr="002B0FF4">
              <w:t>UE</w:t>
            </w:r>
            <w:proofErr w:type="spellEnd"/>
            <w:r w:rsidRPr="002B0FF4">
              <w:t xml:space="preserve">-072300 and </w:t>
            </w:r>
          </w:p>
          <w:p w:rsidR="006F6BEB" w:rsidRPr="002B0FF4" w:rsidRDefault="006F6BEB" w:rsidP="001C0468">
            <w:pPr>
              <w:ind w:left="776"/>
            </w:pPr>
            <w:proofErr w:type="spellStart"/>
            <w:r w:rsidRPr="002B0FF4">
              <w:t>UG</w:t>
            </w:r>
            <w:proofErr w:type="spellEnd"/>
            <w:r w:rsidRPr="002B0FF4">
              <w:t>-072301 (</w:t>
            </w:r>
            <w:r w:rsidRPr="00486471">
              <w:rPr>
                <w:i/>
              </w:rPr>
              <w:t>consolidated</w:t>
            </w:r>
            <w:r w:rsidRPr="002B0FF4">
              <w:t>)</w:t>
            </w:r>
          </w:p>
          <w:p w:rsidR="006F6BEB" w:rsidRPr="002B0FF4" w:rsidRDefault="006F6BEB" w:rsidP="001C0468">
            <w:pPr>
              <w:ind w:left="776"/>
            </w:pPr>
          </w:p>
          <w:p w:rsidR="006F6BEB" w:rsidRPr="002B0FF4" w:rsidRDefault="006F6BEB" w:rsidP="006F6BEB">
            <w:pPr>
              <w:spacing w:after="19"/>
              <w:ind w:left="776"/>
            </w:pPr>
            <w:r w:rsidRPr="002B0FF4">
              <w:t xml:space="preserve">ANSWER OF COMMISSION STAFF </w:t>
            </w:r>
            <w:r>
              <w:t>TO</w:t>
            </w:r>
            <w:r w:rsidRPr="002B0FF4">
              <w:t xml:space="preserve"> PETITION </w:t>
            </w:r>
            <w:r>
              <w:t xml:space="preserve">OF PUGET SOUND ENERGY, INC. </w:t>
            </w:r>
          </w:p>
        </w:tc>
      </w:tr>
    </w:tbl>
    <w:p w:rsidR="006F6BEB" w:rsidRDefault="006F6BEB" w:rsidP="006F6BEB"/>
    <w:p w:rsidR="00595028" w:rsidRDefault="00595028"/>
    <w:p w:rsidR="00641B51" w:rsidRPr="00641B51" w:rsidRDefault="00641B51" w:rsidP="00641B51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 w:rsidRPr="00641B51">
        <w:rPr>
          <w:rFonts w:cs="Times New Roman"/>
          <w:b/>
          <w:szCs w:val="24"/>
        </w:rPr>
        <w:t>I.</w:t>
      </w:r>
      <w:r w:rsidRPr="00641B51">
        <w:rPr>
          <w:rFonts w:cs="Times New Roman"/>
          <w:b/>
          <w:szCs w:val="24"/>
        </w:rPr>
        <w:tab/>
        <w:t>INTRODUCTION</w:t>
      </w:r>
    </w:p>
    <w:p w:rsidR="00641B51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641B51" w:rsidRPr="006F6BEB">
        <w:rPr>
          <w:rFonts w:cs="Times New Roman"/>
          <w:szCs w:val="24"/>
        </w:rPr>
        <w:t xml:space="preserve">On March 13, 2013, Puget Sound Energy, Inc. (PSE) filed a Petition for a Commission order that: </w:t>
      </w:r>
    </w:p>
    <w:p w:rsidR="00641B51" w:rsidRDefault="00641B51" w:rsidP="00641B51">
      <w:pPr>
        <w:autoSpaceDE w:val="0"/>
        <w:autoSpaceDN w:val="0"/>
        <w:adjustRightInd w:val="0"/>
        <w:spacing w:line="480" w:lineRule="auto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>(1)</w:t>
      </w:r>
      <w:r>
        <w:rPr>
          <w:rFonts w:cs="Times New Roman"/>
          <w:szCs w:val="24"/>
        </w:rPr>
        <w:tab/>
        <w:t>Authorizes PSE to suspend Service Quality Index (“SQI”) No. 2 – WUTC Complaint Ratio, SQI No. 5- Customer Access Center Answering Performance, and SQI No. 6- Telephone Center Transactions Customer Satisfaction, in their entirety during the 2013 SQI Program year;</w:t>
      </w:r>
    </w:p>
    <w:p w:rsidR="00641B51" w:rsidRDefault="00641B51" w:rsidP="00641B51">
      <w:pPr>
        <w:autoSpaceDE w:val="0"/>
        <w:autoSpaceDN w:val="0"/>
        <w:adjustRightInd w:val="0"/>
        <w:spacing w:line="480" w:lineRule="auto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>(2)</w:t>
      </w:r>
      <w:r>
        <w:rPr>
          <w:rFonts w:cs="Times New Roman"/>
          <w:szCs w:val="24"/>
        </w:rPr>
        <w:tab/>
        <w:t xml:space="preserve">Authorizes PSE to report the available monthly and annual results in PSE’s semi-annual and annual reporting to the Commission without benchmarks and penalty assessment; and </w:t>
      </w:r>
    </w:p>
    <w:p w:rsidR="00641B51" w:rsidRDefault="00641B51" w:rsidP="00641B51">
      <w:pPr>
        <w:autoSpaceDE w:val="0"/>
        <w:autoSpaceDN w:val="0"/>
        <w:adjustRightInd w:val="0"/>
        <w:spacing w:line="480" w:lineRule="auto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>(3)</w:t>
      </w:r>
      <w:r>
        <w:rPr>
          <w:rFonts w:cs="Times New Roman"/>
          <w:szCs w:val="24"/>
        </w:rPr>
        <w:tab/>
        <w:t>Grants PSE a waiver of SQI penalties during the 2013 SQI Program year and the doubling of any penalty amount if PSE fails the same index again in 2014.</w:t>
      </w:r>
    </w:p>
    <w:p w:rsidR="00641B51" w:rsidRDefault="00641B51" w:rsidP="00641B51">
      <w:pPr>
        <w:spacing w:line="480" w:lineRule="auto"/>
      </w:pPr>
      <w:r>
        <w:t xml:space="preserve">PSE states that its Petition is necessary due to the implementation of a new customer information system (“CIS”) </w:t>
      </w:r>
      <w:r w:rsidR="003E2ABD">
        <w:t>that PSE assumes</w:t>
      </w:r>
      <w:r w:rsidR="00CE1768">
        <w:t xml:space="preserve"> will affect customer service performance</w:t>
      </w:r>
      <w:r>
        <w:t>.</w:t>
      </w:r>
    </w:p>
    <w:p w:rsidR="00641B51" w:rsidRPr="006F6BEB" w:rsidRDefault="006F6BEB" w:rsidP="006F6BEB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>
        <w:lastRenderedPageBreak/>
        <w:tab/>
      </w:r>
      <w:r w:rsidR="00CE1768">
        <w:t>PSE’s assumptions are</w:t>
      </w:r>
      <w:r w:rsidR="00641B51">
        <w:t xml:space="preserve"> </w:t>
      </w:r>
      <w:r w:rsidR="00CE1768">
        <w:t>in</w:t>
      </w:r>
      <w:r w:rsidR="00641B51">
        <w:t>sufficient justification</w:t>
      </w:r>
      <w:r w:rsidR="00CE1768">
        <w:t xml:space="preserve"> for the Commi</w:t>
      </w:r>
      <w:r w:rsidR="003E2ABD">
        <w:t xml:space="preserve">ssion to suspend </w:t>
      </w:r>
      <w:r w:rsidR="00CE1768">
        <w:t>service quality indices and penalty provisions</w:t>
      </w:r>
      <w:r w:rsidR="003E2ABD">
        <w:t xml:space="preserve"> in advance of any actual impact of the new CIS on </w:t>
      </w:r>
      <w:r w:rsidR="001A1621">
        <w:t xml:space="preserve">customer </w:t>
      </w:r>
      <w:r w:rsidR="003E2ABD">
        <w:t xml:space="preserve">service performance.  </w:t>
      </w:r>
      <w:r w:rsidR="001A1621">
        <w:t xml:space="preserve">Any actual impacts that cause </w:t>
      </w:r>
      <w:r w:rsidR="001A1621" w:rsidRPr="006F6BEB">
        <w:rPr>
          <w:rFonts w:cs="Times New Roman"/>
          <w:szCs w:val="24"/>
        </w:rPr>
        <w:t>PSE to be subject to financial penalties can be addressed after the fact through a petition for mitigation of those penalties.  Therefore, Staff recommends that the Commission deny PSE’s Petition.</w:t>
      </w:r>
    </w:p>
    <w:p w:rsidR="001A1621" w:rsidRPr="001A1621" w:rsidRDefault="001A1621" w:rsidP="001A1621">
      <w:pPr>
        <w:spacing w:line="480" w:lineRule="auto"/>
        <w:jc w:val="center"/>
        <w:rPr>
          <w:b/>
        </w:rPr>
      </w:pPr>
      <w:r w:rsidRPr="001A1621">
        <w:rPr>
          <w:rFonts w:cs="Times New Roman"/>
          <w:b/>
          <w:szCs w:val="24"/>
        </w:rPr>
        <w:t>II.</w:t>
      </w:r>
      <w:r w:rsidRPr="001A1621">
        <w:rPr>
          <w:rFonts w:cs="Times New Roman"/>
          <w:b/>
          <w:szCs w:val="24"/>
        </w:rPr>
        <w:tab/>
        <w:t>BACKGROUND</w:t>
      </w:r>
    </w:p>
    <w:p w:rsidR="0074169C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5A42D5" w:rsidRPr="006F6BEB">
        <w:rPr>
          <w:rFonts w:cs="Times New Roman"/>
          <w:szCs w:val="24"/>
        </w:rPr>
        <w:t xml:space="preserve">PSE is subject to </w:t>
      </w:r>
      <w:r w:rsidR="0074169C" w:rsidRPr="006F6BEB">
        <w:rPr>
          <w:rFonts w:cs="Times New Roman"/>
          <w:szCs w:val="24"/>
        </w:rPr>
        <w:t>a Service Quality Index</w:t>
      </w:r>
      <w:r w:rsidR="005A42D5" w:rsidRPr="006F6BEB">
        <w:rPr>
          <w:rFonts w:cs="Times New Roman"/>
          <w:szCs w:val="24"/>
        </w:rPr>
        <w:t xml:space="preserve"> </w:t>
      </w:r>
      <w:r w:rsidR="0074169C" w:rsidRPr="006F6BEB">
        <w:rPr>
          <w:rFonts w:cs="Times New Roman"/>
          <w:szCs w:val="24"/>
        </w:rPr>
        <w:t xml:space="preserve">Program (“Program”) </w:t>
      </w:r>
      <w:r w:rsidR="005A42D5" w:rsidRPr="006F6BEB">
        <w:rPr>
          <w:rFonts w:cs="Times New Roman"/>
          <w:szCs w:val="24"/>
        </w:rPr>
        <w:t xml:space="preserve">requiring it to meet </w:t>
      </w:r>
      <w:r w:rsidR="0074169C" w:rsidRPr="006F6BEB">
        <w:rPr>
          <w:rFonts w:cs="Times New Roman"/>
          <w:szCs w:val="24"/>
        </w:rPr>
        <w:t xml:space="preserve">nine service quality indices that include </w:t>
      </w:r>
      <w:r w:rsidR="005A42D5" w:rsidRPr="006F6BEB">
        <w:rPr>
          <w:rFonts w:cs="Times New Roman"/>
          <w:szCs w:val="24"/>
        </w:rPr>
        <w:t xml:space="preserve">benchmarks for customer satisfaction, customer services and operations services.  </w:t>
      </w:r>
      <w:r w:rsidR="0074169C" w:rsidRPr="006F6BEB">
        <w:rPr>
          <w:rFonts w:cs="Times New Roman"/>
          <w:szCs w:val="24"/>
        </w:rPr>
        <w:t>The particular service quality indices at issue are summarized in paragraph 6 of the Petition.</w:t>
      </w:r>
    </w:p>
    <w:p w:rsidR="005A42D5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4169C" w:rsidRPr="006F6BEB">
        <w:rPr>
          <w:rFonts w:cs="Times New Roman"/>
          <w:szCs w:val="24"/>
        </w:rPr>
        <w:t>PSE</w:t>
      </w:r>
      <w:r w:rsidR="005A42D5" w:rsidRPr="006F6BEB">
        <w:rPr>
          <w:rFonts w:cs="Times New Roman"/>
          <w:szCs w:val="24"/>
        </w:rPr>
        <w:t xml:space="preserve"> report</w:t>
      </w:r>
      <w:r w:rsidR="0074169C" w:rsidRPr="006F6BEB">
        <w:rPr>
          <w:rFonts w:cs="Times New Roman"/>
          <w:szCs w:val="24"/>
        </w:rPr>
        <w:t>s</w:t>
      </w:r>
      <w:r w:rsidR="005A42D5" w:rsidRPr="006F6BEB">
        <w:rPr>
          <w:rFonts w:cs="Times New Roman"/>
          <w:szCs w:val="24"/>
        </w:rPr>
        <w:t xml:space="preserve"> </w:t>
      </w:r>
      <w:r w:rsidR="0074169C" w:rsidRPr="006F6BEB">
        <w:rPr>
          <w:rFonts w:cs="Times New Roman"/>
          <w:szCs w:val="24"/>
        </w:rPr>
        <w:t>its performance under the Program</w:t>
      </w:r>
      <w:r w:rsidR="005A42D5" w:rsidRPr="006F6BEB">
        <w:rPr>
          <w:rFonts w:cs="Times New Roman"/>
          <w:szCs w:val="24"/>
        </w:rPr>
        <w:t xml:space="preserve"> to the Commission on a semi-annul (July 15 for the January to June time period) and annual basis (February 15 for January through December).  Failure to meet an annual benchmark subjects PSE to financial penalties.</w:t>
      </w:r>
      <w:r w:rsidR="005A42D5" w:rsidRPr="005A42D5">
        <w:rPr>
          <w:rStyle w:val="FootnoteReference"/>
          <w:rFonts w:cs="Times New Roman"/>
          <w:szCs w:val="24"/>
        </w:rPr>
        <w:footnoteReference w:id="1"/>
      </w:r>
      <w:r w:rsidR="0074169C" w:rsidRPr="006F6BEB">
        <w:rPr>
          <w:rFonts w:cs="Times New Roman"/>
          <w:szCs w:val="24"/>
        </w:rPr>
        <w:t xml:space="preserve">  </w:t>
      </w:r>
      <w:r w:rsidR="00ED2922" w:rsidRPr="006F6BEB">
        <w:rPr>
          <w:rFonts w:cs="Times New Roman"/>
          <w:szCs w:val="24"/>
        </w:rPr>
        <w:t>Any penalty amount doubles if PSE fails to meet a benchmark in two or more consecutive years.</w:t>
      </w:r>
      <w:r w:rsidR="00ED2922">
        <w:rPr>
          <w:rStyle w:val="FootnoteReference"/>
          <w:rFonts w:cs="Times New Roman"/>
          <w:szCs w:val="24"/>
        </w:rPr>
        <w:footnoteReference w:id="2"/>
      </w:r>
    </w:p>
    <w:p w:rsidR="00AD5E1F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ab/>
      </w:r>
      <w:r w:rsidR="005A42D5" w:rsidRPr="006F6BEB">
        <w:rPr>
          <w:szCs w:val="24"/>
        </w:rPr>
        <w:t>PSE implem</w:t>
      </w:r>
      <w:r w:rsidR="00476BBC" w:rsidRPr="006F6BEB">
        <w:rPr>
          <w:szCs w:val="24"/>
        </w:rPr>
        <w:t xml:space="preserve">ented the Program </w:t>
      </w:r>
      <w:r w:rsidR="005A42D5" w:rsidRPr="006F6BEB">
        <w:rPr>
          <w:szCs w:val="24"/>
        </w:rPr>
        <w:t xml:space="preserve">in Dockets UE-951270 and UE-960195, which authorized the merger of Washington Natural Gas Company and Puget Sound Power &amp; Light Company in 1997.  The stated purpose of the Program was to “provide a specific </w:t>
      </w:r>
      <w:r w:rsidR="005A42D5" w:rsidRPr="006F6BEB">
        <w:rPr>
          <w:szCs w:val="24"/>
        </w:rPr>
        <w:lastRenderedPageBreak/>
        <w:t>mechanism to assure customers that they will not experience deterioration in quality of service”</w:t>
      </w:r>
      <w:r w:rsidR="005A42D5" w:rsidRPr="00AD5E1F">
        <w:rPr>
          <w:rStyle w:val="FootnoteReference"/>
          <w:szCs w:val="24"/>
        </w:rPr>
        <w:footnoteReference w:id="3"/>
      </w:r>
      <w:r w:rsidR="005A42D5" w:rsidRPr="006F6BEB">
        <w:rPr>
          <w:szCs w:val="24"/>
        </w:rPr>
        <w:t xml:space="preserve"> and to “protect customers of PSE from poorly-targeted cost cutting.”</w:t>
      </w:r>
      <w:r w:rsidR="005A42D5" w:rsidRPr="00AD5E1F">
        <w:rPr>
          <w:rStyle w:val="FootnoteReference"/>
          <w:szCs w:val="24"/>
        </w:rPr>
        <w:footnoteReference w:id="4"/>
      </w:r>
      <w:r w:rsidR="005A42D5" w:rsidRPr="006F6BEB">
        <w:rPr>
          <w:szCs w:val="24"/>
        </w:rPr>
        <w:t xml:space="preserve">  </w:t>
      </w:r>
    </w:p>
    <w:p w:rsidR="005A42D5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ab/>
      </w:r>
      <w:r w:rsidR="005A42D5" w:rsidRPr="006F6BEB">
        <w:rPr>
          <w:szCs w:val="24"/>
        </w:rPr>
        <w:t xml:space="preserve">The Program </w:t>
      </w:r>
      <w:r w:rsidR="00AD5E1F" w:rsidRPr="006F6BEB">
        <w:rPr>
          <w:szCs w:val="24"/>
        </w:rPr>
        <w:t xml:space="preserve">has not diminished in importance since its inception.  In fact, the Program </w:t>
      </w:r>
      <w:r w:rsidR="005A42D5" w:rsidRPr="006F6BEB">
        <w:rPr>
          <w:szCs w:val="24"/>
        </w:rPr>
        <w:t>was extended by Commission orders approving settlement agreements in two general rate case proceedings, most recently in consolidated Dockets UE-072300 and UG-072301.</w:t>
      </w:r>
      <w:r w:rsidR="005A42D5" w:rsidRPr="00476BBC">
        <w:rPr>
          <w:rStyle w:val="FootnoteReference"/>
          <w:szCs w:val="24"/>
        </w:rPr>
        <w:footnoteReference w:id="5"/>
      </w:r>
      <w:r w:rsidR="005A42D5" w:rsidRPr="006F6BEB">
        <w:rPr>
          <w:szCs w:val="24"/>
        </w:rPr>
        <w:t xml:space="preserve">  SQI Nos. </w:t>
      </w:r>
      <w:r w:rsidR="00476BBC" w:rsidRPr="006F6BEB">
        <w:rPr>
          <w:szCs w:val="24"/>
        </w:rPr>
        <w:t xml:space="preserve">2, 5 and 6 </w:t>
      </w:r>
      <w:r w:rsidR="005A42D5" w:rsidRPr="006F6BEB">
        <w:rPr>
          <w:szCs w:val="24"/>
        </w:rPr>
        <w:t xml:space="preserve">have been permanent fixtures of the Program since its inception.  </w:t>
      </w:r>
    </w:p>
    <w:p w:rsidR="00476BBC" w:rsidRDefault="00476BBC" w:rsidP="00476BBC">
      <w:pPr>
        <w:autoSpaceDE w:val="0"/>
        <w:autoSpaceDN w:val="0"/>
        <w:adjustRightInd w:val="0"/>
        <w:spacing w:line="480" w:lineRule="auto"/>
        <w:jc w:val="center"/>
        <w:rPr>
          <w:b/>
          <w:szCs w:val="24"/>
        </w:rPr>
      </w:pPr>
      <w:r w:rsidRPr="00476BBC">
        <w:rPr>
          <w:b/>
          <w:szCs w:val="24"/>
        </w:rPr>
        <w:t>III.</w:t>
      </w:r>
      <w:r w:rsidRPr="00476BBC">
        <w:rPr>
          <w:b/>
          <w:szCs w:val="24"/>
        </w:rPr>
        <w:tab/>
        <w:t>DISCUSSION</w:t>
      </w:r>
    </w:p>
    <w:p w:rsidR="00476BBC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ab/>
      </w:r>
      <w:r w:rsidR="00476BBC" w:rsidRPr="006F6BEB">
        <w:rPr>
          <w:szCs w:val="24"/>
        </w:rPr>
        <w:t>PSE states that it anticipates higher than normal call volumes and longer call handling times during the implementation of the new CIS</w:t>
      </w:r>
      <w:r w:rsidR="0048000D" w:rsidRPr="006F6BEB">
        <w:rPr>
          <w:szCs w:val="24"/>
        </w:rPr>
        <w:t>,</w:t>
      </w:r>
      <w:r w:rsidR="00476BBC" w:rsidRPr="006F6BEB">
        <w:rPr>
          <w:szCs w:val="24"/>
        </w:rPr>
        <w:t xml:space="preserve"> despite</w:t>
      </w:r>
      <w:r w:rsidR="0048000D" w:rsidRPr="006F6BEB">
        <w:rPr>
          <w:szCs w:val="24"/>
        </w:rPr>
        <w:t xml:space="preserve"> steps and plans PSE has undertaken to minimize customer service impacts.  As a result, PSE projects that SQI Nos. 2, 5 and 6 will all be impacted temporarily by implementation of the new CIS.</w:t>
      </w:r>
      <w:r w:rsidR="0048000D">
        <w:rPr>
          <w:rStyle w:val="FootnoteReference"/>
          <w:szCs w:val="24"/>
        </w:rPr>
        <w:footnoteReference w:id="6"/>
      </w:r>
    </w:p>
    <w:p w:rsidR="00AD5E1F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szCs w:val="24"/>
        </w:rPr>
        <w:tab/>
      </w:r>
      <w:r w:rsidR="0048000D" w:rsidRPr="006F6BEB">
        <w:rPr>
          <w:szCs w:val="24"/>
        </w:rPr>
        <w:t xml:space="preserve">These are insufficient grounds to grant PSE’s Petition.  First, </w:t>
      </w:r>
      <w:r w:rsidR="0048000D" w:rsidRPr="006F6BEB">
        <w:rPr>
          <w:rFonts w:cs="Times New Roman"/>
          <w:szCs w:val="24"/>
        </w:rPr>
        <w:t xml:space="preserve">PSE’s </w:t>
      </w:r>
      <w:r w:rsidR="00AD5E1F" w:rsidRPr="006F6BEB">
        <w:rPr>
          <w:rFonts w:cs="Times New Roman"/>
          <w:szCs w:val="24"/>
        </w:rPr>
        <w:t>justification for its Petition is based on speculation regarding the potential impacts of implementation of the new CIS on customer service.  The Commission should not suspend enforcement of customer service q</w:t>
      </w:r>
      <w:r w:rsidR="005B75FD" w:rsidRPr="006F6BEB">
        <w:rPr>
          <w:rFonts w:cs="Times New Roman"/>
          <w:szCs w:val="24"/>
        </w:rPr>
        <w:t xml:space="preserve">uality guarantees based on </w:t>
      </w:r>
      <w:r w:rsidR="00AD5E1F" w:rsidRPr="006F6BEB">
        <w:rPr>
          <w:rFonts w:cs="Times New Roman"/>
          <w:szCs w:val="24"/>
        </w:rPr>
        <w:t>speculation</w:t>
      </w:r>
      <w:r w:rsidR="005B75FD" w:rsidRPr="006F6BEB">
        <w:rPr>
          <w:rFonts w:cs="Times New Roman"/>
          <w:szCs w:val="24"/>
        </w:rPr>
        <w:t>, even informed speculation</w:t>
      </w:r>
      <w:r w:rsidR="00AD5E1F" w:rsidRPr="006F6BEB">
        <w:rPr>
          <w:rFonts w:cs="Times New Roman"/>
          <w:szCs w:val="24"/>
        </w:rPr>
        <w:t>.  This is especially true gi</w:t>
      </w:r>
      <w:r w:rsidR="005B75FD" w:rsidRPr="006F6BEB">
        <w:rPr>
          <w:rFonts w:cs="Times New Roman"/>
          <w:szCs w:val="24"/>
        </w:rPr>
        <w:t>ven the prominence afforded</w:t>
      </w:r>
      <w:r w:rsidR="00AD5E1F" w:rsidRPr="006F6BEB">
        <w:rPr>
          <w:rFonts w:cs="Times New Roman"/>
          <w:szCs w:val="24"/>
        </w:rPr>
        <w:t xml:space="preserve"> the Service Quality Program since its inception in 1997.</w:t>
      </w:r>
    </w:p>
    <w:p w:rsidR="0048000D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="00AD5E1F" w:rsidRPr="006F6BEB">
        <w:rPr>
          <w:rFonts w:cs="Times New Roman"/>
          <w:szCs w:val="24"/>
        </w:rPr>
        <w:t xml:space="preserve">Second, the </w:t>
      </w:r>
      <w:r w:rsidR="0048000D" w:rsidRPr="006F6BEB">
        <w:rPr>
          <w:rFonts w:cs="Times New Roman"/>
          <w:szCs w:val="24"/>
        </w:rPr>
        <w:t>service quality annual report to the Commission may include a mitigation petition for relief from a financial penalty.  The standard to be applied to a request is that:</w:t>
      </w:r>
    </w:p>
    <w:p w:rsidR="0048000D" w:rsidRPr="00603582" w:rsidRDefault="0048000D" w:rsidP="0048000D">
      <w:pPr>
        <w:autoSpaceDE w:val="0"/>
        <w:autoSpaceDN w:val="0"/>
        <w:adjustRightInd w:val="0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[T]he penalty is due to unusual or exceptional circumstances for which PSE’s level of preparedness and response was reasonable.  PSE will not file a mitigation request unless it believes in good faith that it meets this standard.</w:t>
      </w:r>
      <w:r>
        <w:rPr>
          <w:rStyle w:val="FootnoteReference"/>
          <w:rFonts w:cs="Times New Roman"/>
          <w:szCs w:val="24"/>
        </w:rPr>
        <w:footnoteReference w:id="7"/>
      </w:r>
    </w:p>
    <w:p w:rsidR="0048000D" w:rsidRDefault="0048000D" w:rsidP="0048000D">
      <w:pPr>
        <w:autoSpaceDE w:val="0"/>
        <w:autoSpaceDN w:val="0"/>
        <w:adjustRightInd w:val="0"/>
        <w:ind w:left="720" w:hanging="720"/>
        <w:rPr>
          <w:rFonts w:cs="Times New Roman"/>
          <w:b/>
          <w:szCs w:val="24"/>
        </w:rPr>
      </w:pPr>
    </w:p>
    <w:p w:rsidR="0048000D" w:rsidRDefault="0048000D" w:rsidP="0048000D">
      <w:p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provision affords PSE adequate protection.  If </w:t>
      </w:r>
      <w:r w:rsidR="005B75FD">
        <w:rPr>
          <w:rFonts w:cs="Times New Roman"/>
          <w:szCs w:val="24"/>
        </w:rPr>
        <w:t xml:space="preserve">implementation of the new CIS in fact causes PSE to fail </w:t>
      </w:r>
      <w:r w:rsidR="00AD5E1F">
        <w:rPr>
          <w:rFonts w:cs="Times New Roman"/>
          <w:szCs w:val="24"/>
        </w:rPr>
        <w:t>to meet a</w:t>
      </w:r>
      <w:r w:rsidR="005B75FD">
        <w:rPr>
          <w:rFonts w:cs="Times New Roman"/>
          <w:szCs w:val="24"/>
        </w:rPr>
        <w:t>ny b</w:t>
      </w:r>
      <w:r w:rsidR="00AD5E1F">
        <w:rPr>
          <w:rFonts w:cs="Times New Roman"/>
          <w:szCs w:val="24"/>
        </w:rPr>
        <w:t>e</w:t>
      </w:r>
      <w:r w:rsidR="005B75FD">
        <w:rPr>
          <w:rFonts w:cs="Times New Roman"/>
          <w:szCs w:val="24"/>
        </w:rPr>
        <w:t>nchmark</w:t>
      </w:r>
      <w:r>
        <w:rPr>
          <w:rFonts w:cs="Times New Roman"/>
          <w:szCs w:val="24"/>
        </w:rPr>
        <w:t xml:space="preserve">, PSE can seek mitigation </w:t>
      </w:r>
      <w:r w:rsidR="005B75FD">
        <w:rPr>
          <w:rFonts w:cs="Times New Roman"/>
          <w:szCs w:val="24"/>
        </w:rPr>
        <w:t xml:space="preserve">under this standard </w:t>
      </w:r>
      <w:r>
        <w:rPr>
          <w:rFonts w:cs="Times New Roman"/>
          <w:szCs w:val="24"/>
        </w:rPr>
        <w:t xml:space="preserve">and the Commission can relieve PSE of all or some of any penalty </w:t>
      </w:r>
      <w:r w:rsidR="005B75FD">
        <w:rPr>
          <w:rFonts w:cs="Times New Roman"/>
          <w:szCs w:val="24"/>
        </w:rPr>
        <w:t>if warranted by all facts and circumstances</w:t>
      </w:r>
      <w:r w:rsidR="00AD5E1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 The Commission should not, however, provide advance approval for PSE to avoid those measures and any resulting penalties, even on a temporary basis.</w:t>
      </w:r>
    </w:p>
    <w:p w:rsidR="00AD5E1F" w:rsidRPr="006F6BEB" w:rsidRDefault="006F6BEB" w:rsidP="006F6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D5E1F" w:rsidRPr="006F6BEB">
        <w:rPr>
          <w:rFonts w:cs="Times New Roman"/>
          <w:szCs w:val="24"/>
        </w:rPr>
        <w:t>For these reasons, the Commission should deny PSE’s Petition in its entirety.</w:t>
      </w:r>
    </w:p>
    <w:p w:rsidR="000C0FCB" w:rsidRDefault="000C0FCB" w:rsidP="000C0FCB">
      <w:pPr>
        <w:ind w:left="720"/>
      </w:pPr>
      <w:r w:rsidRPr="004A2910">
        <w:t xml:space="preserve">DATED this </w:t>
      </w:r>
      <w:r w:rsidR="00486471">
        <w:t>27</w:t>
      </w:r>
      <w:r w:rsidR="00486471" w:rsidRPr="00486471">
        <w:rPr>
          <w:vertAlign w:val="superscript"/>
        </w:rPr>
        <w:t>th</w:t>
      </w:r>
      <w:r w:rsidR="00486471">
        <w:t xml:space="preserve"> </w:t>
      </w:r>
      <w:bookmarkStart w:id="0" w:name="_GoBack"/>
      <w:bookmarkEnd w:id="0"/>
      <w:r w:rsidRPr="004A2910">
        <w:t xml:space="preserve">day of </w:t>
      </w:r>
      <w:r>
        <w:t xml:space="preserve">March </w:t>
      </w:r>
      <w:r w:rsidRPr="004A2910">
        <w:t>20</w:t>
      </w:r>
      <w:r>
        <w:t>13</w:t>
      </w:r>
      <w:r w:rsidRPr="004A2910">
        <w:t>.</w:t>
      </w:r>
    </w:p>
    <w:p w:rsidR="000C0FCB" w:rsidRDefault="000C0FCB" w:rsidP="000C0FCB">
      <w:pPr>
        <w:ind w:left="720"/>
      </w:pPr>
    </w:p>
    <w:p w:rsidR="000C0FCB" w:rsidRPr="004A2910" w:rsidRDefault="000C0FCB" w:rsidP="000C0FCB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:rsidR="000C0FCB" w:rsidRPr="004A2910" w:rsidRDefault="000C0FCB" w:rsidP="000C0FCB">
      <w:pPr>
        <w:pStyle w:val="BodyTextIndent2"/>
        <w:rPr>
          <w:rFonts w:ascii="Times New Roman" w:hAnsi="Times New Roman"/>
        </w:rPr>
      </w:pPr>
    </w:p>
    <w:p w:rsidR="000C0FCB" w:rsidRPr="004A2910" w:rsidRDefault="000C0FCB" w:rsidP="000C0FCB">
      <w:pPr>
        <w:ind w:left="5040"/>
        <w:jc w:val="both"/>
      </w:pPr>
      <w:r w:rsidRPr="004A2910">
        <w:t>ROB</w:t>
      </w:r>
      <w:r>
        <w:t>ERT W. FERGUSON</w:t>
      </w:r>
      <w:r w:rsidRPr="004A2910">
        <w:t xml:space="preserve"> </w:t>
      </w:r>
    </w:p>
    <w:p w:rsidR="000C0FCB" w:rsidRPr="004A2910" w:rsidRDefault="000C0FCB" w:rsidP="000C0FCB">
      <w:pPr>
        <w:ind w:firstLine="5040"/>
        <w:jc w:val="both"/>
      </w:pPr>
      <w:r w:rsidRPr="004A2910">
        <w:t>Attorney General</w:t>
      </w:r>
    </w:p>
    <w:p w:rsidR="000C0FCB" w:rsidRPr="004A2910" w:rsidRDefault="000C0FCB" w:rsidP="000C0FCB">
      <w:pPr>
        <w:jc w:val="both"/>
      </w:pPr>
    </w:p>
    <w:p w:rsidR="000C0FCB" w:rsidRDefault="000C0FCB" w:rsidP="000C0FCB">
      <w:pPr>
        <w:jc w:val="both"/>
      </w:pPr>
    </w:p>
    <w:p w:rsidR="000C0FCB" w:rsidRPr="004A2910" w:rsidRDefault="000C0FCB" w:rsidP="000C0FCB">
      <w:pPr>
        <w:jc w:val="both"/>
      </w:pPr>
    </w:p>
    <w:p w:rsidR="000C0FCB" w:rsidRPr="004A2910" w:rsidRDefault="000C0FCB" w:rsidP="000C0FCB">
      <w:pPr>
        <w:ind w:left="1440" w:firstLine="3600"/>
        <w:jc w:val="both"/>
      </w:pPr>
      <w:r w:rsidRPr="004A2910">
        <w:t>______________________________</w:t>
      </w:r>
    </w:p>
    <w:p w:rsidR="000C0FCB" w:rsidRPr="004A2910" w:rsidRDefault="000C0FCB" w:rsidP="000C0FCB">
      <w:pPr>
        <w:ind w:firstLine="5040"/>
        <w:jc w:val="both"/>
      </w:pPr>
      <w:r>
        <w:t xml:space="preserve">ROBERT D. CEDARBAUM </w:t>
      </w:r>
    </w:p>
    <w:p w:rsidR="000C0FCB" w:rsidRPr="004A2910" w:rsidRDefault="000C0FCB" w:rsidP="000C0FCB">
      <w:pPr>
        <w:ind w:left="1440" w:firstLine="3600"/>
        <w:jc w:val="both"/>
      </w:pPr>
      <w:r w:rsidRPr="004A2910">
        <w:t>Assistant Attorney General</w:t>
      </w:r>
    </w:p>
    <w:p w:rsidR="000C0FCB" w:rsidRPr="004A2910" w:rsidRDefault="000C0FCB" w:rsidP="000C0FCB">
      <w:pPr>
        <w:ind w:left="2160" w:firstLine="2880"/>
        <w:jc w:val="both"/>
      </w:pPr>
      <w:r w:rsidRPr="004A2910"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t>Washington</w:t>
          </w:r>
        </w:smartTag>
      </w:smartTag>
      <w:r w:rsidRPr="004A2910">
        <w:t xml:space="preserve"> Utilities and</w:t>
      </w:r>
    </w:p>
    <w:p w:rsidR="005A42D5" w:rsidRPr="000C0FCB" w:rsidRDefault="000C0FCB" w:rsidP="000C0FCB">
      <w:pPr>
        <w:ind w:left="2880" w:firstLine="2160"/>
        <w:jc w:val="both"/>
      </w:pPr>
      <w:r>
        <w:t>Transportation Commission Staff</w:t>
      </w:r>
    </w:p>
    <w:sectPr w:rsidR="005A42D5" w:rsidRPr="000C0FCB" w:rsidSect="006F6BEB">
      <w:footerReference w:type="default" r:id="rId9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1F" w:rsidRDefault="00AD5E1F" w:rsidP="005A42D5">
      <w:r>
        <w:separator/>
      </w:r>
    </w:p>
  </w:endnote>
  <w:endnote w:type="continuationSeparator" w:id="0">
    <w:p w:rsidR="00AD5E1F" w:rsidRDefault="00AD5E1F" w:rsidP="005A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71" w:rsidRDefault="00486471">
    <w:pPr>
      <w:pStyle w:val="Footer"/>
      <w:rPr>
        <w:sz w:val="20"/>
        <w:szCs w:val="20"/>
      </w:rPr>
    </w:pPr>
  </w:p>
  <w:p w:rsidR="00486471" w:rsidRDefault="00486471">
    <w:pPr>
      <w:pStyle w:val="Footer"/>
      <w:rPr>
        <w:sz w:val="20"/>
        <w:szCs w:val="20"/>
      </w:rPr>
    </w:pPr>
    <w:r w:rsidRPr="00486471">
      <w:rPr>
        <w:sz w:val="20"/>
        <w:szCs w:val="20"/>
      </w:rPr>
      <w:t xml:space="preserve">ANSWER OF COMMISSION STAFF TO </w:t>
    </w:r>
  </w:p>
  <w:p w:rsidR="00486471" w:rsidRPr="00486471" w:rsidRDefault="00486471">
    <w:pPr>
      <w:pStyle w:val="Footer"/>
      <w:rPr>
        <w:sz w:val="20"/>
        <w:szCs w:val="20"/>
      </w:rPr>
    </w:pPr>
    <w:r w:rsidRPr="00486471">
      <w:rPr>
        <w:sz w:val="20"/>
        <w:szCs w:val="20"/>
      </w:rPr>
      <w:t>PETITION OF PUGET SOUND ENERGY, INC.</w:t>
    </w:r>
    <w:r>
      <w:rPr>
        <w:sz w:val="20"/>
        <w:szCs w:val="20"/>
      </w:rPr>
      <w:t xml:space="preserve"> - </w:t>
    </w:r>
    <w:r w:rsidRPr="00486471">
      <w:rPr>
        <w:sz w:val="20"/>
        <w:szCs w:val="20"/>
      </w:rPr>
      <w:fldChar w:fldCharType="begin"/>
    </w:r>
    <w:r w:rsidRPr="00486471">
      <w:rPr>
        <w:sz w:val="20"/>
        <w:szCs w:val="20"/>
      </w:rPr>
      <w:instrText xml:space="preserve"> PAGE   \* MERGEFORMAT </w:instrText>
    </w:r>
    <w:r w:rsidRPr="00486471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48647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1F" w:rsidRDefault="00AD5E1F" w:rsidP="005A42D5">
      <w:r>
        <w:separator/>
      </w:r>
    </w:p>
  </w:footnote>
  <w:footnote w:type="continuationSeparator" w:id="0">
    <w:p w:rsidR="00AD5E1F" w:rsidRDefault="00AD5E1F" w:rsidP="005A42D5">
      <w:r>
        <w:continuationSeparator/>
      </w:r>
    </w:p>
  </w:footnote>
  <w:footnote w:id="1">
    <w:p w:rsidR="00AD5E1F" w:rsidRPr="00476BBC" w:rsidRDefault="00AD5E1F" w:rsidP="005A42D5">
      <w:pPr>
        <w:autoSpaceDE w:val="0"/>
        <w:autoSpaceDN w:val="0"/>
        <w:adjustRightInd w:val="0"/>
        <w:rPr>
          <w:sz w:val="20"/>
          <w:szCs w:val="20"/>
        </w:rPr>
      </w:pPr>
      <w:r w:rsidRPr="00476BBC">
        <w:rPr>
          <w:rStyle w:val="FootnoteReference"/>
          <w:sz w:val="20"/>
          <w:szCs w:val="20"/>
        </w:rPr>
        <w:footnoteRef/>
      </w:r>
      <w:r w:rsidRPr="00476BBC">
        <w:rPr>
          <w:sz w:val="20"/>
          <w:szCs w:val="20"/>
        </w:rPr>
        <w:t xml:space="preserve"> </w:t>
      </w:r>
      <w:r w:rsidRPr="00476BBC">
        <w:rPr>
          <w:i/>
          <w:sz w:val="20"/>
          <w:szCs w:val="20"/>
        </w:rPr>
        <w:t>In re Application of Puget Sound Power &amp; Light Company and Washington Natural Gas Company</w:t>
      </w:r>
      <w:r w:rsidRPr="00476BBC">
        <w:rPr>
          <w:sz w:val="20"/>
          <w:szCs w:val="20"/>
        </w:rPr>
        <w:t>, Dockets UE-951270 and UG-960195, Fourteenth Suppl. Order Accepting Stipulation; App</w:t>
      </w:r>
      <w:r w:rsidR="000C0FCB">
        <w:rPr>
          <w:sz w:val="20"/>
          <w:szCs w:val="20"/>
        </w:rPr>
        <w:t xml:space="preserve">roving Merger, Exhibit J at ¶7 </w:t>
      </w:r>
      <w:r w:rsidRPr="00476BBC">
        <w:rPr>
          <w:sz w:val="20"/>
          <w:szCs w:val="20"/>
        </w:rPr>
        <w:t xml:space="preserve">(February 5, 1997).  </w:t>
      </w:r>
    </w:p>
  </w:footnote>
  <w:footnote w:id="2">
    <w:p w:rsidR="00AD5E1F" w:rsidRPr="00476BBC" w:rsidRDefault="00AD5E1F">
      <w:pPr>
        <w:pStyle w:val="FootnoteText"/>
      </w:pPr>
      <w:r w:rsidRPr="00476BBC">
        <w:rPr>
          <w:rStyle w:val="FootnoteReference"/>
        </w:rPr>
        <w:footnoteRef/>
      </w:r>
      <w:r w:rsidRPr="00476BBC">
        <w:t xml:space="preserve"> </w:t>
      </w:r>
      <w:r w:rsidRPr="00476BBC">
        <w:rPr>
          <w:i/>
        </w:rPr>
        <w:t>WUTC v. Puget Sound Energy, Inc</w:t>
      </w:r>
      <w:r w:rsidRPr="00476BBC">
        <w:t>., Dockets UE-072300 and UG-072301, Order 12, Final Order Approving and Adopting Settlement Stipulations; Authorizing and Requiring Compliance Filing, Appendix D at ¶15 (October 8, 2008).</w:t>
      </w:r>
    </w:p>
  </w:footnote>
  <w:footnote w:id="3">
    <w:p w:rsidR="00AD5E1F" w:rsidRPr="00476BBC" w:rsidRDefault="00AD5E1F" w:rsidP="005A42D5">
      <w:pPr>
        <w:pStyle w:val="FootnoteText"/>
      </w:pPr>
      <w:r w:rsidRPr="00476BBC">
        <w:rPr>
          <w:rStyle w:val="FootnoteReference"/>
        </w:rPr>
        <w:footnoteRef/>
      </w:r>
      <w:r w:rsidRPr="00476BBC">
        <w:t xml:space="preserve"> </w:t>
      </w:r>
      <w:r w:rsidRPr="00476BBC">
        <w:rPr>
          <w:i/>
        </w:rPr>
        <w:t>In re Application of Puget Sound Power &amp; Light Company and Washington Natural Gas Company</w:t>
      </w:r>
      <w:r w:rsidRPr="00476BBC">
        <w:t>, Dockets UE-951270 and UG-960195, Fourteenth Suppl. Order Accepting Stipulation; Approving Merger (February 5, 1997) (Stipulation at 11:14-15).</w:t>
      </w:r>
    </w:p>
  </w:footnote>
  <w:footnote w:id="4">
    <w:p w:rsidR="00AD5E1F" w:rsidRPr="00476BBC" w:rsidRDefault="00AD5E1F" w:rsidP="005A42D5">
      <w:pPr>
        <w:pStyle w:val="FootnoteText"/>
      </w:pPr>
      <w:r w:rsidRPr="00476BBC">
        <w:rPr>
          <w:rStyle w:val="FootnoteReference"/>
        </w:rPr>
        <w:footnoteRef/>
      </w:r>
      <w:r w:rsidRPr="00476BBC">
        <w:t xml:space="preserve"> </w:t>
      </w:r>
      <w:proofErr w:type="gramStart"/>
      <w:r w:rsidRPr="00476BBC">
        <w:rPr>
          <w:i/>
        </w:rPr>
        <w:t>Id</w:t>
      </w:r>
      <w:r w:rsidRPr="00476BBC">
        <w:t>. at ¶3.</w:t>
      </w:r>
      <w:proofErr w:type="gramEnd"/>
    </w:p>
  </w:footnote>
  <w:footnote w:id="5">
    <w:p w:rsidR="00AD5E1F" w:rsidRDefault="00AD5E1F" w:rsidP="005A42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0AED">
        <w:rPr>
          <w:i/>
        </w:rPr>
        <w:t>WUTC v. Puget Sound Energy, Inc</w:t>
      </w:r>
      <w:r>
        <w:t xml:space="preserve">., Dockets UE-072300 and UG-072301, Order 12 at ¶93, Final Order Approving and Adopting Settlement Stipulations; Authorizing and Requiring Compliance Filing (October 8, 2008).  See also, </w:t>
      </w:r>
      <w:r w:rsidRPr="002A2579">
        <w:rPr>
          <w:i/>
        </w:rPr>
        <w:t>WUTC v. Puget Sound Energy, Inc</w:t>
      </w:r>
      <w:r>
        <w:t>., Dockets UE-011570 and UG-011571, Twelfth Suppl. Order Rejecting Tariff Filing; Approving and Adopting Settlement Stipulation Subject to Modifications, Clarifications and Conditions (June 20, 2002) (Exhibit J to Settlement Stipulation).</w:t>
      </w:r>
    </w:p>
  </w:footnote>
  <w:footnote w:id="6">
    <w:p w:rsidR="00AD5E1F" w:rsidRDefault="00AD5E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Petition at ¶¶12-13.</w:t>
      </w:r>
      <w:proofErr w:type="gramEnd"/>
    </w:p>
  </w:footnote>
  <w:footnote w:id="7">
    <w:p w:rsidR="00AD5E1F" w:rsidRDefault="00AD5E1F" w:rsidP="004800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2579">
        <w:rPr>
          <w:i/>
        </w:rPr>
        <w:t>WUTC v. Puget Sound Energy, Inc</w:t>
      </w:r>
      <w:r>
        <w:t>., Dockets UE-011570 and UG-011571, Twelfth Suppl. Order Rejecting Tariff Filing; Approving and Adopting Settlement Stipulation Subject to Modifications, Clarifications and Conditions (June 20, 2002) (Exhibit J to Settlement Stipulation, ¶8).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D92"/>
    <w:multiLevelType w:val="hybridMultilevel"/>
    <w:tmpl w:val="034A6DA6"/>
    <w:lvl w:ilvl="0" w:tplc="A126D69E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B2809"/>
    <w:multiLevelType w:val="hybridMultilevel"/>
    <w:tmpl w:val="1C90175C"/>
    <w:lvl w:ilvl="0" w:tplc="A126D69E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052A6"/>
    <w:multiLevelType w:val="hybridMultilevel"/>
    <w:tmpl w:val="BE80E3F8"/>
    <w:lvl w:ilvl="0" w:tplc="B50AB7DE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8D"/>
    <w:rsid w:val="000A6B52"/>
    <w:rsid w:val="000C0FCB"/>
    <w:rsid w:val="001A1621"/>
    <w:rsid w:val="002D2E31"/>
    <w:rsid w:val="00311CEE"/>
    <w:rsid w:val="003E2ABD"/>
    <w:rsid w:val="00476BBC"/>
    <w:rsid w:val="0048000D"/>
    <w:rsid w:val="00486471"/>
    <w:rsid w:val="00591E95"/>
    <w:rsid w:val="00595028"/>
    <w:rsid w:val="005A42D5"/>
    <w:rsid w:val="005B75FD"/>
    <w:rsid w:val="00641B51"/>
    <w:rsid w:val="006F6BEB"/>
    <w:rsid w:val="0074169C"/>
    <w:rsid w:val="00902EC3"/>
    <w:rsid w:val="009E4EBD"/>
    <w:rsid w:val="00A1788D"/>
    <w:rsid w:val="00AD5E1F"/>
    <w:rsid w:val="00AF3B04"/>
    <w:rsid w:val="00CE1768"/>
    <w:rsid w:val="00ED2922"/>
    <w:rsid w:val="00F700F9"/>
    <w:rsid w:val="00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2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2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000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C0FCB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C0FCB"/>
    <w:rPr>
      <w:rFonts w:ascii="Palatino Linotype" w:eastAsia="Times New Roman" w:hAnsi="Palatino Linotyp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71"/>
  </w:style>
  <w:style w:type="paragraph" w:styleId="Footer">
    <w:name w:val="footer"/>
    <w:basedOn w:val="Normal"/>
    <w:link w:val="FooterChar"/>
    <w:uiPriority w:val="99"/>
    <w:unhideWhenUsed/>
    <w:rsid w:val="00486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2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2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000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C0FCB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C0FCB"/>
    <w:rPr>
      <w:rFonts w:ascii="Palatino Linotype" w:eastAsia="Times New Roman" w:hAnsi="Palatino Linotyp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71"/>
  </w:style>
  <w:style w:type="paragraph" w:styleId="Footer">
    <w:name w:val="footer"/>
    <w:basedOn w:val="Normal"/>
    <w:link w:val="FooterChar"/>
    <w:uiPriority w:val="99"/>
    <w:unhideWhenUsed/>
    <w:rsid w:val="00486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22CDF-1D11-4AFF-BA22-581B55EA2678}"/>
</file>

<file path=customXml/itemProps2.xml><?xml version="1.0" encoding="utf-8"?>
<ds:datastoreItem xmlns:ds="http://schemas.openxmlformats.org/officeDocument/2006/customXml" ds:itemID="{E4359A23-4935-4F33-AB2A-33BCCABC6A55}"/>
</file>

<file path=customXml/itemProps3.xml><?xml version="1.0" encoding="utf-8"?>
<ds:datastoreItem xmlns:ds="http://schemas.openxmlformats.org/officeDocument/2006/customXml" ds:itemID="{853E082D-1094-4712-A94F-340D50DEA354}"/>
</file>

<file path=customXml/itemProps4.xml><?xml version="1.0" encoding="utf-8"?>
<ds:datastoreItem xmlns:ds="http://schemas.openxmlformats.org/officeDocument/2006/customXml" ds:itemID="{1BA1EF27-C859-4EEF-A3BD-C176DD30A428}"/>
</file>

<file path=customXml/itemProps5.xml><?xml version="1.0" encoding="utf-8"?>
<ds:datastoreItem xmlns:ds="http://schemas.openxmlformats.org/officeDocument/2006/customXml" ds:itemID="{4B976A6A-AE3D-4154-891C-D4EB36628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Cedarbaum, Bob (UTC)</dc:creator>
  <cp:lastModifiedBy>Krista Gross</cp:lastModifiedBy>
  <cp:revision>5</cp:revision>
  <dcterms:created xsi:type="dcterms:W3CDTF">2013-03-25T15:51:00Z</dcterms:created>
  <dcterms:modified xsi:type="dcterms:W3CDTF">2013-03-26T16:11:00Z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