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6F5B" w14:textId="77777777" w:rsidR="00D57785" w:rsidRDefault="00D57785">
      <w:pPr>
        <w:pStyle w:val="Title"/>
      </w:pPr>
    </w:p>
    <w:p w14:paraId="4279ED45" w14:textId="77777777" w:rsidR="00AF1736" w:rsidRDefault="00AF1736">
      <w:pPr>
        <w:jc w:val="center"/>
        <w:rPr>
          <w:b/>
          <w:bCs/>
        </w:rPr>
      </w:pPr>
      <w:r>
        <w:rPr>
          <w:b/>
          <w:bCs/>
        </w:rPr>
        <w:t xml:space="preserve">BEFORE THE WASHINGTON </w:t>
      </w:r>
    </w:p>
    <w:p w14:paraId="4A5B06D8" w14:textId="77777777" w:rsidR="0096084F" w:rsidRDefault="0096084F">
      <w:pPr>
        <w:jc w:val="center"/>
        <w:rPr>
          <w:b/>
          <w:bCs/>
        </w:rPr>
      </w:pPr>
    </w:p>
    <w:p w14:paraId="5A90499B" w14:textId="77777777" w:rsidR="00B43A04" w:rsidRDefault="00AF1736">
      <w:pPr>
        <w:jc w:val="center"/>
        <w:rPr>
          <w:b/>
          <w:bCs/>
        </w:rPr>
      </w:pPr>
      <w:r>
        <w:rPr>
          <w:b/>
          <w:bCs/>
        </w:rPr>
        <w:t xml:space="preserve">UTILITIES AND TRANSPORTATION COMMISSION </w:t>
      </w:r>
    </w:p>
    <w:p w14:paraId="6C649B78" w14:textId="77777777" w:rsidR="00B43A04" w:rsidRDefault="00B43A04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310"/>
        <w:gridCol w:w="4542"/>
      </w:tblGrid>
      <w:tr w:rsidR="00B43A04" w14:paraId="1E00A790" w14:textId="77777777" w:rsidTr="00CA1E04">
        <w:trPr>
          <w:trHeight w:val="1593"/>
        </w:trPr>
        <w:tc>
          <w:tcPr>
            <w:tcW w:w="4508" w:type="dxa"/>
            <w:tcBorders>
              <w:bottom w:val="single" w:sz="4" w:space="0" w:color="auto"/>
            </w:tcBorders>
          </w:tcPr>
          <w:p w14:paraId="6AAD3477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WASHINGTON UTILITIES AND TRANSPORTATION COMMISSION,</w:t>
            </w:r>
          </w:p>
          <w:p w14:paraId="11C2AC66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745C7F7F" w14:textId="77777777" w:rsidR="00AF1736" w:rsidRDefault="00AF1736" w:rsidP="00525E22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14:paraId="1B941F0E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1C780F90" w14:textId="77777777" w:rsidR="00AF1736" w:rsidRDefault="00AF1736" w:rsidP="00AF1736">
            <w:pPr>
              <w:rPr>
                <w:bCs/>
              </w:rPr>
            </w:pPr>
            <w:proofErr w:type="gramStart"/>
            <w:r>
              <w:rPr>
                <w:bCs/>
              </w:rPr>
              <w:t>v</w:t>
            </w:r>
            <w:proofErr w:type="gramEnd"/>
            <w:r>
              <w:rPr>
                <w:bCs/>
              </w:rPr>
              <w:t>.</w:t>
            </w:r>
          </w:p>
          <w:p w14:paraId="44F9D8FC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400614F0" w14:textId="54E431E6" w:rsidR="00AF1736" w:rsidRDefault="0046324C" w:rsidP="00AF173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PUGET SOUND ENERGY</w:t>
            </w:r>
            <w:r w:rsidR="00AF1736" w:rsidRPr="001A5EFC">
              <w:rPr>
                <w:bCs/>
              </w:rPr>
              <w:t xml:space="preserve">, </w:t>
            </w:r>
          </w:p>
          <w:p w14:paraId="445E096A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669BF342" w14:textId="77777777" w:rsidR="00454391" w:rsidRPr="00625777" w:rsidRDefault="00AF1736" w:rsidP="00AF1736">
            <w:pPr>
              <w:tabs>
                <w:tab w:val="left" w:pos="14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ab/>
              <w:t>Respondent.</w:t>
            </w:r>
          </w:p>
        </w:tc>
        <w:tc>
          <w:tcPr>
            <w:tcW w:w="310" w:type="dxa"/>
          </w:tcPr>
          <w:p w14:paraId="07D01D52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56018D4F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1496E439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7BBE0DFC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452B6DFD" w14:textId="77777777" w:rsidR="00625777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2E275D0D" w14:textId="77777777" w:rsidR="00E34B0B" w:rsidRDefault="00E34B0B">
            <w:pPr>
              <w:pStyle w:val="SingleSpacing"/>
              <w:spacing w:line="240" w:lineRule="auto"/>
            </w:pPr>
            <w:r>
              <w:t>)</w:t>
            </w:r>
          </w:p>
          <w:p w14:paraId="372982E8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4E8FC730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7CD94C28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374BA4ED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6C02DE74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542" w:type="dxa"/>
          </w:tcPr>
          <w:p w14:paraId="451CF77C" w14:textId="6A0A2BE3" w:rsidR="00B43A04" w:rsidRPr="0096084F" w:rsidRDefault="00AF1736" w:rsidP="00EA17EA">
            <w:pPr>
              <w:pStyle w:val="SingleSpacing"/>
              <w:spacing w:line="240" w:lineRule="auto"/>
              <w:ind w:left="492" w:hanging="90"/>
            </w:pPr>
            <w:bookmarkStart w:id="0" w:name="CaseNumber"/>
            <w:bookmarkEnd w:id="0"/>
            <w:r w:rsidRPr="0096084F">
              <w:t>DOCKET NO. UE-</w:t>
            </w:r>
            <w:r w:rsidR="00F865D1" w:rsidRPr="0096084F">
              <w:t>161123</w:t>
            </w:r>
          </w:p>
          <w:p w14:paraId="034F26E5" w14:textId="77777777" w:rsidR="00B43A04" w:rsidRPr="0096084F" w:rsidRDefault="00B43A04">
            <w:pPr>
              <w:pStyle w:val="SingleSpacing"/>
              <w:spacing w:line="240" w:lineRule="auto"/>
            </w:pPr>
          </w:p>
          <w:p w14:paraId="0E93C050" w14:textId="77777777" w:rsidR="00AF1736" w:rsidRPr="0096084F" w:rsidRDefault="00AF1736" w:rsidP="00AF1736">
            <w:pPr>
              <w:pStyle w:val="BodyText2"/>
              <w:ind w:left="410"/>
              <w:rPr>
                <w:b w:val="0"/>
                <w:bCs w:val="0"/>
              </w:rPr>
            </w:pPr>
          </w:p>
          <w:p w14:paraId="55457B7B" w14:textId="77777777" w:rsidR="00AF1736" w:rsidRPr="0096084F" w:rsidRDefault="00AF1736" w:rsidP="00AF1736">
            <w:pPr>
              <w:pStyle w:val="BodyText2"/>
              <w:ind w:left="410"/>
              <w:rPr>
                <w:b w:val="0"/>
                <w:bCs w:val="0"/>
              </w:rPr>
            </w:pPr>
          </w:p>
          <w:p w14:paraId="659EF3ED" w14:textId="6BF869AB" w:rsidR="00B43A04" w:rsidRPr="008249F9" w:rsidRDefault="00B43A04" w:rsidP="00AF1736">
            <w:pPr>
              <w:pStyle w:val="BodyText2"/>
              <w:ind w:left="410"/>
              <w:rPr>
                <w:bCs w:val="0"/>
              </w:rPr>
            </w:pPr>
            <w:r w:rsidRPr="0096084F">
              <w:rPr>
                <w:b w:val="0"/>
                <w:bCs w:val="0"/>
              </w:rPr>
              <w:t>PETITION</w:t>
            </w:r>
            <w:r w:rsidR="000A4BD2" w:rsidRPr="0096084F">
              <w:rPr>
                <w:b w:val="0"/>
                <w:bCs w:val="0"/>
              </w:rPr>
              <w:t xml:space="preserve"> TO INTERVENE</w:t>
            </w:r>
            <w:r w:rsidRPr="0096084F">
              <w:rPr>
                <w:b w:val="0"/>
                <w:bCs w:val="0"/>
              </w:rPr>
              <w:t xml:space="preserve"> </w:t>
            </w:r>
            <w:r w:rsidR="00443EC1" w:rsidRPr="0096084F">
              <w:rPr>
                <w:b w:val="0"/>
                <w:bCs w:val="0"/>
              </w:rPr>
              <w:t>OF</w:t>
            </w:r>
            <w:r w:rsidR="00B11CD9" w:rsidRPr="0096084F">
              <w:rPr>
                <w:b w:val="0"/>
                <w:bCs w:val="0"/>
              </w:rPr>
              <w:t xml:space="preserve"> </w:t>
            </w:r>
            <w:r w:rsidR="00AF1736" w:rsidRPr="0096084F">
              <w:rPr>
                <w:b w:val="0"/>
                <w:bCs w:val="0"/>
              </w:rPr>
              <w:t xml:space="preserve">THE </w:t>
            </w:r>
            <w:r w:rsidR="00A50BD4" w:rsidRPr="0096084F">
              <w:rPr>
                <w:b w:val="0"/>
                <w:bCs w:val="0"/>
              </w:rPr>
              <w:t xml:space="preserve">NORTHWEST AND INTERMOUNTAIN POWER PRODUCERS </w:t>
            </w:r>
            <w:r w:rsidR="00E34C41" w:rsidRPr="0096084F">
              <w:rPr>
                <w:b w:val="0"/>
                <w:bCs w:val="0"/>
              </w:rPr>
              <w:t>COALITION</w:t>
            </w:r>
            <w:r w:rsidR="00E34C41" w:rsidRPr="008249F9">
              <w:rPr>
                <w:bCs w:val="0"/>
              </w:rPr>
              <w:t xml:space="preserve"> </w:t>
            </w:r>
          </w:p>
        </w:tc>
      </w:tr>
    </w:tbl>
    <w:p w14:paraId="1A28F856" w14:textId="77777777" w:rsidR="00B43A04" w:rsidRPr="006A3AAB" w:rsidRDefault="00B43A04" w:rsidP="00656B7E">
      <w:pPr>
        <w:ind w:hanging="540"/>
      </w:pPr>
    </w:p>
    <w:p w14:paraId="17E6BACC" w14:textId="2FDFB1D3" w:rsidR="00656B7E" w:rsidRDefault="00C30E31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ab/>
      </w:r>
      <w:r w:rsidR="00AF1736">
        <w:t>Pursuant to Washington Administrative Code (“WAC”) § 480-07-355, the</w:t>
      </w:r>
      <w:r w:rsidR="007932B6">
        <w:t xml:space="preserve"> </w:t>
      </w:r>
      <w:r w:rsidR="00A22901" w:rsidRPr="00501FAA">
        <w:rPr>
          <w:rFonts w:eastAsia="ＭＳ 明朝"/>
          <w:szCs w:val="24"/>
          <w:lang w:eastAsia="ja-JP"/>
        </w:rPr>
        <w:t>Northwest and Intermountain Power Producers Coalition</w:t>
      </w:r>
      <w:r w:rsidR="00B11CD9">
        <w:t xml:space="preserve"> </w:t>
      </w:r>
      <w:r w:rsidR="008732C9">
        <w:t>(</w:t>
      </w:r>
      <w:r w:rsidR="00AF1736">
        <w:t>“</w:t>
      </w:r>
      <w:r w:rsidR="00A22901">
        <w:t>NIPPC</w:t>
      </w:r>
      <w:r w:rsidR="008732C9">
        <w:t>”)</w:t>
      </w:r>
      <w:r w:rsidR="00A15373">
        <w:t xml:space="preserve"> </w:t>
      </w:r>
      <w:r w:rsidR="00EA17EA">
        <w:t>pe</w:t>
      </w:r>
      <w:r w:rsidR="00AF1736">
        <w:t>titions the Washington Utilities and Transportation</w:t>
      </w:r>
      <w:r w:rsidR="00EA17EA">
        <w:t xml:space="preserve"> Commission (the “Commission”)</w:t>
      </w:r>
      <w:r w:rsidR="006866C4">
        <w:t xml:space="preserve"> to intervene</w:t>
      </w:r>
      <w:r w:rsidR="00AF1736">
        <w:t xml:space="preserve"> with full party status as described in WAC § 480-07-340.  </w:t>
      </w:r>
      <w:r w:rsidR="003E76C0" w:rsidRPr="003E76C0">
        <w:t xml:space="preserve">The administrative rules at issue are </w:t>
      </w:r>
      <w:r w:rsidR="003E76C0">
        <w:t>WAC §§ 480-07-340 and 480-07-</w:t>
      </w:r>
      <w:r w:rsidR="003E76C0" w:rsidRPr="003E76C0">
        <w:t>355.</w:t>
      </w:r>
      <w:r w:rsidR="003E76C0">
        <w:t xml:space="preserve">  As required in WAC § 480-0</w:t>
      </w:r>
      <w:r w:rsidR="00FE251C">
        <w:t>7-355, NIPPC</w:t>
      </w:r>
      <w:r w:rsidR="00AF1736">
        <w:t xml:space="preserve"> states</w:t>
      </w:r>
      <w:r w:rsidR="00443EC1">
        <w:t xml:space="preserve"> as follows:</w:t>
      </w:r>
      <w:r w:rsidR="00B43A04">
        <w:tab/>
      </w:r>
    </w:p>
    <w:p w14:paraId="56FC7810" w14:textId="64DEFD58" w:rsidR="00656B7E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ab/>
        <w:t xml:space="preserve"> </w:t>
      </w:r>
      <w:r w:rsidRPr="00E242C6">
        <w:t xml:space="preserve">The name and address of </w:t>
      </w:r>
      <w:r w:rsidR="00A22901">
        <w:t>NIPPC</w:t>
      </w:r>
      <w:r>
        <w:t xml:space="preserve"> </w:t>
      </w:r>
      <w:r w:rsidRPr="00E242C6">
        <w:t>is:</w:t>
      </w:r>
    </w:p>
    <w:p w14:paraId="3E5845F4" w14:textId="77777777" w:rsidR="00A22901" w:rsidRDefault="00A22901" w:rsidP="00F81F53">
      <w:pPr>
        <w:ind w:left="2520" w:firstLine="180"/>
      </w:pPr>
      <w:r w:rsidRPr="00501FAA">
        <w:rPr>
          <w:rFonts w:eastAsia="ＭＳ 明朝"/>
          <w:szCs w:val="24"/>
          <w:lang w:eastAsia="ja-JP"/>
        </w:rPr>
        <w:t>Northwest and Intermountain Power Producers Coalition</w:t>
      </w:r>
      <w:r>
        <w:t xml:space="preserve"> </w:t>
      </w:r>
    </w:p>
    <w:p w14:paraId="0C8BA27F" w14:textId="77777777" w:rsidR="00A22901" w:rsidRPr="00501FAA" w:rsidRDefault="00A22901" w:rsidP="00A22901">
      <w:pPr>
        <w:ind w:left="1980" w:firstLine="720"/>
        <w:rPr>
          <w:rFonts w:eastAsia="ＭＳ 明朝"/>
          <w:szCs w:val="24"/>
          <w:lang w:eastAsia="ja-JP"/>
        </w:rPr>
      </w:pPr>
      <w:r>
        <w:rPr>
          <w:rFonts w:eastAsia="ＭＳ 明朝"/>
          <w:szCs w:val="24"/>
          <w:lang w:eastAsia="ja-JP"/>
        </w:rPr>
        <w:t>Robert D. Kahn</w:t>
      </w:r>
      <w:r w:rsidRPr="00501FAA">
        <w:rPr>
          <w:rFonts w:eastAsia="ＭＳ 明朝"/>
          <w:szCs w:val="24"/>
          <w:lang w:eastAsia="ja-JP"/>
        </w:rPr>
        <w:t xml:space="preserve"> </w:t>
      </w:r>
    </w:p>
    <w:p w14:paraId="63E5AA71" w14:textId="77777777" w:rsidR="00A22901" w:rsidRPr="00501FAA" w:rsidRDefault="00A22901" w:rsidP="00A22901">
      <w:pPr>
        <w:ind w:left="1980" w:firstLine="720"/>
        <w:rPr>
          <w:rFonts w:eastAsia="ＭＳ 明朝"/>
          <w:szCs w:val="24"/>
          <w:lang w:eastAsia="ja-JP"/>
        </w:rPr>
      </w:pPr>
      <w:r w:rsidRPr="00501FAA">
        <w:rPr>
          <w:rFonts w:eastAsia="ＭＳ 明朝"/>
          <w:szCs w:val="24"/>
          <w:lang w:eastAsia="ja-JP"/>
        </w:rPr>
        <w:t>Executive Director</w:t>
      </w:r>
    </w:p>
    <w:p w14:paraId="7CC895C0" w14:textId="77777777" w:rsidR="00A22901" w:rsidRPr="00A57CE7" w:rsidRDefault="00A22901" w:rsidP="00A22901">
      <w:pPr>
        <w:ind w:left="1980" w:firstLine="720"/>
        <w:rPr>
          <w:rFonts w:eastAsia="ＭＳ 明朝"/>
          <w:szCs w:val="24"/>
          <w:lang w:eastAsia="ja-JP"/>
        </w:rPr>
      </w:pPr>
      <w:r w:rsidRPr="00A57CE7">
        <w:rPr>
          <w:rFonts w:eastAsia="ＭＳ 明朝"/>
          <w:szCs w:val="24"/>
          <w:lang w:eastAsia="ja-JP"/>
        </w:rPr>
        <w:t xml:space="preserve">P.O. Box 504 </w:t>
      </w:r>
    </w:p>
    <w:p w14:paraId="3625EBC0" w14:textId="77777777" w:rsidR="00A22901" w:rsidRDefault="00A22901" w:rsidP="00A22901">
      <w:pPr>
        <w:ind w:left="1980" w:firstLine="720"/>
        <w:rPr>
          <w:rFonts w:eastAsia="ＭＳ 明朝"/>
          <w:szCs w:val="24"/>
          <w:lang w:eastAsia="ja-JP"/>
        </w:rPr>
      </w:pPr>
      <w:r w:rsidRPr="00A57CE7">
        <w:rPr>
          <w:rFonts w:eastAsia="ＭＳ 明朝"/>
          <w:szCs w:val="24"/>
          <w:lang w:eastAsia="ja-JP"/>
        </w:rPr>
        <w:t xml:space="preserve">Mercer Island, Washington 98040 </w:t>
      </w:r>
    </w:p>
    <w:p w14:paraId="67D1E81C" w14:textId="77777777" w:rsidR="00A22901" w:rsidRPr="00501FAA" w:rsidRDefault="00A22901" w:rsidP="00A22901">
      <w:pPr>
        <w:ind w:left="1980" w:firstLine="720"/>
        <w:rPr>
          <w:rFonts w:eastAsia="ＭＳ 明朝"/>
          <w:szCs w:val="24"/>
          <w:lang w:eastAsia="ja-JP"/>
        </w:rPr>
      </w:pPr>
      <w:r>
        <w:rPr>
          <w:rFonts w:eastAsia="ＭＳ 明朝"/>
          <w:szCs w:val="24"/>
          <w:lang w:eastAsia="ja-JP"/>
        </w:rPr>
        <w:t>Telephone: (206) 236-</w:t>
      </w:r>
      <w:r w:rsidRPr="00501FAA">
        <w:rPr>
          <w:rFonts w:eastAsia="ＭＳ 明朝"/>
          <w:szCs w:val="24"/>
          <w:lang w:eastAsia="ja-JP"/>
        </w:rPr>
        <w:t xml:space="preserve">7200 </w:t>
      </w:r>
    </w:p>
    <w:p w14:paraId="213DD7A5" w14:textId="7AC25F52" w:rsidR="00656B7E" w:rsidRDefault="00A22901" w:rsidP="00A22901">
      <w:pPr>
        <w:ind w:left="2520" w:firstLine="180"/>
      </w:pPr>
      <w:r w:rsidRPr="00501FAA">
        <w:rPr>
          <w:rFonts w:eastAsia="ＭＳ 明朝"/>
          <w:szCs w:val="24"/>
          <w:lang w:eastAsia="ja-JP"/>
        </w:rPr>
        <w:t>rkahn@nippc.org</w:t>
      </w:r>
    </w:p>
    <w:p w14:paraId="6AD11A2B" w14:textId="77777777" w:rsidR="00656B7E" w:rsidRDefault="00656B7E" w:rsidP="00656B7E">
      <w:pPr>
        <w:ind w:left="2520" w:hanging="540"/>
      </w:pPr>
    </w:p>
    <w:p w14:paraId="4A934A22" w14:textId="333E4CFE" w:rsidR="00656B7E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 xml:space="preserve"> </w:t>
      </w:r>
      <w:r>
        <w:tab/>
      </w:r>
      <w:proofErr w:type="gramStart"/>
      <w:r w:rsidR="00A22901">
        <w:t>NIPPC</w:t>
      </w:r>
      <w:r>
        <w:t xml:space="preserve"> will be represented in this proceeding by Sanger Law, PC</w:t>
      </w:r>
      <w:proofErr w:type="gramEnd"/>
      <w:r>
        <w:t>.  All documents relating to these proceedings should be served on the following persons at the addresses listed</w:t>
      </w:r>
      <w:r w:rsidR="006B59A5">
        <w:t xml:space="preserve"> below</w:t>
      </w:r>
      <w:r>
        <w:t xml:space="preserve">: </w:t>
      </w:r>
    </w:p>
    <w:p w14:paraId="7174C313" w14:textId="77777777" w:rsidR="00AD17B3" w:rsidRDefault="00AD17B3">
      <w:r>
        <w:br w:type="page"/>
      </w:r>
    </w:p>
    <w:p w14:paraId="6BC92D56" w14:textId="05D60A62" w:rsidR="00AD17B3" w:rsidRDefault="00AD17B3" w:rsidP="00AD17B3">
      <w:pPr>
        <w:ind w:left="360" w:firstLine="360"/>
      </w:pPr>
      <w:r>
        <w:lastRenderedPageBreak/>
        <w:t>Robert D. Kahn</w:t>
      </w:r>
      <w:r>
        <w:tab/>
      </w:r>
      <w:r>
        <w:tab/>
      </w:r>
      <w:r>
        <w:tab/>
        <w:t>Irion Sanger</w:t>
      </w:r>
    </w:p>
    <w:p w14:paraId="1FDD3674" w14:textId="4EEF51E7" w:rsidR="00AD17B3" w:rsidRDefault="00AD17B3" w:rsidP="00AD17B3">
      <w:pPr>
        <w:pStyle w:val="ListParagraph"/>
        <w:ind w:left="0" w:firstLine="720"/>
      </w:pPr>
      <w:proofErr w:type="gramStart"/>
      <w:r>
        <w:t>Northwest and Intermountain</w:t>
      </w:r>
      <w:r>
        <w:tab/>
      </w:r>
      <w:r>
        <w:tab/>
      </w:r>
      <w:r w:rsidR="000932B6">
        <w:t>Sanger Law, P.C.</w:t>
      </w:r>
      <w:proofErr w:type="gramEnd"/>
    </w:p>
    <w:p w14:paraId="047EBD83" w14:textId="33B3ABF6" w:rsidR="00AD17B3" w:rsidRDefault="00AD17B3" w:rsidP="00AD17B3">
      <w:pPr>
        <w:pStyle w:val="ListParagraph"/>
        <w:ind w:left="0" w:firstLine="720"/>
      </w:pPr>
      <w:r>
        <w:t>Power Producers</w:t>
      </w:r>
      <w:r w:rsidR="000932B6">
        <w:t xml:space="preserve"> </w:t>
      </w:r>
      <w:r w:rsidR="000932B6" w:rsidRPr="00D04330">
        <w:t>Coalition</w:t>
      </w:r>
      <w:r w:rsidR="000932B6">
        <w:tab/>
      </w:r>
      <w:r w:rsidR="000932B6">
        <w:tab/>
        <w:t>1117 SE 53rd Avenue</w:t>
      </w:r>
    </w:p>
    <w:p w14:paraId="0D38F501" w14:textId="21F896AF" w:rsidR="00AD17B3" w:rsidRDefault="000932B6" w:rsidP="000932B6">
      <w:pPr>
        <w:ind w:left="360" w:firstLine="360"/>
      </w:pPr>
      <w:r>
        <w:t>P.O. Box 504</w:t>
      </w:r>
      <w:r>
        <w:tab/>
      </w:r>
      <w:r w:rsidR="00AD17B3">
        <w:tab/>
      </w:r>
      <w:r w:rsidR="00AD17B3">
        <w:tab/>
      </w:r>
      <w:r w:rsidR="00AD17B3">
        <w:tab/>
      </w:r>
      <w:r>
        <w:t>Portland, OR  97215</w:t>
      </w:r>
    </w:p>
    <w:p w14:paraId="4C07CD3F" w14:textId="3426D5F6" w:rsidR="000932B6" w:rsidRDefault="000932B6" w:rsidP="000932B6">
      <w:pPr>
        <w:ind w:left="360" w:firstLine="360"/>
      </w:pPr>
      <w:r>
        <w:t>Mercer Island, WA</w:t>
      </w:r>
      <w:r w:rsidRPr="00D04330">
        <w:t xml:space="preserve">  </w:t>
      </w:r>
      <w:r>
        <w:t>98040</w:t>
      </w:r>
      <w:r>
        <w:tab/>
      </w:r>
      <w:r>
        <w:tab/>
      </w:r>
      <w:r w:rsidRPr="006C5D37">
        <w:t>irion@sanger-law.com</w:t>
      </w:r>
    </w:p>
    <w:p w14:paraId="5D1BD37F" w14:textId="50EB132F" w:rsidR="00AD17B3" w:rsidRDefault="000932B6" w:rsidP="000932B6">
      <w:pPr>
        <w:pStyle w:val="ListParagraph"/>
        <w:ind w:left="0" w:firstLine="720"/>
      </w:pPr>
      <w:r w:rsidRPr="00501FAA">
        <w:rPr>
          <w:rFonts w:eastAsia="ＭＳ 明朝"/>
          <w:szCs w:val="24"/>
          <w:lang w:eastAsia="ja-JP"/>
        </w:rPr>
        <w:t>rkahn@nippc.org</w:t>
      </w:r>
      <w:r w:rsidR="00AD17B3">
        <w:tab/>
      </w:r>
      <w:r w:rsidR="00AD17B3">
        <w:tab/>
      </w:r>
      <w:r w:rsidR="00AD17B3">
        <w:tab/>
      </w:r>
    </w:p>
    <w:p w14:paraId="7C1742E7" w14:textId="77777777" w:rsidR="000932B6" w:rsidRDefault="000932B6" w:rsidP="000932B6">
      <w:pPr>
        <w:pStyle w:val="ListParagraph"/>
        <w:ind w:left="0" w:firstLine="720"/>
      </w:pPr>
    </w:p>
    <w:p w14:paraId="63C91AB3" w14:textId="3AE1C0F2" w:rsidR="000932B6" w:rsidRDefault="000932B6" w:rsidP="000932B6">
      <w:pPr>
        <w:ind w:left="360" w:firstLine="360"/>
      </w:pPr>
      <w:r>
        <w:t>Sidney Villanueva</w:t>
      </w:r>
    </w:p>
    <w:p w14:paraId="35123C2A" w14:textId="77777777" w:rsidR="000932B6" w:rsidRDefault="000932B6" w:rsidP="000932B6">
      <w:pPr>
        <w:ind w:left="360" w:firstLine="360"/>
      </w:pPr>
      <w:proofErr w:type="gramStart"/>
      <w:r>
        <w:t>Sanger Law, P.C.</w:t>
      </w:r>
      <w:proofErr w:type="gramEnd"/>
    </w:p>
    <w:p w14:paraId="179AE9C2" w14:textId="77777777" w:rsidR="000932B6" w:rsidRDefault="000932B6" w:rsidP="000932B6">
      <w:pPr>
        <w:ind w:left="360" w:firstLine="360"/>
      </w:pPr>
      <w:r>
        <w:t>1117 SE 53rd Avenue</w:t>
      </w:r>
    </w:p>
    <w:p w14:paraId="2D066A6E" w14:textId="77777777" w:rsidR="000932B6" w:rsidRDefault="000932B6" w:rsidP="000932B6">
      <w:pPr>
        <w:ind w:left="360" w:firstLine="360"/>
      </w:pPr>
      <w:r>
        <w:t>Portland, OR  97215</w:t>
      </w:r>
    </w:p>
    <w:p w14:paraId="236E914E" w14:textId="5E341E99" w:rsidR="000932B6" w:rsidRDefault="000932B6" w:rsidP="000932B6">
      <w:pPr>
        <w:ind w:left="360" w:firstLine="360"/>
      </w:pPr>
      <w:r>
        <w:t>sidney</w:t>
      </w:r>
      <w:r w:rsidRPr="006C5D37">
        <w:t>@sanger-law.com</w:t>
      </w:r>
    </w:p>
    <w:p w14:paraId="7E8DB475" w14:textId="276CAE3C" w:rsidR="00A50BD4" w:rsidRDefault="00A50BD4"/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50"/>
      </w:tblGrid>
      <w:tr w:rsidR="00656B7E" w14:paraId="06BF696A" w14:textId="77777777" w:rsidTr="00F81F53">
        <w:tc>
          <w:tcPr>
            <w:tcW w:w="5850" w:type="dxa"/>
          </w:tcPr>
          <w:p w14:paraId="617CAB2B" w14:textId="77777777" w:rsidR="00656B7E" w:rsidRDefault="00656B7E" w:rsidP="000932B6"/>
        </w:tc>
      </w:tr>
    </w:tbl>
    <w:p w14:paraId="52D3EFF9" w14:textId="2D75BC80" w:rsidR="00525829" w:rsidRPr="00525829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 xml:space="preserve">  </w:t>
      </w:r>
      <w:r>
        <w:tab/>
      </w:r>
      <w:r w:rsidR="00A22901">
        <w:t>NIPPC</w:t>
      </w:r>
      <w:r>
        <w:t xml:space="preserve"> </w:t>
      </w:r>
      <w:r w:rsidR="00A50BD4">
        <w:t xml:space="preserve">is a trade association whose members include private industry participants active in the Pacific Northwest and Western energy markets.  The purpose of NIPPC </w:t>
      </w:r>
      <w:r w:rsidR="00A50BD4" w:rsidRPr="005024C3">
        <w:t xml:space="preserve">is to represent the interests of </w:t>
      </w:r>
      <w:r w:rsidR="00A50BD4">
        <w:t xml:space="preserve">independent power producers and marketers in developing </w:t>
      </w:r>
      <w:r w:rsidR="00A50BD4" w:rsidRPr="005024C3">
        <w:t>rules and policies that</w:t>
      </w:r>
      <w:r w:rsidR="00A50BD4">
        <w:t xml:space="preserve"> </w:t>
      </w:r>
      <w:r w:rsidR="00A50BD4" w:rsidRPr="005024C3">
        <w:t>help achieve a competitive</w:t>
      </w:r>
      <w:r w:rsidR="00A50BD4">
        <w:t xml:space="preserve"> </w:t>
      </w:r>
      <w:r w:rsidR="00A50BD4" w:rsidRPr="005024C3">
        <w:t>electric power supply market in the Pacific Northwest</w:t>
      </w:r>
      <w:r w:rsidR="00A50BD4">
        <w:t>.</w:t>
      </w:r>
      <w:r>
        <w:t xml:space="preserve"> </w:t>
      </w:r>
      <w:r w:rsidRPr="00656B7E">
        <w:rPr>
          <w:rFonts w:eastAsia="Cambria"/>
        </w:rPr>
        <w:t xml:space="preserve"> </w:t>
      </w:r>
    </w:p>
    <w:p w14:paraId="1CCEB6E3" w14:textId="3F373E8C" w:rsidR="00656B7E" w:rsidRPr="00656B7E" w:rsidRDefault="00525829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rPr>
          <w:rFonts w:eastAsia="Cambria"/>
        </w:rPr>
        <w:tab/>
      </w:r>
      <w:r w:rsidR="00A22901">
        <w:rPr>
          <w:rFonts w:eastAsia="Cambria"/>
        </w:rPr>
        <w:t>NIPPC</w:t>
      </w:r>
      <w:r w:rsidR="00656B7E" w:rsidRPr="00656B7E">
        <w:rPr>
          <w:rFonts w:eastAsia="Cambria"/>
        </w:rPr>
        <w:t xml:space="preserve"> has participated in numerous state </w:t>
      </w:r>
      <w:r w:rsidR="000529E9">
        <w:rPr>
          <w:rFonts w:eastAsia="Cambria"/>
        </w:rPr>
        <w:t xml:space="preserve">and federal </w:t>
      </w:r>
      <w:r w:rsidR="00656B7E" w:rsidRPr="00656B7E">
        <w:rPr>
          <w:rFonts w:eastAsia="Cambria"/>
        </w:rPr>
        <w:t xml:space="preserve">regulatory proceedings </w:t>
      </w:r>
      <w:r w:rsidR="00A50BD4">
        <w:rPr>
          <w:rFonts w:eastAsia="Cambria"/>
        </w:rPr>
        <w:t>intended to promote competitive markets, including those relating to</w:t>
      </w:r>
      <w:r w:rsidR="00D62AC8">
        <w:rPr>
          <w:rFonts w:eastAsia="Cambria"/>
        </w:rPr>
        <w:t xml:space="preserve"> voluntary renewable tariffs</w:t>
      </w:r>
      <w:r w:rsidR="00BF57CA">
        <w:rPr>
          <w:rFonts w:eastAsia="Cambria"/>
        </w:rPr>
        <w:t>,</w:t>
      </w:r>
      <w:r w:rsidR="00A50BD4">
        <w:rPr>
          <w:rFonts w:eastAsia="Cambria"/>
        </w:rPr>
        <w:t xml:space="preserve"> </w:t>
      </w:r>
      <w:r w:rsidR="00D62AC8">
        <w:rPr>
          <w:rFonts w:eastAsia="Cambria"/>
        </w:rPr>
        <w:t xml:space="preserve">direct access, </w:t>
      </w:r>
      <w:r w:rsidR="00A50BD4">
        <w:rPr>
          <w:rFonts w:eastAsia="Cambria"/>
        </w:rPr>
        <w:t xml:space="preserve">competitive bidding </w:t>
      </w:r>
      <w:r w:rsidR="00A51F3D">
        <w:rPr>
          <w:rFonts w:eastAsia="Cambria"/>
        </w:rPr>
        <w:t>requirements</w:t>
      </w:r>
      <w:r w:rsidR="00F660F0">
        <w:rPr>
          <w:rFonts w:eastAsia="Cambria"/>
        </w:rPr>
        <w:t>,</w:t>
      </w:r>
      <w:r w:rsidR="00A50BD4">
        <w:rPr>
          <w:rFonts w:eastAsia="Cambria"/>
        </w:rPr>
        <w:t xml:space="preserve"> and utility requests for proposals</w:t>
      </w:r>
      <w:r w:rsidR="00656B7E" w:rsidRPr="00656B7E">
        <w:rPr>
          <w:rFonts w:eastAsia="Cambria"/>
        </w:rPr>
        <w:t xml:space="preserve">.  </w:t>
      </w:r>
      <w:r w:rsidR="00A50BD4">
        <w:rPr>
          <w:rFonts w:eastAsia="Cambria"/>
        </w:rPr>
        <w:t>NIPPC’s</w:t>
      </w:r>
      <w:r w:rsidR="00656B7E" w:rsidRPr="00656B7E">
        <w:rPr>
          <w:rFonts w:eastAsia="Cambria"/>
        </w:rPr>
        <w:t xml:space="preserve"> attorney</w:t>
      </w:r>
      <w:r w:rsidR="00A50BD4">
        <w:rPr>
          <w:rFonts w:eastAsia="Cambria"/>
        </w:rPr>
        <w:t>s have</w:t>
      </w:r>
      <w:r w:rsidR="00656B7E" w:rsidRPr="00656B7E">
        <w:rPr>
          <w:rFonts w:eastAsia="Cambria"/>
        </w:rPr>
        <w:t xml:space="preserve"> </w:t>
      </w:r>
      <w:r w:rsidR="00BF57CA">
        <w:rPr>
          <w:rFonts w:eastAsia="Cambria"/>
        </w:rPr>
        <w:t xml:space="preserve">also </w:t>
      </w:r>
      <w:r w:rsidR="00656B7E" w:rsidRPr="00656B7E">
        <w:rPr>
          <w:rFonts w:eastAsia="Cambria"/>
        </w:rPr>
        <w:t xml:space="preserve">participated in </w:t>
      </w:r>
      <w:r w:rsidR="00A50BD4">
        <w:rPr>
          <w:rFonts w:eastAsia="Cambria"/>
        </w:rPr>
        <w:t xml:space="preserve">numerous </w:t>
      </w:r>
      <w:r w:rsidR="00F660F0">
        <w:rPr>
          <w:rFonts w:eastAsia="Cambria"/>
        </w:rPr>
        <w:t>state regulatory</w:t>
      </w:r>
      <w:r w:rsidR="00A50BD4">
        <w:rPr>
          <w:rFonts w:eastAsia="Cambria"/>
        </w:rPr>
        <w:t xml:space="preserve"> proceedings</w:t>
      </w:r>
      <w:r w:rsidR="000529E9">
        <w:rPr>
          <w:rFonts w:eastAsia="Cambria"/>
        </w:rPr>
        <w:t xml:space="preserve">, </w:t>
      </w:r>
      <w:r w:rsidR="00814C4F">
        <w:rPr>
          <w:rFonts w:eastAsia="Cambria"/>
        </w:rPr>
        <w:t>including those that created Puget Sound Energy</w:t>
      </w:r>
      <w:r w:rsidR="000529E9">
        <w:rPr>
          <w:rFonts w:eastAsia="Cambria"/>
        </w:rPr>
        <w:t>’s</w:t>
      </w:r>
      <w:r w:rsidR="00BD17F4">
        <w:rPr>
          <w:rFonts w:eastAsia="Cambria"/>
        </w:rPr>
        <w:t xml:space="preserve"> (“PSE”)</w:t>
      </w:r>
      <w:r w:rsidR="000529E9">
        <w:rPr>
          <w:rFonts w:eastAsia="Cambria"/>
        </w:rPr>
        <w:t xml:space="preserve"> current large customer direct access program</w:t>
      </w:r>
      <w:r w:rsidR="00656B7E" w:rsidRPr="00656B7E">
        <w:rPr>
          <w:rFonts w:eastAsia="Cambria"/>
        </w:rPr>
        <w:t xml:space="preserve">.  </w:t>
      </w:r>
    </w:p>
    <w:p w14:paraId="595F10B5" w14:textId="282C40EB" w:rsidR="005A039A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rPr>
          <w:rFonts w:eastAsia="Cambria"/>
        </w:rPr>
        <w:tab/>
      </w:r>
      <w:r w:rsidR="00A50BD4">
        <w:rPr>
          <w:rFonts w:eastAsia="Cambria"/>
        </w:rPr>
        <w:t>PSE</w:t>
      </w:r>
      <w:r w:rsidRPr="00656B7E">
        <w:rPr>
          <w:rFonts w:eastAsia="Cambria"/>
        </w:rPr>
        <w:t xml:space="preserve"> proposed</w:t>
      </w:r>
      <w:r w:rsidR="00A50BD4">
        <w:rPr>
          <w:rFonts w:eastAsia="Cambria"/>
        </w:rPr>
        <w:t xml:space="preserve"> Schedule No. 451: Large Customer Retail Wheeling, </w:t>
      </w:r>
      <w:r w:rsidR="000932B6">
        <w:rPr>
          <w:rFonts w:eastAsia="Cambria"/>
        </w:rPr>
        <w:t xml:space="preserve">filed October 7, 2016, </w:t>
      </w:r>
      <w:r w:rsidR="00A50BD4">
        <w:rPr>
          <w:rFonts w:eastAsia="Cambria"/>
        </w:rPr>
        <w:t xml:space="preserve">could substantially and directly affect </w:t>
      </w:r>
      <w:r w:rsidR="00BF57CA">
        <w:rPr>
          <w:rFonts w:eastAsia="Cambria"/>
        </w:rPr>
        <w:t xml:space="preserve">NIPPC members who sell power in Washington.  </w:t>
      </w:r>
      <w:r w:rsidR="002D4CA1">
        <w:rPr>
          <w:rFonts w:eastAsia="Cambria"/>
        </w:rPr>
        <w:t>PSE requests that the Commission approve</w:t>
      </w:r>
      <w:r w:rsidR="002D4CA1" w:rsidRPr="002D4CA1">
        <w:rPr>
          <w:rFonts w:eastAsia="Cambria"/>
        </w:rPr>
        <w:t xml:space="preserve"> a new retail wheeling service for large non-core customers. </w:t>
      </w:r>
      <w:r w:rsidR="002D4CA1">
        <w:rPr>
          <w:rFonts w:eastAsia="Cambria"/>
        </w:rPr>
        <w:t xml:space="preserve"> </w:t>
      </w:r>
    </w:p>
    <w:p w14:paraId="34340786" w14:textId="23AFD017" w:rsidR="007045C1" w:rsidRPr="007045C1" w:rsidRDefault="005A039A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rPr>
          <w:rFonts w:eastAsia="Cambria"/>
        </w:rPr>
        <w:lastRenderedPageBreak/>
        <w:tab/>
      </w:r>
      <w:r w:rsidR="00BF57CA" w:rsidRPr="002D4CA1">
        <w:rPr>
          <w:rFonts w:eastAsia="Cambria"/>
        </w:rPr>
        <w:t xml:space="preserve">NIPPC </w:t>
      </w:r>
      <w:r>
        <w:rPr>
          <w:rFonts w:eastAsia="Cambria"/>
        </w:rPr>
        <w:t>generally supports direct access because it lowers end use consumer retail rates, and foster</w:t>
      </w:r>
      <w:r w:rsidR="0096084F">
        <w:rPr>
          <w:rFonts w:eastAsia="Cambria"/>
        </w:rPr>
        <w:t>s competitive power markets.</w:t>
      </w:r>
      <w:r w:rsidR="00BF57CA" w:rsidRPr="002D4CA1">
        <w:rPr>
          <w:rFonts w:eastAsia="Cambria"/>
        </w:rPr>
        <w:t xml:space="preserve">  </w:t>
      </w:r>
      <w:r w:rsidR="000A6234" w:rsidRPr="000A6234">
        <w:rPr>
          <w:rFonts w:eastAsia="Cambria"/>
        </w:rPr>
        <w:t xml:space="preserve">NIPPC’s members’ ability to participate in competitive energy </w:t>
      </w:r>
      <w:r w:rsidR="000A6234">
        <w:rPr>
          <w:rFonts w:eastAsia="Cambria"/>
        </w:rPr>
        <w:t>markets and sell power to Washington</w:t>
      </w:r>
      <w:r w:rsidR="000A6234" w:rsidRPr="000A6234">
        <w:rPr>
          <w:rFonts w:eastAsia="Cambria"/>
        </w:rPr>
        <w:t xml:space="preserve"> customers may be directly impacted by this proceeding. </w:t>
      </w:r>
      <w:r w:rsidR="007045C1">
        <w:rPr>
          <w:rFonts w:eastAsia="Cambria"/>
        </w:rPr>
        <w:t xml:space="preserve"> </w:t>
      </w:r>
      <w:r w:rsidR="00BF57CA">
        <w:t>A</w:t>
      </w:r>
      <w:r w:rsidR="00656B7E">
        <w:t>ny Commission determination made in conn</w:t>
      </w:r>
      <w:r w:rsidR="000457F0">
        <w:t xml:space="preserve">ection with these proceedings </w:t>
      </w:r>
      <w:r w:rsidR="00656B7E">
        <w:t xml:space="preserve">could impact </w:t>
      </w:r>
      <w:r w:rsidR="00A50BD4">
        <w:t>NIPPC’s</w:t>
      </w:r>
      <w:r w:rsidR="00656B7E">
        <w:t xml:space="preserve"> current and future members.  </w:t>
      </w:r>
      <w:r w:rsidR="007045C1" w:rsidRPr="007045C1">
        <w:t xml:space="preserve">Accordingly, NIPPC has a direct and substantial interest in this proceeding that will not be adequately represented by any other party.  </w:t>
      </w:r>
    </w:p>
    <w:p w14:paraId="4A75102D" w14:textId="5CE13873" w:rsidR="00B43A04" w:rsidRPr="003151F3" w:rsidRDefault="007045C1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tab/>
      </w:r>
      <w:r w:rsidR="00A50BD4" w:rsidRPr="005A039A">
        <w:rPr>
          <w:rFonts w:eastAsia="Cambria"/>
        </w:rPr>
        <w:t xml:space="preserve">NIPPC </w:t>
      </w:r>
      <w:r w:rsidR="00BF57CA" w:rsidRPr="005A039A">
        <w:rPr>
          <w:rFonts w:eastAsia="Cambria"/>
        </w:rPr>
        <w:t xml:space="preserve">plans to </w:t>
      </w:r>
      <w:r w:rsidR="00AA50E0" w:rsidRPr="005A039A">
        <w:rPr>
          <w:rFonts w:eastAsia="Cambria"/>
        </w:rPr>
        <w:t>participate and review</w:t>
      </w:r>
      <w:r w:rsidR="00656B7E" w:rsidRPr="005A039A">
        <w:rPr>
          <w:rFonts w:eastAsia="Cambria"/>
        </w:rPr>
        <w:t xml:space="preserve"> </w:t>
      </w:r>
      <w:r w:rsidR="00A50BD4" w:rsidRPr="005A039A">
        <w:rPr>
          <w:rFonts w:eastAsia="Cambria"/>
        </w:rPr>
        <w:t>PSE’s proposed filing</w:t>
      </w:r>
      <w:r w:rsidR="00BF57CA" w:rsidRPr="005A039A">
        <w:rPr>
          <w:rFonts w:eastAsia="Cambria"/>
        </w:rPr>
        <w:t>s</w:t>
      </w:r>
      <w:r w:rsidR="00A50BD4" w:rsidRPr="005A039A">
        <w:rPr>
          <w:rFonts w:eastAsia="Cambria"/>
        </w:rPr>
        <w:t xml:space="preserve"> to ensure it complies with Washington and federal law</w:t>
      </w:r>
      <w:r w:rsidR="00656B7E" w:rsidRPr="005A039A">
        <w:rPr>
          <w:rFonts w:eastAsia="Cambria"/>
        </w:rPr>
        <w:t>.</w:t>
      </w:r>
      <w:r w:rsidR="00656B7E">
        <w:t xml:space="preserve"> </w:t>
      </w:r>
      <w:r w:rsidR="00F81F53" w:rsidRPr="005A039A">
        <w:rPr>
          <w:rFonts w:eastAsia="Cambria"/>
        </w:rPr>
        <w:t xml:space="preserve"> </w:t>
      </w:r>
      <w:r w:rsidR="00A50BD4">
        <w:t>NIPPC</w:t>
      </w:r>
      <w:r w:rsidR="00656B7E">
        <w:t xml:space="preserve"> intends to participate in all aspect of this</w:t>
      </w:r>
      <w:r w:rsidR="00BF57CA">
        <w:t xml:space="preserve"> particular</w:t>
      </w:r>
      <w:r w:rsidR="00656B7E">
        <w:t xml:space="preserve"> proceeding and will not unreasonably broaden the issues, burden the record, or delay this proceeding. </w:t>
      </w:r>
      <w:r w:rsidR="003151F3">
        <w:rPr>
          <w:rFonts w:eastAsia="Cambria"/>
        </w:rPr>
        <w:t xml:space="preserve"> </w:t>
      </w:r>
      <w:r w:rsidR="00A91456">
        <w:t xml:space="preserve">Without the opportunity to intervene herein, </w:t>
      </w:r>
      <w:r w:rsidR="00A50BD4">
        <w:t>NIPPC</w:t>
      </w:r>
      <w:r w:rsidR="00A91456">
        <w:t xml:space="preserve"> would be without a manner or means of participating in the lawf</w:t>
      </w:r>
      <w:r w:rsidR="002E6011">
        <w:t>ul determination of issues that</w:t>
      </w:r>
      <w:r w:rsidR="00A91456">
        <w:t xml:space="preserve"> </w:t>
      </w:r>
      <w:r w:rsidR="00EA47A3">
        <w:t>may affect</w:t>
      </w:r>
      <w:r w:rsidR="00A50BD4">
        <w:t xml:space="preserve"> NIPPC members</w:t>
      </w:r>
      <w:r w:rsidR="002F0B88">
        <w:t>.</w:t>
      </w:r>
    </w:p>
    <w:p w14:paraId="07FA77A0" w14:textId="4681695B" w:rsidR="00B43A04" w:rsidRPr="00656B7E" w:rsidRDefault="00F81F53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tab/>
      </w:r>
      <w:r w:rsidR="00B43A04">
        <w:t xml:space="preserve">WHEREFORE, </w:t>
      </w:r>
      <w:r w:rsidR="00A22901">
        <w:t>NIPPC</w:t>
      </w:r>
      <w:r w:rsidR="00267A25">
        <w:t xml:space="preserve"> </w:t>
      </w:r>
      <w:r w:rsidR="00B43A04">
        <w:t xml:space="preserve">respectfully requests that the Commission grant its petition to intervene with full </w:t>
      </w:r>
      <w:r w:rsidR="005D1E67">
        <w:t>party status in this proceeding and to appear and participate in all matters as may be necessary and appropriate; and to present evidence, call and examine witnesses, cross-examine witnesses, present argument, and to otherwise fully participate in the proceedings.</w:t>
      </w:r>
      <w:r w:rsidR="00B43A04">
        <w:t xml:space="preserve">  </w:t>
      </w:r>
    </w:p>
    <w:p w14:paraId="2ECBF078" w14:textId="33893A8F" w:rsidR="00B43A04" w:rsidRDefault="00B43A04" w:rsidP="00D301DA">
      <w:pPr>
        <w:keepNext/>
        <w:spacing w:line="480" w:lineRule="auto"/>
        <w:ind w:left="1980"/>
      </w:pPr>
      <w:r>
        <w:lastRenderedPageBreak/>
        <w:t xml:space="preserve">Dated this </w:t>
      </w:r>
      <w:r w:rsidR="00A22901">
        <w:t>2nd</w:t>
      </w:r>
      <w:r>
        <w:t xml:space="preserve"> day of </w:t>
      </w:r>
      <w:proofErr w:type="gramStart"/>
      <w:r w:rsidR="00A22901">
        <w:t>November,</w:t>
      </w:r>
      <w:proofErr w:type="gramEnd"/>
      <w:r w:rsidR="00A22901">
        <w:t xml:space="preserve"> 2016</w:t>
      </w:r>
      <w:r w:rsidR="00833F04">
        <w:t>.</w:t>
      </w:r>
    </w:p>
    <w:p w14:paraId="1025EC20" w14:textId="1086C660" w:rsidR="00CD1028" w:rsidRDefault="00B43A04" w:rsidP="000932B6">
      <w:pPr>
        <w:keepNext/>
        <w:spacing w:line="480" w:lineRule="auto"/>
        <w:ind w:left="2880" w:firstLine="720"/>
      </w:pPr>
      <w:r>
        <w:t>Respectfully submitted,</w:t>
      </w:r>
    </w:p>
    <w:p w14:paraId="11FF32AD" w14:textId="77777777" w:rsidR="00CD1028" w:rsidRDefault="00CD1028" w:rsidP="00B17330">
      <w:pPr>
        <w:keepNext/>
        <w:ind w:left="2880" w:firstLine="720"/>
      </w:pPr>
    </w:p>
    <w:p w14:paraId="3728BD6C" w14:textId="4B7E4F7D" w:rsidR="000A6484" w:rsidRDefault="000A6484" w:rsidP="00B17330">
      <w:pPr>
        <w:keepNext/>
        <w:ind w:left="2880" w:firstLine="720"/>
        <w:rPr>
          <w:noProof/>
        </w:rPr>
      </w:pPr>
    </w:p>
    <w:p w14:paraId="47BC4434" w14:textId="77777777" w:rsidR="007C5867" w:rsidRDefault="007C5867" w:rsidP="00B17330">
      <w:pPr>
        <w:keepNext/>
        <w:ind w:left="2880" w:firstLine="720"/>
        <w:rPr>
          <w:noProof/>
        </w:rPr>
      </w:pPr>
    </w:p>
    <w:p w14:paraId="1C9157E8" w14:textId="77777777" w:rsidR="007C5867" w:rsidRPr="00AA50E0" w:rsidRDefault="007C5867" w:rsidP="00B17330">
      <w:pPr>
        <w:keepNext/>
        <w:ind w:left="2880" w:firstLine="720"/>
      </w:pPr>
      <w:bookmarkStart w:id="1" w:name="_GoBack"/>
      <w:bookmarkEnd w:id="1"/>
    </w:p>
    <w:p w14:paraId="0647C9A7" w14:textId="086921A7" w:rsidR="00CD1028" w:rsidRPr="00AA50E0" w:rsidRDefault="00AA50E0" w:rsidP="00B17330">
      <w:pPr>
        <w:keepNext/>
        <w:ind w:left="2880" w:firstLine="720"/>
      </w:pPr>
      <w:r w:rsidRPr="00AA50E0">
        <w:rPr>
          <w:i/>
          <w:noProof/>
        </w:rPr>
        <w:t>__</w:t>
      </w:r>
      <w:r w:rsidRPr="00AA50E0">
        <w:rPr>
          <w:noProof/>
        </w:rPr>
        <w:t>____________</w:t>
      </w:r>
    </w:p>
    <w:p w14:paraId="65E2F554" w14:textId="27182D40" w:rsidR="00CD1028" w:rsidRDefault="00CD1028" w:rsidP="00B17330">
      <w:pPr>
        <w:keepNext/>
        <w:ind w:left="2880" w:firstLine="720"/>
      </w:pPr>
      <w:r>
        <w:t>Irion A. Sanger</w:t>
      </w:r>
    </w:p>
    <w:p w14:paraId="1D750ED8" w14:textId="2EC73043" w:rsidR="000932B6" w:rsidRDefault="000932B6" w:rsidP="00B17330">
      <w:pPr>
        <w:keepNext/>
        <w:ind w:left="2880" w:firstLine="720"/>
      </w:pPr>
      <w:r>
        <w:t>Sidney Villanueva</w:t>
      </w:r>
    </w:p>
    <w:p w14:paraId="414F9D0B" w14:textId="77777777" w:rsidR="00CD1028" w:rsidRDefault="00CD1028" w:rsidP="00B17330">
      <w:pPr>
        <w:keepNext/>
        <w:ind w:left="2880" w:firstLine="720"/>
      </w:pPr>
      <w:r>
        <w:t>Sanger Law, PC</w:t>
      </w:r>
    </w:p>
    <w:p w14:paraId="0A825A5D" w14:textId="77777777" w:rsidR="00CD1028" w:rsidRDefault="00CD1028" w:rsidP="00B17330">
      <w:pPr>
        <w:keepNext/>
        <w:ind w:left="2880" w:firstLine="720"/>
      </w:pPr>
      <w:r w:rsidRPr="00CD1028">
        <w:t>1117 SE 53rd Avenue</w:t>
      </w:r>
    </w:p>
    <w:p w14:paraId="135945C7" w14:textId="77777777" w:rsidR="00CD1028" w:rsidRDefault="00CD1028" w:rsidP="00B17330">
      <w:pPr>
        <w:keepNext/>
        <w:ind w:left="2880" w:firstLine="720"/>
      </w:pPr>
      <w:r w:rsidRPr="00CD1028">
        <w:t>Portland, OR 97215</w:t>
      </w:r>
    </w:p>
    <w:p w14:paraId="40EB9AFF" w14:textId="77777777" w:rsidR="00CD1028" w:rsidRDefault="00CD1028" w:rsidP="00B17330">
      <w:pPr>
        <w:keepNext/>
        <w:ind w:left="2880" w:firstLine="720"/>
      </w:pPr>
      <w:r w:rsidRPr="00CD1028">
        <w:t>Telephone: 503-756-7533</w:t>
      </w:r>
    </w:p>
    <w:p w14:paraId="00FF8F31" w14:textId="77777777" w:rsidR="00CD1028" w:rsidRDefault="00CD1028" w:rsidP="00B17330">
      <w:pPr>
        <w:keepNext/>
        <w:ind w:left="2880" w:firstLine="720"/>
      </w:pPr>
      <w:r w:rsidRPr="00CD1028">
        <w:t>Fax: 503-334-2235</w:t>
      </w:r>
    </w:p>
    <w:p w14:paraId="373CA299" w14:textId="6725035F" w:rsidR="00CD1028" w:rsidRDefault="00CD1028" w:rsidP="00B17330">
      <w:pPr>
        <w:keepNext/>
        <w:ind w:left="2880" w:firstLine="720"/>
      </w:pPr>
      <w:r w:rsidRPr="00CD1028">
        <w:t>irion@sanger-law.com</w:t>
      </w:r>
    </w:p>
    <w:p w14:paraId="69DD4815" w14:textId="77777777" w:rsidR="00B17330" w:rsidRDefault="00B17330" w:rsidP="00B17330">
      <w:pPr>
        <w:keepNext/>
        <w:ind w:left="2880" w:firstLine="720"/>
      </w:pPr>
    </w:p>
    <w:p w14:paraId="571BFBE6" w14:textId="1C79A14C" w:rsidR="0000482B" w:rsidRDefault="00F81F53" w:rsidP="00B547C4">
      <w:pPr>
        <w:keepNext/>
        <w:ind w:left="4320" w:hanging="720"/>
      </w:pPr>
      <w:r>
        <w:t>Of A</w:t>
      </w:r>
      <w:r w:rsidR="00B17330">
        <w:t>ttorneys fo</w:t>
      </w:r>
      <w:r>
        <w:t xml:space="preserve">r the </w:t>
      </w:r>
      <w:r w:rsidR="00B547C4">
        <w:t xml:space="preserve">Northwest and Intermountain Power Producers Coalition </w:t>
      </w:r>
    </w:p>
    <w:sectPr w:rsidR="0000482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BE8B9" w14:textId="77777777" w:rsidR="000A6484" w:rsidRDefault="000A6484">
      <w:r>
        <w:separator/>
      </w:r>
    </w:p>
  </w:endnote>
  <w:endnote w:type="continuationSeparator" w:id="0">
    <w:p w14:paraId="73B25984" w14:textId="77777777" w:rsidR="000A6484" w:rsidRDefault="000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C2D1" w14:textId="39487233" w:rsidR="000A6484" w:rsidRPr="00D04330" w:rsidRDefault="000A6484">
    <w:pPr>
      <w:pStyle w:val="Footer"/>
      <w:rPr>
        <w:szCs w:val="24"/>
      </w:rPr>
    </w:pPr>
    <w:r>
      <w:rPr>
        <w:szCs w:val="24"/>
      </w:rPr>
      <w:t>NIPPC</w:t>
    </w:r>
    <w:r w:rsidRPr="00D04330">
      <w:rPr>
        <w:szCs w:val="24"/>
      </w:rPr>
      <w:t xml:space="preserve"> PETITION TO INTERVENE </w:t>
    </w:r>
    <w:r w:rsidRPr="00D04330">
      <w:rPr>
        <w:szCs w:val="24"/>
      </w:rPr>
      <w:tab/>
    </w:r>
    <w:r w:rsidRPr="00D04330">
      <w:rPr>
        <w:szCs w:val="24"/>
      </w:rPr>
      <w:tab/>
      <w:t xml:space="preserve">Page </w:t>
    </w:r>
    <w:r w:rsidRPr="00D04330">
      <w:rPr>
        <w:rStyle w:val="PageNumber"/>
        <w:szCs w:val="24"/>
      </w:rPr>
      <w:fldChar w:fldCharType="begin"/>
    </w:r>
    <w:r w:rsidRPr="00D04330">
      <w:rPr>
        <w:rStyle w:val="PageNumber"/>
        <w:szCs w:val="24"/>
      </w:rPr>
      <w:instrText xml:space="preserve"> PAGE </w:instrText>
    </w:r>
    <w:r w:rsidRPr="00D04330">
      <w:rPr>
        <w:rStyle w:val="PageNumber"/>
        <w:szCs w:val="24"/>
      </w:rPr>
      <w:fldChar w:fldCharType="separate"/>
    </w:r>
    <w:r w:rsidR="007C5867">
      <w:rPr>
        <w:rStyle w:val="PageNumber"/>
        <w:noProof/>
        <w:szCs w:val="24"/>
      </w:rPr>
      <w:t>4</w:t>
    </w:r>
    <w:r w:rsidRPr="00D04330"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1D96F" w14:textId="77777777" w:rsidR="000A6484" w:rsidRDefault="000A6484">
      <w:r>
        <w:separator/>
      </w:r>
    </w:p>
  </w:footnote>
  <w:footnote w:type="continuationSeparator" w:id="0">
    <w:p w14:paraId="5AB10546" w14:textId="77777777" w:rsidR="000A6484" w:rsidRDefault="000A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24D"/>
    <w:multiLevelType w:val="hybridMultilevel"/>
    <w:tmpl w:val="3DB48B48"/>
    <w:lvl w:ilvl="0" w:tplc="2DDC9F0E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07FF6"/>
    <w:multiLevelType w:val="hybridMultilevel"/>
    <w:tmpl w:val="012C2C4C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30E1"/>
    <w:multiLevelType w:val="multilevel"/>
    <w:tmpl w:val="66DA40B2"/>
    <w:lvl w:ilvl="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999"/>
    <w:multiLevelType w:val="hybridMultilevel"/>
    <w:tmpl w:val="B36E1A76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C6007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3AE8"/>
    <w:multiLevelType w:val="multilevel"/>
    <w:tmpl w:val="83E6A54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673C"/>
    <w:multiLevelType w:val="hybridMultilevel"/>
    <w:tmpl w:val="849A9B6C"/>
    <w:lvl w:ilvl="0" w:tplc="00528236">
      <w:start w:val="1"/>
      <w:numFmt w:val="decimal"/>
      <w:lvlText w:val="%1."/>
      <w:lvlJc w:val="left"/>
      <w:pPr>
        <w:ind w:left="14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AE42DB"/>
    <w:multiLevelType w:val="multilevel"/>
    <w:tmpl w:val="EB768D3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A5C57"/>
    <w:multiLevelType w:val="hybridMultilevel"/>
    <w:tmpl w:val="66DA40B2"/>
    <w:lvl w:ilvl="0" w:tplc="D74AED86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53170"/>
    <w:multiLevelType w:val="hybridMultilevel"/>
    <w:tmpl w:val="A1E69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E7A10"/>
    <w:multiLevelType w:val="hybridMultilevel"/>
    <w:tmpl w:val="2F183434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013C2"/>
    <w:multiLevelType w:val="multilevel"/>
    <w:tmpl w:val="849A9B6C"/>
    <w:lvl w:ilvl="0">
      <w:start w:val="1"/>
      <w:numFmt w:val="decimal"/>
      <w:lvlText w:val="%1."/>
      <w:lvlJc w:val="left"/>
      <w:pPr>
        <w:ind w:left="1440" w:hanging="18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F167A"/>
    <w:multiLevelType w:val="multilevel"/>
    <w:tmpl w:val="0186CD6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A108E"/>
    <w:multiLevelType w:val="hybridMultilevel"/>
    <w:tmpl w:val="97368E60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F2A6B"/>
    <w:multiLevelType w:val="multilevel"/>
    <w:tmpl w:val="83E6A54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0150"/>
    <w:multiLevelType w:val="hybridMultilevel"/>
    <w:tmpl w:val="0186CD60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116DD"/>
    <w:multiLevelType w:val="hybridMultilevel"/>
    <w:tmpl w:val="ADC637F2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D3624"/>
    <w:multiLevelType w:val="multilevel"/>
    <w:tmpl w:val="3DB48B48"/>
    <w:lvl w:ilvl="0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A57F2"/>
    <w:multiLevelType w:val="hybridMultilevel"/>
    <w:tmpl w:val="3D6A5E4C"/>
    <w:lvl w:ilvl="0" w:tplc="565EB126">
      <w:start w:val="1"/>
      <w:numFmt w:val="decimal"/>
      <w:lvlText w:val="%1."/>
      <w:lvlJc w:val="right"/>
      <w:pPr>
        <w:ind w:left="1440" w:hanging="1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B767B2"/>
    <w:multiLevelType w:val="hybridMultilevel"/>
    <w:tmpl w:val="D9205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BD0845"/>
    <w:multiLevelType w:val="hybridMultilevel"/>
    <w:tmpl w:val="EB768D30"/>
    <w:lvl w:ilvl="0" w:tplc="2DDC9F0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14193"/>
    <w:multiLevelType w:val="multilevel"/>
    <w:tmpl w:val="3D6A5E4C"/>
    <w:lvl w:ilvl="0">
      <w:start w:val="1"/>
      <w:numFmt w:val="decimal"/>
      <w:lvlText w:val="%1."/>
      <w:lvlJc w:val="right"/>
      <w:pPr>
        <w:ind w:left="1440" w:hanging="14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240538"/>
    <w:multiLevelType w:val="hybridMultilevel"/>
    <w:tmpl w:val="ED1CC8A0"/>
    <w:lvl w:ilvl="0" w:tplc="2DDC9F0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10EFE"/>
    <w:multiLevelType w:val="hybridMultilevel"/>
    <w:tmpl w:val="0A2224B8"/>
    <w:lvl w:ilvl="0" w:tplc="A3AEDB7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0257E51"/>
    <w:multiLevelType w:val="hybridMultilevel"/>
    <w:tmpl w:val="923A47B6"/>
    <w:lvl w:ilvl="0" w:tplc="A552C492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707FB4"/>
    <w:multiLevelType w:val="hybridMultilevel"/>
    <w:tmpl w:val="E3CE190C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1166"/>
    <w:multiLevelType w:val="multilevel"/>
    <w:tmpl w:val="D92057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1A4D82"/>
    <w:multiLevelType w:val="multilevel"/>
    <w:tmpl w:val="97368E6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5"/>
  </w:num>
  <w:num w:numId="5">
    <w:abstractNumId w:val="10"/>
  </w:num>
  <w:num w:numId="6">
    <w:abstractNumId w:val="12"/>
  </w:num>
  <w:num w:numId="7">
    <w:abstractNumId w:val="26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5"/>
  </w:num>
  <w:num w:numId="14">
    <w:abstractNumId w:val="14"/>
  </w:num>
  <w:num w:numId="15">
    <w:abstractNumId w:val="11"/>
  </w:num>
  <w:num w:numId="16">
    <w:abstractNumId w:val="24"/>
  </w:num>
  <w:num w:numId="17">
    <w:abstractNumId w:val="8"/>
  </w:num>
  <w:num w:numId="18">
    <w:abstractNumId w:val="21"/>
  </w:num>
  <w:num w:numId="19">
    <w:abstractNumId w:val="7"/>
  </w:num>
  <w:num w:numId="20">
    <w:abstractNumId w:val="2"/>
  </w:num>
  <w:num w:numId="21">
    <w:abstractNumId w:val="19"/>
  </w:num>
  <w:num w:numId="22">
    <w:abstractNumId w:val="6"/>
  </w:num>
  <w:num w:numId="23">
    <w:abstractNumId w:val="0"/>
  </w:num>
  <w:num w:numId="24">
    <w:abstractNumId w:val="16"/>
  </w:num>
  <w:num w:numId="25">
    <w:abstractNumId w:val="17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02"/>
    <w:rsid w:val="0000482B"/>
    <w:rsid w:val="00011931"/>
    <w:rsid w:val="00014CB0"/>
    <w:rsid w:val="00023324"/>
    <w:rsid w:val="0002356E"/>
    <w:rsid w:val="00031D0A"/>
    <w:rsid w:val="00040489"/>
    <w:rsid w:val="000457F0"/>
    <w:rsid w:val="00050975"/>
    <w:rsid w:val="00052728"/>
    <w:rsid w:val="000529E9"/>
    <w:rsid w:val="0006241B"/>
    <w:rsid w:val="000678A4"/>
    <w:rsid w:val="00070BAE"/>
    <w:rsid w:val="000909C6"/>
    <w:rsid w:val="000932B6"/>
    <w:rsid w:val="000A119D"/>
    <w:rsid w:val="000A4BD2"/>
    <w:rsid w:val="000A6234"/>
    <w:rsid w:val="000A6484"/>
    <w:rsid w:val="000C0C2C"/>
    <w:rsid w:val="000C3C3C"/>
    <w:rsid w:val="000F3D40"/>
    <w:rsid w:val="00117E20"/>
    <w:rsid w:val="00120038"/>
    <w:rsid w:val="00121783"/>
    <w:rsid w:val="0014076F"/>
    <w:rsid w:val="00141E33"/>
    <w:rsid w:val="0019573A"/>
    <w:rsid w:val="001A03E0"/>
    <w:rsid w:val="001B59EB"/>
    <w:rsid w:val="001D0AB3"/>
    <w:rsid w:val="001D13A1"/>
    <w:rsid w:val="001D437F"/>
    <w:rsid w:val="001E0DFA"/>
    <w:rsid w:val="001E0F19"/>
    <w:rsid w:val="00207AB6"/>
    <w:rsid w:val="0022416A"/>
    <w:rsid w:val="002308AC"/>
    <w:rsid w:val="00245175"/>
    <w:rsid w:val="00265EEB"/>
    <w:rsid w:val="00267A25"/>
    <w:rsid w:val="0027482A"/>
    <w:rsid w:val="00283EF2"/>
    <w:rsid w:val="00290525"/>
    <w:rsid w:val="002D3711"/>
    <w:rsid w:val="002D4CA1"/>
    <w:rsid w:val="002D5C59"/>
    <w:rsid w:val="002E6011"/>
    <w:rsid w:val="002F0B88"/>
    <w:rsid w:val="00301C91"/>
    <w:rsid w:val="003139F2"/>
    <w:rsid w:val="0031421B"/>
    <w:rsid w:val="003151F3"/>
    <w:rsid w:val="00316C68"/>
    <w:rsid w:val="0032110B"/>
    <w:rsid w:val="00371117"/>
    <w:rsid w:val="0037612A"/>
    <w:rsid w:val="003A68D1"/>
    <w:rsid w:val="003B09C5"/>
    <w:rsid w:val="003B40EF"/>
    <w:rsid w:val="003C7C8A"/>
    <w:rsid w:val="003E76C0"/>
    <w:rsid w:val="004151FF"/>
    <w:rsid w:val="004169C9"/>
    <w:rsid w:val="00442290"/>
    <w:rsid w:val="00443EC1"/>
    <w:rsid w:val="004453A7"/>
    <w:rsid w:val="00454391"/>
    <w:rsid w:val="004563C8"/>
    <w:rsid w:val="0046324C"/>
    <w:rsid w:val="00472CBD"/>
    <w:rsid w:val="0048270B"/>
    <w:rsid w:val="004836C5"/>
    <w:rsid w:val="004C0276"/>
    <w:rsid w:val="004C7953"/>
    <w:rsid w:val="004E427D"/>
    <w:rsid w:val="004E6470"/>
    <w:rsid w:val="004E791C"/>
    <w:rsid w:val="0050087A"/>
    <w:rsid w:val="00505C91"/>
    <w:rsid w:val="0051556C"/>
    <w:rsid w:val="00523F20"/>
    <w:rsid w:val="00525829"/>
    <w:rsid w:val="00525CE3"/>
    <w:rsid w:val="00525E22"/>
    <w:rsid w:val="00530518"/>
    <w:rsid w:val="00531335"/>
    <w:rsid w:val="0054485C"/>
    <w:rsid w:val="005608BE"/>
    <w:rsid w:val="00560FF2"/>
    <w:rsid w:val="00571FC8"/>
    <w:rsid w:val="00583375"/>
    <w:rsid w:val="00583E21"/>
    <w:rsid w:val="00597E43"/>
    <w:rsid w:val="005A039A"/>
    <w:rsid w:val="005A36AA"/>
    <w:rsid w:val="005C3C17"/>
    <w:rsid w:val="005C69DD"/>
    <w:rsid w:val="005D1E67"/>
    <w:rsid w:val="005F33E9"/>
    <w:rsid w:val="006019CF"/>
    <w:rsid w:val="00605D23"/>
    <w:rsid w:val="00625777"/>
    <w:rsid w:val="006336EC"/>
    <w:rsid w:val="00656B7E"/>
    <w:rsid w:val="0066536E"/>
    <w:rsid w:val="00682C44"/>
    <w:rsid w:val="006866C4"/>
    <w:rsid w:val="0068767D"/>
    <w:rsid w:val="006A0E97"/>
    <w:rsid w:val="006A3AAB"/>
    <w:rsid w:val="006B19A1"/>
    <w:rsid w:val="006B59A5"/>
    <w:rsid w:val="006C3849"/>
    <w:rsid w:val="006C5D37"/>
    <w:rsid w:val="006E08FC"/>
    <w:rsid w:val="007045C1"/>
    <w:rsid w:val="0072035D"/>
    <w:rsid w:val="0072300E"/>
    <w:rsid w:val="007258F0"/>
    <w:rsid w:val="007261D1"/>
    <w:rsid w:val="00734BED"/>
    <w:rsid w:val="007560BE"/>
    <w:rsid w:val="00782955"/>
    <w:rsid w:val="00790546"/>
    <w:rsid w:val="00792C00"/>
    <w:rsid w:val="007932B6"/>
    <w:rsid w:val="007C5867"/>
    <w:rsid w:val="007D4A0A"/>
    <w:rsid w:val="007F58E9"/>
    <w:rsid w:val="00806854"/>
    <w:rsid w:val="00814C4F"/>
    <w:rsid w:val="008249F9"/>
    <w:rsid w:val="008323AE"/>
    <w:rsid w:val="00833F04"/>
    <w:rsid w:val="0084654D"/>
    <w:rsid w:val="00866F16"/>
    <w:rsid w:val="008726E2"/>
    <w:rsid w:val="008732C9"/>
    <w:rsid w:val="00880E34"/>
    <w:rsid w:val="008A0870"/>
    <w:rsid w:val="008B4113"/>
    <w:rsid w:val="008B5B83"/>
    <w:rsid w:val="008E1823"/>
    <w:rsid w:val="008E6225"/>
    <w:rsid w:val="00906612"/>
    <w:rsid w:val="00913202"/>
    <w:rsid w:val="00914806"/>
    <w:rsid w:val="00934279"/>
    <w:rsid w:val="00954ABA"/>
    <w:rsid w:val="0095713B"/>
    <w:rsid w:val="0096084F"/>
    <w:rsid w:val="0096593A"/>
    <w:rsid w:val="0097098F"/>
    <w:rsid w:val="009848F1"/>
    <w:rsid w:val="00985FC7"/>
    <w:rsid w:val="009D74B0"/>
    <w:rsid w:val="009E483A"/>
    <w:rsid w:val="009E7B11"/>
    <w:rsid w:val="009F63BF"/>
    <w:rsid w:val="00A15373"/>
    <w:rsid w:val="00A22901"/>
    <w:rsid w:val="00A3427B"/>
    <w:rsid w:val="00A34A88"/>
    <w:rsid w:val="00A40AD0"/>
    <w:rsid w:val="00A50BD4"/>
    <w:rsid w:val="00A51F3D"/>
    <w:rsid w:val="00A649DC"/>
    <w:rsid w:val="00A815B2"/>
    <w:rsid w:val="00A91456"/>
    <w:rsid w:val="00AA50E0"/>
    <w:rsid w:val="00AD17B3"/>
    <w:rsid w:val="00AD2538"/>
    <w:rsid w:val="00AE55C3"/>
    <w:rsid w:val="00AF1736"/>
    <w:rsid w:val="00B02F07"/>
    <w:rsid w:val="00B11CD9"/>
    <w:rsid w:val="00B149EA"/>
    <w:rsid w:val="00B17330"/>
    <w:rsid w:val="00B3334F"/>
    <w:rsid w:val="00B43A04"/>
    <w:rsid w:val="00B547C4"/>
    <w:rsid w:val="00B60B8A"/>
    <w:rsid w:val="00B96FB7"/>
    <w:rsid w:val="00BA15CA"/>
    <w:rsid w:val="00BA2185"/>
    <w:rsid w:val="00BA6872"/>
    <w:rsid w:val="00BB5B1B"/>
    <w:rsid w:val="00BD17F4"/>
    <w:rsid w:val="00BF57CA"/>
    <w:rsid w:val="00C02820"/>
    <w:rsid w:val="00C1078A"/>
    <w:rsid w:val="00C30E31"/>
    <w:rsid w:val="00C57A3C"/>
    <w:rsid w:val="00C9535E"/>
    <w:rsid w:val="00CA1D92"/>
    <w:rsid w:val="00CA1E04"/>
    <w:rsid w:val="00CA4454"/>
    <w:rsid w:val="00CA5158"/>
    <w:rsid w:val="00CC1B4B"/>
    <w:rsid w:val="00CC2460"/>
    <w:rsid w:val="00CD1028"/>
    <w:rsid w:val="00CD6F7B"/>
    <w:rsid w:val="00CE702F"/>
    <w:rsid w:val="00D04098"/>
    <w:rsid w:val="00D04330"/>
    <w:rsid w:val="00D1552B"/>
    <w:rsid w:val="00D16639"/>
    <w:rsid w:val="00D20786"/>
    <w:rsid w:val="00D301DA"/>
    <w:rsid w:val="00D41FC5"/>
    <w:rsid w:val="00D50E34"/>
    <w:rsid w:val="00D57785"/>
    <w:rsid w:val="00D62AC8"/>
    <w:rsid w:val="00D66A67"/>
    <w:rsid w:val="00D96E52"/>
    <w:rsid w:val="00DA46A2"/>
    <w:rsid w:val="00DD51C2"/>
    <w:rsid w:val="00E14336"/>
    <w:rsid w:val="00E242C6"/>
    <w:rsid w:val="00E32D46"/>
    <w:rsid w:val="00E34B0B"/>
    <w:rsid w:val="00E34C41"/>
    <w:rsid w:val="00E46961"/>
    <w:rsid w:val="00E744EF"/>
    <w:rsid w:val="00E91245"/>
    <w:rsid w:val="00EA17EA"/>
    <w:rsid w:val="00EA47A3"/>
    <w:rsid w:val="00ED153A"/>
    <w:rsid w:val="00EE3435"/>
    <w:rsid w:val="00EE455B"/>
    <w:rsid w:val="00EE5D09"/>
    <w:rsid w:val="00EE67BC"/>
    <w:rsid w:val="00EE6905"/>
    <w:rsid w:val="00F04F2C"/>
    <w:rsid w:val="00F13C02"/>
    <w:rsid w:val="00F27E03"/>
    <w:rsid w:val="00F31EA6"/>
    <w:rsid w:val="00F36092"/>
    <w:rsid w:val="00F55892"/>
    <w:rsid w:val="00F660F0"/>
    <w:rsid w:val="00F81F53"/>
    <w:rsid w:val="00F865D1"/>
    <w:rsid w:val="00FB4C09"/>
    <w:rsid w:val="00FD73C7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695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1440"/>
    </w:pPr>
  </w:style>
  <w:style w:type="paragraph" w:styleId="BodyText2">
    <w:name w:val="Body Text 2"/>
    <w:basedOn w:val="Normal"/>
    <w:rPr>
      <w:b/>
      <w:bCs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customStyle="1" w:styleId="wfxRecipient">
    <w:name w:val="wfxRecipient"/>
    <w:basedOn w:val="Normal"/>
    <w:rsid w:val="003A68D1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szCs w:val="24"/>
    </w:rPr>
  </w:style>
  <w:style w:type="character" w:styleId="FollowedHyperlink">
    <w:name w:val="FollowedHyperlink"/>
    <w:basedOn w:val="DefaultParagraphFont"/>
    <w:rsid w:val="008A0870"/>
    <w:rPr>
      <w:color w:val="800080"/>
      <w:u w:val="single"/>
    </w:rPr>
  </w:style>
  <w:style w:type="paragraph" w:customStyle="1" w:styleId="StyleBottomSinglesolidlineAuto15ptLinewidthFromte">
    <w:name w:val="Style Bottom: (Single solid line Auto  1.5 pt Line width From te..."/>
    <w:basedOn w:val="Normal"/>
    <w:next w:val="Normal"/>
    <w:rsid w:val="00E242C6"/>
    <w:pPr>
      <w:pBdr>
        <w:bottom w:val="single" w:sz="12" w:space="14" w:color="auto"/>
      </w:pBdr>
      <w:spacing w:line="480" w:lineRule="auto"/>
    </w:pPr>
  </w:style>
  <w:style w:type="table" w:styleId="TableGrid">
    <w:name w:val="Table Grid"/>
    <w:basedOn w:val="TableNormal"/>
    <w:rsid w:val="00F5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1440"/>
    </w:pPr>
  </w:style>
  <w:style w:type="paragraph" w:styleId="BodyText2">
    <w:name w:val="Body Text 2"/>
    <w:basedOn w:val="Normal"/>
    <w:rPr>
      <w:b/>
      <w:bCs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customStyle="1" w:styleId="wfxRecipient">
    <w:name w:val="wfxRecipient"/>
    <w:basedOn w:val="Normal"/>
    <w:rsid w:val="003A68D1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szCs w:val="24"/>
    </w:rPr>
  </w:style>
  <w:style w:type="character" w:styleId="FollowedHyperlink">
    <w:name w:val="FollowedHyperlink"/>
    <w:basedOn w:val="DefaultParagraphFont"/>
    <w:rsid w:val="008A0870"/>
    <w:rPr>
      <w:color w:val="800080"/>
      <w:u w:val="single"/>
    </w:rPr>
  </w:style>
  <w:style w:type="paragraph" w:customStyle="1" w:styleId="StyleBottomSinglesolidlineAuto15ptLinewidthFromte">
    <w:name w:val="Style Bottom: (Single solid line Auto  1.5 pt Line width From te..."/>
    <w:basedOn w:val="Normal"/>
    <w:next w:val="Normal"/>
    <w:rsid w:val="00E242C6"/>
    <w:pPr>
      <w:pBdr>
        <w:bottom w:val="single" w:sz="12" w:space="14" w:color="auto"/>
      </w:pBdr>
      <w:spacing w:line="480" w:lineRule="auto"/>
    </w:pPr>
  </w:style>
  <w:style w:type="table" w:styleId="TableGrid">
    <w:name w:val="Table Grid"/>
    <w:basedOn w:val="TableNormal"/>
    <w:rsid w:val="00F5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2327F4-FB03-468D-831D-D3CF399B3A9A}"/>
</file>

<file path=customXml/itemProps2.xml><?xml version="1.0" encoding="utf-8"?>
<ds:datastoreItem xmlns:ds="http://schemas.openxmlformats.org/officeDocument/2006/customXml" ds:itemID="{55BA9A7C-1AC6-4111-8327-D6EC4D5A3E45}"/>
</file>

<file path=customXml/itemProps3.xml><?xml version="1.0" encoding="utf-8"?>
<ds:datastoreItem xmlns:ds="http://schemas.openxmlformats.org/officeDocument/2006/customXml" ds:itemID="{2ED695B3-A1F2-4F1F-823E-F607F685C729}"/>
</file>

<file path=customXml/itemProps4.xml><?xml version="1.0" encoding="utf-8"?>
<ds:datastoreItem xmlns:ds="http://schemas.openxmlformats.org/officeDocument/2006/customXml" ds:itemID="{61F40320-BCC8-48AE-BF66-14A7DD86C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630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UTILITY COMMISSION</vt:lpstr>
    </vt:vector>
  </TitlesOfParts>
  <Company>Davison Van Cleve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UTILITY COMMISSION</dc:title>
  <dc:creator>Linda Vitale</dc:creator>
  <cp:lastModifiedBy>Irion Sanger</cp:lastModifiedBy>
  <cp:revision>16</cp:revision>
  <cp:lastPrinted>2015-03-17T16:00:00Z</cp:lastPrinted>
  <dcterms:created xsi:type="dcterms:W3CDTF">2016-11-01T22:52:00Z</dcterms:created>
  <dcterms:modified xsi:type="dcterms:W3CDTF">2016-11-02T21:47:00Z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