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BF83" w14:textId="77777777" w:rsidR="00835F77" w:rsidRDefault="00835F77" w:rsidP="00735999">
      <w:pPr>
        <w:jc w:val="center"/>
      </w:pPr>
      <w:bookmarkStart w:id="0" w:name="_GoBack"/>
      <w:bookmarkEnd w:id="0"/>
      <w:r>
        <w:rPr>
          <w:b/>
        </w:rPr>
        <w:t>BEFORE THE WASHINGTON UTILITIES AND TRANSPORTATION</w:t>
      </w:r>
      <w:r w:rsidR="00A547AA">
        <w:rPr>
          <w:b/>
        </w:rPr>
        <w:t xml:space="preserve"> </w:t>
      </w:r>
      <w:r>
        <w:rPr>
          <w:b/>
        </w:rPr>
        <w:t>COMMISSION</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270"/>
        <w:gridCol w:w="3996"/>
      </w:tblGrid>
      <w:tr w:rsidR="00835F77" w:rsidRPr="00667748" w14:paraId="52430918" w14:textId="77777777" w:rsidTr="004F31DF">
        <w:trPr>
          <w:cantSplit/>
        </w:trPr>
        <w:tc>
          <w:tcPr>
            <w:tcW w:w="4680" w:type="dxa"/>
            <w:tcBorders>
              <w:top w:val="nil"/>
              <w:left w:val="nil"/>
              <w:bottom w:val="nil"/>
              <w:right w:val="nil"/>
            </w:tcBorders>
          </w:tcPr>
          <w:p w14:paraId="7A3AE4DF" w14:textId="77777777" w:rsidR="00E5223B" w:rsidRPr="00667748" w:rsidRDefault="00E5223B" w:rsidP="00156A01">
            <w:pPr>
              <w:spacing w:before="144"/>
            </w:pPr>
            <w:bookmarkStart w:id="1" w:name="BM1"/>
            <w:bookmarkEnd w:id="1"/>
          </w:p>
          <w:p w14:paraId="406B2883" w14:textId="77777777" w:rsidR="00E5223B" w:rsidRPr="00667748" w:rsidRDefault="00E5223B" w:rsidP="00156A01">
            <w:pPr>
              <w:spacing w:before="144"/>
            </w:pPr>
          </w:p>
          <w:p w14:paraId="69FDF9D6" w14:textId="5846BC6F" w:rsidR="00E81AF6" w:rsidRDefault="00E5223B" w:rsidP="00175478">
            <w:pPr>
              <w:spacing w:before="144"/>
              <w:rPr>
                <w:bCs/>
              </w:rPr>
            </w:pPr>
            <w:r w:rsidRPr="00667748">
              <w:t xml:space="preserve">In </w:t>
            </w:r>
            <w:r w:rsidR="00835F77" w:rsidRPr="00667748">
              <w:t>the Matter of</w:t>
            </w:r>
            <w:r w:rsidR="00DF5E0C" w:rsidRPr="00667748">
              <w:t xml:space="preserve"> </w:t>
            </w:r>
            <w:r w:rsidRPr="00667748">
              <w:t xml:space="preserve">Avista’s </w:t>
            </w:r>
            <w:r w:rsidR="00E81AF6">
              <w:t>Renewable Target in</w:t>
            </w:r>
            <w:r w:rsidR="004C1649" w:rsidRPr="00667748">
              <w:t xml:space="preserve"> Compliance with WAC 480-</w:t>
            </w:r>
            <w:r w:rsidR="004C1649" w:rsidRPr="00667748">
              <w:rPr>
                <w:bCs/>
              </w:rPr>
              <w:t>109</w:t>
            </w:r>
            <w:r w:rsidR="002455BE">
              <w:rPr>
                <w:bCs/>
              </w:rPr>
              <w:t>-210</w:t>
            </w:r>
          </w:p>
          <w:p w14:paraId="4F667530" w14:textId="77777777" w:rsidR="00175478" w:rsidRPr="00E81AF6" w:rsidRDefault="00175478" w:rsidP="00175478">
            <w:pPr>
              <w:spacing w:before="144"/>
              <w:rPr>
                <w:bCs/>
              </w:rPr>
            </w:pPr>
            <w:r w:rsidRPr="00667748">
              <w:rPr>
                <w:bCs/>
              </w:rPr>
              <w:t>____________________________________</w:t>
            </w:r>
          </w:p>
        </w:tc>
        <w:tc>
          <w:tcPr>
            <w:tcW w:w="270" w:type="dxa"/>
            <w:tcBorders>
              <w:top w:val="nil"/>
              <w:left w:val="nil"/>
              <w:bottom w:val="nil"/>
              <w:right w:val="nil"/>
            </w:tcBorders>
          </w:tcPr>
          <w:p w14:paraId="28AA823D" w14:textId="77777777" w:rsidR="00835F77" w:rsidRPr="00667748" w:rsidRDefault="00835F77">
            <w:pPr>
              <w:spacing w:before="144"/>
            </w:pPr>
            <w:r w:rsidRPr="00667748">
              <w:t>)</w:t>
            </w:r>
          </w:p>
          <w:p w14:paraId="305322CC" w14:textId="77777777" w:rsidR="00835F77" w:rsidRPr="00667748" w:rsidRDefault="00835F77">
            <w:r w:rsidRPr="00667748">
              <w:t>)</w:t>
            </w:r>
          </w:p>
          <w:p w14:paraId="006AAE46" w14:textId="77777777" w:rsidR="00835F77" w:rsidRPr="00667748" w:rsidRDefault="00835F77">
            <w:r w:rsidRPr="00667748">
              <w:t>)</w:t>
            </w:r>
          </w:p>
          <w:p w14:paraId="17AC75D2" w14:textId="77777777" w:rsidR="00835F77" w:rsidRPr="00667748" w:rsidRDefault="00835F77">
            <w:r w:rsidRPr="00667748">
              <w:t>)</w:t>
            </w:r>
          </w:p>
          <w:p w14:paraId="4E30AA38" w14:textId="77777777" w:rsidR="00835F77" w:rsidRPr="00667748" w:rsidRDefault="00835F77">
            <w:r w:rsidRPr="00667748">
              <w:t>)</w:t>
            </w:r>
          </w:p>
          <w:p w14:paraId="3BFEFCC6" w14:textId="77777777" w:rsidR="00835F77" w:rsidRPr="00667748" w:rsidRDefault="00835F77">
            <w:r w:rsidRPr="00667748">
              <w:t>)</w:t>
            </w:r>
          </w:p>
          <w:p w14:paraId="40341298" w14:textId="77777777" w:rsidR="00835F77" w:rsidRPr="00667748" w:rsidRDefault="00835F77">
            <w:r w:rsidRPr="00667748">
              <w:t>)</w:t>
            </w:r>
          </w:p>
          <w:p w14:paraId="28BA22D1" w14:textId="77777777" w:rsidR="00835F77" w:rsidRPr="00667748" w:rsidRDefault="00835F77">
            <w:r w:rsidRPr="00667748">
              <w:t>)</w:t>
            </w:r>
          </w:p>
          <w:p w14:paraId="07D67E5A" w14:textId="77777777" w:rsidR="00835F77" w:rsidRPr="00667748" w:rsidRDefault="00835F77"/>
        </w:tc>
        <w:tc>
          <w:tcPr>
            <w:tcW w:w="3996" w:type="dxa"/>
            <w:tcBorders>
              <w:top w:val="nil"/>
              <w:left w:val="nil"/>
              <w:bottom w:val="nil"/>
              <w:right w:val="nil"/>
            </w:tcBorders>
          </w:tcPr>
          <w:p w14:paraId="4AB9EEAE" w14:textId="77777777" w:rsidR="00835F77" w:rsidRPr="00667748" w:rsidRDefault="00835F77">
            <w:pPr>
              <w:spacing w:before="144"/>
            </w:pPr>
          </w:p>
          <w:p w14:paraId="5A065496" w14:textId="433AB8DE" w:rsidR="00835F77" w:rsidRPr="00667748" w:rsidRDefault="00835F77">
            <w:bookmarkStart w:id="2" w:name="BM5"/>
            <w:bookmarkEnd w:id="2"/>
            <w:r w:rsidRPr="00667748">
              <w:t xml:space="preserve">DOCKET NO. </w:t>
            </w:r>
            <w:r w:rsidR="00DF5E0C" w:rsidRPr="00667748">
              <w:t>UE-</w:t>
            </w:r>
            <w:r w:rsidR="005C6A79">
              <w:t>1</w:t>
            </w:r>
            <w:r w:rsidR="00B329CD">
              <w:t>7_______</w:t>
            </w:r>
          </w:p>
          <w:p w14:paraId="3FE7F45B" w14:textId="77777777" w:rsidR="00835F77" w:rsidRPr="00667748" w:rsidRDefault="00835F77"/>
          <w:p w14:paraId="4096162F" w14:textId="77777777" w:rsidR="00835F77" w:rsidRPr="00667748" w:rsidRDefault="00835F77">
            <w:bookmarkStart w:id="3" w:name="BM7"/>
            <w:bookmarkEnd w:id="3"/>
          </w:p>
          <w:p w14:paraId="58DDDBB8" w14:textId="77777777" w:rsidR="00835F77" w:rsidRPr="00667748" w:rsidRDefault="00E81AF6" w:rsidP="00E81AF6">
            <w:r>
              <w:t>COMPLIANCE REPORT</w:t>
            </w:r>
            <w:r w:rsidR="004F31DF" w:rsidRPr="00667748">
              <w:t xml:space="preserve"> OF</w:t>
            </w:r>
            <w:r w:rsidR="00835F77" w:rsidRPr="00667748">
              <w:t xml:space="preserve"> AVISTA CORPORATION</w:t>
            </w:r>
          </w:p>
        </w:tc>
      </w:tr>
      <w:tr w:rsidR="00E81AF6" w:rsidRPr="00667748" w14:paraId="141DC89F" w14:textId="77777777" w:rsidTr="004F31DF">
        <w:trPr>
          <w:cantSplit/>
        </w:trPr>
        <w:tc>
          <w:tcPr>
            <w:tcW w:w="4680" w:type="dxa"/>
            <w:tcBorders>
              <w:top w:val="nil"/>
              <w:left w:val="nil"/>
              <w:bottom w:val="nil"/>
              <w:right w:val="nil"/>
            </w:tcBorders>
          </w:tcPr>
          <w:p w14:paraId="70C0C318" w14:textId="77777777" w:rsidR="00E81AF6" w:rsidRPr="00667748" w:rsidRDefault="00E81AF6" w:rsidP="00156A01">
            <w:pPr>
              <w:spacing w:before="144"/>
            </w:pPr>
          </w:p>
        </w:tc>
        <w:tc>
          <w:tcPr>
            <w:tcW w:w="270" w:type="dxa"/>
            <w:tcBorders>
              <w:top w:val="nil"/>
              <w:left w:val="nil"/>
              <w:bottom w:val="nil"/>
              <w:right w:val="nil"/>
            </w:tcBorders>
          </w:tcPr>
          <w:p w14:paraId="2E0966B5" w14:textId="77777777" w:rsidR="00E81AF6" w:rsidRPr="00667748" w:rsidRDefault="00E81AF6">
            <w:pPr>
              <w:spacing w:before="144"/>
            </w:pPr>
          </w:p>
        </w:tc>
        <w:tc>
          <w:tcPr>
            <w:tcW w:w="3996" w:type="dxa"/>
            <w:tcBorders>
              <w:top w:val="nil"/>
              <w:left w:val="nil"/>
              <w:bottom w:val="nil"/>
              <w:right w:val="nil"/>
            </w:tcBorders>
          </w:tcPr>
          <w:p w14:paraId="39B5F250" w14:textId="77777777" w:rsidR="00E81AF6" w:rsidRPr="00667748" w:rsidRDefault="00E81AF6">
            <w:pPr>
              <w:spacing w:before="144"/>
            </w:pPr>
          </w:p>
        </w:tc>
      </w:tr>
    </w:tbl>
    <w:p w14:paraId="4977122D" w14:textId="6E3577AA" w:rsidR="000F6375" w:rsidRDefault="000F6375" w:rsidP="004A1D00">
      <w:pPr>
        <w:pStyle w:val="Heading1"/>
        <w:numPr>
          <w:ilvl w:val="0"/>
          <w:numId w:val="37"/>
        </w:numPr>
      </w:pPr>
      <w:r>
        <w:t>BACKGROUND</w:t>
      </w:r>
    </w:p>
    <w:p w14:paraId="4AFD305F" w14:textId="77777777" w:rsidR="004A1D00" w:rsidRPr="004A1D00" w:rsidRDefault="004A1D00" w:rsidP="004A1D00"/>
    <w:p w14:paraId="5C13D96E" w14:textId="2BAC6253" w:rsidR="000F6375" w:rsidRDefault="000F6375" w:rsidP="004A1D00">
      <w:pPr>
        <w:pStyle w:val="NormalWeb"/>
        <w:spacing w:before="0" w:beforeAutospacing="0" w:after="0" w:afterAutospacing="0" w:line="360" w:lineRule="auto"/>
        <w:ind w:firstLine="720"/>
        <w:jc w:val="both"/>
      </w:pPr>
      <w:r>
        <w:t>The</w:t>
      </w:r>
      <w:r>
        <w:rPr>
          <w:color w:val="000000"/>
        </w:rPr>
        <w:t xml:space="preserve"> </w:t>
      </w:r>
      <w:r w:rsidRPr="00226668">
        <w:rPr>
          <w:color w:val="000000"/>
        </w:rPr>
        <w:t xml:space="preserve">Energy </w:t>
      </w:r>
      <w:r>
        <w:rPr>
          <w:color w:val="000000"/>
        </w:rPr>
        <w:t xml:space="preserve">Independence Act (EIA), also known as </w:t>
      </w:r>
      <w:r w:rsidRPr="00226668">
        <w:rPr>
          <w:color w:val="000000"/>
        </w:rPr>
        <w:t>Initiative Measure No. 937</w:t>
      </w:r>
      <w:r>
        <w:rPr>
          <w:color w:val="000000"/>
        </w:rPr>
        <w:t xml:space="preserve"> or I-937</w:t>
      </w:r>
      <w:r w:rsidRPr="00226668">
        <w:rPr>
          <w:color w:val="000000"/>
        </w:rPr>
        <w:t xml:space="preserve">, </w:t>
      </w:r>
      <w:r w:rsidRPr="00073D42">
        <w:t>requires utilities</w:t>
      </w:r>
      <w:r>
        <w:t xml:space="preserve"> with more than 25,000 customers</w:t>
      </w:r>
      <w:r w:rsidRPr="00073D42">
        <w:t xml:space="preserve"> to obtain fifteen percent of their electricity from </w:t>
      </w:r>
      <w:r>
        <w:t>eligible</w:t>
      </w:r>
      <w:r w:rsidRPr="00073D42">
        <w:t xml:space="preserve"> renewable resources</w:t>
      </w:r>
      <w:r>
        <w:t>,</w:t>
      </w:r>
      <w:r w:rsidRPr="00073D42">
        <w:t xml:space="preserve"> such as wind</w:t>
      </w:r>
      <w:r>
        <w:t xml:space="preserve"> and solar generation,</w:t>
      </w:r>
      <w:r w:rsidRPr="00073D42">
        <w:t xml:space="preserve"> by 2020 and undertake cost-effective energy conservation.</w:t>
      </w:r>
      <w:r>
        <w:t xml:space="preserve"> Per</w:t>
      </w:r>
      <w:r w:rsidRPr="004538CE">
        <w:t xml:space="preserve"> WAC </w:t>
      </w:r>
      <w:r>
        <w:t xml:space="preserve">Chapter </w:t>
      </w:r>
      <w:r w:rsidRPr="004538CE">
        <w:t>480-109</w:t>
      </w:r>
      <w:r>
        <w:t>-210</w:t>
      </w:r>
      <w:r w:rsidRPr="004538CE">
        <w:t xml:space="preserve">, </w:t>
      </w:r>
      <w:r>
        <w:t xml:space="preserve">“On or before every June 1st, each utility must file an annual renewable portfolio standard report with the commission and the </w:t>
      </w:r>
      <w:r w:rsidR="009875E7">
        <w:t>Department of Commerce</w:t>
      </w:r>
      <w:r>
        <w:t xml:space="preserve"> detailing the resources the utility has acquired or contracted to acquire to meet its renewable resource obligation for the target year.”  In compliance with WAC 480-109-210, Avista Corporation (hereinafter Avista or Company) respectfully submits its report demonstrating compliance with the renewable energy component of the EIA. </w:t>
      </w:r>
    </w:p>
    <w:p w14:paraId="6AD36601" w14:textId="77777777" w:rsidR="004A1D00" w:rsidRDefault="004A1D00" w:rsidP="004A1D00">
      <w:pPr>
        <w:pStyle w:val="NormalWeb"/>
        <w:spacing w:before="0" w:beforeAutospacing="0" w:after="0" w:afterAutospacing="0" w:line="360" w:lineRule="auto"/>
        <w:ind w:firstLine="720"/>
        <w:jc w:val="both"/>
      </w:pPr>
    </w:p>
    <w:p w14:paraId="46A29FD6" w14:textId="6D6BDB4E" w:rsidR="000F6375" w:rsidRDefault="000F6375" w:rsidP="004A1D00">
      <w:pPr>
        <w:pStyle w:val="Heading1"/>
        <w:spacing w:line="360" w:lineRule="auto"/>
      </w:pPr>
      <w:r>
        <w:t>II.    REQUIRED REPORT CONTENTS CHECKLIST</w:t>
      </w:r>
    </w:p>
    <w:p w14:paraId="55A64245" w14:textId="3ED2EBA0" w:rsidR="00835F77" w:rsidRDefault="007D4AD6" w:rsidP="007D4AD6">
      <w:r>
        <w:t xml:space="preserve">A checklist of the required </w:t>
      </w:r>
      <w:r w:rsidR="00B329CD">
        <w:t xml:space="preserve">report </w:t>
      </w:r>
      <w:r>
        <w:t>contents and a table of contents is below.</w:t>
      </w:r>
    </w:p>
    <w:p w14:paraId="664927FB" w14:textId="77777777" w:rsidR="007D4AD6" w:rsidRDefault="007D4AD6" w:rsidP="007D4AD6"/>
    <w:tbl>
      <w:tblPr>
        <w:tblStyle w:val="TableGrid"/>
        <w:tblW w:w="9355" w:type="dxa"/>
        <w:tblLayout w:type="fixed"/>
        <w:tblLook w:val="01E0" w:firstRow="1" w:lastRow="1" w:firstColumn="1" w:lastColumn="1" w:noHBand="0" w:noVBand="0"/>
      </w:tblPr>
      <w:tblGrid>
        <w:gridCol w:w="2425"/>
        <w:gridCol w:w="5400"/>
        <w:gridCol w:w="1530"/>
      </w:tblGrid>
      <w:tr w:rsidR="007D4AD6" w14:paraId="20D2DEB7" w14:textId="77777777" w:rsidTr="00E63C91">
        <w:trPr>
          <w:trHeight w:val="272"/>
        </w:trPr>
        <w:tc>
          <w:tcPr>
            <w:tcW w:w="2425" w:type="dxa"/>
          </w:tcPr>
          <w:p w14:paraId="1F8FBD00" w14:textId="07CEE584" w:rsidR="007D4AD6" w:rsidRPr="00174090" w:rsidRDefault="000F6375" w:rsidP="001D6BCB">
            <w:pPr>
              <w:rPr>
                <w:b/>
              </w:rPr>
            </w:pPr>
            <w:r>
              <w:rPr>
                <w:b/>
              </w:rPr>
              <w:t>WAC Citation</w:t>
            </w:r>
          </w:p>
        </w:tc>
        <w:tc>
          <w:tcPr>
            <w:tcW w:w="5400" w:type="dxa"/>
          </w:tcPr>
          <w:p w14:paraId="6852634B" w14:textId="0321EFF9" w:rsidR="007D4AD6" w:rsidRPr="00174090" w:rsidRDefault="000F6375" w:rsidP="001D6BCB">
            <w:pPr>
              <w:rPr>
                <w:b/>
              </w:rPr>
            </w:pPr>
            <w:r>
              <w:rPr>
                <w:b/>
              </w:rPr>
              <w:t>Description</w:t>
            </w:r>
          </w:p>
        </w:tc>
        <w:tc>
          <w:tcPr>
            <w:tcW w:w="1530" w:type="dxa"/>
          </w:tcPr>
          <w:p w14:paraId="3BB81A39" w14:textId="77777777" w:rsidR="007D4AD6" w:rsidRPr="00174090" w:rsidRDefault="007D4AD6" w:rsidP="00422297">
            <w:pPr>
              <w:jc w:val="center"/>
              <w:rPr>
                <w:b/>
              </w:rPr>
            </w:pPr>
            <w:r>
              <w:rPr>
                <w:b/>
              </w:rPr>
              <w:t>Section/</w:t>
            </w:r>
            <w:r w:rsidRPr="00174090">
              <w:rPr>
                <w:b/>
              </w:rPr>
              <w:t>Page</w:t>
            </w:r>
          </w:p>
        </w:tc>
      </w:tr>
      <w:tr w:rsidR="007D4AD6" w14:paraId="1D4D8CC1" w14:textId="77777777" w:rsidTr="00E63C91">
        <w:trPr>
          <w:trHeight w:val="359"/>
        </w:trPr>
        <w:tc>
          <w:tcPr>
            <w:tcW w:w="2425" w:type="dxa"/>
          </w:tcPr>
          <w:p w14:paraId="54B6DC6F" w14:textId="02DCE673" w:rsidR="007D4AD6" w:rsidRDefault="000F6375" w:rsidP="001D6BCB">
            <w:r>
              <w:t>480-109-210(2)</w:t>
            </w:r>
          </w:p>
        </w:tc>
        <w:tc>
          <w:tcPr>
            <w:tcW w:w="5400" w:type="dxa"/>
          </w:tcPr>
          <w:p w14:paraId="063372E2" w14:textId="737DF6D0" w:rsidR="007D4AD6" w:rsidRDefault="000F6375" w:rsidP="002455BE">
            <w:r>
              <w:t>The utility's annual load for the prior two years</w:t>
            </w:r>
          </w:p>
        </w:tc>
        <w:tc>
          <w:tcPr>
            <w:tcW w:w="1530" w:type="dxa"/>
          </w:tcPr>
          <w:p w14:paraId="48CDE16A" w14:textId="511E5B0F" w:rsidR="007D4AD6" w:rsidRDefault="00422297" w:rsidP="00422297">
            <w:pPr>
              <w:jc w:val="center"/>
            </w:pPr>
            <w:r>
              <w:t>III/2</w:t>
            </w:r>
          </w:p>
        </w:tc>
      </w:tr>
      <w:tr w:rsidR="007D4AD6" w14:paraId="783D59AE" w14:textId="77777777" w:rsidTr="00E63C91">
        <w:trPr>
          <w:trHeight w:val="269"/>
        </w:trPr>
        <w:tc>
          <w:tcPr>
            <w:tcW w:w="2425" w:type="dxa"/>
          </w:tcPr>
          <w:p w14:paraId="431D9B82" w14:textId="7DBEDE6B" w:rsidR="007D4AD6" w:rsidRDefault="000F6375" w:rsidP="001D6BCB">
            <w:r>
              <w:t>480-109-210(2)</w:t>
            </w:r>
          </w:p>
        </w:tc>
        <w:tc>
          <w:tcPr>
            <w:tcW w:w="5400" w:type="dxa"/>
          </w:tcPr>
          <w:p w14:paraId="61E3AA6F" w14:textId="34FA92FB" w:rsidR="007D4AD6" w:rsidRDefault="000F6375" w:rsidP="000F6375">
            <w:r>
              <w:t>The total number of megawatt-hours from eligible renewable resources and/or renewable resource credits the utility needed to meet its annual renewable energy target by January 1 of the target year</w:t>
            </w:r>
          </w:p>
        </w:tc>
        <w:tc>
          <w:tcPr>
            <w:tcW w:w="1530" w:type="dxa"/>
          </w:tcPr>
          <w:p w14:paraId="36265951" w14:textId="27CA2A88" w:rsidR="007D4AD6" w:rsidRDefault="00422297" w:rsidP="00422297">
            <w:pPr>
              <w:jc w:val="center"/>
            </w:pPr>
            <w:r>
              <w:t>IV/</w:t>
            </w:r>
            <w:r w:rsidR="001D78A7">
              <w:t>2</w:t>
            </w:r>
          </w:p>
        </w:tc>
      </w:tr>
      <w:tr w:rsidR="007D4AD6" w14:paraId="78D10B46" w14:textId="77777777" w:rsidTr="00E63C91">
        <w:trPr>
          <w:trHeight w:val="71"/>
        </w:trPr>
        <w:tc>
          <w:tcPr>
            <w:tcW w:w="2425" w:type="dxa"/>
          </w:tcPr>
          <w:p w14:paraId="5DAD4B83" w14:textId="79A99201" w:rsidR="007D4AD6" w:rsidRDefault="000F6375" w:rsidP="001D6BCB">
            <w:r>
              <w:t>480-109-210(2)</w:t>
            </w:r>
          </w:p>
        </w:tc>
        <w:tc>
          <w:tcPr>
            <w:tcW w:w="5400" w:type="dxa"/>
          </w:tcPr>
          <w:p w14:paraId="5C36DADF" w14:textId="7A0E2971" w:rsidR="007D4AD6" w:rsidRDefault="000F6375" w:rsidP="000F6375">
            <w:r>
              <w:t>The amount (in megawatt-hours) of each type of eligible renewable resource used and the amount of renewable energy credits acquired</w:t>
            </w:r>
          </w:p>
        </w:tc>
        <w:tc>
          <w:tcPr>
            <w:tcW w:w="1530" w:type="dxa"/>
          </w:tcPr>
          <w:p w14:paraId="49A2778C" w14:textId="2C3A5176" w:rsidR="007D4AD6" w:rsidRDefault="00422297" w:rsidP="00422297">
            <w:pPr>
              <w:jc w:val="center"/>
            </w:pPr>
            <w:r>
              <w:t>V/3</w:t>
            </w:r>
          </w:p>
        </w:tc>
      </w:tr>
      <w:tr w:rsidR="007D4AD6" w14:paraId="7F124CA4" w14:textId="77777777" w:rsidTr="00E63C91">
        <w:trPr>
          <w:trHeight w:val="272"/>
        </w:trPr>
        <w:tc>
          <w:tcPr>
            <w:tcW w:w="2425" w:type="dxa"/>
          </w:tcPr>
          <w:p w14:paraId="60948531" w14:textId="207AC199" w:rsidR="007D4AD6" w:rsidRDefault="000F6375" w:rsidP="001D6BCB">
            <w:r>
              <w:t>480-109-210(2)</w:t>
            </w:r>
            <w:r w:rsidR="0011758D">
              <w:t>(a)</w:t>
            </w:r>
            <w:r>
              <w:t>(iii)</w:t>
            </w:r>
          </w:p>
        </w:tc>
        <w:tc>
          <w:tcPr>
            <w:tcW w:w="5400" w:type="dxa"/>
          </w:tcPr>
          <w:p w14:paraId="3CC68DCE" w14:textId="41A2E011" w:rsidR="007D4AD6" w:rsidRDefault="0011758D" w:rsidP="0011758D">
            <w:r>
              <w:t>In addition to the total revenue requirement ratio, the utility must report its t</w:t>
            </w:r>
            <w:r w:rsidR="000F6375">
              <w:t xml:space="preserve">otal incremental cost as a dollar amount and in dollars per megawatt-hour of renewable energy generated by all eligible renewable </w:t>
            </w:r>
            <w:r w:rsidR="000F6375">
              <w:lastRenderedPageBreak/>
              <w:t>resources and multiply the dollars per megawatt-hour cost by the number of megawatt-hours needed for target year compliance.</w:t>
            </w:r>
          </w:p>
        </w:tc>
        <w:tc>
          <w:tcPr>
            <w:tcW w:w="1530" w:type="dxa"/>
          </w:tcPr>
          <w:p w14:paraId="64B49703" w14:textId="2C3D061F" w:rsidR="007D4AD6" w:rsidRPr="00DB0713" w:rsidRDefault="00422297" w:rsidP="00DA596A">
            <w:pPr>
              <w:jc w:val="center"/>
            </w:pPr>
            <w:r>
              <w:lastRenderedPageBreak/>
              <w:t>VI/</w:t>
            </w:r>
            <w:r w:rsidR="009E3B2F">
              <w:t>3</w:t>
            </w:r>
          </w:p>
        </w:tc>
      </w:tr>
      <w:tr w:rsidR="007D4AD6" w14:paraId="54B46A60" w14:textId="77777777" w:rsidTr="00E63C91">
        <w:trPr>
          <w:trHeight w:val="288"/>
        </w:trPr>
        <w:tc>
          <w:tcPr>
            <w:tcW w:w="2425" w:type="dxa"/>
          </w:tcPr>
          <w:p w14:paraId="7C1327C2" w14:textId="026BE7F2" w:rsidR="007D4AD6" w:rsidRDefault="0011758D" w:rsidP="0011758D">
            <w:r>
              <w:t>480-109-210(2)(b)</w:t>
            </w:r>
          </w:p>
        </w:tc>
        <w:tc>
          <w:tcPr>
            <w:tcW w:w="5400" w:type="dxa"/>
          </w:tcPr>
          <w:p w14:paraId="05E94B2B" w14:textId="2032A779" w:rsidR="007D4AD6" w:rsidRDefault="0011758D" w:rsidP="0011758D">
            <w:r>
              <w:t xml:space="preserve">State whether the utility is relying upon one of the alternative compliance mechanisms provided in WAC </w:t>
            </w:r>
            <w:hyperlink r:id="rId13" w:history="1">
              <w:r>
                <w:rPr>
                  <w:rStyle w:val="Hyperlink"/>
                  <w:color w:val="2B674D"/>
                </w:rPr>
                <w:t>480-109-220</w:t>
              </w:r>
            </w:hyperlink>
            <w:r>
              <w:t xml:space="preserve"> instead of fully meeting its renewable resource target. </w:t>
            </w:r>
          </w:p>
        </w:tc>
        <w:tc>
          <w:tcPr>
            <w:tcW w:w="1530" w:type="dxa"/>
          </w:tcPr>
          <w:p w14:paraId="6A442E63" w14:textId="4C7DF18A" w:rsidR="00422297" w:rsidRPr="00DF4A91" w:rsidRDefault="00422297" w:rsidP="009E3B2F">
            <w:pPr>
              <w:jc w:val="center"/>
            </w:pPr>
            <w:r>
              <w:t>VII/</w:t>
            </w:r>
            <w:r w:rsidR="009E3B2F">
              <w:t>4</w:t>
            </w:r>
          </w:p>
        </w:tc>
      </w:tr>
      <w:tr w:rsidR="0011758D" w14:paraId="7C40DB2D" w14:textId="77777777" w:rsidTr="00E63C91">
        <w:trPr>
          <w:trHeight w:val="288"/>
        </w:trPr>
        <w:tc>
          <w:tcPr>
            <w:tcW w:w="2425" w:type="dxa"/>
          </w:tcPr>
          <w:p w14:paraId="200F5567" w14:textId="0F1CFEDB" w:rsidR="0011758D" w:rsidRDefault="0011758D" w:rsidP="0011758D">
            <w:r>
              <w:t>480-109-210(2)(c)</w:t>
            </w:r>
          </w:p>
        </w:tc>
        <w:tc>
          <w:tcPr>
            <w:tcW w:w="5400" w:type="dxa"/>
          </w:tcPr>
          <w:p w14:paraId="074C0FE3" w14:textId="442361A0" w:rsidR="0011758D" w:rsidRDefault="0011758D" w:rsidP="0011758D">
            <w:r>
              <w:t>Describe the resources that the utility intends to use to meet the renewable resource requirements for the target year.</w:t>
            </w:r>
          </w:p>
        </w:tc>
        <w:tc>
          <w:tcPr>
            <w:tcW w:w="1530" w:type="dxa"/>
          </w:tcPr>
          <w:p w14:paraId="0C0A252D" w14:textId="4A337AE1" w:rsidR="00422297" w:rsidRPr="00DF4A91" w:rsidRDefault="00422297" w:rsidP="00725A53">
            <w:pPr>
              <w:jc w:val="center"/>
            </w:pPr>
            <w:r>
              <w:t>VIII/</w:t>
            </w:r>
            <w:r w:rsidR="009E3B2F">
              <w:t>4</w:t>
            </w:r>
          </w:p>
        </w:tc>
      </w:tr>
      <w:tr w:rsidR="0011758D" w14:paraId="79806448" w14:textId="77777777" w:rsidTr="00E63C91">
        <w:trPr>
          <w:trHeight w:val="288"/>
        </w:trPr>
        <w:tc>
          <w:tcPr>
            <w:tcW w:w="2425" w:type="dxa"/>
          </w:tcPr>
          <w:p w14:paraId="7E533EEA" w14:textId="3D204D15" w:rsidR="0011758D" w:rsidRDefault="0011758D" w:rsidP="0011758D">
            <w:r>
              <w:t>480-109-210(2)(d)</w:t>
            </w:r>
          </w:p>
        </w:tc>
        <w:tc>
          <w:tcPr>
            <w:tcW w:w="5400" w:type="dxa"/>
          </w:tcPr>
          <w:p w14:paraId="5AA19316" w14:textId="447DFF39" w:rsidR="0011758D" w:rsidRDefault="0011758D" w:rsidP="0011758D">
            <w:r>
              <w:t xml:space="preserve">A list of each eligible renewable resource that serves Washington customers, for which a utility owns the certificates, with an installed capacity greater than twenty-five kilowatts. </w:t>
            </w:r>
          </w:p>
        </w:tc>
        <w:tc>
          <w:tcPr>
            <w:tcW w:w="1530" w:type="dxa"/>
          </w:tcPr>
          <w:p w14:paraId="0394AB68" w14:textId="288CF549" w:rsidR="0011758D" w:rsidRPr="00DF4A91" w:rsidRDefault="00422297" w:rsidP="009E3B2F">
            <w:pPr>
              <w:jc w:val="center"/>
            </w:pPr>
            <w:r>
              <w:t>IX/</w:t>
            </w:r>
            <w:r w:rsidR="009E3B2F">
              <w:t>5</w:t>
            </w:r>
          </w:p>
        </w:tc>
      </w:tr>
      <w:tr w:rsidR="0011758D" w14:paraId="4BC96973" w14:textId="77777777" w:rsidTr="00E63C91">
        <w:trPr>
          <w:trHeight w:val="288"/>
        </w:trPr>
        <w:tc>
          <w:tcPr>
            <w:tcW w:w="2425" w:type="dxa"/>
          </w:tcPr>
          <w:p w14:paraId="145A9253" w14:textId="6E4EBB38" w:rsidR="0011758D" w:rsidRDefault="00AC28EA" w:rsidP="00AC28EA">
            <w:r>
              <w:t>480-109-210(2)(e)</w:t>
            </w:r>
          </w:p>
        </w:tc>
        <w:tc>
          <w:tcPr>
            <w:tcW w:w="5400" w:type="dxa"/>
          </w:tcPr>
          <w:p w14:paraId="71AC3DF6" w14:textId="76A91D3F" w:rsidR="0011758D" w:rsidRDefault="00AC28EA" w:rsidP="00AC28EA">
            <w:r>
              <w:t>If a utility serves retail customers in more than one state, the utility must allocate certificates consistent with the utility's most recent commission-approved interstate cost allocation methodology. The report must show how the utility applied the allocation methodology to arrive at the number of certificates allocated to Washington ratepayers. After documenting the number of certificates allocated to Washington ratepayers, a utility may transfer certificates to or from Washington ratepayers. The report must document the compensation provided to each jurisdiction's ratepayers for such transfers.</w:t>
            </w:r>
          </w:p>
        </w:tc>
        <w:tc>
          <w:tcPr>
            <w:tcW w:w="1530" w:type="dxa"/>
          </w:tcPr>
          <w:p w14:paraId="77D1EEF7" w14:textId="4E1D02BF" w:rsidR="0011758D" w:rsidRPr="00DF4A91" w:rsidRDefault="00422297" w:rsidP="00246DC6">
            <w:pPr>
              <w:jc w:val="center"/>
            </w:pPr>
            <w:r>
              <w:t>X/</w:t>
            </w:r>
            <w:r w:rsidR="00246DC6">
              <w:t>6</w:t>
            </w:r>
          </w:p>
        </w:tc>
      </w:tr>
      <w:tr w:rsidR="00AC28EA" w14:paraId="5CAB07CD" w14:textId="77777777" w:rsidTr="00E63C91">
        <w:trPr>
          <w:trHeight w:val="288"/>
        </w:trPr>
        <w:tc>
          <w:tcPr>
            <w:tcW w:w="2425" w:type="dxa"/>
          </w:tcPr>
          <w:p w14:paraId="28EE8017" w14:textId="629BD997" w:rsidR="00AC28EA" w:rsidRDefault="00AC28EA" w:rsidP="00AC28EA">
            <w:r>
              <w:t>480-109-210(2)(f)</w:t>
            </w:r>
          </w:p>
        </w:tc>
        <w:tc>
          <w:tcPr>
            <w:tcW w:w="5400" w:type="dxa"/>
          </w:tcPr>
          <w:p w14:paraId="60B4CC6B" w14:textId="6246047D" w:rsidR="00AC28EA" w:rsidRDefault="00AC28EA" w:rsidP="00AC28EA">
            <w:r>
              <w:t>The number of certificates that it sold, their WREGIS certificate numbers, their source, and the revenues obtained from the sales.</w:t>
            </w:r>
          </w:p>
        </w:tc>
        <w:tc>
          <w:tcPr>
            <w:tcW w:w="1530" w:type="dxa"/>
          </w:tcPr>
          <w:p w14:paraId="13130B73" w14:textId="6AB71C93" w:rsidR="00AC28EA" w:rsidRPr="00DF4A91" w:rsidRDefault="00422297" w:rsidP="00422297">
            <w:pPr>
              <w:jc w:val="center"/>
            </w:pPr>
            <w:r>
              <w:t>XI</w:t>
            </w:r>
            <w:r w:rsidR="008904C7">
              <w:t>/</w:t>
            </w:r>
            <w:r w:rsidR="008801CA">
              <w:t>6</w:t>
            </w:r>
          </w:p>
        </w:tc>
      </w:tr>
    </w:tbl>
    <w:p w14:paraId="2861B99F" w14:textId="77777777" w:rsidR="000D56A3" w:rsidRDefault="000D56A3"/>
    <w:p w14:paraId="34ED60DA" w14:textId="77777777" w:rsidR="001D78A7" w:rsidRDefault="001D78A7" w:rsidP="00F86220">
      <w:pPr>
        <w:jc w:val="center"/>
        <w:rPr>
          <w:b/>
        </w:rPr>
      </w:pPr>
    </w:p>
    <w:p w14:paraId="44EC41AA" w14:textId="77777777" w:rsidR="00E81AF6" w:rsidRPr="00F86220" w:rsidRDefault="00F86220" w:rsidP="00F86220">
      <w:pPr>
        <w:jc w:val="center"/>
        <w:rPr>
          <w:b/>
        </w:rPr>
      </w:pPr>
      <w:r>
        <w:rPr>
          <w:b/>
        </w:rPr>
        <w:t>III.</w:t>
      </w:r>
      <w:r>
        <w:rPr>
          <w:b/>
        </w:rPr>
        <w:tab/>
      </w:r>
      <w:r w:rsidRPr="00F86220">
        <w:rPr>
          <w:b/>
        </w:rPr>
        <w:t>ANNUAL LOAD FOR PREVIOUS TWO YEARS</w:t>
      </w:r>
    </w:p>
    <w:p w14:paraId="36A002F5" w14:textId="77777777" w:rsidR="00F86220" w:rsidRDefault="00F86220" w:rsidP="00E81AF6"/>
    <w:p w14:paraId="339E2F92" w14:textId="2DD118F8" w:rsidR="00E81AF6" w:rsidRDefault="00E81AF6" w:rsidP="004A1D00">
      <w:pPr>
        <w:spacing w:line="360" w:lineRule="auto"/>
        <w:ind w:firstLine="720"/>
        <w:jc w:val="both"/>
      </w:pPr>
      <w:r>
        <w:t xml:space="preserve">Renewable targets for the compliance year are based on average Washington State retail loads from the two prior years. Avista’s annual delivered load to Washington retail customers was </w:t>
      </w:r>
      <w:r w:rsidR="005E78C3">
        <w:t>5,732,025</w:t>
      </w:r>
      <w:r>
        <w:t xml:space="preserve"> MWh in 201</w:t>
      </w:r>
      <w:r w:rsidR="005E78C3">
        <w:t>5</w:t>
      </w:r>
      <w:r>
        <w:t xml:space="preserve"> and </w:t>
      </w:r>
      <w:r w:rsidR="005E78C3">
        <w:t>5,521,300</w:t>
      </w:r>
      <w:r>
        <w:t xml:space="preserve"> MWh in 201</w:t>
      </w:r>
      <w:r w:rsidR="005E78C3">
        <w:t>6</w:t>
      </w:r>
      <w:r>
        <w:t>. The Company’s average retail load used for 201</w:t>
      </w:r>
      <w:r w:rsidR="005E78C3">
        <w:t>7</w:t>
      </w:r>
      <w:r>
        <w:t xml:space="preserve"> compliance is </w:t>
      </w:r>
      <w:r w:rsidR="005E78C3">
        <w:t>5,626,663</w:t>
      </w:r>
      <w:r>
        <w:t xml:space="preserve"> MWh.</w:t>
      </w:r>
    </w:p>
    <w:p w14:paraId="00220A2F" w14:textId="77777777" w:rsidR="001D78A7" w:rsidRDefault="001D78A7" w:rsidP="00F86220">
      <w:pPr>
        <w:jc w:val="center"/>
        <w:rPr>
          <w:b/>
        </w:rPr>
      </w:pPr>
    </w:p>
    <w:p w14:paraId="22436804" w14:textId="77777777" w:rsidR="00E81AF6" w:rsidRPr="00F86220" w:rsidRDefault="00F86220" w:rsidP="00F86220">
      <w:pPr>
        <w:jc w:val="center"/>
        <w:rPr>
          <w:b/>
        </w:rPr>
      </w:pPr>
      <w:r>
        <w:rPr>
          <w:b/>
        </w:rPr>
        <w:t>IV.</w:t>
      </w:r>
      <w:r>
        <w:rPr>
          <w:b/>
        </w:rPr>
        <w:tab/>
      </w:r>
      <w:r w:rsidRPr="00F86220">
        <w:rPr>
          <w:b/>
        </w:rPr>
        <w:t>RENEWABLE ENERGY TARGET</w:t>
      </w:r>
    </w:p>
    <w:p w14:paraId="0EFA16BB" w14:textId="77777777" w:rsidR="00F86220" w:rsidRDefault="00F86220" w:rsidP="00E81AF6"/>
    <w:p w14:paraId="2B46BD08" w14:textId="693E2E8C" w:rsidR="00E81AF6" w:rsidRDefault="00467A08" w:rsidP="004A1D00">
      <w:pPr>
        <w:spacing w:line="360" w:lineRule="auto"/>
        <w:ind w:firstLine="720"/>
      </w:pPr>
      <w:r>
        <w:t>The following information is for the 201</w:t>
      </w:r>
      <w:r w:rsidR="00615B06">
        <w:t>7</w:t>
      </w:r>
      <w:r>
        <w:t xml:space="preserve"> compliance year</w:t>
      </w:r>
      <w:r w:rsidR="009B31C1">
        <w:t xml:space="preserve">, which has a </w:t>
      </w:r>
      <w:r w:rsidR="00685C7D">
        <w:t>9</w:t>
      </w:r>
      <w:r w:rsidR="009B31C1">
        <w:t xml:space="preserve"> percent qualified renewable energy</w:t>
      </w:r>
      <w:r w:rsidR="007D4AD6">
        <w:t xml:space="preserve"> target</w:t>
      </w:r>
      <w:r w:rsidR="009B31C1">
        <w:t xml:space="preserve">. </w:t>
      </w:r>
      <w:r w:rsidR="00E81AF6" w:rsidRPr="000D2C0E">
        <w:t>Avista’s 201</w:t>
      </w:r>
      <w:r w:rsidR="00615B06">
        <w:t>7</w:t>
      </w:r>
      <w:r w:rsidR="00E81AF6" w:rsidRPr="000D2C0E">
        <w:t xml:space="preserve"> renewable energy target is </w:t>
      </w:r>
      <w:r w:rsidR="00615B06">
        <w:t>506,400</w:t>
      </w:r>
      <w:r w:rsidR="00E81AF6" w:rsidRPr="000D2C0E">
        <w:t xml:space="preserve"> MWh </w:t>
      </w:r>
      <w:r w:rsidR="00DE1EA4">
        <w:t xml:space="preserve">of </w:t>
      </w:r>
      <w:r w:rsidR="00DE1EA4">
        <w:lastRenderedPageBreak/>
        <w:t xml:space="preserve">qualified renewable generation </w:t>
      </w:r>
      <w:r w:rsidR="00E81AF6" w:rsidRPr="000D2C0E">
        <w:t>or renewable energy credits.</w:t>
      </w:r>
      <w:r w:rsidR="00E81AF6">
        <w:t xml:space="preserve"> Table 1 </w:t>
      </w:r>
      <w:r w:rsidR="00EF699A">
        <w:t xml:space="preserve">below </w:t>
      </w:r>
      <w:r w:rsidR="00DE1EA4">
        <w:t xml:space="preserve">provides </w:t>
      </w:r>
      <w:r w:rsidR="00E81AF6">
        <w:t xml:space="preserve">details </w:t>
      </w:r>
      <w:r w:rsidR="00DE1EA4">
        <w:t>about</w:t>
      </w:r>
      <w:r w:rsidR="00E81AF6">
        <w:t xml:space="preserve"> th</w:t>
      </w:r>
      <w:r w:rsidR="00DE1EA4">
        <w:t>e Company’s 201</w:t>
      </w:r>
      <w:r w:rsidR="00615B06">
        <w:t>7</w:t>
      </w:r>
      <w:r w:rsidR="00DE1EA4">
        <w:t xml:space="preserve"> renewable energy target</w:t>
      </w:r>
      <w:r w:rsidR="00E81AF6">
        <w:t xml:space="preserve"> calculation.</w:t>
      </w:r>
    </w:p>
    <w:p w14:paraId="0D0D4CFB" w14:textId="77777777" w:rsidR="00E22751" w:rsidRDefault="00E22751" w:rsidP="00E81AF6">
      <w:pPr>
        <w:jc w:val="center"/>
        <w:rPr>
          <w:b/>
        </w:rPr>
      </w:pPr>
    </w:p>
    <w:p w14:paraId="38BB191E" w14:textId="77777777" w:rsidR="00E81AF6" w:rsidRDefault="00E81AF6" w:rsidP="00E81AF6">
      <w:pPr>
        <w:jc w:val="center"/>
        <w:rPr>
          <w:b/>
        </w:rPr>
      </w:pPr>
      <w:r w:rsidRPr="00927395">
        <w:rPr>
          <w:b/>
        </w:rPr>
        <w:t>Table 1: Energy Independence Act Renewable Energy Target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1176"/>
        <w:gridCol w:w="1176"/>
        <w:gridCol w:w="1176"/>
      </w:tblGrid>
      <w:tr w:rsidR="00023E66" w:rsidRPr="00F86220" w14:paraId="7495A8B3" w14:textId="77777777" w:rsidTr="004862AA">
        <w:trPr>
          <w:jc w:val="center"/>
        </w:trPr>
        <w:tc>
          <w:tcPr>
            <w:tcW w:w="3663" w:type="dxa"/>
          </w:tcPr>
          <w:p w14:paraId="539A6318" w14:textId="77777777" w:rsidR="00023E66" w:rsidRPr="00F86220" w:rsidRDefault="00023E66" w:rsidP="00E81AF6"/>
        </w:tc>
        <w:tc>
          <w:tcPr>
            <w:tcW w:w="1176" w:type="dxa"/>
          </w:tcPr>
          <w:p w14:paraId="5BF0A36B" w14:textId="77777777" w:rsidR="00023E66" w:rsidRDefault="00023E66" w:rsidP="00917D13">
            <w:pPr>
              <w:jc w:val="center"/>
              <w:rPr>
                <w:b/>
              </w:rPr>
            </w:pPr>
            <w:r w:rsidRPr="00F86220">
              <w:rPr>
                <w:b/>
              </w:rPr>
              <w:t>201</w:t>
            </w:r>
            <w:r w:rsidR="00917D13">
              <w:rPr>
                <w:b/>
              </w:rPr>
              <w:t>5</w:t>
            </w:r>
          </w:p>
          <w:p w14:paraId="64D87758" w14:textId="39BA34E9" w:rsidR="009C3B6C" w:rsidRPr="00F86220" w:rsidRDefault="009C3B6C" w:rsidP="00917D13">
            <w:pPr>
              <w:jc w:val="center"/>
              <w:rPr>
                <w:b/>
              </w:rPr>
            </w:pPr>
            <w:r>
              <w:rPr>
                <w:b/>
              </w:rPr>
              <w:t>Actual</w:t>
            </w:r>
          </w:p>
        </w:tc>
        <w:tc>
          <w:tcPr>
            <w:tcW w:w="1176" w:type="dxa"/>
          </w:tcPr>
          <w:p w14:paraId="378C9DD8" w14:textId="77777777" w:rsidR="00023E66" w:rsidRDefault="00023E66" w:rsidP="00917D13">
            <w:pPr>
              <w:jc w:val="center"/>
              <w:rPr>
                <w:b/>
              </w:rPr>
            </w:pPr>
            <w:r>
              <w:rPr>
                <w:b/>
              </w:rPr>
              <w:t>201</w:t>
            </w:r>
            <w:r w:rsidR="00917D13">
              <w:rPr>
                <w:b/>
              </w:rPr>
              <w:t>6</w:t>
            </w:r>
          </w:p>
          <w:p w14:paraId="5F674CD3" w14:textId="28904116" w:rsidR="009C3B6C" w:rsidRPr="00F86220" w:rsidRDefault="009C3B6C" w:rsidP="00917D13">
            <w:pPr>
              <w:jc w:val="center"/>
              <w:rPr>
                <w:b/>
              </w:rPr>
            </w:pPr>
            <w:r>
              <w:rPr>
                <w:b/>
              </w:rPr>
              <w:t>Actual</w:t>
            </w:r>
          </w:p>
        </w:tc>
        <w:tc>
          <w:tcPr>
            <w:tcW w:w="1176" w:type="dxa"/>
          </w:tcPr>
          <w:p w14:paraId="411DA5C2" w14:textId="77777777" w:rsidR="00023E66" w:rsidRDefault="00023E66" w:rsidP="00917D13">
            <w:pPr>
              <w:jc w:val="center"/>
              <w:rPr>
                <w:b/>
              </w:rPr>
            </w:pPr>
            <w:r>
              <w:rPr>
                <w:b/>
              </w:rPr>
              <w:t>201</w:t>
            </w:r>
            <w:r w:rsidR="00917D13">
              <w:rPr>
                <w:b/>
              </w:rPr>
              <w:t>7</w:t>
            </w:r>
          </w:p>
          <w:p w14:paraId="18FB1D09" w14:textId="296CE93B" w:rsidR="009C3B6C" w:rsidRDefault="009C3B6C" w:rsidP="00917D13">
            <w:pPr>
              <w:jc w:val="center"/>
              <w:rPr>
                <w:b/>
              </w:rPr>
            </w:pPr>
            <w:r>
              <w:rPr>
                <w:b/>
              </w:rPr>
              <w:t>Forecast</w:t>
            </w:r>
          </w:p>
        </w:tc>
      </w:tr>
      <w:tr w:rsidR="00023E66" w:rsidRPr="00F86220" w14:paraId="7CFE4A5C" w14:textId="77777777" w:rsidTr="004862AA">
        <w:trPr>
          <w:jc w:val="center"/>
        </w:trPr>
        <w:tc>
          <w:tcPr>
            <w:tcW w:w="3663" w:type="dxa"/>
          </w:tcPr>
          <w:p w14:paraId="2C75D157" w14:textId="77777777" w:rsidR="00023E66" w:rsidRPr="00F86220" w:rsidRDefault="00023E66" w:rsidP="00E81AF6">
            <w:pPr>
              <w:rPr>
                <w:b/>
              </w:rPr>
            </w:pPr>
            <w:r w:rsidRPr="00F86220">
              <w:rPr>
                <w:b/>
              </w:rPr>
              <w:t>Washington Retail Load (MWh)</w:t>
            </w:r>
          </w:p>
        </w:tc>
        <w:tc>
          <w:tcPr>
            <w:tcW w:w="1176" w:type="dxa"/>
          </w:tcPr>
          <w:p w14:paraId="3EECC940" w14:textId="5E3EED5C" w:rsidR="00023E66" w:rsidRPr="00F86220" w:rsidRDefault="00917D13" w:rsidP="00917D13">
            <w:pPr>
              <w:jc w:val="center"/>
            </w:pPr>
            <w:r>
              <w:t>5,732,025</w:t>
            </w:r>
          </w:p>
        </w:tc>
        <w:tc>
          <w:tcPr>
            <w:tcW w:w="1176" w:type="dxa"/>
          </w:tcPr>
          <w:p w14:paraId="1CF18381" w14:textId="7AD5B393" w:rsidR="00023E66" w:rsidRDefault="00FB6A8F" w:rsidP="00917D13">
            <w:pPr>
              <w:jc w:val="center"/>
            </w:pPr>
            <w:r>
              <w:t>5,521,300</w:t>
            </w:r>
          </w:p>
        </w:tc>
        <w:tc>
          <w:tcPr>
            <w:tcW w:w="1176" w:type="dxa"/>
          </w:tcPr>
          <w:p w14:paraId="784EAAE0" w14:textId="5CAB34C8" w:rsidR="00023E66" w:rsidRDefault="009D0A4B" w:rsidP="00615B06">
            <w:pPr>
              <w:jc w:val="center"/>
            </w:pPr>
            <w:r>
              <w:t>5,761,469</w:t>
            </w:r>
          </w:p>
        </w:tc>
      </w:tr>
      <w:tr w:rsidR="00023E66" w:rsidRPr="00F86220" w14:paraId="76F23B31" w14:textId="77777777" w:rsidTr="004862AA">
        <w:trPr>
          <w:jc w:val="center"/>
        </w:trPr>
        <w:tc>
          <w:tcPr>
            <w:tcW w:w="3663" w:type="dxa"/>
          </w:tcPr>
          <w:p w14:paraId="42779658" w14:textId="42072DCB" w:rsidR="00023E66" w:rsidRPr="00F86220" w:rsidRDefault="00023E66" w:rsidP="005948C8">
            <w:pPr>
              <w:rPr>
                <w:b/>
              </w:rPr>
            </w:pPr>
            <w:r w:rsidRPr="00F86220">
              <w:rPr>
                <w:b/>
              </w:rPr>
              <w:t>Target Load</w:t>
            </w:r>
            <w:r>
              <w:rPr>
                <w:b/>
              </w:rPr>
              <w:t xml:space="preserve"> (MWh)</w:t>
            </w:r>
            <w:r w:rsidR="005C47C5">
              <w:rPr>
                <w:b/>
              </w:rPr>
              <w:t xml:space="preserve"> – Average of prior two years actual loads</w:t>
            </w:r>
          </w:p>
        </w:tc>
        <w:tc>
          <w:tcPr>
            <w:tcW w:w="1176" w:type="dxa"/>
          </w:tcPr>
          <w:p w14:paraId="00CF8F9B" w14:textId="2F24D8A9" w:rsidR="00023E66" w:rsidRPr="00F86220" w:rsidRDefault="00917D13" w:rsidP="000477D8">
            <w:pPr>
              <w:jc w:val="center"/>
            </w:pPr>
            <w:r>
              <w:t>5,682,413</w:t>
            </w:r>
          </w:p>
        </w:tc>
        <w:tc>
          <w:tcPr>
            <w:tcW w:w="1176" w:type="dxa"/>
          </w:tcPr>
          <w:p w14:paraId="35C4D46C" w14:textId="262CFDC2" w:rsidR="00023E66" w:rsidRDefault="00917D13" w:rsidP="00917D13">
            <w:pPr>
              <w:jc w:val="center"/>
            </w:pPr>
            <w:r>
              <w:t>5,708,992</w:t>
            </w:r>
          </w:p>
        </w:tc>
        <w:tc>
          <w:tcPr>
            <w:tcW w:w="1176" w:type="dxa"/>
          </w:tcPr>
          <w:p w14:paraId="5B160608" w14:textId="6A86F683" w:rsidR="00023E66" w:rsidRDefault="009D0A4B" w:rsidP="00917D13">
            <w:pPr>
              <w:jc w:val="center"/>
            </w:pPr>
            <w:r>
              <w:t>5,626,663</w:t>
            </w:r>
          </w:p>
        </w:tc>
      </w:tr>
      <w:tr w:rsidR="00023E66" w:rsidRPr="00F86220" w14:paraId="7DF82D44" w14:textId="77777777" w:rsidTr="004862AA">
        <w:trPr>
          <w:jc w:val="center"/>
        </w:trPr>
        <w:tc>
          <w:tcPr>
            <w:tcW w:w="3663" w:type="dxa"/>
          </w:tcPr>
          <w:p w14:paraId="45D5C248" w14:textId="77777777" w:rsidR="00023E66" w:rsidRPr="00F86220" w:rsidRDefault="00023E66" w:rsidP="00E81AF6">
            <w:pPr>
              <w:rPr>
                <w:b/>
              </w:rPr>
            </w:pPr>
            <w:r w:rsidRPr="00F86220">
              <w:rPr>
                <w:b/>
              </w:rPr>
              <w:t>RCW 19.285 Requirement</w:t>
            </w:r>
          </w:p>
        </w:tc>
        <w:tc>
          <w:tcPr>
            <w:tcW w:w="1176" w:type="dxa"/>
          </w:tcPr>
          <w:p w14:paraId="348B2B2F" w14:textId="77777777" w:rsidR="00023E66" w:rsidRPr="00F86220" w:rsidRDefault="00023E66" w:rsidP="00E81AF6">
            <w:pPr>
              <w:jc w:val="center"/>
            </w:pPr>
            <w:r w:rsidRPr="00F86220">
              <w:t>3%</w:t>
            </w:r>
          </w:p>
        </w:tc>
        <w:tc>
          <w:tcPr>
            <w:tcW w:w="1176" w:type="dxa"/>
          </w:tcPr>
          <w:p w14:paraId="5A047A8C" w14:textId="270FCF53" w:rsidR="00023E66" w:rsidRPr="00F86220" w:rsidRDefault="00917D13" w:rsidP="00917D13">
            <w:pPr>
              <w:jc w:val="center"/>
            </w:pPr>
            <w:r>
              <w:t>9</w:t>
            </w:r>
            <w:r w:rsidR="00023E66">
              <w:t>%</w:t>
            </w:r>
          </w:p>
        </w:tc>
        <w:tc>
          <w:tcPr>
            <w:tcW w:w="1176" w:type="dxa"/>
          </w:tcPr>
          <w:p w14:paraId="78DE29D8" w14:textId="77777777" w:rsidR="00023E66" w:rsidRDefault="00023E66" w:rsidP="00E81AF6">
            <w:pPr>
              <w:jc w:val="center"/>
            </w:pPr>
            <w:r>
              <w:t>9%</w:t>
            </w:r>
          </w:p>
        </w:tc>
      </w:tr>
      <w:tr w:rsidR="00023E66" w:rsidRPr="00F86220" w14:paraId="6CA9166A" w14:textId="77777777" w:rsidTr="004862AA">
        <w:trPr>
          <w:jc w:val="center"/>
        </w:trPr>
        <w:tc>
          <w:tcPr>
            <w:tcW w:w="3663" w:type="dxa"/>
          </w:tcPr>
          <w:p w14:paraId="34ED75D3" w14:textId="77777777" w:rsidR="00023E66" w:rsidRPr="00F86220" w:rsidRDefault="00023E66" w:rsidP="00E81AF6">
            <w:pPr>
              <w:rPr>
                <w:b/>
              </w:rPr>
            </w:pPr>
            <w:r w:rsidRPr="00F86220">
              <w:rPr>
                <w:b/>
              </w:rPr>
              <w:t>Requirement (MWh)</w:t>
            </w:r>
          </w:p>
        </w:tc>
        <w:tc>
          <w:tcPr>
            <w:tcW w:w="1176" w:type="dxa"/>
          </w:tcPr>
          <w:p w14:paraId="14CDFDB1" w14:textId="33989700" w:rsidR="00023E66" w:rsidRPr="00F86220" w:rsidRDefault="00917D13" w:rsidP="00917D13">
            <w:pPr>
              <w:jc w:val="center"/>
            </w:pPr>
            <w:r>
              <w:t>170,472</w:t>
            </w:r>
          </w:p>
        </w:tc>
        <w:tc>
          <w:tcPr>
            <w:tcW w:w="1176" w:type="dxa"/>
          </w:tcPr>
          <w:p w14:paraId="3D8A2134" w14:textId="24916072" w:rsidR="00023E66" w:rsidRDefault="00917D13" w:rsidP="00917D13">
            <w:pPr>
              <w:jc w:val="center"/>
            </w:pPr>
            <w:r>
              <w:t>513,809</w:t>
            </w:r>
          </w:p>
        </w:tc>
        <w:tc>
          <w:tcPr>
            <w:tcW w:w="1176" w:type="dxa"/>
          </w:tcPr>
          <w:p w14:paraId="7728A0AD" w14:textId="56ABDC80" w:rsidR="00023E66" w:rsidRDefault="00615B06" w:rsidP="00917D13">
            <w:pPr>
              <w:jc w:val="center"/>
            </w:pPr>
            <w:r>
              <w:t>506,400</w:t>
            </w:r>
          </w:p>
        </w:tc>
      </w:tr>
    </w:tbl>
    <w:p w14:paraId="2DCDCD3B" w14:textId="77777777" w:rsidR="00E81AF6" w:rsidRDefault="00E81AF6" w:rsidP="00E81AF6"/>
    <w:p w14:paraId="02C1AD10" w14:textId="77777777" w:rsidR="00DA596A" w:rsidRDefault="00DA596A" w:rsidP="00F86220">
      <w:pPr>
        <w:jc w:val="center"/>
        <w:rPr>
          <w:b/>
        </w:rPr>
      </w:pPr>
    </w:p>
    <w:p w14:paraId="6587C453" w14:textId="38300131" w:rsidR="00E81AF6" w:rsidRPr="00F86220" w:rsidRDefault="00F86220" w:rsidP="00F86220">
      <w:pPr>
        <w:jc w:val="center"/>
        <w:rPr>
          <w:b/>
        </w:rPr>
      </w:pPr>
      <w:r>
        <w:rPr>
          <w:b/>
        </w:rPr>
        <w:t>V.</w:t>
      </w:r>
      <w:r>
        <w:rPr>
          <w:b/>
        </w:rPr>
        <w:tab/>
      </w:r>
      <w:r w:rsidRPr="00F86220">
        <w:rPr>
          <w:b/>
        </w:rPr>
        <w:t>RENEWABLE ENERGY ACQUIRED TO MEET</w:t>
      </w:r>
      <w:r w:rsidR="00871D8E">
        <w:rPr>
          <w:b/>
        </w:rPr>
        <w:t xml:space="preserve"> 2017</w:t>
      </w:r>
      <w:r w:rsidRPr="00F86220">
        <w:rPr>
          <w:b/>
        </w:rPr>
        <w:t xml:space="preserve"> RENEWABLE ENERGY TARGET</w:t>
      </w:r>
    </w:p>
    <w:p w14:paraId="2483918D" w14:textId="77777777" w:rsidR="00F86220" w:rsidRDefault="00F86220" w:rsidP="00E81AF6"/>
    <w:p w14:paraId="667394A7" w14:textId="6B3EF4B2" w:rsidR="00E81AF6" w:rsidRDefault="00E81AF6" w:rsidP="004A1D00">
      <w:pPr>
        <w:spacing w:line="360" w:lineRule="auto"/>
        <w:ind w:firstLine="720"/>
        <w:jc w:val="both"/>
      </w:pPr>
      <w:r>
        <w:t xml:space="preserve">Table 2 </w:t>
      </w:r>
      <w:r w:rsidR="00EF699A">
        <w:t xml:space="preserve">below </w:t>
      </w:r>
      <w:r>
        <w:t xml:space="preserve">details </w:t>
      </w:r>
      <w:r w:rsidR="000D5254">
        <w:t xml:space="preserve">Avista’s </w:t>
      </w:r>
      <w:r w:rsidR="00EE5422">
        <w:t>eligible renewable energy acquired to meet its 201</w:t>
      </w:r>
      <w:r w:rsidR="00917D13">
        <w:t>7</w:t>
      </w:r>
      <w:r w:rsidR="00EE5422">
        <w:t xml:space="preserve"> renewable energy target</w:t>
      </w:r>
      <w:r>
        <w:t xml:space="preserve">. Calculations </w:t>
      </w:r>
      <w:r w:rsidR="004368B3">
        <w:t xml:space="preserve">and further details </w:t>
      </w:r>
      <w:r>
        <w:t>supporting the figures in Table 2 are in</w:t>
      </w:r>
      <w:r w:rsidR="00EE5422">
        <w:t>cluded in</w:t>
      </w:r>
      <w:r>
        <w:t xml:space="preserve"> Appendix A</w:t>
      </w:r>
      <w:r w:rsidR="009B31C1">
        <w:t xml:space="preserve"> and the </w:t>
      </w:r>
      <w:r w:rsidR="00043410">
        <w:t xml:space="preserve">supporting </w:t>
      </w:r>
      <w:r w:rsidR="00EE5422">
        <w:t>documents</w:t>
      </w:r>
      <w:r w:rsidR="009B31C1">
        <w:t xml:space="preserve"> are in the confidential workpapers </w:t>
      </w:r>
      <w:r w:rsidR="00A547AA">
        <w:t>supporting</w:t>
      </w:r>
      <w:r w:rsidR="009B31C1">
        <w:t xml:space="preserve"> this filing</w:t>
      </w:r>
      <w:r>
        <w:t>.</w:t>
      </w:r>
      <w:r w:rsidR="000D5254">
        <w:t xml:space="preserve"> </w:t>
      </w:r>
    </w:p>
    <w:p w14:paraId="6E5FEBC5" w14:textId="77777777" w:rsidR="005414F3" w:rsidRDefault="005414F3" w:rsidP="00E81AF6">
      <w:pPr>
        <w:pStyle w:val="ListParagraph"/>
        <w:autoSpaceDE w:val="0"/>
        <w:autoSpaceDN w:val="0"/>
        <w:adjustRightInd w:val="0"/>
        <w:ind w:left="0"/>
        <w:jc w:val="center"/>
        <w:rPr>
          <w:b/>
        </w:rPr>
      </w:pPr>
    </w:p>
    <w:p w14:paraId="4C6A2FC1" w14:textId="78D03AD1" w:rsidR="00E81AF6" w:rsidRDefault="00E81AF6" w:rsidP="00E81AF6">
      <w:pPr>
        <w:pStyle w:val="ListParagraph"/>
        <w:autoSpaceDE w:val="0"/>
        <w:autoSpaceDN w:val="0"/>
        <w:adjustRightInd w:val="0"/>
        <w:ind w:left="0"/>
        <w:jc w:val="center"/>
        <w:rPr>
          <w:b/>
        </w:rPr>
      </w:pPr>
      <w:r w:rsidRPr="000F6D9D">
        <w:rPr>
          <w:b/>
        </w:rPr>
        <w:t xml:space="preserve">Table 2: </w:t>
      </w:r>
      <w:r>
        <w:rPr>
          <w:b/>
        </w:rPr>
        <w:t>Renewable Energy for 201</w:t>
      </w:r>
      <w:r w:rsidR="00917D13">
        <w:rPr>
          <w:b/>
        </w:rPr>
        <w:t>7</w:t>
      </w:r>
      <w:r>
        <w:rPr>
          <w:b/>
        </w:rPr>
        <w:t xml:space="preserve"> Compliance</w:t>
      </w:r>
    </w:p>
    <w:p w14:paraId="1BFA4E7D" w14:textId="77777777" w:rsidR="00553345" w:rsidRDefault="00553345" w:rsidP="00E81AF6">
      <w:pPr>
        <w:pStyle w:val="ListParagraph"/>
        <w:autoSpaceDE w:val="0"/>
        <w:autoSpaceDN w:val="0"/>
        <w:adjustRightInd w:val="0"/>
        <w:ind w:left="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996"/>
        <w:gridCol w:w="996"/>
        <w:gridCol w:w="1116"/>
      </w:tblGrid>
      <w:tr w:rsidR="000D5254" w:rsidRPr="00F86220" w14:paraId="26AFA260" w14:textId="77777777" w:rsidTr="005C6A79">
        <w:trPr>
          <w:jc w:val="center"/>
        </w:trPr>
        <w:tc>
          <w:tcPr>
            <w:tcW w:w="4689" w:type="dxa"/>
          </w:tcPr>
          <w:p w14:paraId="20B6DF8C" w14:textId="77777777" w:rsidR="000D5254" w:rsidRPr="00F86220" w:rsidRDefault="000D5254" w:rsidP="005C6A79">
            <w:pPr>
              <w:pStyle w:val="ListParagraph"/>
              <w:autoSpaceDE w:val="0"/>
              <w:autoSpaceDN w:val="0"/>
              <w:adjustRightInd w:val="0"/>
              <w:ind w:left="0"/>
              <w:rPr>
                <w:b/>
              </w:rPr>
            </w:pPr>
          </w:p>
        </w:tc>
        <w:tc>
          <w:tcPr>
            <w:tcW w:w="996" w:type="dxa"/>
          </w:tcPr>
          <w:p w14:paraId="22AACEEF" w14:textId="35B3629D" w:rsidR="000D5254" w:rsidRPr="00F86220" w:rsidRDefault="000D5254" w:rsidP="00917D13">
            <w:pPr>
              <w:pStyle w:val="ListParagraph"/>
              <w:autoSpaceDE w:val="0"/>
              <w:autoSpaceDN w:val="0"/>
              <w:adjustRightInd w:val="0"/>
              <w:ind w:left="0"/>
              <w:jc w:val="center"/>
              <w:rPr>
                <w:b/>
              </w:rPr>
            </w:pPr>
            <w:r w:rsidRPr="00F86220">
              <w:rPr>
                <w:b/>
              </w:rPr>
              <w:t>201</w:t>
            </w:r>
            <w:r w:rsidR="00917D13">
              <w:rPr>
                <w:b/>
              </w:rPr>
              <w:t>5</w:t>
            </w:r>
          </w:p>
        </w:tc>
        <w:tc>
          <w:tcPr>
            <w:tcW w:w="996" w:type="dxa"/>
          </w:tcPr>
          <w:p w14:paraId="0DD16ED5" w14:textId="1DAAA234" w:rsidR="000D5254" w:rsidRPr="00F86220" w:rsidRDefault="000D5254" w:rsidP="00917D13">
            <w:pPr>
              <w:pStyle w:val="ListParagraph"/>
              <w:autoSpaceDE w:val="0"/>
              <w:autoSpaceDN w:val="0"/>
              <w:adjustRightInd w:val="0"/>
              <w:ind w:left="0"/>
              <w:jc w:val="center"/>
              <w:rPr>
                <w:b/>
              </w:rPr>
            </w:pPr>
            <w:r w:rsidRPr="00F86220">
              <w:rPr>
                <w:b/>
              </w:rPr>
              <w:t>201</w:t>
            </w:r>
            <w:r w:rsidR="00917D13">
              <w:rPr>
                <w:b/>
              </w:rPr>
              <w:t>6</w:t>
            </w:r>
          </w:p>
        </w:tc>
        <w:tc>
          <w:tcPr>
            <w:tcW w:w="1116" w:type="dxa"/>
          </w:tcPr>
          <w:p w14:paraId="3695AA36" w14:textId="239DE0E0" w:rsidR="000D5254" w:rsidRPr="00F86220" w:rsidRDefault="000D5254" w:rsidP="00C10A75">
            <w:pPr>
              <w:pStyle w:val="ListParagraph"/>
              <w:autoSpaceDE w:val="0"/>
              <w:autoSpaceDN w:val="0"/>
              <w:adjustRightInd w:val="0"/>
              <w:ind w:left="0"/>
              <w:jc w:val="center"/>
              <w:rPr>
                <w:b/>
              </w:rPr>
            </w:pPr>
            <w:r w:rsidRPr="00F86220">
              <w:rPr>
                <w:b/>
              </w:rPr>
              <w:t>201</w:t>
            </w:r>
            <w:r w:rsidR="00C10A75">
              <w:rPr>
                <w:b/>
              </w:rPr>
              <w:t>7</w:t>
            </w:r>
          </w:p>
        </w:tc>
      </w:tr>
      <w:tr w:rsidR="000D5254" w:rsidRPr="00F86220" w14:paraId="69416DA6" w14:textId="77777777" w:rsidTr="005C6A79">
        <w:trPr>
          <w:jc w:val="center"/>
        </w:trPr>
        <w:tc>
          <w:tcPr>
            <w:tcW w:w="4689" w:type="dxa"/>
          </w:tcPr>
          <w:p w14:paraId="3AF4FEAA" w14:textId="77777777" w:rsidR="000D5254" w:rsidRPr="00F86220" w:rsidRDefault="000D5254" w:rsidP="005C6A79">
            <w:pPr>
              <w:pStyle w:val="ListParagraph"/>
              <w:autoSpaceDE w:val="0"/>
              <w:autoSpaceDN w:val="0"/>
              <w:adjustRightInd w:val="0"/>
              <w:ind w:left="0"/>
              <w:rPr>
                <w:b/>
              </w:rPr>
            </w:pPr>
            <w:r w:rsidRPr="00F86220">
              <w:rPr>
                <w:b/>
              </w:rPr>
              <w:t>Water (Qualified Hydroelectric Upgrades)</w:t>
            </w:r>
          </w:p>
        </w:tc>
        <w:tc>
          <w:tcPr>
            <w:tcW w:w="996" w:type="dxa"/>
          </w:tcPr>
          <w:p w14:paraId="63DA85AA" w14:textId="77777777" w:rsidR="000D5254" w:rsidRPr="00F86220" w:rsidRDefault="0066071F" w:rsidP="000477D8">
            <w:pPr>
              <w:pStyle w:val="ListParagraph"/>
              <w:autoSpaceDE w:val="0"/>
              <w:autoSpaceDN w:val="0"/>
              <w:adjustRightInd w:val="0"/>
              <w:ind w:left="0"/>
              <w:jc w:val="center"/>
            </w:pPr>
            <w:r>
              <w:t>170,089</w:t>
            </w:r>
          </w:p>
        </w:tc>
        <w:tc>
          <w:tcPr>
            <w:tcW w:w="996" w:type="dxa"/>
            <w:shd w:val="clear" w:color="auto" w:fill="auto"/>
          </w:tcPr>
          <w:p w14:paraId="5146B6A7" w14:textId="3B71BF4F" w:rsidR="000D5254" w:rsidRPr="00F00EBF" w:rsidRDefault="00917D13" w:rsidP="00917D13">
            <w:pPr>
              <w:pStyle w:val="ListParagraph"/>
              <w:autoSpaceDE w:val="0"/>
              <w:autoSpaceDN w:val="0"/>
              <w:adjustRightInd w:val="0"/>
              <w:ind w:left="0"/>
              <w:jc w:val="center"/>
            </w:pPr>
            <w:r>
              <w:t>171,482</w:t>
            </w:r>
          </w:p>
        </w:tc>
        <w:tc>
          <w:tcPr>
            <w:tcW w:w="1116" w:type="dxa"/>
          </w:tcPr>
          <w:p w14:paraId="20DA1417" w14:textId="1EF2AEB7" w:rsidR="000D5254" w:rsidRPr="00F00EBF" w:rsidRDefault="00143E5D" w:rsidP="00C10A75">
            <w:pPr>
              <w:pStyle w:val="ListParagraph"/>
              <w:autoSpaceDE w:val="0"/>
              <w:autoSpaceDN w:val="0"/>
              <w:adjustRightInd w:val="0"/>
              <w:ind w:left="0"/>
              <w:jc w:val="center"/>
            </w:pPr>
            <w:r>
              <w:t>192,039</w:t>
            </w:r>
          </w:p>
        </w:tc>
      </w:tr>
      <w:tr w:rsidR="000D5254" w:rsidRPr="00F86220" w14:paraId="48C8AF6D" w14:textId="77777777" w:rsidTr="005C6A79">
        <w:trPr>
          <w:jc w:val="center"/>
        </w:trPr>
        <w:tc>
          <w:tcPr>
            <w:tcW w:w="4689" w:type="dxa"/>
          </w:tcPr>
          <w:p w14:paraId="0E187B75" w14:textId="77777777" w:rsidR="000D5254" w:rsidRPr="00F86220" w:rsidRDefault="000D5254" w:rsidP="005C6A79">
            <w:pPr>
              <w:pStyle w:val="ListParagraph"/>
              <w:autoSpaceDE w:val="0"/>
              <w:autoSpaceDN w:val="0"/>
              <w:adjustRightInd w:val="0"/>
              <w:ind w:left="0"/>
              <w:rPr>
                <w:b/>
              </w:rPr>
            </w:pPr>
            <w:r w:rsidRPr="00F86220">
              <w:rPr>
                <w:b/>
              </w:rPr>
              <w:t>Wind</w:t>
            </w:r>
          </w:p>
        </w:tc>
        <w:tc>
          <w:tcPr>
            <w:tcW w:w="996" w:type="dxa"/>
          </w:tcPr>
          <w:p w14:paraId="5C44FE89" w14:textId="15C5047B" w:rsidR="000D5254" w:rsidRPr="00F86220" w:rsidRDefault="00917D13" w:rsidP="00917D13">
            <w:pPr>
              <w:pStyle w:val="ListParagraph"/>
              <w:autoSpaceDE w:val="0"/>
              <w:autoSpaceDN w:val="0"/>
              <w:adjustRightInd w:val="0"/>
              <w:ind w:left="0"/>
              <w:jc w:val="center"/>
            </w:pPr>
            <w:r>
              <w:t>469,671</w:t>
            </w:r>
          </w:p>
        </w:tc>
        <w:tc>
          <w:tcPr>
            <w:tcW w:w="996" w:type="dxa"/>
            <w:shd w:val="clear" w:color="auto" w:fill="auto"/>
          </w:tcPr>
          <w:p w14:paraId="5DE5AF1A" w14:textId="4DFBADD9" w:rsidR="000D5254" w:rsidRPr="00F00EBF" w:rsidRDefault="00917D13" w:rsidP="004D279E">
            <w:pPr>
              <w:pStyle w:val="ListParagraph"/>
              <w:autoSpaceDE w:val="0"/>
              <w:autoSpaceDN w:val="0"/>
              <w:adjustRightInd w:val="0"/>
              <w:ind w:left="0"/>
              <w:jc w:val="center"/>
            </w:pPr>
            <w:r>
              <w:t>469,</w:t>
            </w:r>
            <w:r w:rsidR="004D279E">
              <w:t>342</w:t>
            </w:r>
          </w:p>
        </w:tc>
        <w:tc>
          <w:tcPr>
            <w:tcW w:w="1116" w:type="dxa"/>
          </w:tcPr>
          <w:p w14:paraId="4F7B5069" w14:textId="1371E1F4" w:rsidR="000D5254" w:rsidRPr="00F00EBF" w:rsidRDefault="00143E5D" w:rsidP="00553345">
            <w:pPr>
              <w:pStyle w:val="ListParagraph"/>
              <w:autoSpaceDE w:val="0"/>
              <w:autoSpaceDN w:val="0"/>
              <w:adjustRightInd w:val="0"/>
              <w:ind w:left="0"/>
              <w:jc w:val="center"/>
            </w:pPr>
            <w:r>
              <w:t>378</w:t>
            </w:r>
            <w:r w:rsidR="00917D13">
              <w:t>,</w:t>
            </w:r>
            <w:r>
              <w:t>516</w:t>
            </w:r>
          </w:p>
        </w:tc>
      </w:tr>
      <w:tr w:rsidR="000D5254" w:rsidRPr="00F86220" w14:paraId="4D82C33B" w14:textId="77777777" w:rsidTr="005C6A79">
        <w:trPr>
          <w:jc w:val="center"/>
        </w:trPr>
        <w:tc>
          <w:tcPr>
            <w:tcW w:w="4689" w:type="dxa"/>
          </w:tcPr>
          <w:p w14:paraId="22E10BE6" w14:textId="77777777" w:rsidR="000D5254" w:rsidRPr="00F86220" w:rsidRDefault="000D5254" w:rsidP="005C6A79">
            <w:pPr>
              <w:pStyle w:val="ListParagraph"/>
              <w:autoSpaceDE w:val="0"/>
              <w:autoSpaceDN w:val="0"/>
              <w:adjustRightInd w:val="0"/>
              <w:ind w:left="0"/>
              <w:rPr>
                <w:b/>
              </w:rPr>
            </w:pPr>
            <w:r w:rsidRPr="00F86220">
              <w:rPr>
                <w:b/>
              </w:rPr>
              <w:t>Bioma</w:t>
            </w:r>
            <w:r w:rsidRPr="000D5254">
              <w:rPr>
                <w:b/>
              </w:rPr>
              <w:t>ss</w:t>
            </w:r>
          </w:p>
        </w:tc>
        <w:tc>
          <w:tcPr>
            <w:tcW w:w="996" w:type="dxa"/>
          </w:tcPr>
          <w:p w14:paraId="2E922C0E" w14:textId="77777777"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14:paraId="38B0E316" w14:textId="151837F4" w:rsidR="000D5254" w:rsidRPr="00F00EBF" w:rsidRDefault="004D279E" w:rsidP="00917D13">
            <w:pPr>
              <w:pStyle w:val="ListParagraph"/>
              <w:autoSpaceDE w:val="0"/>
              <w:autoSpaceDN w:val="0"/>
              <w:adjustRightInd w:val="0"/>
              <w:ind w:left="0"/>
              <w:jc w:val="center"/>
            </w:pPr>
            <w:r>
              <w:t>323,869</w:t>
            </w:r>
          </w:p>
        </w:tc>
        <w:tc>
          <w:tcPr>
            <w:tcW w:w="1116" w:type="dxa"/>
          </w:tcPr>
          <w:p w14:paraId="7504A033" w14:textId="050E111F" w:rsidR="000D5254" w:rsidRPr="00F00EBF" w:rsidRDefault="00143E5D" w:rsidP="005C6A79">
            <w:pPr>
              <w:pStyle w:val="ListParagraph"/>
              <w:autoSpaceDE w:val="0"/>
              <w:autoSpaceDN w:val="0"/>
              <w:adjustRightInd w:val="0"/>
              <w:ind w:left="0"/>
              <w:jc w:val="center"/>
            </w:pPr>
            <w:r>
              <w:t>287</w:t>
            </w:r>
            <w:r w:rsidR="00917D13">
              <w:t>,</w:t>
            </w:r>
            <w:r>
              <w:t>143</w:t>
            </w:r>
          </w:p>
        </w:tc>
      </w:tr>
      <w:tr w:rsidR="000D5254" w:rsidRPr="00F86220" w14:paraId="38A3075E" w14:textId="77777777" w:rsidTr="005C6A79">
        <w:trPr>
          <w:jc w:val="center"/>
        </w:trPr>
        <w:tc>
          <w:tcPr>
            <w:tcW w:w="4689" w:type="dxa"/>
          </w:tcPr>
          <w:p w14:paraId="2C888E45" w14:textId="77777777" w:rsidR="000D5254" w:rsidRPr="00F86220" w:rsidRDefault="000D5254" w:rsidP="005C6A79">
            <w:pPr>
              <w:pStyle w:val="ListParagraph"/>
              <w:autoSpaceDE w:val="0"/>
              <w:autoSpaceDN w:val="0"/>
              <w:adjustRightInd w:val="0"/>
              <w:ind w:left="0"/>
              <w:rPr>
                <w:b/>
              </w:rPr>
            </w:pPr>
            <w:r w:rsidRPr="00F86220">
              <w:rPr>
                <w:b/>
              </w:rPr>
              <w:t>Total</w:t>
            </w:r>
          </w:p>
        </w:tc>
        <w:tc>
          <w:tcPr>
            <w:tcW w:w="996" w:type="dxa"/>
          </w:tcPr>
          <w:p w14:paraId="0DC6ACC2" w14:textId="15B76AF6" w:rsidR="000D5254" w:rsidRPr="00F86220" w:rsidRDefault="00615B06" w:rsidP="00615B06">
            <w:pPr>
              <w:pStyle w:val="ListParagraph"/>
              <w:autoSpaceDE w:val="0"/>
              <w:autoSpaceDN w:val="0"/>
              <w:adjustRightInd w:val="0"/>
              <w:ind w:left="0"/>
              <w:jc w:val="center"/>
              <w:rPr>
                <w:b/>
              </w:rPr>
            </w:pPr>
            <w:r>
              <w:rPr>
                <w:b/>
              </w:rPr>
              <w:t>639,760</w:t>
            </w:r>
          </w:p>
        </w:tc>
        <w:tc>
          <w:tcPr>
            <w:tcW w:w="996" w:type="dxa"/>
            <w:shd w:val="clear" w:color="auto" w:fill="auto"/>
          </w:tcPr>
          <w:p w14:paraId="19DE5117" w14:textId="5C2A9CE5" w:rsidR="000D5254" w:rsidRPr="00F00EBF" w:rsidRDefault="00917D13" w:rsidP="004D279E">
            <w:pPr>
              <w:pStyle w:val="ListParagraph"/>
              <w:autoSpaceDE w:val="0"/>
              <w:autoSpaceDN w:val="0"/>
              <w:adjustRightInd w:val="0"/>
              <w:ind w:left="0"/>
              <w:jc w:val="center"/>
              <w:rPr>
                <w:b/>
              </w:rPr>
            </w:pPr>
            <w:r>
              <w:rPr>
                <w:b/>
              </w:rPr>
              <w:t>96</w:t>
            </w:r>
            <w:r w:rsidR="004D279E">
              <w:rPr>
                <w:b/>
              </w:rPr>
              <w:t>4</w:t>
            </w:r>
            <w:r>
              <w:rPr>
                <w:b/>
              </w:rPr>
              <w:t>,</w:t>
            </w:r>
            <w:r w:rsidR="004D279E">
              <w:rPr>
                <w:b/>
              </w:rPr>
              <w:t>693</w:t>
            </w:r>
          </w:p>
        </w:tc>
        <w:tc>
          <w:tcPr>
            <w:tcW w:w="1116" w:type="dxa"/>
          </w:tcPr>
          <w:p w14:paraId="00D9A531" w14:textId="629468EA" w:rsidR="000D5254" w:rsidRPr="00F00EBF" w:rsidRDefault="00143E5D" w:rsidP="00143E5D">
            <w:pPr>
              <w:pStyle w:val="ListParagraph"/>
              <w:autoSpaceDE w:val="0"/>
              <w:autoSpaceDN w:val="0"/>
              <w:adjustRightInd w:val="0"/>
              <w:ind w:left="0"/>
              <w:jc w:val="center"/>
              <w:rPr>
                <w:b/>
              </w:rPr>
            </w:pPr>
            <w:r>
              <w:rPr>
                <w:b/>
              </w:rPr>
              <w:t>857</w:t>
            </w:r>
            <w:r w:rsidR="0091316A">
              <w:rPr>
                <w:b/>
              </w:rPr>
              <w:t>,</w:t>
            </w:r>
            <w:r>
              <w:rPr>
                <w:b/>
              </w:rPr>
              <w:t>698</w:t>
            </w:r>
          </w:p>
        </w:tc>
      </w:tr>
    </w:tbl>
    <w:p w14:paraId="615E6E53" w14:textId="77777777" w:rsidR="00E81AF6" w:rsidRDefault="00E81AF6" w:rsidP="00E81AF6">
      <w:pPr>
        <w:pStyle w:val="ListParagraph"/>
        <w:autoSpaceDE w:val="0"/>
        <w:autoSpaceDN w:val="0"/>
        <w:adjustRightInd w:val="0"/>
        <w:ind w:left="0"/>
        <w:jc w:val="center"/>
        <w:rPr>
          <w:b/>
        </w:rPr>
      </w:pPr>
    </w:p>
    <w:p w14:paraId="5B18DDAE" w14:textId="77777777" w:rsidR="00DA596A" w:rsidRDefault="00DA596A" w:rsidP="00F86220">
      <w:pPr>
        <w:pStyle w:val="ListParagraph"/>
        <w:autoSpaceDE w:val="0"/>
        <w:autoSpaceDN w:val="0"/>
        <w:adjustRightInd w:val="0"/>
        <w:ind w:left="0"/>
        <w:jc w:val="center"/>
        <w:rPr>
          <w:b/>
        </w:rPr>
      </w:pPr>
    </w:p>
    <w:p w14:paraId="4215A82B" w14:textId="445BD459" w:rsidR="00E81AF6" w:rsidRPr="00F86220" w:rsidRDefault="008904C7" w:rsidP="00F86220">
      <w:pPr>
        <w:pStyle w:val="ListParagraph"/>
        <w:autoSpaceDE w:val="0"/>
        <w:autoSpaceDN w:val="0"/>
        <w:adjustRightInd w:val="0"/>
        <w:ind w:left="0"/>
        <w:jc w:val="center"/>
        <w:rPr>
          <w:b/>
        </w:rPr>
      </w:pPr>
      <w:r>
        <w:rPr>
          <w:b/>
        </w:rPr>
        <w:t>VI</w:t>
      </w:r>
      <w:r w:rsidR="00F86220">
        <w:rPr>
          <w:b/>
        </w:rPr>
        <w:t>.</w:t>
      </w:r>
      <w:r w:rsidR="00F86220">
        <w:rPr>
          <w:b/>
        </w:rPr>
        <w:tab/>
      </w:r>
      <w:r w:rsidR="00F86220" w:rsidRPr="00F86220">
        <w:rPr>
          <w:b/>
        </w:rPr>
        <w:t>INCREMENTAL COST COMPARED TO ANNUAL RETAIL REVENUE REQUIREMENT</w:t>
      </w:r>
    </w:p>
    <w:p w14:paraId="53E15CAD" w14:textId="77777777" w:rsidR="00F86220" w:rsidRDefault="00F86220" w:rsidP="002D0F79">
      <w:pPr>
        <w:spacing w:line="360" w:lineRule="auto"/>
      </w:pPr>
    </w:p>
    <w:p w14:paraId="07AD37A3" w14:textId="5CA70A16" w:rsidR="00BC1A53" w:rsidRDefault="00BC1A53" w:rsidP="002D0F79">
      <w:pPr>
        <w:spacing w:line="360" w:lineRule="auto"/>
        <w:ind w:firstLine="720"/>
        <w:jc w:val="both"/>
      </w:pPr>
      <w:r>
        <w:t xml:space="preserve">Avista calculated the incremental cost of investments made to meet </w:t>
      </w:r>
      <w:r w:rsidR="004D279E">
        <w:t xml:space="preserve">WAC </w:t>
      </w:r>
      <w:r w:rsidR="00F30DD7">
        <w:t>480-109-210(2)(a)</w:t>
      </w:r>
      <w:r>
        <w:t xml:space="preserve">, by taking the annual levelized revenue requirement ($/MWh) for each qualifying project compared to the cost of alternative power over the same period. Each qualifying resource is compared to a combined cycle combustion turbine (CCCT). To estimate the annual levelized cost of the CCCT, cost assumptions are used based upon the IRP from the time of the resource decision with costs split between energy ($/MWh) and capacity ($/kW-year). Avista includes any REC sales as a reduction to the incremental cost calculation. The Company also includes an adjustment </w:t>
      </w:r>
      <w:r>
        <w:lastRenderedPageBreak/>
        <w:t xml:space="preserve">to account for the value of RECs transferred from Idaho to Washington. </w:t>
      </w:r>
      <w:r w:rsidR="00FB7252">
        <w:t xml:space="preserve">The value of RECs is split between the two states based on the </w:t>
      </w:r>
      <w:r w:rsidR="001D4B22">
        <w:t xml:space="preserve">Company’s </w:t>
      </w:r>
      <w:r w:rsidR="00FB7252">
        <w:t xml:space="preserve">Production and </w:t>
      </w:r>
      <w:r w:rsidR="009875E7">
        <w:t>Transmission</w:t>
      </w:r>
      <w:r w:rsidR="00FB7252">
        <w:t xml:space="preserve"> Ratio. The Idaho portion of the qualified renewable energy is transferred to Washington based upon the market value of similar renewable resources. This is consistent with the allocation of REC values between Washington and Idaho for ratemaking purposes. </w:t>
      </w:r>
      <w:r>
        <w:t xml:space="preserve">In total, the change in revenue requirement </w:t>
      </w:r>
      <w:r w:rsidRPr="007E43BD">
        <w:t xml:space="preserve">is </w:t>
      </w:r>
      <w:r w:rsidR="007E43BD" w:rsidRPr="007E43BD">
        <w:t>-0.2</w:t>
      </w:r>
      <w:r w:rsidRPr="007E43BD">
        <w:t xml:space="preserve"> percent </w:t>
      </w:r>
      <w:r w:rsidR="00752D5D" w:rsidRPr="007E43BD">
        <w:t>as</w:t>
      </w:r>
      <w:r w:rsidR="00752D5D">
        <w:t xml:space="preserve"> reported in Appendix B – Incremental Cost Calculation</w:t>
      </w:r>
      <w:r>
        <w:t>. Appendix B shows the calculation of this incremental cost for the qualified renewable resources. The supporting documentation and spreadsheets are located in the confidential work papers for this filing.</w:t>
      </w:r>
    </w:p>
    <w:p w14:paraId="3E6A1795" w14:textId="77777777" w:rsidR="00DA596A" w:rsidRDefault="00DA596A" w:rsidP="002D0F79">
      <w:pPr>
        <w:spacing w:line="360" w:lineRule="auto"/>
        <w:ind w:left="1440" w:hanging="540"/>
        <w:jc w:val="center"/>
        <w:rPr>
          <w:b/>
        </w:rPr>
      </w:pPr>
    </w:p>
    <w:p w14:paraId="4FD98F2C" w14:textId="11EE4123" w:rsidR="00AC28EA" w:rsidRPr="00E81AF6" w:rsidRDefault="008904C7" w:rsidP="002D0F79">
      <w:pPr>
        <w:spacing w:line="360" w:lineRule="auto"/>
        <w:ind w:left="1440" w:hanging="540"/>
        <w:jc w:val="center"/>
        <w:rPr>
          <w:b/>
          <w:sz w:val="28"/>
        </w:rPr>
      </w:pPr>
      <w:r>
        <w:rPr>
          <w:b/>
        </w:rPr>
        <w:t>V</w:t>
      </w:r>
      <w:r w:rsidR="00AC28EA" w:rsidRPr="00F86220">
        <w:rPr>
          <w:b/>
        </w:rPr>
        <w:t>II.</w:t>
      </w:r>
      <w:r w:rsidR="00AC28EA">
        <w:rPr>
          <w:b/>
          <w:sz w:val="28"/>
        </w:rPr>
        <w:tab/>
      </w:r>
      <w:r w:rsidR="00AC28EA" w:rsidRPr="00F86220">
        <w:rPr>
          <w:b/>
        </w:rPr>
        <w:t>ALTERNATIVE COMPLIANCE</w:t>
      </w:r>
    </w:p>
    <w:p w14:paraId="53EE3544" w14:textId="77777777" w:rsidR="00AC28EA" w:rsidRDefault="00AC28EA" w:rsidP="002D0F79">
      <w:pPr>
        <w:spacing w:line="360" w:lineRule="auto"/>
        <w:ind w:firstLine="720"/>
      </w:pPr>
      <w:r>
        <w:t xml:space="preserve">WAC 480-109-220 provides three alternatives for meeting renewable resource requirements, including: </w:t>
      </w:r>
    </w:p>
    <w:p w14:paraId="747E4DDD" w14:textId="77777777" w:rsidR="00AC28EA" w:rsidRDefault="00AC28EA" w:rsidP="00AC28EA">
      <w:pPr>
        <w:pStyle w:val="ListParagraph"/>
        <w:numPr>
          <w:ilvl w:val="0"/>
          <w:numId w:val="33"/>
        </w:numPr>
        <w:ind w:left="360"/>
        <w:jc w:val="both"/>
      </w:pPr>
      <w:r>
        <w:t xml:space="preserve">Cost cap; </w:t>
      </w:r>
    </w:p>
    <w:p w14:paraId="2C7E0129" w14:textId="77777777" w:rsidR="00AC28EA" w:rsidRDefault="00AC28EA" w:rsidP="00AC28EA">
      <w:pPr>
        <w:pStyle w:val="ListParagraph"/>
        <w:numPr>
          <w:ilvl w:val="0"/>
          <w:numId w:val="33"/>
        </w:numPr>
        <w:ind w:left="360"/>
        <w:jc w:val="both"/>
      </w:pPr>
      <w:r>
        <w:t xml:space="preserve">Force majeure; and </w:t>
      </w:r>
    </w:p>
    <w:p w14:paraId="78FF4EB1" w14:textId="77777777" w:rsidR="00AC28EA" w:rsidRDefault="00AC28EA" w:rsidP="00AC28EA">
      <w:pPr>
        <w:pStyle w:val="ListParagraph"/>
        <w:numPr>
          <w:ilvl w:val="0"/>
          <w:numId w:val="33"/>
        </w:numPr>
        <w:ind w:left="360"/>
        <w:jc w:val="both"/>
      </w:pPr>
      <w:r>
        <w:t xml:space="preserve">No load growth. </w:t>
      </w:r>
    </w:p>
    <w:p w14:paraId="757AE378" w14:textId="77777777" w:rsidR="00AC28EA" w:rsidRDefault="00AC28EA" w:rsidP="002D0F79">
      <w:pPr>
        <w:spacing w:line="360" w:lineRule="auto"/>
      </w:pPr>
    </w:p>
    <w:p w14:paraId="06756683" w14:textId="75708AF9" w:rsidR="00AC28EA" w:rsidRDefault="00AC28EA" w:rsidP="002D0F79">
      <w:pPr>
        <w:spacing w:line="360" w:lineRule="auto"/>
        <w:ind w:firstLine="720"/>
        <w:jc w:val="both"/>
      </w:pPr>
      <w:r>
        <w:t>Avista is not using an alternative to the renewable resource requirement for the 201</w:t>
      </w:r>
      <w:r w:rsidR="00143E5D">
        <w:t>7</w:t>
      </w:r>
      <w:r>
        <w:t xml:space="preserve"> target as provided for in WAC 480-109-220. The Company is meeting its 201</w:t>
      </w:r>
      <w:r w:rsidR="00143E5D">
        <w:t>7</w:t>
      </w:r>
      <w:r>
        <w:t xml:space="preserve"> r</w:t>
      </w:r>
      <w:r w:rsidRPr="005C573F">
        <w:t xml:space="preserve">enewable </w:t>
      </w:r>
      <w:r>
        <w:t>energy</w:t>
      </w:r>
      <w:r w:rsidRPr="005C573F">
        <w:t xml:space="preserve"> </w:t>
      </w:r>
      <w:r>
        <w:t>target</w:t>
      </w:r>
      <w:r w:rsidRPr="005C573F">
        <w:t xml:space="preserve"> using a combination of renewable energy credits </w:t>
      </w:r>
      <w:r w:rsidR="00143E5D">
        <w:t xml:space="preserve">from wind and biomass </w:t>
      </w:r>
      <w:r w:rsidRPr="005C573F">
        <w:t xml:space="preserve">and </w:t>
      </w:r>
      <w:r w:rsidR="00143E5D">
        <w:t xml:space="preserve">from </w:t>
      </w:r>
      <w:r w:rsidRPr="005C573F">
        <w:t>qualifying hydroelectric plant upgrades</w:t>
      </w:r>
      <w:r>
        <w:t>.</w:t>
      </w:r>
    </w:p>
    <w:p w14:paraId="07178513" w14:textId="77777777" w:rsidR="00DA596A" w:rsidRDefault="00DA596A" w:rsidP="00F86220">
      <w:pPr>
        <w:jc w:val="center"/>
        <w:rPr>
          <w:b/>
        </w:rPr>
      </w:pPr>
    </w:p>
    <w:p w14:paraId="02149356" w14:textId="77777777" w:rsidR="004D279E" w:rsidRDefault="004D279E" w:rsidP="00F86220">
      <w:pPr>
        <w:jc w:val="center"/>
        <w:rPr>
          <w:b/>
        </w:rPr>
      </w:pPr>
    </w:p>
    <w:p w14:paraId="6AB495D8" w14:textId="7C459748" w:rsidR="00E81AF6" w:rsidRDefault="00F86220" w:rsidP="00F86220">
      <w:pPr>
        <w:jc w:val="center"/>
        <w:rPr>
          <w:b/>
        </w:rPr>
      </w:pPr>
      <w:r>
        <w:rPr>
          <w:b/>
        </w:rPr>
        <w:t>VII</w:t>
      </w:r>
      <w:r w:rsidR="008904C7">
        <w:rPr>
          <w:b/>
        </w:rPr>
        <w:t>I</w:t>
      </w:r>
      <w:r>
        <w:rPr>
          <w:b/>
        </w:rPr>
        <w:t>.</w:t>
      </w:r>
      <w:r>
        <w:rPr>
          <w:b/>
        </w:rPr>
        <w:tab/>
      </w:r>
      <w:r w:rsidRPr="00F86220">
        <w:rPr>
          <w:b/>
        </w:rPr>
        <w:t>CURRENT YEAR PROGRESS</w:t>
      </w:r>
    </w:p>
    <w:p w14:paraId="2CE5666C" w14:textId="77777777" w:rsidR="006F5A3D" w:rsidRPr="00F86220" w:rsidRDefault="006F5A3D" w:rsidP="00F86220">
      <w:pPr>
        <w:jc w:val="center"/>
        <w:rPr>
          <w:b/>
        </w:rPr>
      </w:pPr>
    </w:p>
    <w:p w14:paraId="779706BC" w14:textId="0F3AE6DB" w:rsidR="00E81AF6" w:rsidRDefault="00E81AF6" w:rsidP="002D0F79">
      <w:pPr>
        <w:spacing w:line="360" w:lineRule="auto"/>
        <w:ind w:firstLine="720"/>
        <w:jc w:val="both"/>
      </w:pPr>
      <w:r>
        <w:t>Avista plans to meet its 201</w:t>
      </w:r>
      <w:r w:rsidR="005E78C3">
        <w:t>7</w:t>
      </w:r>
      <w:r>
        <w:t xml:space="preserve"> renewable energy targets with a combination of the qualified hydroelectric upgrades and other renewable energy certificates from qualifying resources. </w:t>
      </w:r>
      <w:r w:rsidR="009B31C1">
        <w:t xml:space="preserve">Table </w:t>
      </w:r>
      <w:r w:rsidR="004D279E">
        <w:t>3</w:t>
      </w:r>
      <w:r w:rsidR="000D5254">
        <w:t xml:space="preserve"> </w:t>
      </w:r>
      <w:r w:rsidR="00CB6DE7">
        <w:t xml:space="preserve">below </w:t>
      </w:r>
      <w:r w:rsidR="009B31C1">
        <w:t xml:space="preserve">provides a high level summary of the Company’s expected </w:t>
      </w:r>
      <w:r w:rsidR="000D5254">
        <w:t>201</w:t>
      </w:r>
      <w:r w:rsidR="005E78C3">
        <w:t>7</w:t>
      </w:r>
      <w:r w:rsidR="000D5254">
        <w:t xml:space="preserve"> </w:t>
      </w:r>
      <w:r w:rsidR="009B31C1">
        <w:t>compliance.</w:t>
      </w:r>
      <w:r w:rsidR="00466025">
        <w:t xml:space="preserve"> </w:t>
      </w:r>
      <w:r w:rsidR="00BC1A53">
        <w:t>Appendix A contains more</w:t>
      </w:r>
      <w:r w:rsidR="00466025">
        <w:t xml:space="preserve"> details about this information.</w:t>
      </w:r>
    </w:p>
    <w:p w14:paraId="2C58EA7E" w14:textId="77777777" w:rsidR="00DA596A" w:rsidRDefault="00DA596A" w:rsidP="000A51E4">
      <w:pPr>
        <w:jc w:val="center"/>
        <w:rPr>
          <w:b/>
        </w:rPr>
      </w:pPr>
    </w:p>
    <w:p w14:paraId="6A28AD47" w14:textId="77777777" w:rsidR="00DA596A" w:rsidRDefault="00DA596A" w:rsidP="000A51E4">
      <w:pPr>
        <w:jc w:val="center"/>
        <w:rPr>
          <w:b/>
        </w:rPr>
      </w:pPr>
    </w:p>
    <w:p w14:paraId="30EECFEC" w14:textId="77777777" w:rsidR="004D279E" w:rsidRDefault="004D279E" w:rsidP="000A51E4">
      <w:pPr>
        <w:jc w:val="center"/>
        <w:rPr>
          <w:b/>
        </w:rPr>
      </w:pPr>
    </w:p>
    <w:p w14:paraId="54AB63FB" w14:textId="77777777" w:rsidR="004D279E" w:rsidRDefault="004D279E" w:rsidP="000A51E4">
      <w:pPr>
        <w:jc w:val="center"/>
        <w:rPr>
          <w:b/>
        </w:rPr>
      </w:pPr>
    </w:p>
    <w:p w14:paraId="4E276674" w14:textId="77777777" w:rsidR="004D279E" w:rsidRDefault="004D279E" w:rsidP="000A51E4">
      <w:pPr>
        <w:jc w:val="center"/>
        <w:rPr>
          <w:b/>
        </w:rPr>
      </w:pPr>
    </w:p>
    <w:p w14:paraId="58925AEA" w14:textId="77777777" w:rsidR="004D279E" w:rsidRDefault="004D279E" w:rsidP="000A51E4">
      <w:pPr>
        <w:jc w:val="center"/>
        <w:rPr>
          <w:b/>
        </w:rPr>
      </w:pPr>
    </w:p>
    <w:p w14:paraId="17E5A839" w14:textId="77777777" w:rsidR="009A3242" w:rsidRDefault="009A3242" w:rsidP="000A51E4">
      <w:pPr>
        <w:jc w:val="center"/>
        <w:rPr>
          <w:b/>
        </w:rPr>
      </w:pPr>
    </w:p>
    <w:p w14:paraId="60736068" w14:textId="77777777" w:rsidR="009A3242" w:rsidRDefault="009A3242" w:rsidP="000A51E4">
      <w:pPr>
        <w:jc w:val="center"/>
        <w:rPr>
          <w:b/>
        </w:rPr>
      </w:pPr>
    </w:p>
    <w:p w14:paraId="4FD43AD8" w14:textId="1B3C9617" w:rsidR="000A51E4" w:rsidRDefault="000A51E4" w:rsidP="000A51E4">
      <w:pPr>
        <w:jc w:val="center"/>
        <w:rPr>
          <w:b/>
        </w:rPr>
      </w:pPr>
      <w:r w:rsidRPr="00927395">
        <w:rPr>
          <w:b/>
        </w:rPr>
        <w:lastRenderedPageBreak/>
        <w:t xml:space="preserve">Table </w:t>
      </w:r>
      <w:r w:rsidR="007854EE">
        <w:rPr>
          <w:b/>
        </w:rPr>
        <w:t>3</w:t>
      </w:r>
      <w:r w:rsidRPr="00927395">
        <w:rPr>
          <w:b/>
        </w:rPr>
        <w:t xml:space="preserve">: </w:t>
      </w:r>
      <w:r w:rsidR="001E4469">
        <w:rPr>
          <w:b/>
        </w:rPr>
        <w:t>201</w:t>
      </w:r>
      <w:r w:rsidR="005E78C3">
        <w:rPr>
          <w:b/>
        </w:rPr>
        <w:t>7</w:t>
      </w:r>
      <w:r w:rsidR="001E4469">
        <w:rPr>
          <w:b/>
        </w:rPr>
        <w:t xml:space="preserve"> </w:t>
      </w:r>
      <w:r w:rsidR="009B31C1">
        <w:rPr>
          <w:b/>
        </w:rPr>
        <w:t xml:space="preserve">Energy Independence Act </w:t>
      </w:r>
      <w:r>
        <w:rPr>
          <w:b/>
        </w:rPr>
        <w:t>Compliance Summary</w:t>
      </w:r>
      <w:r w:rsidR="009F03F4">
        <w:rPr>
          <w:b/>
        </w:rPr>
        <w:t xml:space="preserve"> (MWh)</w:t>
      </w:r>
    </w:p>
    <w:p w14:paraId="1BE243B7" w14:textId="77777777" w:rsidR="009B31C1" w:rsidRDefault="009B31C1" w:rsidP="000A51E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116"/>
      </w:tblGrid>
      <w:tr w:rsidR="000A51E4" w:rsidRPr="00F86220" w14:paraId="7C87D54C" w14:textId="77777777" w:rsidTr="009F03F4">
        <w:trPr>
          <w:jc w:val="center"/>
        </w:trPr>
        <w:tc>
          <w:tcPr>
            <w:tcW w:w="5196" w:type="dxa"/>
          </w:tcPr>
          <w:p w14:paraId="524C95C0" w14:textId="77777777" w:rsidR="000A51E4" w:rsidRPr="00F86220" w:rsidRDefault="000A51E4" w:rsidP="000A51E4"/>
        </w:tc>
        <w:tc>
          <w:tcPr>
            <w:tcW w:w="1116" w:type="dxa"/>
          </w:tcPr>
          <w:p w14:paraId="5F19D185" w14:textId="226D0B81" w:rsidR="000A51E4" w:rsidRPr="00F86220" w:rsidRDefault="001E4469" w:rsidP="005E78C3">
            <w:pPr>
              <w:jc w:val="right"/>
              <w:rPr>
                <w:b/>
              </w:rPr>
            </w:pPr>
            <w:r w:rsidRPr="00F86220">
              <w:rPr>
                <w:b/>
              </w:rPr>
              <w:t>201</w:t>
            </w:r>
            <w:r w:rsidR="005E78C3">
              <w:rPr>
                <w:b/>
              </w:rPr>
              <w:t>7</w:t>
            </w:r>
          </w:p>
        </w:tc>
      </w:tr>
      <w:tr w:rsidR="000A51E4" w:rsidRPr="00F86220" w14:paraId="01384C3F" w14:textId="77777777" w:rsidTr="009F03F4">
        <w:trPr>
          <w:jc w:val="center"/>
        </w:trPr>
        <w:tc>
          <w:tcPr>
            <w:tcW w:w="5196" w:type="dxa"/>
          </w:tcPr>
          <w:p w14:paraId="020EB9BA" w14:textId="347A56B7" w:rsidR="000A51E4" w:rsidRPr="00F86220" w:rsidRDefault="00143E5D" w:rsidP="009F03F4">
            <w:pPr>
              <w:rPr>
                <w:b/>
              </w:rPr>
            </w:pPr>
            <w:r>
              <w:rPr>
                <w:b/>
              </w:rPr>
              <w:t>EIA</w:t>
            </w:r>
            <w:r w:rsidR="000A51E4">
              <w:rPr>
                <w:b/>
              </w:rPr>
              <w:t xml:space="preserve"> Compliance Need</w:t>
            </w:r>
          </w:p>
        </w:tc>
        <w:tc>
          <w:tcPr>
            <w:tcW w:w="1116" w:type="dxa"/>
          </w:tcPr>
          <w:p w14:paraId="09F7C474" w14:textId="0861E81B" w:rsidR="000A51E4" w:rsidRPr="001B613B" w:rsidRDefault="004D279E" w:rsidP="006B22AF">
            <w:pPr>
              <w:jc w:val="right"/>
            </w:pPr>
            <w:r>
              <w:t>506,400</w:t>
            </w:r>
          </w:p>
        </w:tc>
      </w:tr>
      <w:tr w:rsidR="000A51E4" w:rsidRPr="00F86220" w14:paraId="0F1B4D75" w14:textId="77777777" w:rsidTr="009F03F4">
        <w:trPr>
          <w:jc w:val="center"/>
        </w:trPr>
        <w:tc>
          <w:tcPr>
            <w:tcW w:w="5196" w:type="dxa"/>
          </w:tcPr>
          <w:p w14:paraId="67D1B689" w14:textId="726CABB8" w:rsidR="000A51E4" w:rsidRPr="00F86220" w:rsidRDefault="000A51E4" w:rsidP="000A51E4">
            <w:pPr>
              <w:rPr>
                <w:b/>
              </w:rPr>
            </w:pPr>
            <w:r>
              <w:rPr>
                <w:b/>
              </w:rPr>
              <w:t>Eligible Renewable Resources</w:t>
            </w:r>
          </w:p>
        </w:tc>
        <w:tc>
          <w:tcPr>
            <w:tcW w:w="1116" w:type="dxa"/>
          </w:tcPr>
          <w:p w14:paraId="7354966A" w14:textId="0AF0CE03" w:rsidR="000A51E4" w:rsidRPr="001B613B" w:rsidRDefault="00143E5D" w:rsidP="006B22AF">
            <w:pPr>
              <w:jc w:val="right"/>
            </w:pPr>
            <w:r>
              <w:t>857,698</w:t>
            </w:r>
          </w:p>
        </w:tc>
      </w:tr>
      <w:tr w:rsidR="00907B57" w:rsidRPr="00F86220" w14:paraId="50369ED3" w14:textId="77777777" w:rsidTr="009F03F4">
        <w:trPr>
          <w:jc w:val="center"/>
        </w:trPr>
        <w:tc>
          <w:tcPr>
            <w:tcW w:w="5196" w:type="dxa"/>
          </w:tcPr>
          <w:p w14:paraId="2577392D" w14:textId="77777777" w:rsidR="00907B57" w:rsidDel="00907B57" w:rsidRDefault="00907B57" w:rsidP="00907B57">
            <w:pPr>
              <w:rPr>
                <w:b/>
              </w:rPr>
            </w:pPr>
            <w:r>
              <w:rPr>
                <w:b/>
              </w:rPr>
              <w:t>Eligible Renewable Resource Sales</w:t>
            </w:r>
          </w:p>
        </w:tc>
        <w:tc>
          <w:tcPr>
            <w:tcW w:w="1116" w:type="dxa"/>
          </w:tcPr>
          <w:p w14:paraId="69D94B9C" w14:textId="7F048CE3" w:rsidR="00907B57" w:rsidRPr="001B613B" w:rsidRDefault="00553345" w:rsidP="00143E5D">
            <w:pPr>
              <w:jc w:val="right"/>
            </w:pPr>
            <w:r>
              <w:t>-</w:t>
            </w:r>
            <w:r w:rsidR="00143E5D">
              <w:t>274,644</w:t>
            </w:r>
          </w:p>
        </w:tc>
      </w:tr>
      <w:tr w:rsidR="000A51E4" w:rsidRPr="00F86220" w14:paraId="2B98F823" w14:textId="77777777" w:rsidTr="009F03F4">
        <w:trPr>
          <w:jc w:val="center"/>
        </w:trPr>
        <w:tc>
          <w:tcPr>
            <w:tcW w:w="5196" w:type="dxa"/>
          </w:tcPr>
          <w:p w14:paraId="5A77E7DB" w14:textId="77777777" w:rsidR="000A51E4" w:rsidRPr="00F86220" w:rsidRDefault="009F03F4" w:rsidP="009F03F4">
            <w:pPr>
              <w:rPr>
                <w:b/>
              </w:rPr>
            </w:pPr>
            <w:r>
              <w:rPr>
                <w:b/>
              </w:rPr>
              <w:t>Unrealized Apprentice Credits from REC Sales</w:t>
            </w:r>
          </w:p>
        </w:tc>
        <w:tc>
          <w:tcPr>
            <w:tcW w:w="1116" w:type="dxa"/>
          </w:tcPr>
          <w:p w14:paraId="4506A948" w14:textId="508AC800" w:rsidR="000A51E4" w:rsidRPr="001B613B" w:rsidRDefault="00143E5D" w:rsidP="006B22AF">
            <w:pPr>
              <w:jc w:val="right"/>
            </w:pPr>
            <w:r>
              <w:t>-8,110</w:t>
            </w:r>
          </w:p>
        </w:tc>
      </w:tr>
      <w:tr w:rsidR="007565CE" w:rsidRPr="00F86220" w14:paraId="418EFEE5" w14:textId="77777777" w:rsidTr="009F03F4">
        <w:trPr>
          <w:jc w:val="center"/>
        </w:trPr>
        <w:tc>
          <w:tcPr>
            <w:tcW w:w="5196" w:type="dxa"/>
          </w:tcPr>
          <w:p w14:paraId="6130AA52" w14:textId="25D55BAE" w:rsidR="007565CE" w:rsidRDefault="007565CE" w:rsidP="009F03F4">
            <w:pPr>
              <w:rPr>
                <w:b/>
              </w:rPr>
            </w:pPr>
            <w:r>
              <w:rPr>
                <w:b/>
              </w:rPr>
              <w:t>2017 RECs Applied to 2016</w:t>
            </w:r>
          </w:p>
        </w:tc>
        <w:tc>
          <w:tcPr>
            <w:tcW w:w="1116" w:type="dxa"/>
          </w:tcPr>
          <w:p w14:paraId="2302E81A" w14:textId="27672690" w:rsidR="007565CE" w:rsidRDefault="007565CE" w:rsidP="006B22AF">
            <w:pPr>
              <w:jc w:val="right"/>
            </w:pPr>
            <w:r>
              <w:t>133,880</w:t>
            </w:r>
          </w:p>
        </w:tc>
      </w:tr>
      <w:tr w:rsidR="000A51E4" w:rsidRPr="00F86220" w14:paraId="374C22F6" w14:textId="77777777" w:rsidTr="009F03F4">
        <w:trPr>
          <w:jc w:val="center"/>
        </w:trPr>
        <w:tc>
          <w:tcPr>
            <w:tcW w:w="5196" w:type="dxa"/>
          </w:tcPr>
          <w:p w14:paraId="26742D69" w14:textId="77777777" w:rsidR="000A51E4" w:rsidRPr="00F86220" w:rsidRDefault="009F03F4" w:rsidP="009F03F4">
            <w:pPr>
              <w:rPr>
                <w:b/>
              </w:rPr>
            </w:pPr>
            <w:r>
              <w:rPr>
                <w:b/>
              </w:rPr>
              <w:t>Renewable Resource Surplus or Deficit</w:t>
            </w:r>
          </w:p>
        </w:tc>
        <w:tc>
          <w:tcPr>
            <w:tcW w:w="1116" w:type="dxa"/>
          </w:tcPr>
          <w:p w14:paraId="51FECEB0" w14:textId="5C8FA601" w:rsidR="000A51E4" w:rsidRPr="001B613B" w:rsidRDefault="007565CE" w:rsidP="006B22AF">
            <w:pPr>
              <w:jc w:val="right"/>
            </w:pPr>
            <w:r>
              <w:t>-65,336</w:t>
            </w:r>
          </w:p>
        </w:tc>
      </w:tr>
      <w:tr w:rsidR="009F03F4" w:rsidRPr="00F86220" w14:paraId="78523678" w14:textId="77777777" w:rsidTr="009F03F4">
        <w:trPr>
          <w:jc w:val="center"/>
        </w:trPr>
        <w:tc>
          <w:tcPr>
            <w:tcW w:w="5196" w:type="dxa"/>
          </w:tcPr>
          <w:p w14:paraId="7EE5F5DB" w14:textId="314966F8" w:rsidR="009F03F4" w:rsidRDefault="009F03F4" w:rsidP="007565CE">
            <w:pPr>
              <w:rPr>
                <w:b/>
              </w:rPr>
            </w:pPr>
            <w:r>
              <w:rPr>
                <w:b/>
              </w:rPr>
              <w:t>Estimated 201</w:t>
            </w:r>
            <w:r w:rsidR="007565CE">
              <w:rPr>
                <w:b/>
              </w:rPr>
              <w:t>8</w:t>
            </w:r>
            <w:r>
              <w:rPr>
                <w:b/>
              </w:rPr>
              <w:t xml:space="preserve"> Surplus Applied to 201</w:t>
            </w:r>
            <w:r w:rsidR="00143E5D">
              <w:rPr>
                <w:b/>
              </w:rPr>
              <w:t>7</w:t>
            </w:r>
          </w:p>
        </w:tc>
        <w:tc>
          <w:tcPr>
            <w:tcW w:w="1116" w:type="dxa"/>
          </w:tcPr>
          <w:p w14:paraId="5715BF21" w14:textId="6018A217" w:rsidR="009F03F4" w:rsidRDefault="007565CE" w:rsidP="006B22AF">
            <w:pPr>
              <w:jc w:val="right"/>
            </w:pPr>
            <w:r>
              <w:t>65,336</w:t>
            </w:r>
          </w:p>
        </w:tc>
      </w:tr>
      <w:tr w:rsidR="009F03F4" w:rsidRPr="00F86220" w14:paraId="3D81BA6C" w14:textId="77777777" w:rsidTr="009F03F4">
        <w:trPr>
          <w:jc w:val="center"/>
        </w:trPr>
        <w:tc>
          <w:tcPr>
            <w:tcW w:w="5196" w:type="dxa"/>
          </w:tcPr>
          <w:p w14:paraId="05007F80" w14:textId="47274E92" w:rsidR="009F03F4" w:rsidRDefault="009F03F4" w:rsidP="00143E5D">
            <w:pPr>
              <w:rPr>
                <w:b/>
              </w:rPr>
            </w:pPr>
            <w:r>
              <w:rPr>
                <w:b/>
              </w:rPr>
              <w:t>Net 201</w:t>
            </w:r>
            <w:r w:rsidR="00143E5D">
              <w:rPr>
                <w:b/>
              </w:rPr>
              <w:t>7</w:t>
            </w:r>
            <w:r>
              <w:rPr>
                <w:b/>
              </w:rPr>
              <w:t xml:space="preserve"> Compliance</w:t>
            </w:r>
          </w:p>
        </w:tc>
        <w:tc>
          <w:tcPr>
            <w:tcW w:w="1116" w:type="dxa"/>
          </w:tcPr>
          <w:p w14:paraId="7F28062C" w14:textId="3E7770A9" w:rsidR="009F03F4" w:rsidRDefault="007565CE" w:rsidP="006B22AF">
            <w:pPr>
              <w:jc w:val="right"/>
            </w:pPr>
            <w:r>
              <w:t>0</w:t>
            </w:r>
          </w:p>
        </w:tc>
      </w:tr>
    </w:tbl>
    <w:p w14:paraId="34D9A590" w14:textId="77777777" w:rsidR="00152C91" w:rsidRDefault="00152C91" w:rsidP="00F86220">
      <w:pPr>
        <w:jc w:val="center"/>
        <w:rPr>
          <w:b/>
        </w:rPr>
      </w:pPr>
    </w:p>
    <w:p w14:paraId="7FC22CA2" w14:textId="77777777" w:rsidR="00725A53" w:rsidRDefault="00725A53" w:rsidP="008904C7">
      <w:pPr>
        <w:jc w:val="center"/>
        <w:rPr>
          <w:b/>
        </w:rPr>
      </w:pPr>
    </w:p>
    <w:p w14:paraId="5101E532" w14:textId="592E460C" w:rsidR="008904C7" w:rsidRDefault="008904C7" w:rsidP="008904C7">
      <w:pPr>
        <w:jc w:val="center"/>
        <w:rPr>
          <w:b/>
        </w:rPr>
      </w:pPr>
      <w:r>
        <w:rPr>
          <w:b/>
        </w:rPr>
        <w:t>IX.</w:t>
      </w:r>
      <w:r>
        <w:rPr>
          <w:b/>
        </w:rPr>
        <w:tab/>
      </w:r>
      <w:r w:rsidR="003822E4">
        <w:rPr>
          <w:b/>
        </w:rPr>
        <w:t>ELIGIBLE RESOURCES</w:t>
      </w:r>
    </w:p>
    <w:p w14:paraId="2FBE84EF" w14:textId="77777777" w:rsidR="008904C7" w:rsidRDefault="008904C7" w:rsidP="008904C7">
      <w:pPr>
        <w:jc w:val="center"/>
        <w:rPr>
          <w:b/>
        </w:rPr>
      </w:pPr>
    </w:p>
    <w:p w14:paraId="6C27D978" w14:textId="07088DCD" w:rsidR="00F30DD7" w:rsidRDefault="00F30DD7" w:rsidP="00F30DD7">
      <w:pPr>
        <w:spacing w:line="360" w:lineRule="auto"/>
        <w:ind w:firstLine="720"/>
        <w:jc w:val="both"/>
      </w:pPr>
      <w:r>
        <w:t xml:space="preserve">Table </w:t>
      </w:r>
      <w:r w:rsidR="007854EE">
        <w:t>4</w:t>
      </w:r>
      <w:r>
        <w:t xml:space="preserve"> shows the WREGIS identification for each of the qualifying resources and projected qualifying generation for the renewable energy resources in place to meet Avista’s 2017 renewable energy target. The table includes </w:t>
      </w:r>
      <w:r w:rsidRPr="00F02BF9">
        <w:t xml:space="preserve">the </w:t>
      </w:r>
      <w:r>
        <w:t xml:space="preserve">amount of qualifying resources net of completed and expected REC sales from Palouse Wind and Kettle Falls. Grant PUD has not elected to record the generation from </w:t>
      </w:r>
      <w:r w:rsidR="00AE1B29">
        <w:t xml:space="preserve">the </w:t>
      </w:r>
      <w:r>
        <w:t>Wanapum hydroelectric project in WREGIS, so the incremental hydro generation is not available for Avista’s compliance goals under WAC 480-109-210</w:t>
      </w:r>
      <w:r w:rsidR="00AE1B29">
        <w:t xml:space="preserve"> until such time that </w:t>
      </w:r>
      <w:r>
        <w:t xml:space="preserve">Grant PUD registers the Wanapum Project in WREGIS.  </w:t>
      </w:r>
    </w:p>
    <w:p w14:paraId="6F6CAA6C" w14:textId="77777777" w:rsidR="00917B94" w:rsidRDefault="00917B94" w:rsidP="00F30DD7">
      <w:pPr>
        <w:spacing w:line="360" w:lineRule="auto"/>
        <w:ind w:firstLine="720"/>
        <w:jc w:val="both"/>
      </w:pPr>
    </w:p>
    <w:p w14:paraId="49D9EE8D" w14:textId="5C39DB2A" w:rsidR="00F30DD7" w:rsidRDefault="00F30DD7" w:rsidP="00F30DD7">
      <w:pPr>
        <w:pStyle w:val="ListParagraph"/>
        <w:autoSpaceDE w:val="0"/>
        <w:autoSpaceDN w:val="0"/>
        <w:adjustRightInd w:val="0"/>
        <w:ind w:left="0"/>
        <w:jc w:val="center"/>
        <w:rPr>
          <w:b/>
        </w:rPr>
      </w:pPr>
      <w:r w:rsidRPr="000F6D9D">
        <w:rPr>
          <w:b/>
        </w:rPr>
        <w:t xml:space="preserve">Table </w:t>
      </w:r>
      <w:r w:rsidR="007854EE">
        <w:rPr>
          <w:b/>
        </w:rPr>
        <w:t>4</w:t>
      </w:r>
      <w:r w:rsidRPr="000F6D9D">
        <w:rPr>
          <w:b/>
        </w:rPr>
        <w:t xml:space="preserve">: </w:t>
      </w:r>
      <w:r>
        <w:rPr>
          <w:b/>
        </w:rPr>
        <w:t>Renewable Energy for 2017 Compliance Net of REC Sales</w:t>
      </w:r>
    </w:p>
    <w:p w14:paraId="48A179AE" w14:textId="77777777" w:rsidR="00F30DD7" w:rsidRDefault="00F30DD7" w:rsidP="00F30DD7">
      <w:pPr>
        <w:pStyle w:val="ListParagraph"/>
        <w:autoSpaceDE w:val="0"/>
        <w:autoSpaceDN w:val="0"/>
        <w:adjustRightInd w:val="0"/>
        <w:ind w:left="0"/>
        <w:jc w:val="center"/>
        <w:rPr>
          <w:b/>
        </w:rPr>
      </w:pP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09"/>
        <w:gridCol w:w="1257"/>
      </w:tblGrid>
      <w:tr w:rsidR="00F30DD7" w:rsidRPr="00F86220" w14:paraId="711D11DF" w14:textId="77777777" w:rsidTr="00FC5799">
        <w:trPr>
          <w:jc w:val="center"/>
        </w:trPr>
        <w:tc>
          <w:tcPr>
            <w:tcW w:w="1696" w:type="dxa"/>
          </w:tcPr>
          <w:p w14:paraId="75C5D59C" w14:textId="77777777" w:rsidR="00F30DD7" w:rsidRDefault="00F30DD7" w:rsidP="00FC1D80">
            <w:pPr>
              <w:pStyle w:val="ListParagraph"/>
              <w:autoSpaceDE w:val="0"/>
              <w:autoSpaceDN w:val="0"/>
              <w:adjustRightInd w:val="0"/>
              <w:ind w:left="0"/>
              <w:rPr>
                <w:b/>
              </w:rPr>
            </w:pPr>
            <w:r>
              <w:rPr>
                <w:b/>
              </w:rPr>
              <w:t xml:space="preserve">WREGIS </w:t>
            </w:r>
          </w:p>
          <w:p w14:paraId="41A0B3DD" w14:textId="77777777" w:rsidR="00F30DD7" w:rsidRDefault="00F30DD7" w:rsidP="00FC1D80">
            <w:pPr>
              <w:pStyle w:val="ListParagraph"/>
              <w:autoSpaceDE w:val="0"/>
              <w:autoSpaceDN w:val="0"/>
              <w:adjustRightInd w:val="0"/>
              <w:ind w:left="0"/>
              <w:rPr>
                <w:b/>
              </w:rPr>
            </w:pPr>
            <w:r>
              <w:rPr>
                <w:b/>
              </w:rPr>
              <w:t xml:space="preserve">Generation </w:t>
            </w:r>
          </w:p>
          <w:p w14:paraId="4D20F83B" w14:textId="77777777" w:rsidR="00F30DD7" w:rsidRPr="00F86220" w:rsidRDefault="00F30DD7" w:rsidP="00FC1D80">
            <w:pPr>
              <w:pStyle w:val="ListParagraph"/>
              <w:autoSpaceDE w:val="0"/>
              <w:autoSpaceDN w:val="0"/>
              <w:adjustRightInd w:val="0"/>
              <w:ind w:left="0"/>
              <w:rPr>
                <w:b/>
              </w:rPr>
            </w:pPr>
            <w:r>
              <w:rPr>
                <w:b/>
              </w:rPr>
              <w:t>Unit ID</w:t>
            </w:r>
          </w:p>
        </w:tc>
        <w:tc>
          <w:tcPr>
            <w:tcW w:w="2409" w:type="dxa"/>
          </w:tcPr>
          <w:p w14:paraId="04DFCC33" w14:textId="77777777" w:rsidR="00F30DD7" w:rsidRPr="00F86220" w:rsidRDefault="00F30DD7" w:rsidP="00FC1D80">
            <w:pPr>
              <w:pStyle w:val="ListParagraph"/>
              <w:autoSpaceDE w:val="0"/>
              <w:autoSpaceDN w:val="0"/>
              <w:adjustRightInd w:val="0"/>
              <w:ind w:left="0"/>
              <w:rPr>
                <w:b/>
              </w:rPr>
            </w:pPr>
            <w:r>
              <w:rPr>
                <w:b/>
              </w:rPr>
              <w:t>Generator Plant – Unit Name</w:t>
            </w:r>
          </w:p>
        </w:tc>
        <w:tc>
          <w:tcPr>
            <w:tcW w:w="1257" w:type="dxa"/>
          </w:tcPr>
          <w:p w14:paraId="18A96F0F" w14:textId="77777777" w:rsidR="00F30DD7" w:rsidRDefault="00F30DD7" w:rsidP="00FC1D80">
            <w:pPr>
              <w:pStyle w:val="ListParagraph"/>
              <w:autoSpaceDE w:val="0"/>
              <w:autoSpaceDN w:val="0"/>
              <w:adjustRightInd w:val="0"/>
              <w:ind w:left="0"/>
              <w:rPr>
                <w:b/>
              </w:rPr>
            </w:pPr>
            <w:r>
              <w:rPr>
                <w:b/>
              </w:rPr>
              <w:t>Quantity</w:t>
            </w:r>
          </w:p>
          <w:p w14:paraId="37166492" w14:textId="77777777" w:rsidR="00F30DD7" w:rsidRDefault="00F30DD7" w:rsidP="00FC1D80">
            <w:pPr>
              <w:pStyle w:val="ListParagraph"/>
              <w:autoSpaceDE w:val="0"/>
              <w:autoSpaceDN w:val="0"/>
              <w:adjustRightInd w:val="0"/>
              <w:ind w:left="0"/>
              <w:rPr>
                <w:b/>
              </w:rPr>
            </w:pPr>
            <w:r>
              <w:rPr>
                <w:b/>
              </w:rPr>
              <w:t>(MWh)</w:t>
            </w:r>
          </w:p>
        </w:tc>
      </w:tr>
      <w:tr w:rsidR="00F30DD7" w:rsidRPr="00F86220" w14:paraId="74588CEE" w14:textId="77777777" w:rsidTr="00FC5799">
        <w:trPr>
          <w:jc w:val="center"/>
        </w:trPr>
        <w:tc>
          <w:tcPr>
            <w:tcW w:w="1696" w:type="dxa"/>
          </w:tcPr>
          <w:p w14:paraId="03439A3E" w14:textId="77777777" w:rsidR="00F30DD7" w:rsidRPr="000D5254" w:rsidRDefault="00F30DD7" w:rsidP="00FC1D80">
            <w:pPr>
              <w:pStyle w:val="ListParagraph"/>
              <w:autoSpaceDE w:val="0"/>
              <w:autoSpaceDN w:val="0"/>
              <w:adjustRightInd w:val="0"/>
              <w:ind w:left="0"/>
            </w:pPr>
            <w:r w:rsidRPr="000D5254">
              <w:t>W1560</w:t>
            </w:r>
          </w:p>
        </w:tc>
        <w:tc>
          <w:tcPr>
            <w:tcW w:w="2409" w:type="dxa"/>
          </w:tcPr>
          <w:p w14:paraId="5380E44F" w14:textId="77777777" w:rsidR="00F30DD7" w:rsidRPr="000D5254" w:rsidRDefault="00F30DD7" w:rsidP="00FC1D80">
            <w:pPr>
              <w:pStyle w:val="ListParagraph"/>
              <w:autoSpaceDE w:val="0"/>
              <w:autoSpaceDN w:val="0"/>
              <w:adjustRightInd w:val="0"/>
              <w:ind w:left="0"/>
            </w:pPr>
            <w:r w:rsidRPr="000D5254">
              <w:t>Cabinet Gorge Unit 2</w:t>
            </w:r>
          </w:p>
        </w:tc>
        <w:tc>
          <w:tcPr>
            <w:tcW w:w="1257" w:type="dxa"/>
          </w:tcPr>
          <w:p w14:paraId="12C395DA" w14:textId="77777777" w:rsidR="00F30DD7" w:rsidRPr="000D5254" w:rsidRDefault="00F30DD7" w:rsidP="00FC1D80">
            <w:pPr>
              <w:jc w:val="right"/>
            </w:pPr>
            <w:r>
              <w:t>29,008</w:t>
            </w:r>
          </w:p>
        </w:tc>
      </w:tr>
      <w:tr w:rsidR="00F30DD7" w:rsidRPr="00F86220" w14:paraId="26EE1053" w14:textId="77777777" w:rsidTr="00FC5799">
        <w:trPr>
          <w:jc w:val="center"/>
        </w:trPr>
        <w:tc>
          <w:tcPr>
            <w:tcW w:w="1696" w:type="dxa"/>
          </w:tcPr>
          <w:p w14:paraId="04238445" w14:textId="77777777" w:rsidR="00F30DD7" w:rsidRPr="000D5254" w:rsidRDefault="00F30DD7" w:rsidP="00FC1D80">
            <w:pPr>
              <w:pStyle w:val="ListParagraph"/>
              <w:autoSpaceDE w:val="0"/>
              <w:autoSpaceDN w:val="0"/>
              <w:adjustRightInd w:val="0"/>
              <w:ind w:left="0"/>
            </w:pPr>
            <w:r w:rsidRPr="000D5254">
              <w:t>W1561</w:t>
            </w:r>
          </w:p>
        </w:tc>
        <w:tc>
          <w:tcPr>
            <w:tcW w:w="2409" w:type="dxa"/>
          </w:tcPr>
          <w:p w14:paraId="6195FDA4" w14:textId="77777777" w:rsidR="00F30DD7" w:rsidRPr="000D5254" w:rsidRDefault="00F30DD7" w:rsidP="00FC1D80">
            <w:pPr>
              <w:pStyle w:val="ListParagraph"/>
              <w:autoSpaceDE w:val="0"/>
              <w:autoSpaceDN w:val="0"/>
              <w:adjustRightInd w:val="0"/>
              <w:ind w:left="0"/>
            </w:pPr>
            <w:r w:rsidRPr="000D5254">
              <w:t>Cabinet Gorge Unit 3</w:t>
            </w:r>
          </w:p>
        </w:tc>
        <w:tc>
          <w:tcPr>
            <w:tcW w:w="1257" w:type="dxa"/>
          </w:tcPr>
          <w:p w14:paraId="52306DB8" w14:textId="77777777" w:rsidR="00F30DD7" w:rsidRPr="000D5254" w:rsidRDefault="00F30DD7" w:rsidP="00FC1D80">
            <w:pPr>
              <w:jc w:val="right"/>
            </w:pPr>
            <w:r>
              <w:t>45,808</w:t>
            </w:r>
          </w:p>
        </w:tc>
      </w:tr>
      <w:tr w:rsidR="00F30DD7" w:rsidRPr="00F86220" w14:paraId="4F87D21E" w14:textId="77777777" w:rsidTr="00FC5799">
        <w:trPr>
          <w:jc w:val="center"/>
        </w:trPr>
        <w:tc>
          <w:tcPr>
            <w:tcW w:w="1696" w:type="dxa"/>
          </w:tcPr>
          <w:p w14:paraId="15F509E2" w14:textId="77777777" w:rsidR="00F30DD7" w:rsidRPr="000D5254" w:rsidRDefault="00F30DD7" w:rsidP="00FC1D80">
            <w:pPr>
              <w:pStyle w:val="ListParagraph"/>
              <w:autoSpaceDE w:val="0"/>
              <w:autoSpaceDN w:val="0"/>
              <w:adjustRightInd w:val="0"/>
              <w:ind w:left="0"/>
            </w:pPr>
            <w:r w:rsidRPr="000D5254">
              <w:t>W1562</w:t>
            </w:r>
          </w:p>
        </w:tc>
        <w:tc>
          <w:tcPr>
            <w:tcW w:w="2409" w:type="dxa"/>
          </w:tcPr>
          <w:p w14:paraId="7488F2BF" w14:textId="77777777" w:rsidR="00F30DD7" w:rsidRPr="000D5254" w:rsidRDefault="00F30DD7" w:rsidP="00FC1D80">
            <w:pPr>
              <w:pStyle w:val="ListParagraph"/>
              <w:autoSpaceDE w:val="0"/>
              <w:autoSpaceDN w:val="0"/>
              <w:adjustRightInd w:val="0"/>
              <w:ind w:left="0"/>
            </w:pPr>
            <w:r w:rsidRPr="000D5254">
              <w:t>Cabinet Gorge Unit 4</w:t>
            </w:r>
          </w:p>
        </w:tc>
        <w:tc>
          <w:tcPr>
            <w:tcW w:w="1257" w:type="dxa"/>
          </w:tcPr>
          <w:p w14:paraId="44D58CD0" w14:textId="77777777" w:rsidR="00F30DD7" w:rsidRPr="000D5254" w:rsidRDefault="00F30DD7" w:rsidP="00FC1D80">
            <w:pPr>
              <w:jc w:val="right"/>
            </w:pPr>
            <w:r>
              <w:t>20,517</w:t>
            </w:r>
          </w:p>
        </w:tc>
      </w:tr>
      <w:tr w:rsidR="00F30DD7" w:rsidRPr="00F86220" w14:paraId="7A282582" w14:textId="77777777" w:rsidTr="00FC5799">
        <w:trPr>
          <w:jc w:val="center"/>
        </w:trPr>
        <w:tc>
          <w:tcPr>
            <w:tcW w:w="1696" w:type="dxa"/>
          </w:tcPr>
          <w:p w14:paraId="28949879" w14:textId="54F4369A" w:rsidR="00F30DD7" w:rsidRPr="000D5254" w:rsidRDefault="00F30DD7" w:rsidP="00FC1D80">
            <w:pPr>
              <w:pStyle w:val="ListParagraph"/>
              <w:autoSpaceDE w:val="0"/>
              <w:autoSpaceDN w:val="0"/>
              <w:adjustRightInd w:val="0"/>
              <w:ind w:left="0"/>
            </w:pPr>
            <w:r>
              <w:t>W130</w:t>
            </w:r>
            <w:r w:rsidR="00FC5799">
              <w:t xml:space="preserve"> / W797</w:t>
            </w:r>
          </w:p>
        </w:tc>
        <w:tc>
          <w:tcPr>
            <w:tcW w:w="2409" w:type="dxa"/>
          </w:tcPr>
          <w:p w14:paraId="67AA300C" w14:textId="77777777" w:rsidR="00F30DD7" w:rsidRPr="000D5254" w:rsidRDefault="00F30DD7" w:rsidP="00FC1D80">
            <w:pPr>
              <w:pStyle w:val="ListParagraph"/>
              <w:autoSpaceDE w:val="0"/>
              <w:autoSpaceDN w:val="0"/>
              <w:adjustRightInd w:val="0"/>
              <w:ind w:left="0"/>
            </w:pPr>
            <w:r>
              <w:t>Kettle Falls</w:t>
            </w:r>
          </w:p>
        </w:tc>
        <w:tc>
          <w:tcPr>
            <w:tcW w:w="1257" w:type="dxa"/>
          </w:tcPr>
          <w:p w14:paraId="07023140" w14:textId="5E4CC357" w:rsidR="00F30DD7" w:rsidRDefault="00A65EEF" w:rsidP="00FC1D80">
            <w:pPr>
              <w:jc w:val="right"/>
            </w:pPr>
            <w:r>
              <w:t>53,048</w:t>
            </w:r>
          </w:p>
        </w:tc>
      </w:tr>
      <w:tr w:rsidR="00F30DD7" w:rsidRPr="00F86220" w14:paraId="6106032B" w14:textId="77777777" w:rsidTr="00FC5799">
        <w:trPr>
          <w:jc w:val="center"/>
        </w:trPr>
        <w:tc>
          <w:tcPr>
            <w:tcW w:w="1696" w:type="dxa"/>
          </w:tcPr>
          <w:p w14:paraId="7133F472" w14:textId="77777777" w:rsidR="00F30DD7" w:rsidRPr="000D5254" w:rsidRDefault="00F30DD7" w:rsidP="00FC1D80">
            <w:pPr>
              <w:pStyle w:val="ListParagraph"/>
              <w:autoSpaceDE w:val="0"/>
              <w:autoSpaceDN w:val="0"/>
              <w:adjustRightInd w:val="0"/>
              <w:ind w:left="0"/>
            </w:pPr>
            <w:r w:rsidRPr="000D5254">
              <w:t>W2102</w:t>
            </w:r>
          </w:p>
        </w:tc>
        <w:tc>
          <w:tcPr>
            <w:tcW w:w="2409" w:type="dxa"/>
          </w:tcPr>
          <w:p w14:paraId="71359BF1" w14:textId="77777777" w:rsidR="00F30DD7" w:rsidRPr="000D5254" w:rsidRDefault="00F30DD7" w:rsidP="00FC1D80">
            <w:pPr>
              <w:pStyle w:val="ListParagraph"/>
              <w:autoSpaceDE w:val="0"/>
              <w:autoSpaceDN w:val="0"/>
              <w:adjustRightInd w:val="0"/>
              <w:ind w:left="0"/>
            </w:pPr>
            <w:r w:rsidRPr="000D5254">
              <w:t>Little Falls Unit 4</w:t>
            </w:r>
          </w:p>
        </w:tc>
        <w:tc>
          <w:tcPr>
            <w:tcW w:w="1257" w:type="dxa"/>
          </w:tcPr>
          <w:p w14:paraId="30AC675C" w14:textId="77777777" w:rsidR="00F30DD7" w:rsidRPr="000D5254" w:rsidRDefault="00F30DD7" w:rsidP="00FC1D80">
            <w:pPr>
              <w:jc w:val="right"/>
            </w:pPr>
            <w:r>
              <w:t>4,862</w:t>
            </w:r>
          </w:p>
        </w:tc>
      </w:tr>
      <w:tr w:rsidR="00F30DD7" w:rsidRPr="00F86220" w14:paraId="22E665CA" w14:textId="77777777" w:rsidTr="00FC5799">
        <w:trPr>
          <w:jc w:val="center"/>
        </w:trPr>
        <w:tc>
          <w:tcPr>
            <w:tcW w:w="1696" w:type="dxa"/>
          </w:tcPr>
          <w:p w14:paraId="3EB48527" w14:textId="77777777" w:rsidR="00F30DD7" w:rsidRPr="000D5254" w:rsidRDefault="00F30DD7" w:rsidP="00FC1D80">
            <w:pPr>
              <w:pStyle w:val="ListParagraph"/>
              <w:autoSpaceDE w:val="0"/>
              <w:autoSpaceDN w:val="0"/>
              <w:adjustRightInd w:val="0"/>
              <w:ind w:left="0"/>
            </w:pPr>
            <w:r w:rsidRPr="000D5254">
              <w:t>W2103</w:t>
            </w:r>
          </w:p>
        </w:tc>
        <w:tc>
          <w:tcPr>
            <w:tcW w:w="2409" w:type="dxa"/>
          </w:tcPr>
          <w:p w14:paraId="2E64FEAA" w14:textId="77777777" w:rsidR="00F30DD7" w:rsidRPr="000D5254" w:rsidRDefault="00F30DD7" w:rsidP="00FC1D80">
            <w:pPr>
              <w:pStyle w:val="ListParagraph"/>
              <w:autoSpaceDE w:val="0"/>
              <w:autoSpaceDN w:val="0"/>
              <w:adjustRightInd w:val="0"/>
              <w:ind w:left="0"/>
            </w:pPr>
            <w:r w:rsidRPr="000D5254">
              <w:t>Long Lake Unit 3</w:t>
            </w:r>
          </w:p>
        </w:tc>
        <w:tc>
          <w:tcPr>
            <w:tcW w:w="1257" w:type="dxa"/>
          </w:tcPr>
          <w:p w14:paraId="738A7CE5" w14:textId="77777777" w:rsidR="00F30DD7" w:rsidRPr="000D5254" w:rsidRDefault="00F30DD7" w:rsidP="00FC1D80">
            <w:pPr>
              <w:jc w:val="right"/>
            </w:pPr>
            <w:r>
              <w:t>14,197</w:t>
            </w:r>
          </w:p>
        </w:tc>
      </w:tr>
      <w:tr w:rsidR="00F30DD7" w:rsidRPr="00F86220" w14:paraId="0ECA7A6E" w14:textId="77777777" w:rsidTr="00FC5799">
        <w:trPr>
          <w:jc w:val="center"/>
        </w:trPr>
        <w:tc>
          <w:tcPr>
            <w:tcW w:w="1696" w:type="dxa"/>
          </w:tcPr>
          <w:p w14:paraId="7BDBAEF3" w14:textId="77777777" w:rsidR="00F30DD7" w:rsidRDefault="00F30DD7" w:rsidP="00FC1D80">
            <w:pPr>
              <w:pStyle w:val="ListParagraph"/>
              <w:autoSpaceDE w:val="0"/>
              <w:autoSpaceDN w:val="0"/>
              <w:adjustRightInd w:val="0"/>
              <w:ind w:left="0"/>
            </w:pPr>
            <w:r>
              <w:t>W216</w:t>
            </w:r>
          </w:p>
        </w:tc>
        <w:tc>
          <w:tcPr>
            <w:tcW w:w="2409" w:type="dxa"/>
          </w:tcPr>
          <w:p w14:paraId="35D3A5CD" w14:textId="77777777" w:rsidR="00F30DD7" w:rsidRDefault="00F30DD7" w:rsidP="00FC1D80">
            <w:pPr>
              <w:pStyle w:val="ListParagraph"/>
              <w:autoSpaceDE w:val="0"/>
              <w:autoSpaceDN w:val="0"/>
              <w:adjustRightInd w:val="0"/>
              <w:ind w:left="0"/>
            </w:pPr>
            <w:r>
              <w:t>Nine Mile Unit 1</w:t>
            </w:r>
          </w:p>
        </w:tc>
        <w:tc>
          <w:tcPr>
            <w:tcW w:w="1257" w:type="dxa"/>
          </w:tcPr>
          <w:p w14:paraId="138C7754" w14:textId="77777777" w:rsidR="00F30DD7" w:rsidRDefault="00F30DD7" w:rsidP="00FC1D80">
            <w:pPr>
              <w:jc w:val="right"/>
            </w:pPr>
            <w:r>
              <w:t>8,804</w:t>
            </w:r>
          </w:p>
        </w:tc>
      </w:tr>
      <w:tr w:rsidR="00F30DD7" w:rsidRPr="00F86220" w14:paraId="77567509" w14:textId="77777777" w:rsidTr="00FC5799">
        <w:trPr>
          <w:jc w:val="center"/>
        </w:trPr>
        <w:tc>
          <w:tcPr>
            <w:tcW w:w="1696" w:type="dxa"/>
          </w:tcPr>
          <w:p w14:paraId="08C7882F" w14:textId="77777777" w:rsidR="00F30DD7" w:rsidRDefault="00F30DD7" w:rsidP="00FC1D80">
            <w:pPr>
              <w:pStyle w:val="ListParagraph"/>
              <w:autoSpaceDE w:val="0"/>
              <w:autoSpaceDN w:val="0"/>
              <w:adjustRightInd w:val="0"/>
              <w:ind w:left="0"/>
            </w:pPr>
            <w:r>
              <w:t>W283</w:t>
            </w:r>
          </w:p>
        </w:tc>
        <w:tc>
          <w:tcPr>
            <w:tcW w:w="2409" w:type="dxa"/>
          </w:tcPr>
          <w:p w14:paraId="69C02BB8" w14:textId="77777777" w:rsidR="00F30DD7" w:rsidRDefault="00F30DD7" w:rsidP="00FC1D80">
            <w:pPr>
              <w:pStyle w:val="ListParagraph"/>
              <w:autoSpaceDE w:val="0"/>
              <w:autoSpaceDN w:val="0"/>
              <w:adjustRightInd w:val="0"/>
              <w:ind w:left="0"/>
            </w:pPr>
            <w:r>
              <w:t>Nine Mile Unit 2</w:t>
            </w:r>
          </w:p>
        </w:tc>
        <w:tc>
          <w:tcPr>
            <w:tcW w:w="1257" w:type="dxa"/>
          </w:tcPr>
          <w:p w14:paraId="0C5A17F9" w14:textId="77777777" w:rsidR="00F30DD7" w:rsidRDefault="00F30DD7" w:rsidP="00FC1D80">
            <w:pPr>
              <w:jc w:val="right"/>
            </w:pPr>
            <w:r>
              <w:t>13,146</w:t>
            </w:r>
          </w:p>
        </w:tc>
      </w:tr>
      <w:tr w:rsidR="00F30DD7" w:rsidRPr="00F86220" w14:paraId="1D089091" w14:textId="77777777" w:rsidTr="00FC5799">
        <w:trPr>
          <w:jc w:val="center"/>
        </w:trPr>
        <w:tc>
          <w:tcPr>
            <w:tcW w:w="1696" w:type="dxa"/>
          </w:tcPr>
          <w:p w14:paraId="4AD4C258" w14:textId="77777777" w:rsidR="00F30DD7" w:rsidRPr="000D5254" w:rsidRDefault="00F30DD7" w:rsidP="00FC1D80">
            <w:pPr>
              <w:pStyle w:val="ListParagraph"/>
              <w:autoSpaceDE w:val="0"/>
              <w:autoSpaceDN w:val="0"/>
              <w:adjustRightInd w:val="0"/>
              <w:ind w:left="0"/>
            </w:pPr>
            <w:r w:rsidRPr="000D5254">
              <w:t>W1530</w:t>
            </w:r>
          </w:p>
        </w:tc>
        <w:tc>
          <w:tcPr>
            <w:tcW w:w="2409" w:type="dxa"/>
          </w:tcPr>
          <w:p w14:paraId="5F308F58" w14:textId="77777777" w:rsidR="00F30DD7" w:rsidRPr="000D5254" w:rsidRDefault="00F30DD7" w:rsidP="00FC1D80">
            <w:pPr>
              <w:pStyle w:val="ListParagraph"/>
              <w:autoSpaceDE w:val="0"/>
              <w:autoSpaceDN w:val="0"/>
              <w:adjustRightInd w:val="0"/>
              <w:ind w:left="0"/>
            </w:pPr>
            <w:r w:rsidRPr="000D5254">
              <w:t>Noxon Rapids Unit 1</w:t>
            </w:r>
          </w:p>
        </w:tc>
        <w:tc>
          <w:tcPr>
            <w:tcW w:w="1257" w:type="dxa"/>
          </w:tcPr>
          <w:p w14:paraId="64F819F4" w14:textId="77777777" w:rsidR="00F30DD7" w:rsidRPr="000D5254" w:rsidRDefault="00F30DD7" w:rsidP="00FC1D80">
            <w:pPr>
              <w:jc w:val="right"/>
            </w:pPr>
            <w:r>
              <w:t>21,435</w:t>
            </w:r>
          </w:p>
        </w:tc>
      </w:tr>
      <w:tr w:rsidR="00F30DD7" w:rsidRPr="00F86220" w14:paraId="5BB18F1E" w14:textId="77777777" w:rsidTr="00FC5799">
        <w:trPr>
          <w:jc w:val="center"/>
        </w:trPr>
        <w:tc>
          <w:tcPr>
            <w:tcW w:w="1696" w:type="dxa"/>
          </w:tcPr>
          <w:p w14:paraId="6C9EC5DE" w14:textId="77777777" w:rsidR="00F30DD7" w:rsidRPr="000D5254" w:rsidRDefault="00F30DD7" w:rsidP="00FC1D80">
            <w:pPr>
              <w:pStyle w:val="ListParagraph"/>
              <w:autoSpaceDE w:val="0"/>
              <w:autoSpaceDN w:val="0"/>
              <w:adjustRightInd w:val="0"/>
              <w:ind w:left="0"/>
            </w:pPr>
            <w:r w:rsidRPr="000D5254">
              <w:t>W1552</w:t>
            </w:r>
          </w:p>
        </w:tc>
        <w:tc>
          <w:tcPr>
            <w:tcW w:w="2409" w:type="dxa"/>
          </w:tcPr>
          <w:p w14:paraId="2219C285" w14:textId="77777777" w:rsidR="00F30DD7" w:rsidRPr="000D5254" w:rsidRDefault="00F30DD7" w:rsidP="00FC1D80">
            <w:pPr>
              <w:pStyle w:val="ListParagraph"/>
              <w:autoSpaceDE w:val="0"/>
              <w:autoSpaceDN w:val="0"/>
              <w:adjustRightInd w:val="0"/>
              <w:ind w:left="0"/>
            </w:pPr>
            <w:r w:rsidRPr="000D5254">
              <w:t>Noxon Rapids Unit 2</w:t>
            </w:r>
          </w:p>
        </w:tc>
        <w:tc>
          <w:tcPr>
            <w:tcW w:w="1257" w:type="dxa"/>
          </w:tcPr>
          <w:p w14:paraId="51483F4F" w14:textId="77777777" w:rsidR="00F30DD7" w:rsidRPr="000D5254" w:rsidRDefault="00F30DD7" w:rsidP="00FC1D80">
            <w:pPr>
              <w:jc w:val="right"/>
            </w:pPr>
            <w:r>
              <w:t>7,709</w:t>
            </w:r>
          </w:p>
        </w:tc>
      </w:tr>
      <w:tr w:rsidR="00F30DD7" w:rsidRPr="00F86220" w14:paraId="0DD8A598" w14:textId="77777777" w:rsidTr="00FC5799">
        <w:trPr>
          <w:jc w:val="center"/>
        </w:trPr>
        <w:tc>
          <w:tcPr>
            <w:tcW w:w="1696" w:type="dxa"/>
          </w:tcPr>
          <w:p w14:paraId="45CC4E6F" w14:textId="77777777" w:rsidR="00F30DD7" w:rsidRPr="000D5254" w:rsidRDefault="00F30DD7" w:rsidP="00FC1D80">
            <w:pPr>
              <w:pStyle w:val="ListParagraph"/>
              <w:autoSpaceDE w:val="0"/>
              <w:autoSpaceDN w:val="0"/>
              <w:adjustRightInd w:val="0"/>
              <w:ind w:left="0"/>
            </w:pPr>
            <w:r w:rsidRPr="000D5254">
              <w:t>W1554</w:t>
            </w:r>
          </w:p>
        </w:tc>
        <w:tc>
          <w:tcPr>
            <w:tcW w:w="2409" w:type="dxa"/>
          </w:tcPr>
          <w:p w14:paraId="49E9DEAD" w14:textId="77777777" w:rsidR="00F30DD7" w:rsidRPr="000D5254" w:rsidRDefault="00F30DD7" w:rsidP="00FC1D80">
            <w:pPr>
              <w:pStyle w:val="ListParagraph"/>
              <w:autoSpaceDE w:val="0"/>
              <w:autoSpaceDN w:val="0"/>
              <w:adjustRightInd w:val="0"/>
              <w:ind w:left="0"/>
            </w:pPr>
            <w:r w:rsidRPr="000D5254">
              <w:t>Noxon Rapids Unit 3</w:t>
            </w:r>
          </w:p>
        </w:tc>
        <w:tc>
          <w:tcPr>
            <w:tcW w:w="1257" w:type="dxa"/>
          </w:tcPr>
          <w:p w14:paraId="2C107155" w14:textId="77777777" w:rsidR="00F30DD7" w:rsidRPr="000D5254" w:rsidRDefault="00F30DD7" w:rsidP="00FC1D80">
            <w:pPr>
              <w:jc w:val="right"/>
            </w:pPr>
            <w:r>
              <w:t>14,529</w:t>
            </w:r>
          </w:p>
        </w:tc>
      </w:tr>
      <w:tr w:rsidR="00F30DD7" w:rsidRPr="00F86220" w14:paraId="50C60824" w14:textId="77777777" w:rsidTr="00FC5799">
        <w:trPr>
          <w:jc w:val="center"/>
        </w:trPr>
        <w:tc>
          <w:tcPr>
            <w:tcW w:w="1696" w:type="dxa"/>
          </w:tcPr>
          <w:p w14:paraId="4B557848" w14:textId="77777777" w:rsidR="00F30DD7" w:rsidRPr="000D5254" w:rsidRDefault="00F30DD7" w:rsidP="00FC1D80">
            <w:pPr>
              <w:pStyle w:val="ListParagraph"/>
              <w:autoSpaceDE w:val="0"/>
              <w:autoSpaceDN w:val="0"/>
              <w:adjustRightInd w:val="0"/>
              <w:ind w:left="0"/>
            </w:pPr>
            <w:r>
              <w:t>W1555</w:t>
            </w:r>
          </w:p>
        </w:tc>
        <w:tc>
          <w:tcPr>
            <w:tcW w:w="2409" w:type="dxa"/>
          </w:tcPr>
          <w:p w14:paraId="28F4479C" w14:textId="77777777" w:rsidR="00F30DD7" w:rsidRPr="000D5254" w:rsidRDefault="00F30DD7" w:rsidP="00FC1D80">
            <w:pPr>
              <w:pStyle w:val="ListParagraph"/>
              <w:autoSpaceDE w:val="0"/>
              <w:autoSpaceDN w:val="0"/>
              <w:adjustRightInd w:val="0"/>
              <w:ind w:left="0"/>
            </w:pPr>
            <w:r>
              <w:t>Noxon Rapids Unit 4</w:t>
            </w:r>
          </w:p>
        </w:tc>
        <w:tc>
          <w:tcPr>
            <w:tcW w:w="1257" w:type="dxa"/>
          </w:tcPr>
          <w:p w14:paraId="3E6C0343" w14:textId="77777777" w:rsidR="00F30DD7" w:rsidRDefault="00F30DD7" w:rsidP="00FC1D80">
            <w:pPr>
              <w:jc w:val="right"/>
            </w:pPr>
            <w:r>
              <w:t>12,024</w:t>
            </w:r>
          </w:p>
        </w:tc>
      </w:tr>
      <w:tr w:rsidR="00F30DD7" w:rsidRPr="00F86220" w14:paraId="01776C18" w14:textId="77777777" w:rsidTr="00FC5799">
        <w:trPr>
          <w:jc w:val="center"/>
        </w:trPr>
        <w:tc>
          <w:tcPr>
            <w:tcW w:w="1696" w:type="dxa"/>
          </w:tcPr>
          <w:p w14:paraId="58332F02" w14:textId="77777777" w:rsidR="00F30DD7" w:rsidRDefault="00F30DD7" w:rsidP="00FC1D80">
            <w:pPr>
              <w:pStyle w:val="ListParagraph"/>
              <w:autoSpaceDE w:val="0"/>
              <w:autoSpaceDN w:val="0"/>
              <w:adjustRightInd w:val="0"/>
              <w:ind w:left="0"/>
            </w:pPr>
            <w:r>
              <w:t>W2906</w:t>
            </w:r>
          </w:p>
        </w:tc>
        <w:tc>
          <w:tcPr>
            <w:tcW w:w="2409" w:type="dxa"/>
          </w:tcPr>
          <w:p w14:paraId="3E9F4913" w14:textId="77777777" w:rsidR="00F30DD7" w:rsidRDefault="00F30DD7" w:rsidP="00FC1D80">
            <w:pPr>
              <w:pStyle w:val="ListParagraph"/>
              <w:autoSpaceDE w:val="0"/>
              <w:autoSpaceDN w:val="0"/>
              <w:adjustRightInd w:val="0"/>
              <w:ind w:left="0"/>
            </w:pPr>
            <w:r>
              <w:t>Palouse Wind</w:t>
            </w:r>
          </w:p>
        </w:tc>
        <w:tc>
          <w:tcPr>
            <w:tcW w:w="1257" w:type="dxa"/>
          </w:tcPr>
          <w:p w14:paraId="7FC34693" w14:textId="62AA9FF4" w:rsidR="00F30DD7" w:rsidRDefault="001167E7" w:rsidP="00FC1D80">
            <w:pPr>
              <w:jc w:val="right"/>
            </w:pPr>
            <w:r>
              <w:t>261,313</w:t>
            </w:r>
          </w:p>
        </w:tc>
      </w:tr>
      <w:tr w:rsidR="00F30DD7" w:rsidRPr="00F86220" w14:paraId="2FE19658" w14:textId="77777777" w:rsidTr="00FC5799">
        <w:trPr>
          <w:jc w:val="center"/>
        </w:trPr>
        <w:tc>
          <w:tcPr>
            <w:tcW w:w="4105" w:type="dxa"/>
            <w:gridSpan w:val="2"/>
          </w:tcPr>
          <w:p w14:paraId="3B05C1A8" w14:textId="77777777" w:rsidR="00F30DD7" w:rsidRPr="00CA5422" w:rsidRDefault="00F30DD7" w:rsidP="00FC1D80">
            <w:pPr>
              <w:pStyle w:val="ListParagraph"/>
              <w:autoSpaceDE w:val="0"/>
              <w:autoSpaceDN w:val="0"/>
              <w:adjustRightInd w:val="0"/>
              <w:ind w:left="0"/>
              <w:jc w:val="center"/>
              <w:rPr>
                <w:b/>
              </w:rPr>
            </w:pPr>
            <w:r w:rsidRPr="00CA5422">
              <w:rPr>
                <w:b/>
              </w:rPr>
              <w:t>Total</w:t>
            </w:r>
          </w:p>
        </w:tc>
        <w:tc>
          <w:tcPr>
            <w:tcW w:w="1257" w:type="dxa"/>
          </w:tcPr>
          <w:p w14:paraId="66E30FCA" w14:textId="311BA65F" w:rsidR="00F30DD7" w:rsidRPr="00874146" w:rsidRDefault="001167E7" w:rsidP="00FC1D80">
            <w:pPr>
              <w:pStyle w:val="ListParagraph"/>
              <w:autoSpaceDE w:val="0"/>
              <w:autoSpaceDN w:val="0"/>
              <w:adjustRightInd w:val="0"/>
              <w:ind w:left="0"/>
              <w:jc w:val="right"/>
              <w:rPr>
                <w:b/>
              </w:rPr>
            </w:pPr>
            <w:r>
              <w:rPr>
                <w:b/>
              </w:rPr>
              <w:t>506,400</w:t>
            </w:r>
          </w:p>
        </w:tc>
      </w:tr>
    </w:tbl>
    <w:p w14:paraId="6AF53775" w14:textId="1EAD9477" w:rsidR="007854EE" w:rsidRDefault="007854EE" w:rsidP="007854EE">
      <w:pPr>
        <w:spacing w:line="360" w:lineRule="auto"/>
        <w:ind w:firstLine="720"/>
        <w:jc w:val="both"/>
      </w:pPr>
      <w:r>
        <w:t>Energy generated by the Kettle Falls Generating S</w:t>
      </w:r>
      <w:r w:rsidR="006E7937">
        <w:t xml:space="preserve">tation </w:t>
      </w:r>
      <w:r>
        <w:t>is qualified biomass energy under the EIA</w:t>
      </w:r>
      <w:r w:rsidR="009875E7">
        <w:t xml:space="preserve"> beginning January 1, 2016</w:t>
      </w:r>
      <w:r>
        <w:t>. All U</w:t>
      </w:r>
      <w:r w:rsidR="006E7937">
        <w:t xml:space="preserve">nited </w:t>
      </w:r>
      <w:r>
        <w:t>S</w:t>
      </w:r>
      <w:r w:rsidR="006E7937">
        <w:t>tates</w:t>
      </w:r>
      <w:r>
        <w:t xml:space="preserve"> sourced wood waste fuel used at the Kettle Falls Generating Station satisfies the requirements to be “biomass energy” under the EIA, in part because old growth timber is not harvested in any of the applicable areas of the U</w:t>
      </w:r>
      <w:r w:rsidR="006E7937">
        <w:t xml:space="preserve">nited </w:t>
      </w:r>
      <w:r>
        <w:t>S</w:t>
      </w:r>
      <w:r w:rsidR="006E7937">
        <w:t>tates</w:t>
      </w:r>
      <w:r>
        <w:t>. Avista engaged an independent entity, KPMG, to review the sources of Canadian wood waste fuel supply serving the Kettle Falls Generating Station in order to determine the amount of biomass energy that is supplied from Canadian sources. The work papers contain a calculation of</w:t>
      </w:r>
      <w:r w:rsidR="009875E7">
        <w:t xml:space="preserve"> the</w:t>
      </w:r>
      <w:r>
        <w:t xml:space="preserve"> amount of qualifying biomass energy generated by the Kettle Falls Generating Station</w:t>
      </w:r>
      <w:r w:rsidR="009875E7">
        <w:t>,</w:t>
      </w:r>
      <w:r>
        <w:t xml:space="preserve"> and Appendix F – Biomass Methodology Report shows the calculation of the Canadian wood waste fuel component that satisfies the requirements to be “biomass energy”. </w:t>
      </w:r>
    </w:p>
    <w:p w14:paraId="5737412E" w14:textId="77777777" w:rsidR="00725A53" w:rsidRDefault="00725A53" w:rsidP="008904C7">
      <w:pPr>
        <w:jc w:val="center"/>
        <w:rPr>
          <w:b/>
        </w:rPr>
      </w:pPr>
    </w:p>
    <w:p w14:paraId="54CEF4CB" w14:textId="4F1737C9" w:rsidR="008904C7" w:rsidRDefault="008904C7" w:rsidP="008904C7">
      <w:pPr>
        <w:jc w:val="center"/>
        <w:rPr>
          <w:b/>
        </w:rPr>
      </w:pPr>
      <w:r>
        <w:rPr>
          <w:b/>
        </w:rPr>
        <w:t>X.</w:t>
      </w:r>
      <w:r>
        <w:rPr>
          <w:b/>
        </w:rPr>
        <w:tab/>
      </w:r>
      <w:r w:rsidR="003822E4">
        <w:rPr>
          <w:b/>
        </w:rPr>
        <w:t>MULTISTATE ALLOCATIONS</w:t>
      </w:r>
    </w:p>
    <w:p w14:paraId="7E6498BA" w14:textId="77777777" w:rsidR="003822E4" w:rsidRDefault="003822E4" w:rsidP="008904C7">
      <w:pPr>
        <w:jc w:val="center"/>
        <w:rPr>
          <w:b/>
        </w:rPr>
      </w:pPr>
    </w:p>
    <w:p w14:paraId="087403FB" w14:textId="44E6C9AF" w:rsidR="00917B94" w:rsidRPr="00917B94" w:rsidRDefault="00917B94" w:rsidP="006E7937">
      <w:pPr>
        <w:spacing w:line="480" w:lineRule="auto"/>
        <w:jc w:val="both"/>
      </w:pPr>
      <w:r>
        <w:tab/>
      </w:r>
      <w:r w:rsidR="00E231DF">
        <w:t>100% of</w:t>
      </w:r>
      <w:r w:rsidR="00AB2807">
        <w:t xml:space="preserve"> the associated RECs from generation that </w:t>
      </w:r>
      <w:r w:rsidR="001167E7">
        <w:t>are</w:t>
      </w:r>
      <w:r w:rsidR="00AB2807">
        <w:t xml:space="preserve"> eligible for the EIA </w:t>
      </w:r>
      <w:r w:rsidR="001167E7">
        <w:t>are</w:t>
      </w:r>
      <w:r w:rsidR="00AB2807">
        <w:t xml:space="preserve"> assigned to Washington customers</w:t>
      </w:r>
      <w:r w:rsidR="009875E7">
        <w:t>,</w:t>
      </w:r>
      <w:r w:rsidR="00AB2807">
        <w:t xml:space="preserve"> and Idaho customers are compensated for the cost of those RECs. </w:t>
      </w:r>
      <w:r w:rsidR="00A4430F">
        <w:t xml:space="preserve">The Company includes an adjustment to account for the value of RECs transferred from Idaho to Washington. The value of RECs is split between the two states based on the Production and </w:t>
      </w:r>
      <w:r w:rsidR="009875E7">
        <w:t>Transmission</w:t>
      </w:r>
      <w:r w:rsidR="00A4430F">
        <w:t xml:space="preserve"> Ratio. The Idaho portion of the qualified renewable energy is transferred to Washington based upon the market value of similar renewable resources. This is consistent with the allocation of REC values between Washington and Idaho for ratemaking purposes.</w:t>
      </w:r>
    </w:p>
    <w:p w14:paraId="6855D057" w14:textId="50505C4C" w:rsidR="00D90E5E" w:rsidRPr="002D0F79" w:rsidRDefault="00D90E5E" w:rsidP="00D90E5E"/>
    <w:p w14:paraId="6A0B072C" w14:textId="6FDA7027" w:rsidR="003822E4" w:rsidRDefault="003822E4" w:rsidP="003822E4">
      <w:pPr>
        <w:jc w:val="center"/>
        <w:rPr>
          <w:b/>
        </w:rPr>
      </w:pPr>
      <w:r>
        <w:rPr>
          <w:b/>
        </w:rPr>
        <w:t>X</w:t>
      </w:r>
      <w:r w:rsidR="00BB03E4">
        <w:rPr>
          <w:b/>
        </w:rPr>
        <w:t>I</w:t>
      </w:r>
      <w:r>
        <w:rPr>
          <w:b/>
        </w:rPr>
        <w:t>.</w:t>
      </w:r>
      <w:r>
        <w:rPr>
          <w:b/>
        </w:rPr>
        <w:tab/>
        <w:t>SALES</w:t>
      </w:r>
    </w:p>
    <w:p w14:paraId="21B8F12F" w14:textId="77777777" w:rsidR="00917B94" w:rsidRDefault="00917B94" w:rsidP="00917B94">
      <w:pPr>
        <w:ind w:firstLine="720"/>
        <w:jc w:val="both"/>
      </w:pPr>
    </w:p>
    <w:p w14:paraId="7284C1C8" w14:textId="44EECF66" w:rsidR="003822E4" w:rsidRDefault="00917B94" w:rsidP="00917B94">
      <w:pPr>
        <w:spacing w:line="480" w:lineRule="auto"/>
        <w:ind w:firstLine="720"/>
        <w:jc w:val="both"/>
      </w:pPr>
      <w:r>
        <w:t xml:space="preserve">Table 5 summarizes Avista’s </w:t>
      </w:r>
      <w:r w:rsidR="00AB2807">
        <w:t xml:space="preserve">system-wide </w:t>
      </w:r>
      <w:r>
        <w:t>REC revenues by source and by vintage for 2016 and through May 25, 2017</w:t>
      </w:r>
      <w:r w:rsidRPr="00917B94">
        <w:t>. The re</w:t>
      </w:r>
      <w:r w:rsidR="00AB2807">
        <w:t>mainder</w:t>
      </w:r>
      <w:r w:rsidRPr="00917B94">
        <w:t xml:space="preserve"> of the 2017 sales will be in the 2018 report.</w:t>
      </w:r>
    </w:p>
    <w:p w14:paraId="16004A3C" w14:textId="6E861595" w:rsidR="00917B94" w:rsidRDefault="00917B94" w:rsidP="00917B94">
      <w:pPr>
        <w:pStyle w:val="ListParagraph"/>
        <w:autoSpaceDE w:val="0"/>
        <w:autoSpaceDN w:val="0"/>
        <w:adjustRightInd w:val="0"/>
        <w:ind w:left="0"/>
        <w:jc w:val="center"/>
        <w:rPr>
          <w:b/>
        </w:rPr>
      </w:pPr>
      <w:r w:rsidRPr="000F6D9D">
        <w:rPr>
          <w:b/>
        </w:rPr>
        <w:t xml:space="preserve">Table </w:t>
      </w:r>
      <w:r>
        <w:rPr>
          <w:b/>
        </w:rPr>
        <w:t>5</w:t>
      </w:r>
      <w:r w:rsidRPr="000F6D9D">
        <w:rPr>
          <w:b/>
        </w:rPr>
        <w:t xml:space="preserve">: </w:t>
      </w:r>
      <w:r>
        <w:rPr>
          <w:b/>
        </w:rPr>
        <w:t xml:space="preserve">REC Sales </w:t>
      </w:r>
      <w:r w:rsidR="00DA0D86">
        <w:rPr>
          <w:b/>
        </w:rPr>
        <w:t>through</w:t>
      </w:r>
      <w:r>
        <w:rPr>
          <w:b/>
        </w:rPr>
        <w:t xml:space="preserve"> May 25, 2017</w:t>
      </w:r>
    </w:p>
    <w:p w14:paraId="3AFE9CB7" w14:textId="77777777" w:rsidR="008904C7" w:rsidRDefault="008904C7" w:rsidP="008904C7">
      <w:pPr>
        <w:jc w:val="center"/>
        <w:rPr>
          <w:b/>
        </w:rPr>
      </w:pPr>
    </w:p>
    <w:tbl>
      <w:tblPr>
        <w:tblStyle w:val="TableGrid"/>
        <w:tblW w:w="0" w:type="auto"/>
        <w:jc w:val="center"/>
        <w:tblLook w:val="04A0" w:firstRow="1" w:lastRow="0" w:firstColumn="1" w:lastColumn="0" w:noHBand="0" w:noVBand="1"/>
      </w:tblPr>
      <w:tblGrid>
        <w:gridCol w:w="1757"/>
        <w:gridCol w:w="1723"/>
        <w:gridCol w:w="1336"/>
        <w:gridCol w:w="1336"/>
        <w:gridCol w:w="1336"/>
        <w:gridCol w:w="1416"/>
      </w:tblGrid>
      <w:tr w:rsidR="00917B94" w14:paraId="581EBE2D" w14:textId="77777777" w:rsidTr="00AB2807">
        <w:trPr>
          <w:jc w:val="center"/>
        </w:trPr>
        <w:tc>
          <w:tcPr>
            <w:tcW w:w="1757" w:type="dxa"/>
          </w:tcPr>
          <w:p w14:paraId="583BC312" w14:textId="33288B22" w:rsidR="00917B94" w:rsidRDefault="00917B94" w:rsidP="00F86220">
            <w:pPr>
              <w:jc w:val="center"/>
              <w:rPr>
                <w:b/>
              </w:rPr>
            </w:pPr>
            <w:r>
              <w:rPr>
                <w:b/>
              </w:rPr>
              <w:t>Source</w:t>
            </w:r>
          </w:p>
        </w:tc>
        <w:tc>
          <w:tcPr>
            <w:tcW w:w="1723" w:type="dxa"/>
          </w:tcPr>
          <w:p w14:paraId="07B7670E" w14:textId="356E6581" w:rsidR="00917B94" w:rsidRDefault="00917B94" w:rsidP="00F86220">
            <w:pPr>
              <w:jc w:val="center"/>
              <w:rPr>
                <w:b/>
              </w:rPr>
            </w:pPr>
            <w:r>
              <w:rPr>
                <w:b/>
              </w:rPr>
              <w:t>WREGIS #</w:t>
            </w:r>
          </w:p>
        </w:tc>
        <w:tc>
          <w:tcPr>
            <w:tcW w:w="1336" w:type="dxa"/>
          </w:tcPr>
          <w:p w14:paraId="7BA63123" w14:textId="77777777" w:rsidR="00917B94" w:rsidRDefault="00917B94" w:rsidP="00F86220">
            <w:pPr>
              <w:jc w:val="center"/>
              <w:rPr>
                <w:b/>
              </w:rPr>
            </w:pPr>
            <w:r>
              <w:rPr>
                <w:b/>
              </w:rPr>
              <w:t>2015</w:t>
            </w:r>
          </w:p>
          <w:p w14:paraId="21F92B93" w14:textId="31B7F5F7" w:rsidR="00917B94" w:rsidRDefault="00917B94" w:rsidP="00F86220">
            <w:pPr>
              <w:jc w:val="center"/>
              <w:rPr>
                <w:b/>
              </w:rPr>
            </w:pPr>
            <w:r>
              <w:rPr>
                <w:b/>
              </w:rPr>
              <w:t>Vintage</w:t>
            </w:r>
          </w:p>
        </w:tc>
        <w:tc>
          <w:tcPr>
            <w:tcW w:w="1336" w:type="dxa"/>
          </w:tcPr>
          <w:p w14:paraId="7963CE15" w14:textId="77777777" w:rsidR="00917B94" w:rsidRDefault="00917B94" w:rsidP="00F86220">
            <w:pPr>
              <w:jc w:val="center"/>
              <w:rPr>
                <w:b/>
              </w:rPr>
            </w:pPr>
            <w:r>
              <w:rPr>
                <w:b/>
              </w:rPr>
              <w:t>2016</w:t>
            </w:r>
          </w:p>
          <w:p w14:paraId="6F0975AD" w14:textId="04E5F52B" w:rsidR="00917B94" w:rsidRDefault="00917B94" w:rsidP="00F86220">
            <w:pPr>
              <w:jc w:val="center"/>
              <w:rPr>
                <w:b/>
              </w:rPr>
            </w:pPr>
            <w:r>
              <w:rPr>
                <w:b/>
              </w:rPr>
              <w:t>Vintage</w:t>
            </w:r>
          </w:p>
        </w:tc>
        <w:tc>
          <w:tcPr>
            <w:tcW w:w="1336" w:type="dxa"/>
          </w:tcPr>
          <w:p w14:paraId="04FB17B7" w14:textId="77777777" w:rsidR="00917B94" w:rsidRDefault="00917B94" w:rsidP="00F86220">
            <w:pPr>
              <w:jc w:val="center"/>
              <w:rPr>
                <w:b/>
              </w:rPr>
            </w:pPr>
            <w:r>
              <w:rPr>
                <w:b/>
              </w:rPr>
              <w:t>2017</w:t>
            </w:r>
          </w:p>
          <w:p w14:paraId="58F44E6E" w14:textId="5EFD807E" w:rsidR="00917B94" w:rsidRDefault="00917B94" w:rsidP="00F86220">
            <w:pPr>
              <w:jc w:val="center"/>
              <w:rPr>
                <w:b/>
              </w:rPr>
            </w:pPr>
            <w:r>
              <w:rPr>
                <w:b/>
              </w:rPr>
              <w:t>Vintage</w:t>
            </w:r>
          </w:p>
        </w:tc>
        <w:tc>
          <w:tcPr>
            <w:tcW w:w="1416" w:type="dxa"/>
          </w:tcPr>
          <w:p w14:paraId="2F71B10C" w14:textId="3E375B28" w:rsidR="00917B94" w:rsidRDefault="00917B94" w:rsidP="00F86220">
            <w:pPr>
              <w:jc w:val="center"/>
              <w:rPr>
                <w:b/>
              </w:rPr>
            </w:pPr>
            <w:r>
              <w:rPr>
                <w:b/>
              </w:rPr>
              <w:t>Total REC Revenue</w:t>
            </w:r>
          </w:p>
        </w:tc>
      </w:tr>
      <w:tr w:rsidR="00917B94" w14:paraId="52E1AA0F" w14:textId="77777777" w:rsidTr="00AB2807">
        <w:trPr>
          <w:jc w:val="center"/>
        </w:trPr>
        <w:tc>
          <w:tcPr>
            <w:tcW w:w="1757" w:type="dxa"/>
          </w:tcPr>
          <w:p w14:paraId="2E72ACCD" w14:textId="6CB0F142" w:rsidR="00917B94" w:rsidRDefault="00917B94" w:rsidP="00F86220">
            <w:pPr>
              <w:jc w:val="center"/>
              <w:rPr>
                <w:b/>
              </w:rPr>
            </w:pPr>
            <w:r>
              <w:rPr>
                <w:b/>
              </w:rPr>
              <w:t>Kettle Falls</w:t>
            </w:r>
          </w:p>
        </w:tc>
        <w:tc>
          <w:tcPr>
            <w:tcW w:w="1723" w:type="dxa"/>
          </w:tcPr>
          <w:p w14:paraId="005BEFE5" w14:textId="2C348EA2" w:rsidR="00917B94" w:rsidRDefault="00917B94" w:rsidP="00F86220">
            <w:pPr>
              <w:jc w:val="center"/>
              <w:rPr>
                <w:b/>
              </w:rPr>
            </w:pPr>
            <w:r>
              <w:rPr>
                <w:b/>
              </w:rPr>
              <w:t>W130</w:t>
            </w:r>
            <w:r w:rsidR="00DA0D86">
              <w:rPr>
                <w:b/>
              </w:rPr>
              <w:t xml:space="preserve"> / W797</w:t>
            </w:r>
          </w:p>
        </w:tc>
        <w:tc>
          <w:tcPr>
            <w:tcW w:w="1336" w:type="dxa"/>
          </w:tcPr>
          <w:p w14:paraId="620ED93D" w14:textId="2E2537D5" w:rsidR="00917B94" w:rsidRDefault="00DA0D86" w:rsidP="00AB2807">
            <w:pPr>
              <w:jc w:val="center"/>
              <w:rPr>
                <w:b/>
              </w:rPr>
            </w:pPr>
            <w:r>
              <w:rPr>
                <w:rFonts w:ascii="Calibri" w:hAnsi="Calibri"/>
                <w:color w:val="000000"/>
                <w:sz w:val="22"/>
                <w:szCs w:val="22"/>
              </w:rPr>
              <w:t>$2,070,367</w:t>
            </w:r>
          </w:p>
        </w:tc>
        <w:tc>
          <w:tcPr>
            <w:tcW w:w="1336" w:type="dxa"/>
          </w:tcPr>
          <w:p w14:paraId="6EB0EA13" w14:textId="6EE16123" w:rsidR="00917B94" w:rsidRDefault="00DA0D86" w:rsidP="00AB2807">
            <w:pPr>
              <w:jc w:val="center"/>
              <w:rPr>
                <w:b/>
              </w:rPr>
            </w:pPr>
            <w:r>
              <w:rPr>
                <w:rFonts w:ascii="Calibri" w:hAnsi="Calibri"/>
                <w:color w:val="000000"/>
                <w:sz w:val="22"/>
                <w:szCs w:val="22"/>
              </w:rPr>
              <w:t>$2,348,775</w:t>
            </w:r>
          </w:p>
        </w:tc>
        <w:tc>
          <w:tcPr>
            <w:tcW w:w="1336" w:type="dxa"/>
          </w:tcPr>
          <w:p w14:paraId="1410DF3B" w14:textId="4CEFFF62" w:rsidR="00917B94" w:rsidRDefault="00DA0D86" w:rsidP="00AB2807">
            <w:pPr>
              <w:jc w:val="center"/>
              <w:rPr>
                <w:b/>
              </w:rPr>
            </w:pPr>
            <w:r>
              <w:rPr>
                <w:rFonts w:ascii="Calibri" w:hAnsi="Calibri"/>
                <w:color w:val="000000"/>
                <w:sz w:val="22"/>
                <w:szCs w:val="22"/>
              </w:rPr>
              <w:t>$1,971,198</w:t>
            </w:r>
          </w:p>
        </w:tc>
        <w:tc>
          <w:tcPr>
            <w:tcW w:w="1416" w:type="dxa"/>
          </w:tcPr>
          <w:p w14:paraId="66508584" w14:textId="3AE31D72" w:rsidR="00917B94" w:rsidRDefault="00AB2807" w:rsidP="00F86220">
            <w:pPr>
              <w:jc w:val="center"/>
              <w:rPr>
                <w:b/>
              </w:rPr>
            </w:pPr>
            <w:r>
              <w:rPr>
                <w:b/>
              </w:rPr>
              <w:t>$6,390,340</w:t>
            </w:r>
          </w:p>
        </w:tc>
      </w:tr>
      <w:tr w:rsidR="00917B94" w14:paraId="7542B9B6" w14:textId="77777777" w:rsidTr="00AB2807">
        <w:trPr>
          <w:jc w:val="center"/>
        </w:trPr>
        <w:tc>
          <w:tcPr>
            <w:tcW w:w="1757" w:type="dxa"/>
          </w:tcPr>
          <w:p w14:paraId="3645F271" w14:textId="5B24681C" w:rsidR="00917B94" w:rsidRDefault="00917B94" w:rsidP="00F86220">
            <w:pPr>
              <w:jc w:val="center"/>
              <w:rPr>
                <w:b/>
              </w:rPr>
            </w:pPr>
            <w:r>
              <w:rPr>
                <w:b/>
              </w:rPr>
              <w:t>Palouse Wind</w:t>
            </w:r>
          </w:p>
        </w:tc>
        <w:tc>
          <w:tcPr>
            <w:tcW w:w="1723" w:type="dxa"/>
          </w:tcPr>
          <w:p w14:paraId="3472AF98" w14:textId="051012F7" w:rsidR="00917B94" w:rsidRDefault="00917B94" w:rsidP="00F86220">
            <w:pPr>
              <w:jc w:val="center"/>
              <w:rPr>
                <w:b/>
              </w:rPr>
            </w:pPr>
            <w:r>
              <w:rPr>
                <w:b/>
              </w:rPr>
              <w:t>W2906</w:t>
            </w:r>
          </w:p>
        </w:tc>
        <w:tc>
          <w:tcPr>
            <w:tcW w:w="1336" w:type="dxa"/>
          </w:tcPr>
          <w:p w14:paraId="2EC72C31" w14:textId="57588150" w:rsidR="00917B94" w:rsidRDefault="00DA0D86" w:rsidP="00AB2807">
            <w:pPr>
              <w:jc w:val="center"/>
              <w:rPr>
                <w:b/>
              </w:rPr>
            </w:pPr>
            <w:r>
              <w:rPr>
                <w:rFonts w:ascii="Calibri" w:hAnsi="Calibri"/>
                <w:color w:val="000000"/>
                <w:sz w:val="22"/>
                <w:szCs w:val="22"/>
              </w:rPr>
              <w:t>$1,971,198</w:t>
            </w:r>
          </w:p>
        </w:tc>
        <w:tc>
          <w:tcPr>
            <w:tcW w:w="1336" w:type="dxa"/>
          </w:tcPr>
          <w:p w14:paraId="29F722B4" w14:textId="7AFC6B75" w:rsidR="00917B94" w:rsidRDefault="00DA0D86" w:rsidP="00AB2807">
            <w:pPr>
              <w:jc w:val="center"/>
              <w:rPr>
                <w:b/>
              </w:rPr>
            </w:pPr>
            <w:r>
              <w:rPr>
                <w:rFonts w:ascii="Calibri" w:hAnsi="Calibri"/>
                <w:color w:val="000000"/>
                <w:sz w:val="22"/>
                <w:szCs w:val="22"/>
              </w:rPr>
              <w:t>$1,777,775</w:t>
            </w:r>
          </w:p>
        </w:tc>
        <w:tc>
          <w:tcPr>
            <w:tcW w:w="1336" w:type="dxa"/>
          </w:tcPr>
          <w:p w14:paraId="08FB1123" w14:textId="7965AECE" w:rsidR="00917B94" w:rsidRDefault="00DA0D86" w:rsidP="00AB2807">
            <w:pPr>
              <w:jc w:val="center"/>
              <w:rPr>
                <w:b/>
              </w:rPr>
            </w:pPr>
            <w:r>
              <w:rPr>
                <w:rFonts w:ascii="Calibri" w:hAnsi="Calibri"/>
                <w:color w:val="000000"/>
                <w:sz w:val="22"/>
                <w:szCs w:val="22"/>
              </w:rPr>
              <w:t>$322,577</w:t>
            </w:r>
          </w:p>
        </w:tc>
        <w:tc>
          <w:tcPr>
            <w:tcW w:w="1416" w:type="dxa"/>
          </w:tcPr>
          <w:p w14:paraId="22CD129B" w14:textId="35ED73FC" w:rsidR="00917B94" w:rsidRDefault="00AB2807" w:rsidP="00F86220">
            <w:pPr>
              <w:jc w:val="center"/>
              <w:rPr>
                <w:b/>
              </w:rPr>
            </w:pPr>
            <w:r>
              <w:rPr>
                <w:b/>
              </w:rPr>
              <w:t>$4,071,550</w:t>
            </w:r>
          </w:p>
        </w:tc>
      </w:tr>
      <w:tr w:rsidR="00917B94" w14:paraId="29C62FE7" w14:textId="77777777" w:rsidTr="00AB2807">
        <w:trPr>
          <w:jc w:val="center"/>
        </w:trPr>
        <w:tc>
          <w:tcPr>
            <w:tcW w:w="1757" w:type="dxa"/>
          </w:tcPr>
          <w:p w14:paraId="1BDB7D7F" w14:textId="039B6CF2" w:rsidR="00917B94" w:rsidRDefault="00917B94" w:rsidP="00F86220">
            <w:pPr>
              <w:jc w:val="center"/>
              <w:rPr>
                <w:b/>
              </w:rPr>
            </w:pPr>
            <w:r>
              <w:rPr>
                <w:b/>
              </w:rPr>
              <w:t>Totals</w:t>
            </w:r>
          </w:p>
        </w:tc>
        <w:tc>
          <w:tcPr>
            <w:tcW w:w="1723" w:type="dxa"/>
          </w:tcPr>
          <w:p w14:paraId="4E6A26B6" w14:textId="77777777" w:rsidR="00917B94" w:rsidRDefault="00917B94" w:rsidP="00F86220">
            <w:pPr>
              <w:jc w:val="center"/>
              <w:rPr>
                <w:b/>
              </w:rPr>
            </w:pPr>
          </w:p>
        </w:tc>
        <w:tc>
          <w:tcPr>
            <w:tcW w:w="1336" w:type="dxa"/>
          </w:tcPr>
          <w:p w14:paraId="595BE916" w14:textId="40B364C9" w:rsidR="00917B94" w:rsidRDefault="00AB2807" w:rsidP="00F86220">
            <w:pPr>
              <w:jc w:val="center"/>
              <w:rPr>
                <w:b/>
              </w:rPr>
            </w:pPr>
            <w:r>
              <w:rPr>
                <w:b/>
              </w:rPr>
              <w:t>$4,041,565</w:t>
            </w:r>
          </w:p>
        </w:tc>
        <w:tc>
          <w:tcPr>
            <w:tcW w:w="1336" w:type="dxa"/>
          </w:tcPr>
          <w:p w14:paraId="3609CA15" w14:textId="3D2E4178" w:rsidR="00917B94" w:rsidRDefault="00AB2807" w:rsidP="00F86220">
            <w:pPr>
              <w:jc w:val="center"/>
              <w:rPr>
                <w:b/>
              </w:rPr>
            </w:pPr>
            <w:r>
              <w:rPr>
                <w:b/>
              </w:rPr>
              <w:t>$4,126,550</w:t>
            </w:r>
          </w:p>
        </w:tc>
        <w:tc>
          <w:tcPr>
            <w:tcW w:w="1336" w:type="dxa"/>
          </w:tcPr>
          <w:p w14:paraId="309A6058" w14:textId="412B72E2" w:rsidR="00917B94" w:rsidRDefault="00AB2807" w:rsidP="00F86220">
            <w:pPr>
              <w:jc w:val="center"/>
              <w:rPr>
                <w:b/>
              </w:rPr>
            </w:pPr>
            <w:r>
              <w:rPr>
                <w:b/>
              </w:rPr>
              <w:t>$2,293,775</w:t>
            </w:r>
          </w:p>
        </w:tc>
        <w:tc>
          <w:tcPr>
            <w:tcW w:w="1416" w:type="dxa"/>
          </w:tcPr>
          <w:p w14:paraId="2D6EEC35" w14:textId="71874EA7" w:rsidR="00917B94" w:rsidRDefault="00AB2807" w:rsidP="00F86220">
            <w:pPr>
              <w:jc w:val="center"/>
              <w:rPr>
                <w:b/>
              </w:rPr>
            </w:pPr>
            <w:r>
              <w:rPr>
                <w:b/>
              </w:rPr>
              <w:t>$10,461,891</w:t>
            </w:r>
          </w:p>
        </w:tc>
      </w:tr>
    </w:tbl>
    <w:p w14:paraId="61F8F75B" w14:textId="2A0D7291" w:rsidR="00E81AF6" w:rsidRPr="00F86220" w:rsidRDefault="008904C7" w:rsidP="00F86220">
      <w:pPr>
        <w:jc w:val="center"/>
        <w:rPr>
          <w:b/>
        </w:rPr>
      </w:pPr>
      <w:r>
        <w:rPr>
          <w:b/>
        </w:rPr>
        <w:t>X</w:t>
      </w:r>
      <w:r w:rsidR="00BB03E4">
        <w:rPr>
          <w:b/>
        </w:rPr>
        <w:t>I</w:t>
      </w:r>
      <w:r>
        <w:rPr>
          <w:b/>
        </w:rPr>
        <w:t>I</w:t>
      </w:r>
      <w:r w:rsidR="00F86220">
        <w:rPr>
          <w:b/>
        </w:rPr>
        <w:t>.</w:t>
      </w:r>
      <w:r w:rsidR="00F86220">
        <w:rPr>
          <w:b/>
        </w:rPr>
        <w:tab/>
      </w:r>
      <w:r w:rsidR="00F86220" w:rsidRPr="00F86220">
        <w:rPr>
          <w:b/>
        </w:rPr>
        <w:t>APPENDICES</w:t>
      </w:r>
    </w:p>
    <w:p w14:paraId="273655DF" w14:textId="77777777" w:rsidR="00F86220" w:rsidRDefault="00F86220" w:rsidP="00E81AF6"/>
    <w:p w14:paraId="6A89107E" w14:textId="77777777" w:rsidR="00E81AF6" w:rsidRDefault="00E81AF6" w:rsidP="00F86220">
      <w:pPr>
        <w:spacing w:line="480" w:lineRule="auto"/>
        <w:ind w:firstLine="720"/>
        <w:jc w:val="both"/>
      </w:pPr>
      <w:r>
        <w:t xml:space="preserve">The following appendices provide details about the </w:t>
      </w:r>
      <w:r w:rsidR="00907B57">
        <w:t xml:space="preserve">eligible </w:t>
      </w:r>
      <w:r>
        <w:t xml:space="preserve">renewable </w:t>
      </w:r>
      <w:r w:rsidR="00907B57">
        <w:t>resources</w:t>
      </w:r>
      <w:r>
        <w:t xml:space="preserve"> </w:t>
      </w:r>
      <w:r w:rsidR="001E4469">
        <w:t>Avista</w:t>
      </w:r>
      <w:r>
        <w:t xml:space="preserve"> use</w:t>
      </w:r>
      <w:r w:rsidR="00907B57">
        <w:t>d</w:t>
      </w:r>
      <w:r>
        <w:t xml:space="preserve"> to meet its renewable energy goals under the Energy Independence Act</w:t>
      </w:r>
      <w:r w:rsidR="00DE1EA4">
        <w:t xml:space="preserve">. </w:t>
      </w:r>
    </w:p>
    <w:p w14:paraId="274AB2BA" w14:textId="77777777" w:rsidR="00E81AF6" w:rsidRDefault="00E81AF6" w:rsidP="00E81AF6">
      <w:r w:rsidRPr="00317AB7">
        <w:rPr>
          <w:b/>
        </w:rPr>
        <w:t>Appendix A</w:t>
      </w:r>
      <w:r w:rsidR="00317AB7">
        <w:rPr>
          <w:b/>
        </w:rPr>
        <w:t>:</w:t>
      </w:r>
      <w:r>
        <w:t xml:space="preserve"> UTC Compliance Report Spreadsheet</w:t>
      </w:r>
    </w:p>
    <w:p w14:paraId="77B75432" w14:textId="77777777" w:rsidR="00E81AF6" w:rsidRDefault="00E81AF6" w:rsidP="00E81AF6">
      <w:r w:rsidRPr="00317AB7">
        <w:rPr>
          <w:b/>
        </w:rPr>
        <w:t>Appendix B</w:t>
      </w:r>
      <w:r w:rsidR="00317AB7" w:rsidRPr="00317AB7">
        <w:rPr>
          <w:b/>
        </w:rPr>
        <w:t>:</w:t>
      </w:r>
      <w:r>
        <w:t xml:space="preserve"> Incremental Cost Calculations</w:t>
      </w:r>
    </w:p>
    <w:p w14:paraId="4F25FF12" w14:textId="77777777" w:rsidR="00E81AF6" w:rsidRDefault="00E81AF6" w:rsidP="00E81AF6">
      <w:r w:rsidRPr="00317AB7">
        <w:rPr>
          <w:b/>
        </w:rPr>
        <w:t>Appendix C</w:t>
      </w:r>
      <w:r w:rsidR="00317AB7" w:rsidRPr="00317AB7">
        <w:rPr>
          <w:b/>
        </w:rPr>
        <w:t>:</w:t>
      </w:r>
      <w:r>
        <w:t xml:space="preserve"> Clark Fork </w:t>
      </w:r>
      <w:r w:rsidR="000A51E4">
        <w:t xml:space="preserve">River </w:t>
      </w:r>
      <w:r>
        <w:t>Hydroelectric Project Qualifying Upgrades Report</w:t>
      </w:r>
    </w:p>
    <w:p w14:paraId="7FB72795" w14:textId="77777777" w:rsidR="00E81AF6" w:rsidRDefault="00E81AF6" w:rsidP="00E81AF6">
      <w:r w:rsidRPr="00317AB7">
        <w:rPr>
          <w:b/>
        </w:rPr>
        <w:t>Appendix D</w:t>
      </w:r>
      <w:r w:rsidR="00317AB7" w:rsidRPr="00317AB7">
        <w:rPr>
          <w:b/>
        </w:rPr>
        <w:t>:</w:t>
      </w:r>
      <w:r>
        <w:t xml:space="preserve"> Spokane River Hydroelectric Project Qualifying Upgrades Report</w:t>
      </w:r>
    </w:p>
    <w:p w14:paraId="30767B5C" w14:textId="77777777" w:rsidR="00E81AF6" w:rsidRDefault="000835C1" w:rsidP="00E81AF6">
      <w:r w:rsidRPr="00317AB7">
        <w:rPr>
          <w:b/>
        </w:rPr>
        <w:t>Appendix E</w:t>
      </w:r>
      <w:r w:rsidR="00317AB7" w:rsidRPr="00317AB7">
        <w:rPr>
          <w:b/>
        </w:rPr>
        <w:t>:</w:t>
      </w:r>
      <w:r>
        <w:t xml:space="preserve"> </w:t>
      </w:r>
      <w:r w:rsidR="00E94A02">
        <w:t>Department of Co</w:t>
      </w:r>
      <w:r w:rsidR="00E81AF6">
        <w:t>mmerce Energy Independence Act Renewables Report</w:t>
      </w:r>
    </w:p>
    <w:p w14:paraId="4C67588E" w14:textId="77777777" w:rsidR="00D62863" w:rsidRDefault="00D62863" w:rsidP="00E81AF6">
      <w:r w:rsidRPr="0076035F">
        <w:rPr>
          <w:b/>
        </w:rPr>
        <w:t>Appendix F:</w:t>
      </w:r>
      <w:r>
        <w:t xml:space="preserve"> </w:t>
      </w:r>
      <w:r w:rsidR="004D2B98">
        <w:t>B</w:t>
      </w:r>
      <w:r>
        <w:t xml:space="preserve">iomass </w:t>
      </w:r>
      <w:r w:rsidR="004D2B98">
        <w:t xml:space="preserve">Methodology </w:t>
      </w:r>
      <w:r>
        <w:t>Report</w:t>
      </w:r>
    </w:p>
    <w:p w14:paraId="33BD1B26" w14:textId="77777777" w:rsidR="00D6287F" w:rsidRDefault="00D6287F" w:rsidP="005042B0">
      <w:pPr>
        <w:spacing w:line="480" w:lineRule="auto"/>
        <w:jc w:val="both"/>
      </w:pPr>
    </w:p>
    <w:p w14:paraId="78C7594B" w14:textId="76603453" w:rsidR="00835F77" w:rsidRDefault="00835F77" w:rsidP="005042B0">
      <w:pPr>
        <w:spacing w:line="480" w:lineRule="auto"/>
        <w:jc w:val="both"/>
      </w:pPr>
      <w:r>
        <w:t>RESPECTFULLY SUBM</w:t>
      </w:r>
      <w:r w:rsidR="0071546D">
        <w:t xml:space="preserve">ITTED this </w:t>
      </w:r>
      <w:r w:rsidR="004D2B98">
        <w:t>1</w:t>
      </w:r>
      <w:r w:rsidR="004D2B98">
        <w:rPr>
          <w:vertAlign w:val="superscript"/>
        </w:rPr>
        <w:t>st</w:t>
      </w:r>
      <w:r w:rsidR="0071546D">
        <w:t xml:space="preserve"> day of</w:t>
      </w:r>
      <w:r w:rsidR="00D44060">
        <w:t xml:space="preserve"> </w:t>
      </w:r>
      <w:r w:rsidR="00424324">
        <w:t>Ju</w:t>
      </w:r>
      <w:r w:rsidR="004D2B98">
        <w:t>ne</w:t>
      </w:r>
      <w:r w:rsidR="00F86220">
        <w:t xml:space="preserve"> </w:t>
      </w:r>
      <w:r w:rsidR="001E4469">
        <w:t>201</w:t>
      </w:r>
      <w:r w:rsidR="005E78C3">
        <w:t>7</w:t>
      </w:r>
      <w:r>
        <w:t>.</w:t>
      </w:r>
    </w:p>
    <w:p w14:paraId="12B97FF2" w14:textId="77777777" w:rsidR="00835F77" w:rsidRDefault="00835F77" w:rsidP="005042B0">
      <w:pPr>
        <w:jc w:val="both"/>
      </w:pPr>
    </w:p>
    <w:p w14:paraId="716E1764" w14:textId="77777777" w:rsidR="00835F77" w:rsidRDefault="00835F77" w:rsidP="005042B0">
      <w:pPr>
        <w:jc w:val="both"/>
      </w:pPr>
      <w:r>
        <w:tab/>
      </w:r>
      <w:r>
        <w:tab/>
      </w:r>
      <w:r>
        <w:tab/>
      </w:r>
      <w:r>
        <w:tab/>
      </w:r>
      <w:r>
        <w:tab/>
      </w:r>
      <w:r>
        <w:tab/>
        <w:t>AVISTA CORPORATION</w:t>
      </w:r>
    </w:p>
    <w:p w14:paraId="2784452D" w14:textId="77777777" w:rsidR="00835F77" w:rsidRDefault="00835F77" w:rsidP="005042B0">
      <w:pPr>
        <w:jc w:val="both"/>
      </w:pPr>
    </w:p>
    <w:p w14:paraId="185E8DEA" w14:textId="77777777" w:rsidR="00835F77" w:rsidRDefault="00835F77" w:rsidP="005042B0">
      <w:pPr>
        <w:jc w:val="both"/>
      </w:pPr>
    </w:p>
    <w:p w14:paraId="7E77172E" w14:textId="77777777" w:rsidR="00835F77" w:rsidRDefault="00835F77" w:rsidP="005042B0">
      <w:pPr>
        <w:jc w:val="both"/>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39C1435C" w14:textId="77777777" w:rsidR="00835F77" w:rsidRDefault="00835F77" w:rsidP="005042B0">
      <w:pPr>
        <w:jc w:val="both"/>
      </w:pPr>
      <w:r>
        <w:tab/>
      </w:r>
      <w:r>
        <w:tab/>
      </w:r>
      <w:r>
        <w:tab/>
      </w:r>
      <w:r>
        <w:tab/>
      </w:r>
      <w:r>
        <w:tab/>
      </w:r>
      <w:r>
        <w:tab/>
      </w:r>
      <w:r>
        <w:tab/>
      </w:r>
      <w:r w:rsidR="0071546D">
        <w:t>Kelly O. Norwood</w:t>
      </w:r>
    </w:p>
    <w:p w14:paraId="4641FFCE" w14:textId="77777777" w:rsidR="00835F77" w:rsidRDefault="0071546D" w:rsidP="005042B0">
      <w:pPr>
        <w:jc w:val="both"/>
      </w:pPr>
      <w:r>
        <w:tab/>
      </w:r>
      <w:r>
        <w:tab/>
      </w:r>
      <w:r>
        <w:tab/>
      </w:r>
      <w:r>
        <w:tab/>
      </w:r>
      <w:r>
        <w:tab/>
      </w:r>
      <w:r>
        <w:tab/>
      </w:r>
      <w:r>
        <w:tab/>
        <w:t>Vice President, State and Federal Regulation</w:t>
      </w:r>
    </w:p>
    <w:p w14:paraId="6CFF6470" w14:textId="77777777" w:rsidR="00D258AA" w:rsidRDefault="00D258AA" w:rsidP="00331EDA"/>
    <w:sectPr w:rsidR="00D258AA" w:rsidSect="00C62AC6">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DB39" w14:textId="77777777" w:rsidR="006B28DA" w:rsidRDefault="006B28DA">
      <w:r>
        <w:separator/>
      </w:r>
    </w:p>
  </w:endnote>
  <w:endnote w:type="continuationSeparator" w:id="0">
    <w:p w14:paraId="38626086" w14:textId="77777777" w:rsidR="006B28DA" w:rsidRDefault="006B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5E8E" w14:textId="77777777" w:rsidR="00FB7252" w:rsidRDefault="00FB7252">
    <w:pPr>
      <w:pStyle w:val="Footer"/>
    </w:pPr>
    <w:r>
      <w:rPr>
        <w:sz w:val="20"/>
        <w:szCs w:val="20"/>
      </w:rPr>
      <w:t xml:space="preserve">RENEWABLE TARGET COMPLIANCE REPORT OF AVISTA CORPORATION - </w:t>
    </w:r>
    <w:r w:rsidR="00125653">
      <w:rPr>
        <w:rStyle w:val="PageNumber"/>
        <w:sz w:val="20"/>
        <w:szCs w:val="20"/>
      </w:rPr>
      <w:fldChar w:fldCharType="begin"/>
    </w:r>
    <w:r>
      <w:rPr>
        <w:rStyle w:val="PageNumber"/>
        <w:sz w:val="20"/>
        <w:szCs w:val="20"/>
      </w:rPr>
      <w:instrText xml:space="preserve"> PAGE </w:instrText>
    </w:r>
    <w:r w:rsidR="00125653">
      <w:rPr>
        <w:rStyle w:val="PageNumber"/>
        <w:sz w:val="20"/>
        <w:szCs w:val="20"/>
      </w:rPr>
      <w:fldChar w:fldCharType="separate"/>
    </w:r>
    <w:r w:rsidR="008A7BF2">
      <w:rPr>
        <w:rStyle w:val="PageNumber"/>
        <w:noProof/>
        <w:sz w:val="20"/>
        <w:szCs w:val="20"/>
      </w:rPr>
      <w:t>1</w:t>
    </w:r>
    <w:r w:rsidR="0012565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D6D24" w14:textId="77777777" w:rsidR="006B28DA" w:rsidRDefault="006B28DA">
      <w:r>
        <w:separator/>
      </w:r>
    </w:p>
  </w:footnote>
  <w:footnote w:type="continuationSeparator" w:id="0">
    <w:p w14:paraId="7C6E19B2" w14:textId="77777777" w:rsidR="006B28DA" w:rsidRDefault="006B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B5F"/>
    <w:multiLevelType w:val="hybridMultilevel"/>
    <w:tmpl w:val="5052D856"/>
    <w:lvl w:ilvl="0" w:tplc="329AA6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6202"/>
    <w:multiLevelType w:val="hybridMultilevel"/>
    <w:tmpl w:val="A4A2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46A05"/>
    <w:multiLevelType w:val="hybridMultilevel"/>
    <w:tmpl w:val="D3BA3DBE"/>
    <w:lvl w:ilvl="0" w:tplc="281651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73A2C"/>
    <w:multiLevelType w:val="hybridMultilevel"/>
    <w:tmpl w:val="E272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63A7"/>
    <w:multiLevelType w:val="hybridMultilevel"/>
    <w:tmpl w:val="CDE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4FA6"/>
    <w:multiLevelType w:val="hybridMultilevel"/>
    <w:tmpl w:val="E7D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C7347"/>
    <w:multiLevelType w:val="hybridMultilevel"/>
    <w:tmpl w:val="3E5CBD4E"/>
    <w:lvl w:ilvl="0" w:tplc="EE223D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A1A90"/>
    <w:multiLevelType w:val="hybridMultilevel"/>
    <w:tmpl w:val="69CC1C24"/>
    <w:lvl w:ilvl="0" w:tplc="37FC4494">
      <w:start w:val="14"/>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1BF41340"/>
    <w:multiLevelType w:val="hybridMultilevel"/>
    <w:tmpl w:val="C87E0AAE"/>
    <w:lvl w:ilvl="0" w:tplc="537C56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CBC7FAF"/>
    <w:multiLevelType w:val="hybridMultilevel"/>
    <w:tmpl w:val="D4344D6A"/>
    <w:lvl w:ilvl="0" w:tplc="0409000F">
      <w:start w:val="1"/>
      <w:numFmt w:val="decimal"/>
      <w:lvlText w:val="%1."/>
      <w:lvlJc w:val="left"/>
      <w:pPr>
        <w:tabs>
          <w:tab w:val="num" w:pos="1800"/>
        </w:tabs>
        <w:ind w:left="1800" w:hanging="360"/>
      </w:pPr>
    </w:lvl>
    <w:lvl w:ilvl="1" w:tplc="6920804A">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DFE523D"/>
    <w:multiLevelType w:val="hybridMultilevel"/>
    <w:tmpl w:val="7B12C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AC489D"/>
    <w:multiLevelType w:val="hybridMultilevel"/>
    <w:tmpl w:val="E5602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5A7E"/>
    <w:multiLevelType w:val="hybridMultilevel"/>
    <w:tmpl w:val="C2D2A066"/>
    <w:lvl w:ilvl="0" w:tplc="67E8BE2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A3687C"/>
    <w:multiLevelType w:val="hybridMultilevel"/>
    <w:tmpl w:val="5C5C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C62F9"/>
    <w:multiLevelType w:val="hybridMultilevel"/>
    <w:tmpl w:val="91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C7B98"/>
    <w:multiLevelType w:val="hybridMultilevel"/>
    <w:tmpl w:val="271C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33724"/>
    <w:multiLevelType w:val="singleLevel"/>
    <w:tmpl w:val="04090015"/>
    <w:lvl w:ilvl="0">
      <w:start w:val="17"/>
      <w:numFmt w:val="upperLetter"/>
      <w:lvlText w:val="%1."/>
      <w:lvlJc w:val="left"/>
      <w:pPr>
        <w:tabs>
          <w:tab w:val="num" w:pos="360"/>
        </w:tabs>
        <w:ind w:left="360" w:hanging="360"/>
      </w:pPr>
      <w:rPr>
        <w:rFonts w:hint="default"/>
      </w:rPr>
    </w:lvl>
  </w:abstractNum>
  <w:abstractNum w:abstractNumId="17" w15:restartNumberingAfterBreak="0">
    <w:nsid w:val="35FE1D91"/>
    <w:multiLevelType w:val="hybridMultilevel"/>
    <w:tmpl w:val="BCCEE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A3CAD"/>
    <w:multiLevelType w:val="hybridMultilevel"/>
    <w:tmpl w:val="F7B81AC4"/>
    <w:lvl w:ilvl="0" w:tplc="537C5634">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7E7A7F"/>
    <w:multiLevelType w:val="hybridMultilevel"/>
    <w:tmpl w:val="6C9C2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A721C7"/>
    <w:multiLevelType w:val="hybridMultilevel"/>
    <w:tmpl w:val="F0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625C0"/>
    <w:multiLevelType w:val="hybridMultilevel"/>
    <w:tmpl w:val="FCF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C73E1"/>
    <w:multiLevelType w:val="hybridMultilevel"/>
    <w:tmpl w:val="8D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F6867"/>
    <w:multiLevelType w:val="hybridMultilevel"/>
    <w:tmpl w:val="EF04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D3499"/>
    <w:multiLevelType w:val="hybridMultilevel"/>
    <w:tmpl w:val="08E46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1F3D"/>
    <w:multiLevelType w:val="hybridMultilevel"/>
    <w:tmpl w:val="FB46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67855"/>
    <w:multiLevelType w:val="hybridMultilevel"/>
    <w:tmpl w:val="E4DEDCE8"/>
    <w:lvl w:ilvl="0" w:tplc="FC6A01E4">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F5EF1"/>
    <w:multiLevelType w:val="hybridMultilevel"/>
    <w:tmpl w:val="1186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A020E"/>
    <w:multiLevelType w:val="hybridMultilevel"/>
    <w:tmpl w:val="91BE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31" w15:restartNumberingAfterBreak="0">
    <w:nsid w:val="60404D89"/>
    <w:multiLevelType w:val="hybridMultilevel"/>
    <w:tmpl w:val="EEEC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6447F"/>
    <w:multiLevelType w:val="hybridMultilevel"/>
    <w:tmpl w:val="146E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76E10"/>
    <w:multiLevelType w:val="hybridMultilevel"/>
    <w:tmpl w:val="5184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367E6D"/>
    <w:multiLevelType w:val="hybridMultilevel"/>
    <w:tmpl w:val="D30A9D36"/>
    <w:lvl w:ilvl="0" w:tplc="537C5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86E90"/>
    <w:multiLevelType w:val="hybridMultilevel"/>
    <w:tmpl w:val="A3B4A702"/>
    <w:lvl w:ilvl="0" w:tplc="7102E2D8">
      <w:start w:val="1"/>
      <w:numFmt w:val="decimal"/>
      <w:lvlText w:val="%1"/>
      <w:lvlJc w:val="left"/>
      <w:pPr>
        <w:tabs>
          <w:tab w:val="num" w:pos="0"/>
        </w:tabs>
        <w:ind w:left="0" w:hanging="720"/>
      </w:pPr>
      <w:rPr>
        <w:rFonts w:hint="default"/>
        <w:b w:val="0"/>
        <w:i/>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2"/>
  </w:num>
  <w:num w:numId="4">
    <w:abstractNumId w:val="33"/>
  </w:num>
  <w:num w:numId="5">
    <w:abstractNumId w:val="36"/>
  </w:num>
  <w:num w:numId="6">
    <w:abstractNumId w:val="19"/>
  </w:num>
  <w:num w:numId="7">
    <w:abstractNumId w:val="10"/>
  </w:num>
  <w:num w:numId="8">
    <w:abstractNumId w:val="16"/>
  </w:num>
  <w:num w:numId="9">
    <w:abstractNumId w:val="9"/>
  </w:num>
  <w:num w:numId="10">
    <w:abstractNumId w:val="7"/>
  </w:num>
  <w:num w:numId="11">
    <w:abstractNumId w:val="35"/>
  </w:num>
  <w:num w:numId="12">
    <w:abstractNumId w:val="22"/>
  </w:num>
  <w:num w:numId="13">
    <w:abstractNumId w:val="30"/>
  </w:num>
  <w:num w:numId="14">
    <w:abstractNumId w:val="23"/>
  </w:num>
  <w:num w:numId="15">
    <w:abstractNumId w:val="27"/>
  </w:num>
  <w:num w:numId="16">
    <w:abstractNumId w:val="20"/>
  </w:num>
  <w:num w:numId="17">
    <w:abstractNumId w:val="4"/>
  </w:num>
  <w:num w:numId="18">
    <w:abstractNumId w:val="29"/>
  </w:num>
  <w:num w:numId="19">
    <w:abstractNumId w:val="1"/>
  </w:num>
  <w:num w:numId="20">
    <w:abstractNumId w:val="25"/>
  </w:num>
  <w:num w:numId="21">
    <w:abstractNumId w:val="17"/>
  </w:num>
  <w:num w:numId="22">
    <w:abstractNumId w:val="15"/>
  </w:num>
  <w:num w:numId="23">
    <w:abstractNumId w:val="11"/>
  </w:num>
  <w:num w:numId="24">
    <w:abstractNumId w:val="13"/>
  </w:num>
  <w:num w:numId="25">
    <w:abstractNumId w:val="5"/>
  </w:num>
  <w:num w:numId="26">
    <w:abstractNumId w:val="31"/>
  </w:num>
  <w:num w:numId="27">
    <w:abstractNumId w:val="28"/>
  </w:num>
  <w:num w:numId="28">
    <w:abstractNumId w:val="26"/>
  </w:num>
  <w:num w:numId="29">
    <w:abstractNumId w:val="14"/>
  </w:num>
  <w:num w:numId="30">
    <w:abstractNumId w:val="32"/>
  </w:num>
  <w:num w:numId="31">
    <w:abstractNumId w:val="8"/>
  </w:num>
  <w:num w:numId="32">
    <w:abstractNumId w:val="34"/>
  </w:num>
  <w:num w:numId="33">
    <w:abstractNumId w:val="18"/>
  </w:num>
  <w:num w:numId="34">
    <w:abstractNumId w:val="21"/>
  </w:num>
  <w:num w:numId="35">
    <w:abstractNumId w:val="3"/>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18"/>
    <w:rsid w:val="000011B7"/>
    <w:rsid w:val="000045C2"/>
    <w:rsid w:val="00004F3A"/>
    <w:rsid w:val="00011255"/>
    <w:rsid w:val="0001435B"/>
    <w:rsid w:val="000160DA"/>
    <w:rsid w:val="0002055F"/>
    <w:rsid w:val="00023E66"/>
    <w:rsid w:val="00023F14"/>
    <w:rsid w:val="00033FEB"/>
    <w:rsid w:val="000349B3"/>
    <w:rsid w:val="00034F0C"/>
    <w:rsid w:val="000364CC"/>
    <w:rsid w:val="0003776B"/>
    <w:rsid w:val="000426D4"/>
    <w:rsid w:val="00043410"/>
    <w:rsid w:val="00044C75"/>
    <w:rsid w:val="000477D8"/>
    <w:rsid w:val="0005033B"/>
    <w:rsid w:val="00056A1D"/>
    <w:rsid w:val="000608CB"/>
    <w:rsid w:val="00062A12"/>
    <w:rsid w:val="000641D2"/>
    <w:rsid w:val="0006546A"/>
    <w:rsid w:val="00071434"/>
    <w:rsid w:val="00071CD5"/>
    <w:rsid w:val="00082303"/>
    <w:rsid w:val="000835C1"/>
    <w:rsid w:val="00083728"/>
    <w:rsid w:val="00093587"/>
    <w:rsid w:val="000971FD"/>
    <w:rsid w:val="00097E2A"/>
    <w:rsid w:val="000A195C"/>
    <w:rsid w:val="000A25E5"/>
    <w:rsid w:val="000A2834"/>
    <w:rsid w:val="000A3C09"/>
    <w:rsid w:val="000A51E4"/>
    <w:rsid w:val="000C4578"/>
    <w:rsid w:val="000D4C32"/>
    <w:rsid w:val="000D5254"/>
    <w:rsid w:val="000D56A3"/>
    <w:rsid w:val="000E027F"/>
    <w:rsid w:val="000E2F22"/>
    <w:rsid w:val="000E3A34"/>
    <w:rsid w:val="000E3E76"/>
    <w:rsid w:val="000F506A"/>
    <w:rsid w:val="000F6375"/>
    <w:rsid w:val="0010050E"/>
    <w:rsid w:val="00107C91"/>
    <w:rsid w:val="00111DC7"/>
    <w:rsid w:val="001132F2"/>
    <w:rsid w:val="001167E7"/>
    <w:rsid w:val="0011758D"/>
    <w:rsid w:val="001226A4"/>
    <w:rsid w:val="00123557"/>
    <w:rsid w:val="001245E5"/>
    <w:rsid w:val="00125653"/>
    <w:rsid w:val="001275F1"/>
    <w:rsid w:val="00135FA7"/>
    <w:rsid w:val="001368A8"/>
    <w:rsid w:val="00143E5D"/>
    <w:rsid w:val="001453BE"/>
    <w:rsid w:val="00147A68"/>
    <w:rsid w:val="00152C91"/>
    <w:rsid w:val="00153372"/>
    <w:rsid w:val="00156A01"/>
    <w:rsid w:val="00161747"/>
    <w:rsid w:val="00163C1A"/>
    <w:rsid w:val="00170B3D"/>
    <w:rsid w:val="00172002"/>
    <w:rsid w:val="00174E2B"/>
    <w:rsid w:val="00175478"/>
    <w:rsid w:val="001775EC"/>
    <w:rsid w:val="0017769A"/>
    <w:rsid w:val="00181897"/>
    <w:rsid w:val="00182D9C"/>
    <w:rsid w:val="00186B1F"/>
    <w:rsid w:val="00191A44"/>
    <w:rsid w:val="00193F05"/>
    <w:rsid w:val="0019443D"/>
    <w:rsid w:val="001952EE"/>
    <w:rsid w:val="001959A0"/>
    <w:rsid w:val="00196499"/>
    <w:rsid w:val="0019703C"/>
    <w:rsid w:val="001A4FB4"/>
    <w:rsid w:val="001A5EF5"/>
    <w:rsid w:val="001B613B"/>
    <w:rsid w:val="001B7AE8"/>
    <w:rsid w:val="001B7D99"/>
    <w:rsid w:val="001C1A22"/>
    <w:rsid w:val="001C3871"/>
    <w:rsid w:val="001C792F"/>
    <w:rsid w:val="001D068F"/>
    <w:rsid w:val="001D4B22"/>
    <w:rsid w:val="001D5BC9"/>
    <w:rsid w:val="001D6BCB"/>
    <w:rsid w:val="001D6E47"/>
    <w:rsid w:val="001D78A7"/>
    <w:rsid w:val="001E06F1"/>
    <w:rsid w:val="001E4469"/>
    <w:rsid w:val="001F0FAA"/>
    <w:rsid w:val="00207221"/>
    <w:rsid w:val="00210756"/>
    <w:rsid w:val="0021662B"/>
    <w:rsid w:val="00222201"/>
    <w:rsid w:val="00223956"/>
    <w:rsid w:val="00225CB8"/>
    <w:rsid w:val="00226668"/>
    <w:rsid w:val="00227717"/>
    <w:rsid w:val="00227A6D"/>
    <w:rsid w:val="00241BAE"/>
    <w:rsid w:val="00244A4F"/>
    <w:rsid w:val="002455BE"/>
    <w:rsid w:val="00245EAB"/>
    <w:rsid w:val="00246DC6"/>
    <w:rsid w:val="00252881"/>
    <w:rsid w:val="00253835"/>
    <w:rsid w:val="00261F94"/>
    <w:rsid w:val="0027401B"/>
    <w:rsid w:val="0027770A"/>
    <w:rsid w:val="00280F1F"/>
    <w:rsid w:val="002814CC"/>
    <w:rsid w:val="00281B67"/>
    <w:rsid w:val="00282E11"/>
    <w:rsid w:val="002872E0"/>
    <w:rsid w:val="00293511"/>
    <w:rsid w:val="0029636E"/>
    <w:rsid w:val="00297D24"/>
    <w:rsid w:val="002A1947"/>
    <w:rsid w:val="002A36BC"/>
    <w:rsid w:val="002A48A6"/>
    <w:rsid w:val="002A796C"/>
    <w:rsid w:val="002B0F4E"/>
    <w:rsid w:val="002B1CC9"/>
    <w:rsid w:val="002B2B50"/>
    <w:rsid w:val="002B3999"/>
    <w:rsid w:val="002B64D2"/>
    <w:rsid w:val="002C2AE9"/>
    <w:rsid w:val="002D0F79"/>
    <w:rsid w:val="002D1931"/>
    <w:rsid w:val="002D2D2A"/>
    <w:rsid w:val="002D393E"/>
    <w:rsid w:val="002D5896"/>
    <w:rsid w:val="002E4343"/>
    <w:rsid w:val="002E4AD4"/>
    <w:rsid w:val="002E6244"/>
    <w:rsid w:val="002E6D7D"/>
    <w:rsid w:val="002F061F"/>
    <w:rsid w:val="002F43CE"/>
    <w:rsid w:val="002F7D46"/>
    <w:rsid w:val="00301C34"/>
    <w:rsid w:val="00301E9D"/>
    <w:rsid w:val="0030258D"/>
    <w:rsid w:val="003034DE"/>
    <w:rsid w:val="00306039"/>
    <w:rsid w:val="00315EEF"/>
    <w:rsid w:val="00316237"/>
    <w:rsid w:val="00317AB7"/>
    <w:rsid w:val="003222B1"/>
    <w:rsid w:val="00324D68"/>
    <w:rsid w:val="0032747E"/>
    <w:rsid w:val="00331EDA"/>
    <w:rsid w:val="0033217C"/>
    <w:rsid w:val="00335863"/>
    <w:rsid w:val="00353FD5"/>
    <w:rsid w:val="00356192"/>
    <w:rsid w:val="00357120"/>
    <w:rsid w:val="0035773A"/>
    <w:rsid w:val="00363374"/>
    <w:rsid w:val="00364527"/>
    <w:rsid w:val="003677AF"/>
    <w:rsid w:val="00375397"/>
    <w:rsid w:val="00375A6D"/>
    <w:rsid w:val="00375F78"/>
    <w:rsid w:val="00381096"/>
    <w:rsid w:val="00381672"/>
    <w:rsid w:val="003822E4"/>
    <w:rsid w:val="0038574E"/>
    <w:rsid w:val="0038596C"/>
    <w:rsid w:val="0038635B"/>
    <w:rsid w:val="0039485C"/>
    <w:rsid w:val="00394B03"/>
    <w:rsid w:val="00394B7A"/>
    <w:rsid w:val="003A2747"/>
    <w:rsid w:val="003A3019"/>
    <w:rsid w:val="003A5341"/>
    <w:rsid w:val="003B241E"/>
    <w:rsid w:val="003B4625"/>
    <w:rsid w:val="003B616F"/>
    <w:rsid w:val="003C1C2F"/>
    <w:rsid w:val="003C4621"/>
    <w:rsid w:val="003C7804"/>
    <w:rsid w:val="003D01CA"/>
    <w:rsid w:val="003D783F"/>
    <w:rsid w:val="003E1C27"/>
    <w:rsid w:val="003F011A"/>
    <w:rsid w:val="003F155E"/>
    <w:rsid w:val="003F7C96"/>
    <w:rsid w:val="003F7DCF"/>
    <w:rsid w:val="003F7F2B"/>
    <w:rsid w:val="00401820"/>
    <w:rsid w:val="004032FC"/>
    <w:rsid w:val="004034FA"/>
    <w:rsid w:val="0040447B"/>
    <w:rsid w:val="00406500"/>
    <w:rsid w:val="004139AE"/>
    <w:rsid w:val="00417169"/>
    <w:rsid w:val="0042108E"/>
    <w:rsid w:val="00422297"/>
    <w:rsid w:val="00422739"/>
    <w:rsid w:val="00422EFA"/>
    <w:rsid w:val="00424324"/>
    <w:rsid w:val="00431EDD"/>
    <w:rsid w:val="0043271A"/>
    <w:rsid w:val="004368B3"/>
    <w:rsid w:val="004402B5"/>
    <w:rsid w:val="0044513C"/>
    <w:rsid w:val="00450459"/>
    <w:rsid w:val="00452209"/>
    <w:rsid w:val="00452FAC"/>
    <w:rsid w:val="004538CE"/>
    <w:rsid w:val="00454961"/>
    <w:rsid w:val="00454CB0"/>
    <w:rsid w:val="00455A8F"/>
    <w:rsid w:val="00455B5C"/>
    <w:rsid w:val="0046173C"/>
    <w:rsid w:val="00466025"/>
    <w:rsid w:val="00467A08"/>
    <w:rsid w:val="00473325"/>
    <w:rsid w:val="00474DC7"/>
    <w:rsid w:val="00475E7B"/>
    <w:rsid w:val="0048183B"/>
    <w:rsid w:val="004904CF"/>
    <w:rsid w:val="00493A13"/>
    <w:rsid w:val="00494206"/>
    <w:rsid w:val="00495D7F"/>
    <w:rsid w:val="00496115"/>
    <w:rsid w:val="004972A0"/>
    <w:rsid w:val="004A02F5"/>
    <w:rsid w:val="004A190C"/>
    <w:rsid w:val="004A1D00"/>
    <w:rsid w:val="004A2773"/>
    <w:rsid w:val="004A28FE"/>
    <w:rsid w:val="004A35B4"/>
    <w:rsid w:val="004A549E"/>
    <w:rsid w:val="004A6AD2"/>
    <w:rsid w:val="004B1821"/>
    <w:rsid w:val="004B2A28"/>
    <w:rsid w:val="004B52D7"/>
    <w:rsid w:val="004B5523"/>
    <w:rsid w:val="004B7500"/>
    <w:rsid w:val="004C1649"/>
    <w:rsid w:val="004C21A5"/>
    <w:rsid w:val="004C55D4"/>
    <w:rsid w:val="004C722F"/>
    <w:rsid w:val="004D0339"/>
    <w:rsid w:val="004D0617"/>
    <w:rsid w:val="004D1E6F"/>
    <w:rsid w:val="004D279E"/>
    <w:rsid w:val="004D2B98"/>
    <w:rsid w:val="004E0F6F"/>
    <w:rsid w:val="004E221B"/>
    <w:rsid w:val="004E42E6"/>
    <w:rsid w:val="004E4E2F"/>
    <w:rsid w:val="004E7303"/>
    <w:rsid w:val="004F31B4"/>
    <w:rsid w:val="004F31DF"/>
    <w:rsid w:val="004F5120"/>
    <w:rsid w:val="004F5F6E"/>
    <w:rsid w:val="004F7979"/>
    <w:rsid w:val="005042B0"/>
    <w:rsid w:val="00510396"/>
    <w:rsid w:val="00513A2B"/>
    <w:rsid w:val="0051735A"/>
    <w:rsid w:val="005414F3"/>
    <w:rsid w:val="00541A2E"/>
    <w:rsid w:val="00541B85"/>
    <w:rsid w:val="005421B3"/>
    <w:rsid w:val="00542B82"/>
    <w:rsid w:val="00553345"/>
    <w:rsid w:val="0056094C"/>
    <w:rsid w:val="00565AE9"/>
    <w:rsid w:val="005663F1"/>
    <w:rsid w:val="00574887"/>
    <w:rsid w:val="005779D9"/>
    <w:rsid w:val="00580251"/>
    <w:rsid w:val="005870D0"/>
    <w:rsid w:val="00591B8F"/>
    <w:rsid w:val="005948C8"/>
    <w:rsid w:val="00595A44"/>
    <w:rsid w:val="005978A9"/>
    <w:rsid w:val="005A166C"/>
    <w:rsid w:val="005A171F"/>
    <w:rsid w:val="005B0D94"/>
    <w:rsid w:val="005C2684"/>
    <w:rsid w:val="005C269B"/>
    <w:rsid w:val="005C47C5"/>
    <w:rsid w:val="005C4B16"/>
    <w:rsid w:val="005C6A79"/>
    <w:rsid w:val="005D0BC4"/>
    <w:rsid w:val="005D750D"/>
    <w:rsid w:val="005E08C9"/>
    <w:rsid w:val="005E4D80"/>
    <w:rsid w:val="005E78C3"/>
    <w:rsid w:val="005E7DB5"/>
    <w:rsid w:val="005F0870"/>
    <w:rsid w:val="005F1C4D"/>
    <w:rsid w:val="005F30A9"/>
    <w:rsid w:val="005F3DFC"/>
    <w:rsid w:val="005F60A1"/>
    <w:rsid w:val="0060167E"/>
    <w:rsid w:val="00602602"/>
    <w:rsid w:val="0060316A"/>
    <w:rsid w:val="00603851"/>
    <w:rsid w:val="0060770A"/>
    <w:rsid w:val="00610028"/>
    <w:rsid w:val="006122AA"/>
    <w:rsid w:val="00615B06"/>
    <w:rsid w:val="0061650E"/>
    <w:rsid w:val="0062101D"/>
    <w:rsid w:val="00631A71"/>
    <w:rsid w:val="00634718"/>
    <w:rsid w:val="0065349E"/>
    <w:rsid w:val="006535E3"/>
    <w:rsid w:val="00654238"/>
    <w:rsid w:val="0066071F"/>
    <w:rsid w:val="00667748"/>
    <w:rsid w:val="0066788A"/>
    <w:rsid w:val="00671C52"/>
    <w:rsid w:val="00682216"/>
    <w:rsid w:val="00682362"/>
    <w:rsid w:val="00682CB5"/>
    <w:rsid w:val="00683558"/>
    <w:rsid w:val="00685C7D"/>
    <w:rsid w:val="0068683A"/>
    <w:rsid w:val="00687D02"/>
    <w:rsid w:val="00691478"/>
    <w:rsid w:val="00694076"/>
    <w:rsid w:val="0069629B"/>
    <w:rsid w:val="006A0ACE"/>
    <w:rsid w:val="006A1B7C"/>
    <w:rsid w:val="006B22AF"/>
    <w:rsid w:val="006B28DA"/>
    <w:rsid w:val="006B3DEA"/>
    <w:rsid w:val="006C4A50"/>
    <w:rsid w:val="006C7448"/>
    <w:rsid w:val="006C7534"/>
    <w:rsid w:val="006D2D9B"/>
    <w:rsid w:val="006D4A85"/>
    <w:rsid w:val="006E27FF"/>
    <w:rsid w:val="006E35A8"/>
    <w:rsid w:val="006E6C28"/>
    <w:rsid w:val="006E7937"/>
    <w:rsid w:val="006E7FE2"/>
    <w:rsid w:val="006F0B6C"/>
    <w:rsid w:val="006F1BB3"/>
    <w:rsid w:val="006F2ADF"/>
    <w:rsid w:val="006F5A3D"/>
    <w:rsid w:val="007013DE"/>
    <w:rsid w:val="00702034"/>
    <w:rsid w:val="007025A0"/>
    <w:rsid w:val="00704BBF"/>
    <w:rsid w:val="00711C64"/>
    <w:rsid w:val="007151A4"/>
    <w:rsid w:val="0071546D"/>
    <w:rsid w:val="00717550"/>
    <w:rsid w:val="00722091"/>
    <w:rsid w:val="00723B9D"/>
    <w:rsid w:val="00724BA4"/>
    <w:rsid w:val="00725A53"/>
    <w:rsid w:val="00730FB7"/>
    <w:rsid w:val="00735999"/>
    <w:rsid w:val="00736FAB"/>
    <w:rsid w:val="007376E1"/>
    <w:rsid w:val="00742558"/>
    <w:rsid w:val="00746C04"/>
    <w:rsid w:val="00752D5D"/>
    <w:rsid w:val="007565CE"/>
    <w:rsid w:val="0076035F"/>
    <w:rsid w:val="00765A58"/>
    <w:rsid w:val="00774BD0"/>
    <w:rsid w:val="007768BB"/>
    <w:rsid w:val="00781FC6"/>
    <w:rsid w:val="007850E1"/>
    <w:rsid w:val="007854EE"/>
    <w:rsid w:val="0078608A"/>
    <w:rsid w:val="007872C6"/>
    <w:rsid w:val="00793EF1"/>
    <w:rsid w:val="00795EF6"/>
    <w:rsid w:val="007A29A1"/>
    <w:rsid w:val="007A30F7"/>
    <w:rsid w:val="007A4697"/>
    <w:rsid w:val="007A53DB"/>
    <w:rsid w:val="007C0735"/>
    <w:rsid w:val="007D4AD6"/>
    <w:rsid w:val="007D4B29"/>
    <w:rsid w:val="007E3BDF"/>
    <w:rsid w:val="007E43BD"/>
    <w:rsid w:val="007E4C8A"/>
    <w:rsid w:val="007F0E72"/>
    <w:rsid w:val="007F0F55"/>
    <w:rsid w:val="007F59B7"/>
    <w:rsid w:val="008032B6"/>
    <w:rsid w:val="00812C27"/>
    <w:rsid w:val="00814BB0"/>
    <w:rsid w:val="0081555C"/>
    <w:rsid w:val="00815692"/>
    <w:rsid w:val="008158B2"/>
    <w:rsid w:val="008213FD"/>
    <w:rsid w:val="008242B9"/>
    <w:rsid w:val="00827A4D"/>
    <w:rsid w:val="00830D84"/>
    <w:rsid w:val="00834F33"/>
    <w:rsid w:val="00834F48"/>
    <w:rsid w:val="00835F77"/>
    <w:rsid w:val="00853946"/>
    <w:rsid w:val="00856F59"/>
    <w:rsid w:val="008675A0"/>
    <w:rsid w:val="00867CF6"/>
    <w:rsid w:val="00871A6E"/>
    <w:rsid w:val="00871D8E"/>
    <w:rsid w:val="00873ECA"/>
    <w:rsid w:val="00874146"/>
    <w:rsid w:val="00875146"/>
    <w:rsid w:val="008801CA"/>
    <w:rsid w:val="00881FF6"/>
    <w:rsid w:val="008869FA"/>
    <w:rsid w:val="008904C7"/>
    <w:rsid w:val="00893664"/>
    <w:rsid w:val="0089762E"/>
    <w:rsid w:val="008A38EE"/>
    <w:rsid w:val="008A599A"/>
    <w:rsid w:val="008A5EF4"/>
    <w:rsid w:val="008A782C"/>
    <w:rsid w:val="008A7BF2"/>
    <w:rsid w:val="008B4238"/>
    <w:rsid w:val="008B5B93"/>
    <w:rsid w:val="008C001F"/>
    <w:rsid w:val="008C3719"/>
    <w:rsid w:val="008C684A"/>
    <w:rsid w:val="008C757F"/>
    <w:rsid w:val="008D318F"/>
    <w:rsid w:val="008D3402"/>
    <w:rsid w:val="008D7508"/>
    <w:rsid w:val="008E5190"/>
    <w:rsid w:val="008E5EC3"/>
    <w:rsid w:val="008E6992"/>
    <w:rsid w:val="008F6FB5"/>
    <w:rsid w:val="00902AC9"/>
    <w:rsid w:val="00907B57"/>
    <w:rsid w:val="00911AC1"/>
    <w:rsid w:val="009130BB"/>
    <w:rsid w:val="0091316A"/>
    <w:rsid w:val="0091372A"/>
    <w:rsid w:val="00915633"/>
    <w:rsid w:val="00917B94"/>
    <w:rsid w:val="00917D13"/>
    <w:rsid w:val="00920238"/>
    <w:rsid w:val="009225E3"/>
    <w:rsid w:val="00923A3B"/>
    <w:rsid w:val="009243B9"/>
    <w:rsid w:val="00927395"/>
    <w:rsid w:val="00927837"/>
    <w:rsid w:val="00931F06"/>
    <w:rsid w:val="009321E3"/>
    <w:rsid w:val="00934E9C"/>
    <w:rsid w:val="00941202"/>
    <w:rsid w:val="00944B6B"/>
    <w:rsid w:val="009474CD"/>
    <w:rsid w:val="00947ED6"/>
    <w:rsid w:val="00952CF7"/>
    <w:rsid w:val="00956978"/>
    <w:rsid w:val="00967B18"/>
    <w:rsid w:val="00972484"/>
    <w:rsid w:val="00973A6D"/>
    <w:rsid w:val="00973F6B"/>
    <w:rsid w:val="00974E2F"/>
    <w:rsid w:val="00977A03"/>
    <w:rsid w:val="00982D3D"/>
    <w:rsid w:val="00982D87"/>
    <w:rsid w:val="00983CC9"/>
    <w:rsid w:val="00983DA8"/>
    <w:rsid w:val="00985A24"/>
    <w:rsid w:val="009875E7"/>
    <w:rsid w:val="009930C1"/>
    <w:rsid w:val="009930FC"/>
    <w:rsid w:val="009955B7"/>
    <w:rsid w:val="009A3242"/>
    <w:rsid w:val="009A5BAE"/>
    <w:rsid w:val="009A6D9B"/>
    <w:rsid w:val="009B2373"/>
    <w:rsid w:val="009B31C1"/>
    <w:rsid w:val="009B7D17"/>
    <w:rsid w:val="009C3B6C"/>
    <w:rsid w:val="009C568E"/>
    <w:rsid w:val="009D0A4B"/>
    <w:rsid w:val="009D5CFB"/>
    <w:rsid w:val="009E0C5D"/>
    <w:rsid w:val="009E1C3C"/>
    <w:rsid w:val="009E3B2F"/>
    <w:rsid w:val="009E621B"/>
    <w:rsid w:val="009E622F"/>
    <w:rsid w:val="009E7E58"/>
    <w:rsid w:val="009F03F4"/>
    <w:rsid w:val="009F2BE0"/>
    <w:rsid w:val="009F312B"/>
    <w:rsid w:val="009F3660"/>
    <w:rsid w:val="00A05457"/>
    <w:rsid w:val="00A06427"/>
    <w:rsid w:val="00A15070"/>
    <w:rsid w:val="00A168E1"/>
    <w:rsid w:val="00A20CDD"/>
    <w:rsid w:val="00A21C31"/>
    <w:rsid w:val="00A241D4"/>
    <w:rsid w:val="00A3129B"/>
    <w:rsid w:val="00A346D8"/>
    <w:rsid w:val="00A35EB7"/>
    <w:rsid w:val="00A40793"/>
    <w:rsid w:val="00A416BF"/>
    <w:rsid w:val="00A4430F"/>
    <w:rsid w:val="00A547AA"/>
    <w:rsid w:val="00A64E37"/>
    <w:rsid w:val="00A65EEF"/>
    <w:rsid w:val="00A71644"/>
    <w:rsid w:val="00A82818"/>
    <w:rsid w:val="00A858C1"/>
    <w:rsid w:val="00A91AEB"/>
    <w:rsid w:val="00A939AB"/>
    <w:rsid w:val="00AA323E"/>
    <w:rsid w:val="00AA3A4D"/>
    <w:rsid w:val="00AA443C"/>
    <w:rsid w:val="00AB247F"/>
    <w:rsid w:val="00AB2807"/>
    <w:rsid w:val="00AC28EA"/>
    <w:rsid w:val="00AD406A"/>
    <w:rsid w:val="00AE1B29"/>
    <w:rsid w:val="00AE3390"/>
    <w:rsid w:val="00AE5EE8"/>
    <w:rsid w:val="00AE7430"/>
    <w:rsid w:val="00AF7B48"/>
    <w:rsid w:val="00B00BA7"/>
    <w:rsid w:val="00B01DB9"/>
    <w:rsid w:val="00B061E4"/>
    <w:rsid w:val="00B20FF4"/>
    <w:rsid w:val="00B2209E"/>
    <w:rsid w:val="00B229DF"/>
    <w:rsid w:val="00B22B0E"/>
    <w:rsid w:val="00B264D6"/>
    <w:rsid w:val="00B26887"/>
    <w:rsid w:val="00B329CD"/>
    <w:rsid w:val="00B3597B"/>
    <w:rsid w:val="00B36820"/>
    <w:rsid w:val="00B36A0F"/>
    <w:rsid w:val="00B3752D"/>
    <w:rsid w:val="00B37FB0"/>
    <w:rsid w:val="00B40689"/>
    <w:rsid w:val="00B422E8"/>
    <w:rsid w:val="00B45B55"/>
    <w:rsid w:val="00B46470"/>
    <w:rsid w:val="00B55918"/>
    <w:rsid w:val="00B562E1"/>
    <w:rsid w:val="00B5640C"/>
    <w:rsid w:val="00B57ECC"/>
    <w:rsid w:val="00B60431"/>
    <w:rsid w:val="00B6557B"/>
    <w:rsid w:val="00B72403"/>
    <w:rsid w:val="00B753E4"/>
    <w:rsid w:val="00B80685"/>
    <w:rsid w:val="00B83723"/>
    <w:rsid w:val="00B8723F"/>
    <w:rsid w:val="00B91754"/>
    <w:rsid w:val="00B9644A"/>
    <w:rsid w:val="00B96973"/>
    <w:rsid w:val="00B96D38"/>
    <w:rsid w:val="00B97280"/>
    <w:rsid w:val="00B97A2A"/>
    <w:rsid w:val="00BA342F"/>
    <w:rsid w:val="00BA555B"/>
    <w:rsid w:val="00BA591E"/>
    <w:rsid w:val="00BA5CB4"/>
    <w:rsid w:val="00BB03E4"/>
    <w:rsid w:val="00BB76F4"/>
    <w:rsid w:val="00BC1A53"/>
    <w:rsid w:val="00BC4C1D"/>
    <w:rsid w:val="00BC7287"/>
    <w:rsid w:val="00BD06BD"/>
    <w:rsid w:val="00BD07E3"/>
    <w:rsid w:val="00BD290A"/>
    <w:rsid w:val="00BE7447"/>
    <w:rsid w:val="00BE7F98"/>
    <w:rsid w:val="00C10A75"/>
    <w:rsid w:val="00C1109E"/>
    <w:rsid w:val="00C15A4B"/>
    <w:rsid w:val="00C15FB9"/>
    <w:rsid w:val="00C25984"/>
    <w:rsid w:val="00C26852"/>
    <w:rsid w:val="00C30A2D"/>
    <w:rsid w:val="00C31331"/>
    <w:rsid w:val="00C33B04"/>
    <w:rsid w:val="00C366C3"/>
    <w:rsid w:val="00C40471"/>
    <w:rsid w:val="00C4798C"/>
    <w:rsid w:val="00C51718"/>
    <w:rsid w:val="00C55694"/>
    <w:rsid w:val="00C561FA"/>
    <w:rsid w:val="00C5685C"/>
    <w:rsid w:val="00C56FC3"/>
    <w:rsid w:val="00C62AC6"/>
    <w:rsid w:val="00C64FBC"/>
    <w:rsid w:val="00C664FC"/>
    <w:rsid w:val="00C67588"/>
    <w:rsid w:val="00C741D3"/>
    <w:rsid w:val="00C82370"/>
    <w:rsid w:val="00C84ED2"/>
    <w:rsid w:val="00C8754C"/>
    <w:rsid w:val="00C90C6B"/>
    <w:rsid w:val="00C93938"/>
    <w:rsid w:val="00C944EF"/>
    <w:rsid w:val="00C94842"/>
    <w:rsid w:val="00C97626"/>
    <w:rsid w:val="00CA0631"/>
    <w:rsid w:val="00CA417D"/>
    <w:rsid w:val="00CA5422"/>
    <w:rsid w:val="00CA719B"/>
    <w:rsid w:val="00CB0299"/>
    <w:rsid w:val="00CB0C50"/>
    <w:rsid w:val="00CB1C82"/>
    <w:rsid w:val="00CB2F63"/>
    <w:rsid w:val="00CB41B8"/>
    <w:rsid w:val="00CB4604"/>
    <w:rsid w:val="00CB6DE7"/>
    <w:rsid w:val="00CC0D15"/>
    <w:rsid w:val="00CC41B6"/>
    <w:rsid w:val="00CC4B5A"/>
    <w:rsid w:val="00CC6403"/>
    <w:rsid w:val="00CC680F"/>
    <w:rsid w:val="00CC75DF"/>
    <w:rsid w:val="00CD06B5"/>
    <w:rsid w:val="00CD263C"/>
    <w:rsid w:val="00CD5A64"/>
    <w:rsid w:val="00CD6730"/>
    <w:rsid w:val="00CD686E"/>
    <w:rsid w:val="00CD6C90"/>
    <w:rsid w:val="00CD6DF6"/>
    <w:rsid w:val="00CE26AD"/>
    <w:rsid w:val="00CE3088"/>
    <w:rsid w:val="00CE4143"/>
    <w:rsid w:val="00CE5750"/>
    <w:rsid w:val="00CE5B7A"/>
    <w:rsid w:val="00CE6B5C"/>
    <w:rsid w:val="00CE6EFF"/>
    <w:rsid w:val="00CE70E2"/>
    <w:rsid w:val="00CF0F70"/>
    <w:rsid w:val="00CF3189"/>
    <w:rsid w:val="00CF43A1"/>
    <w:rsid w:val="00D04215"/>
    <w:rsid w:val="00D11F6F"/>
    <w:rsid w:val="00D1205A"/>
    <w:rsid w:val="00D14838"/>
    <w:rsid w:val="00D15DCB"/>
    <w:rsid w:val="00D23B5D"/>
    <w:rsid w:val="00D23F90"/>
    <w:rsid w:val="00D25885"/>
    <w:rsid w:val="00D258AA"/>
    <w:rsid w:val="00D30E72"/>
    <w:rsid w:val="00D30FCD"/>
    <w:rsid w:val="00D318EA"/>
    <w:rsid w:val="00D332AB"/>
    <w:rsid w:val="00D41B59"/>
    <w:rsid w:val="00D44060"/>
    <w:rsid w:val="00D50CB3"/>
    <w:rsid w:val="00D62863"/>
    <w:rsid w:val="00D6287F"/>
    <w:rsid w:val="00D74268"/>
    <w:rsid w:val="00D75329"/>
    <w:rsid w:val="00D757AB"/>
    <w:rsid w:val="00D76A47"/>
    <w:rsid w:val="00D81D62"/>
    <w:rsid w:val="00D85693"/>
    <w:rsid w:val="00D8573F"/>
    <w:rsid w:val="00D87718"/>
    <w:rsid w:val="00D877A1"/>
    <w:rsid w:val="00D90E5E"/>
    <w:rsid w:val="00D94107"/>
    <w:rsid w:val="00D9529A"/>
    <w:rsid w:val="00D96A04"/>
    <w:rsid w:val="00D97DCC"/>
    <w:rsid w:val="00DA0D86"/>
    <w:rsid w:val="00DA1F5F"/>
    <w:rsid w:val="00DA596A"/>
    <w:rsid w:val="00DC1921"/>
    <w:rsid w:val="00DC2F1A"/>
    <w:rsid w:val="00DC3141"/>
    <w:rsid w:val="00DD435A"/>
    <w:rsid w:val="00DE1EA4"/>
    <w:rsid w:val="00DE760F"/>
    <w:rsid w:val="00DF1C84"/>
    <w:rsid w:val="00DF1EDD"/>
    <w:rsid w:val="00DF4A91"/>
    <w:rsid w:val="00DF5E0C"/>
    <w:rsid w:val="00DF6F4D"/>
    <w:rsid w:val="00E04DBD"/>
    <w:rsid w:val="00E0791B"/>
    <w:rsid w:val="00E1302B"/>
    <w:rsid w:val="00E157E1"/>
    <w:rsid w:val="00E22751"/>
    <w:rsid w:val="00E22DA5"/>
    <w:rsid w:val="00E231DF"/>
    <w:rsid w:val="00E24287"/>
    <w:rsid w:val="00E37E86"/>
    <w:rsid w:val="00E4246D"/>
    <w:rsid w:val="00E460E6"/>
    <w:rsid w:val="00E51914"/>
    <w:rsid w:val="00E5223B"/>
    <w:rsid w:val="00E53C51"/>
    <w:rsid w:val="00E619B2"/>
    <w:rsid w:val="00E63C91"/>
    <w:rsid w:val="00E672BD"/>
    <w:rsid w:val="00E67C29"/>
    <w:rsid w:val="00E71FC2"/>
    <w:rsid w:val="00E72741"/>
    <w:rsid w:val="00E73A78"/>
    <w:rsid w:val="00E73FCC"/>
    <w:rsid w:val="00E810D9"/>
    <w:rsid w:val="00E81965"/>
    <w:rsid w:val="00E81AF6"/>
    <w:rsid w:val="00E86C4D"/>
    <w:rsid w:val="00E876DE"/>
    <w:rsid w:val="00E94A02"/>
    <w:rsid w:val="00E9563A"/>
    <w:rsid w:val="00E968BE"/>
    <w:rsid w:val="00E96E2B"/>
    <w:rsid w:val="00EA180F"/>
    <w:rsid w:val="00EA20DA"/>
    <w:rsid w:val="00EA253A"/>
    <w:rsid w:val="00EA267A"/>
    <w:rsid w:val="00EA2A6F"/>
    <w:rsid w:val="00EB0219"/>
    <w:rsid w:val="00EB2B3E"/>
    <w:rsid w:val="00EB362D"/>
    <w:rsid w:val="00EB5232"/>
    <w:rsid w:val="00EB6E01"/>
    <w:rsid w:val="00EB7A38"/>
    <w:rsid w:val="00EC0BC1"/>
    <w:rsid w:val="00EC1787"/>
    <w:rsid w:val="00EC4542"/>
    <w:rsid w:val="00EC5EBE"/>
    <w:rsid w:val="00ED37AB"/>
    <w:rsid w:val="00ED4BF0"/>
    <w:rsid w:val="00ED5770"/>
    <w:rsid w:val="00EE1004"/>
    <w:rsid w:val="00EE44C8"/>
    <w:rsid w:val="00EE4F89"/>
    <w:rsid w:val="00EE5422"/>
    <w:rsid w:val="00EE65A7"/>
    <w:rsid w:val="00EE70F1"/>
    <w:rsid w:val="00EF699A"/>
    <w:rsid w:val="00EF73F2"/>
    <w:rsid w:val="00F00EBF"/>
    <w:rsid w:val="00F01FF6"/>
    <w:rsid w:val="00F02BF9"/>
    <w:rsid w:val="00F073FF"/>
    <w:rsid w:val="00F07B0C"/>
    <w:rsid w:val="00F11BD6"/>
    <w:rsid w:val="00F17060"/>
    <w:rsid w:val="00F17181"/>
    <w:rsid w:val="00F222D0"/>
    <w:rsid w:val="00F22722"/>
    <w:rsid w:val="00F239A0"/>
    <w:rsid w:val="00F24482"/>
    <w:rsid w:val="00F25A26"/>
    <w:rsid w:val="00F303A5"/>
    <w:rsid w:val="00F30CA4"/>
    <w:rsid w:val="00F30DD7"/>
    <w:rsid w:val="00F335C2"/>
    <w:rsid w:val="00F374AC"/>
    <w:rsid w:val="00F43670"/>
    <w:rsid w:val="00F55491"/>
    <w:rsid w:val="00F61A3A"/>
    <w:rsid w:val="00F66121"/>
    <w:rsid w:val="00F66CEA"/>
    <w:rsid w:val="00F67BEF"/>
    <w:rsid w:val="00F70AD0"/>
    <w:rsid w:val="00F74F3C"/>
    <w:rsid w:val="00F767DE"/>
    <w:rsid w:val="00F83564"/>
    <w:rsid w:val="00F83878"/>
    <w:rsid w:val="00F84401"/>
    <w:rsid w:val="00F86220"/>
    <w:rsid w:val="00F908BF"/>
    <w:rsid w:val="00F94393"/>
    <w:rsid w:val="00F94E72"/>
    <w:rsid w:val="00F95B65"/>
    <w:rsid w:val="00F96869"/>
    <w:rsid w:val="00F97C2D"/>
    <w:rsid w:val="00FA24B5"/>
    <w:rsid w:val="00FA3A68"/>
    <w:rsid w:val="00FB0B15"/>
    <w:rsid w:val="00FB2E14"/>
    <w:rsid w:val="00FB3276"/>
    <w:rsid w:val="00FB3EF4"/>
    <w:rsid w:val="00FB6A8F"/>
    <w:rsid w:val="00FB7252"/>
    <w:rsid w:val="00FB74D4"/>
    <w:rsid w:val="00FB7660"/>
    <w:rsid w:val="00FC0353"/>
    <w:rsid w:val="00FC1774"/>
    <w:rsid w:val="00FC2882"/>
    <w:rsid w:val="00FC56DC"/>
    <w:rsid w:val="00FC5799"/>
    <w:rsid w:val="00FD2893"/>
    <w:rsid w:val="00FD6F66"/>
    <w:rsid w:val="00FE182A"/>
    <w:rsid w:val="00FE19C8"/>
    <w:rsid w:val="00FE2BDB"/>
    <w:rsid w:val="00FE390F"/>
    <w:rsid w:val="00FE47FB"/>
    <w:rsid w:val="00FE642E"/>
    <w:rsid w:val="00FE65B1"/>
    <w:rsid w:val="00FE7921"/>
    <w:rsid w:val="00FE7E5B"/>
    <w:rsid w:val="00FF4552"/>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5138FB"/>
  <w15:docId w15:val="{6F220D27-829A-4E24-AE1F-D5FEC680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F6"/>
    <w:rPr>
      <w:sz w:val="24"/>
      <w:szCs w:val="24"/>
    </w:rPr>
  </w:style>
  <w:style w:type="paragraph" w:styleId="Heading1">
    <w:name w:val="heading 1"/>
    <w:basedOn w:val="Normal"/>
    <w:next w:val="Normal"/>
    <w:qFormat/>
    <w:rsid w:val="00867CF6"/>
    <w:pPr>
      <w:keepNext/>
      <w:ind w:left="1440" w:hanging="720"/>
      <w:jc w:val="center"/>
      <w:outlineLvl w:val="0"/>
    </w:pPr>
    <w:rPr>
      <w:b/>
    </w:rPr>
  </w:style>
  <w:style w:type="paragraph" w:styleId="Heading2">
    <w:name w:val="heading 2"/>
    <w:basedOn w:val="Normal"/>
    <w:next w:val="Normal"/>
    <w:qFormat/>
    <w:rsid w:val="000D56A3"/>
    <w:pPr>
      <w:keepNext/>
      <w:spacing w:line="480" w:lineRule="auto"/>
      <w:outlineLvl w:val="1"/>
    </w:pPr>
    <w:rPr>
      <w:u w:val="single"/>
    </w:rPr>
  </w:style>
  <w:style w:type="paragraph" w:styleId="Heading3">
    <w:name w:val="heading 3"/>
    <w:basedOn w:val="Normal"/>
    <w:next w:val="Normal"/>
    <w:qFormat/>
    <w:rsid w:val="00867CF6"/>
    <w:pPr>
      <w:keepNext/>
      <w:ind w:left="360"/>
      <w:jc w:val="center"/>
      <w:outlineLvl w:val="2"/>
    </w:pPr>
    <w:rPr>
      <w:b/>
    </w:rPr>
  </w:style>
  <w:style w:type="paragraph" w:styleId="Heading4">
    <w:name w:val="heading 4"/>
    <w:basedOn w:val="Normal"/>
    <w:next w:val="Normal"/>
    <w:qFormat/>
    <w:rsid w:val="00867CF6"/>
    <w:pPr>
      <w:keepNext/>
      <w:spacing w:before="240" w:after="60"/>
      <w:outlineLvl w:val="3"/>
    </w:pPr>
    <w:rPr>
      <w:b/>
      <w:bCs/>
      <w:sz w:val="28"/>
      <w:szCs w:val="28"/>
    </w:rPr>
  </w:style>
  <w:style w:type="paragraph" w:styleId="Heading5">
    <w:name w:val="heading 5"/>
    <w:basedOn w:val="Normal"/>
    <w:next w:val="Normal"/>
    <w:qFormat/>
    <w:rsid w:val="00867CF6"/>
    <w:pPr>
      <w:keepNext/>
      <w:pBdr>
        <w:right w:val="single" w:sz="4" w:space="0" w:color="000000"/>
      </w:pBdr>
      <w:autoSpaceDE w:val="0"/>
      <w:autoSpaceDN w:val="0"/>
      <w:adjustRightInd w:val="0"/>
      <w:spacing w:before="100" w:after="100"/>
      <w:jc w:val="center"/>
      <w:outlineLvl w:val="4"/>
    </w:pPr>
    <w:rPr>
      <w:b/>
      <w:color w:val="000000"/>
    </w:rPr>
  </w:style>
  <w:style w:type="paragraph" w:styleId="Heading6">
    <w:name w:val="heading 6"/>
    <w:basedOn w:val="Normal"/>
    <w:next w:val="Normal"/>
    <w:qFormat/>
    <w:rsid w:val="00867CF6"/>
    <w:pPr>
      <w:keepNext/>
      <w:spacing w:line="480" w:lineRule="auto"/>
      <w:jc w:val="both"/>
      <w:outlineLvl w:val="5"/>
    </w:pPr>
    <w:rPr>
      <w:b/>
      <w:bCs/>
      <w:color w:val="000000"/>
    </w:rPr>
  </w:style>
  <w:style w:type="paragraph" w:styleId="Heading7">
    <w:name w:val="heading 7"/>
    <w:basedOn w:val="Normal"/>
    <w:next w:val="Normal"/>
    <w:qFormat/>
    <w:rsid w:val="00867CF6"/>
    <w:pPr>
      <w:keepNext/>
      <w:spacing w:line="480" w:lineRule="auto"/>
      <w:ind w:left="2880" w:firstLine="720"/>
      <w:outlineLvl w:val="6"/>
    </w:pPr>
    <w:rPr>
      <w:b/>
      <w:bCs/>
    </w:rPr>
  </w:style>
  <w:style w:type="paragraph" w:styleId="Heading8">
    <w:name w:val="heading 8"/>
    <w:basedOn w:val="Normal"/>
    <w:next w:val="Normal"/>
    <w:qFormat/>
    <w:rsid w:val="00867CF6"/>
    <w:pPr>
      <w:keepNext/>
      <w:spacing w:line="480" w:lineRule="auto"/>
      <w:ind w:left="-720" w:firstLine="720"/>
      <w:jc w:val="both"/>
      <w:outlineLvl w:val="7"/>
    </w:pPr>
    <w:rPr>
      <w:b/>
      <w:bCs/>
    </w:rPr>
  </w:style>
  <w:style w:type="paragraph" w:styleId="Heading9">
    <w:name w:val="heading 9"/>
    <w:basedOn w:val="Normal"/>
    <w:next w:val="Normal"/>
    <w:qFormat/>
    <w:rsid w:val="00867CF6"/>
    <w:pPr>
      <w:keepNext/>
      <w:spacing w:line="480" w:lineRule="auto"/>
      <w:jc w:val="both"/>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CF6"/>
    <w:pPr>
      <w:tabs>
        <w:tab w:val="center" w:pos="4320"/>
        <w:tab w:val="right" w:pos="8640"/>
      </w:tabs>
    </w:pPr>
  </w:style>
  <w:style w:type="paragraph" w:styleId="Footer">
    <w:name w:val="footer"/>
    <w:basedOn w:val="Normal"/>
    <w:rsid w:val="00867CF6"/>
    <w:pPr>
      <w:tabs>
        <w:tab w:val="center" w:pos="4320"/>
        <w:tab w:val="right" w:pos="8640"/>
      </w:tabs>
    </w:pPr>
  </w:style>
  <w:style w:type="character" w:styleId="PageNumber">
    <w:name w:val="page number"/>
    <w:basedOn w:val="DefaultParagraphFont"/>
    <w:rsid w:val="00867CF6"/>
  </w:style>
  <w:style w:type="paragraph" w:styleId="FootnoteText">
    <w:name w:val="footnote text"/>
    <w:aliases w:val="TBG Style,Footnote Text1 Char,Footnote Text Char Ch,ALTS FOOTNOTE,Footnote Text 2,fn,Footnote text,FOOTNOTE"/>
    <w:basedOn w:val="Normal"/>
    <w:link w:val="FootnoteTextChar"/>
    <w:uiPriority w:val="99"/>
    <w:rsid w:val="00867CF6"/>
    <w:rPr>
      <w:sz w:val="20"/>
      <w:szCs w:val="20"/>
    </w:rPr>
  </w:style>
  <w:style w:type="character" w:styleId="FootnoteReference">
    <w:name w:val="footnote reference"/>
    <w:basedOn w:val="DefaultParagraphFont"/>
    <w:uiPriority w:val="99"/>
    <w:rsid w:val="00D25885"/>
    <w:rPr>
      <w:b/>
      <w:vertAlign w:val="superscript"/>
    </w:rPr>
  </w:style>
  <w:style w:type="paragraph" w:styleId="TOC1">
    <w:name w:val="toc 1"/>
    <w:basedOn w:val="Normal"/>
    <w:next w:val="Normal"/>
    <w:autoRedefine/>
    <w:uiPriority w:val="39"/>
    <w:rsid w:val="00867CF6"/>
    <w:pPr>
      <w:tabs>
        <w:tab w:val="right" w:leader="dot" w:pos="9350"/>
      </w:tabs>
      <w:ind w:left="720" w:hanging="720"/>
    </w:pPr>
  </w:style>
  <w:style w:type="paragraph" w:styleId="TOC2">
    <w:name w:val="toc 2"/>
    <w:basedOn w:val="Normal"/>
    <w:next w:val="Normal"/>
    <w:autoRedefine/>
    <w:uiPriority w:val="39"/>
    <w:rsid w:val="006A1B7C"/>
    <w:pPr>
      <w:tabs>
        <w:tab w:val="right" w:leader="dot" w:pos="9350"/>
      </w:tabs>
      <w:ind w:left="720" w:hanging="360"/>
    </w:pPr>
  </w:style>
  <w:style w:type="paragraph" w:styleId="TOC3">
    <w:name w:val="toc 3"/>
    <w:basedOn w:val="Normal"/>
    <w:next w:val="Normal"/>
    <w:autoRedefine/>
    <w:semiHidden/>
    <w:rsid w:val="00867CF6"/>
    <w:pPr>
      <w:tabs>
        <w:tab w:val="left" w:pos="960"/>
        <w:tab w:val="right" w:leader="dot" w:pos="9350"/>
      </w:tabs>
      <w:ind w:left="900" w:hanging="420"/>
    </w:pPr>
  </w:style>
  <w:style w:type="paragraph" w:styleId="TOC4">
    <w:name w:val="toc 4"/>
    <w:basedOn w:val="Normal"/>
    <w:next w:val="Normal"/>
    <w:autoRedefine/>
    <w:semiHidden/>
    <w:rsid w:val="00867CF6"/>
    <w:pPr>
      <w:ind w:left="720"/>
    </w:pPr>
  </w:style>
  <w:style w:type="character" w:styleId="Hyperlink">
    <w:name w:val="Hyperlink"/>
    <w:basedOn w:val="DefaultParagraphFont"/>
    <w:rsid w:val="00867CF6"/>
    <w:rPr>
      <w:color w:val="0000FF"/>
      <w:u w:val="single"/>
    </w:rPr>
  </w:style>
  <w:style w:type="paragraph" w:customStyle="1" w:styleId="TestBody">
    <w:name w:val="Test Body"/>
    <w:rsid w:val="00867CF6"/>
    <w:pPr>
      <w:autoSpaceDE w:val="0"/>
      <w:autoSpaceDN w:val="0"/>
      <w:adjustRightInd w:val="0"/>
      <w:jc w:val="both"/>
    </w:pPr>
    <w:rPr>
      <w:rFonts w:ascii="Arial" w:hAnsi="Arial"/>
      <w:sz w:val="24"/>
      <w:szCs w:val="24"/>
    </w:rPr>
  </w:style>
  <w:style w:type="paragraph" w:styleId="BodyTextIndent">
    <w:name w:val="Body Text Indent"/>
    <w:basedOn w:val="Normal"/>
    <w:rsid w:val="00867CF6"/>
    <w:pPr>
      <w:spacing w:line="480" w:lineRule="auto"/>
      <w:ind w:firstLine="720"/>
      <w:jc w:val="both"/>
    </w:pPr>
  </w:style>
  <w:style w:type="paragraph" w:styleId="BodyTextIndent2">
    <w:name w:val="Body Text Indent 2"/>
    <w:basedOn w:val="Normal"/>
    <w:rsid w:val="00867CF6"/>
    <w:pPr>
      <w:spacing w:line="480" w:lineRule="auto"/>
      <w:ind w:right="720" w:firstLine="720"/>
      <w:jc w:val="both"/>
    </w:pPr>
    <w:rPr>
      <w:szCs w:val="20"/>
    </w:rPr>
  </w:style>
  <w:style w:type="paragraph" w:styleId="BodyText">
    <w:name w:val="Body Text"/>
    <w:basedOn w:val="Normal"/>
    <w:rsid w:val="00867CF6"/>
    <w:pPr>
      <w:autoSpaceDE w:val="0"/>
      <w:autoSpaceDN w:val="0"/>
      <w:adjustRightInd w:val="0"/>
      <w:spacing w:line="480" w:lineRule="auto"/>
      <w:ind w:right="-108"/>
      <w:jc w:val="both"/>
    </w:pPr>
    <w:rPr>
      <w:color w:val="000000"/>
    </w:rPr>
  </w:style>
  <w:style w:type="paragraph" w:styleId="BodyTextIndent3">
    <w:name w:val="Body Text Indent 3"/>
    <w:basedOn w:val="Normal"/>
    <w:rsid w:val="00867CF6"/>
    <w:pPr>
      <w:autoSpaceDE w:val="0"/>
      <w:autoSpaceDN w:val="0"/>
      <w:adjustRightInd w:val="0"/>
      <w:spacing w:line="480" w:lineRule="auto"/>
      <w:ind w:right="-108" w:firstLine="720"/>
      <w:jc w:val="both"/>
    </w:pPr>
    <w:rPr>
      <w:color w:val="000000"/>
    </w:rPr>
  </w:style>
  <w:style w:type="paragraph" w:styleId="BlockText">
    <w:name w:val="Block Text"/>
    <w:basedOn w:val="Normal"/>
    <w:rsid w:val="00867CF6"/>
    <w:pPr>
      <w:ind w:left="720" w:right="720"/>
      <w:jc w:val="both"/>
    </w:pPr>
    <w:rPr>
      <w:sz w:val="20"/>
    </w:rPr>
  </w:style>
  <w:style w:type="paragraph" w:styleId="BodyText2">
    <w:name w:val="Body Text 2"/>
    <w:basedOn w:val="Normal"/>
    <w:rsid w:val="00867CF6"/>
    <w:pPr>
      <w:spacing w:line="480" w:lineRule="auto"/>
      <w:jc w:val="both"/>
    </w:pPr>
    <w:rPr>
      <w:szCs w:val="20"/>
    </w:rPr>
  </w:style>
  <w:style w:type="character" w:styleId="FollowedHyperlink">
    <w:name w:val="FollowedHyperlink"/>
    <w:basedOn w:val="DefaultParagraphFont"/>
    <w:rsid w:val="00867CF6"/>
    <w:rPr>
      <w:color w:val="800080"/>
      <w:u w:val="single"/>
    </w:rPr>
  </w:style>
  <w:style w:type="paragraph" w:styleId="ListParagraph">
    <w:name w:val="List Paragraph"/>
    <w:basedOn w:val="Normal"/>
    <w:qFormat/>
    <w:rsid w:val="004538CE"/>
    <w:pPr>
      <w:ind w:left="720"/>
      <w:contextualSpacing/>
    </w:pPr>
  </w:style>
  <w:style w:type="paragraph" w:styleId="BalloonText">
    <w:name w:val="Balloon Text"/>
    <w:basedOn w:val="Normal"/>
    <w:link w:val="BalloonTextChar"/>
    <w:rsid w:val="00542B82"/>
    <w:rPr>
      <w:rFonts w:ascii="Tahoma" w:hAnsi="Tahoma" w:cs="Tahoma"/>
      <w:sz w:val="16"/>
      <w:szCs w:val="16"/>
    </w:rPr>
  </w:style>
  <w:style w:type="character" w:customStyle="1" w:styleId="BalloonTextChar">
    <w:name w:val="Balloon Text Char"/>
    <w:basedOn w:val="DefaultParagraphFont"/>
    <w:link w:val="BalloonText"/>
    <w:rsid w:val="00542B82"/>
    <w:rPr>
      <w:rFonts w:ascii="Tahoma" w:hAnsi="Tahoma" w:cs="Tahoma"/>
      <w:sz w:val="16"/>
      <w:szCs w:val="16"/>
    </w:rPr>
  </w:style>
  <w:style w:type="paragraph" w:styleId="NoSpacing">
    <w:name w:val="No Spacing"/>
    <w:basedOn w:val="Normal"/>
    <w:uiPriority w:val="1"/>
    <w:qFormat/>
    <w:rsid w:val="00301C34"/>
    <w:pPr>
      <w:spacing w:before="100" w:beforeAutospacing="1" w:after="100" w:afterAutospacing="1"/>
    </w:pPr>
    <w:rPr>
      <w:rFonts w:eastAsiaTheme="minorHAnsi"/>
    </w:rPr>
  </w:style>
  <w:style w:type="paragraph" w:styleId="TableofFigures">
    <w:name w:val="table of figures"/>
    <w:basedOn w:val="Normal"/>
    <w:next w:val="Normal"/>
    <w:rsid w:val="00D30FCD"/>
    <w:rPr>
      <w:rFonts w:ascii="Arial" w:hAnsi="Arial"/>
      <w:sz w:val="20"/>
    </w:rPr>
  </w:style>
  <w:style w:type="paragraph" w:styleId="Revision">
    <w:name w:val="Revision"/>
    <w:hidden/>
    <w:uiPriority w:val="99"/>
    <w:semiHidden/>
    <w:rsid w:val="004402B5"/>
    <w:rPr>
      <w:sz w:val="24"/>
      <w:szCs w:val="24"/>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9E621B"/>
  </w:style>
  <w:style w:type="character" w:styleId="CommentReference">
    <w:name w:val="annotation reference"/>
    <w:basedOn w:val="DefaultParagraphFont"/>
    <w:rsid w:val="00FE7E5B"/>
    <w:rPr>
      <w:sz w:val="16"/>
      <w:szCs w:val="16"/>
    </w:rPr>
  </w:style>
  <w:style w:type="paragraph" w:styleId="CommentText">
    <w:name w:val="annotation text"/>
    <w:basedOn w:val="Normal"/>
    <w:link w:val="CommentTextChar"/>
    <w:rsid w:val="00FE7E5B"/>
    <w:rPr>
      <w:sz w:val="20"/>
      <w:szCs w:val="20"/>
    </w:rPr>
  </w:style>
  <w:style w:type="character" w:customStyle="1" w:styleId="CommentTextChar">
    <w:name w:val="Comment Text Char"/>
    <w:basedOn w:val="DefaultParagraphFont"/>
    <w:link w:val="CommentText"/>
    <w:rsid w:val="00FE7E5B"/>
  </w:style>
  <w:style w:type="paragraph" w:styleId="CommentSubject">
    <w:name w:val="annotation subject"/>
    <w:basedOn w:val="CommentText"/>
    <w:next w:val="CommentText"/>
    <w:link w:val="CommentSubjectChar"/>
    <w:rsid w:val="00FE7E5B"/>
    <w:rPr>
      <w:b/>
      <w:bCs/>
    </w:rPr>
  </w:style>
  <w:style w:type="character" w:customStyle="1" w:styleId="CommentSubjectChar">
    <w:name w:val="Comment Subject Char"/>
    <w:basedOn w:val="CommentTextChar"/>
    <w:link w:val="CommentSubject"/>
    <w:rsid w:val="00FE7E5B"/>
    <w:rPr>
      <w:b/>
      <w:bCs/>
    </w:rPr>
  </w:style>
  <w:style w:type="paragraph" w:styleId="Caption">
    <w:name w:val="caption"/>
    <w:basedOn w:val="Normal"/>
    <w:next w:val="Normal"/>
    <w:unhideWhenUsed/>
    <w:qFormat/>
    <w:rsid w:val="00C62AC6"/>
    <w:pPr>
      <w:spacing w:after="200"/>
    </w:pPr>
    <w:rPr>
      <w:b/>
      <w:bCs/>
      <w:color w:val="4F81BD" w:themeColor="accent1"/>
      <w:sz w:val="18"/>
      <w:szCs w:val="18"/>
    </w:rPr>
  </w:style>
  <w:style w:type="paragraph" w:styleId="PlainText">
    <w:name w:val="Plain Text"/>
    <w:basedOn w:val="Normal"/>
    <w:link w:val="PlainTextChar"/>
    <w:uiPriority w:val="99"/>
    <w:unhideWhenUsed/>
    <w:rsid w:val="00E22D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2DA5"/>
    <w:rPr>
      <w:rFonts w:ascii="Consolas" w:eastAsiaTheme="minorHAnsi" w:hAnsi="Consolas" w:cstheme="minorBidi"/>
      <w:sz w:val="21"/>
      <w:szCs w:val="21"/>
    </w:rPr>
  </w:style>
  <w:style w:type="table" w:styleId="TableGrid">
    <w:name w:val="Table Grid"/>
    <w:basedOn w:val="TableNormal"/>
    <w:rsid w:val="00E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D56A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List">
    <w:name w:val="List"/>
    <w:basedOn w:val="Normal"/>
    <w:rsid w:val="00702034"/>
    <w:pPr>
      <w:tabs>
        <w:tab w:val="right" w:pos="2959"/>
      </w:tabs>
      <w:spacing w:line="240" w:lineRule="atLeast"/>
    </w:pPr>
    <w:rPr>
      <w:rFonts w:ascii="Arial Narrow" w:hAnsi="Arial Narrow"/>
      <w:spacing w:val="-2"/>
      <w:sz w:val="18"/>
      <w:szCs w:val="20"/>
    </w:rPr>
  </w:style>
  <w:style w:type="paragraph" w:customStyle="1" w:styleId="Name">
    <w:name w:val="Name"/>
    <w:basedOn w:val="BodyText"/>
    <w:rsid w:val="00702034"/>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styleId="NormalWeb">
    <w:name w:val="Normal (Web)"/>
    <w:basedOn w:val="Normal"/>
    <w:uiPriority w:val="99"/>
    <w:unhideWhenUsed/>
    <w:rsid w:val="007175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38">
      <w:bodyDiv w:val="1"/>
      <w:marLeft w:val="0"/>
      <w:marRight w:val="0"/>
      <w:marTop w:val="0"/>
      <w:marBottom w:val="0"/>
      <w:divBdr>
        <w:top w:val="none" w:sz="0" w:space="0" w:color="auto"/>
        <w:left w:val="none" w:sz="0" w:space="0" w:color="auto"/>
        <w:bottom w:val="none" w:sz="0" w:space="0" w:color="auto"/>
        <w:right w:val="none" w:sz="0" w:space="0" w:color="auto"/>
      </w:divBdr>
    </w:div>
    <w:div w:id="10421253">
      <w:bodyDiv w:val="1"/>
      <w:marLeft w:val="0"/>
      <w:marRight w:val="0"/>
      <w:marTop w:val="0"/>
      <w:marBottom w:val="0"/>
      <w:divBdr>
        <w:top w:val="none" w:sz="0" w:space="0" w:color="auto"/>
        <w:left w:val="none" w:sz="0" w:space="0" w:color="auto"/>
        <w:bottom w:val="none" w:sz="0" w:space="0" w:color="auto"/>
        <w:right w:val="none" w:sz="0" w:space="0" w:color="auto"/>
      </w:divBdr>
    </w:div>
    <w:div w:id="67462506">
      <w:bodyDiv w:val="1"/>
      <w:marLeft w:val="0"/>
      <w:marRight w:val="0"/>
      <w:marTop w:val="0"/>
      <w:marBottom w:val="0"/>
      <w:divBdr>
        <w:top w:val="none" w:sz="0" w:space="0" w:color="auto"/>
        <w:left w:val="none" w:sz="0" w:space="0" w:color="auto"/>
        <w:bottom w:val="none" w:sz="0" w:space="0" w:color="auto"/>
        <w:right w:val="none" w:sz="0" w:space="0" w:color="auto"/>
      </w:divBdr>
    </w:div>
    <w:div w:id="115373591">
      <w:bodyDiv w:val="1"/>
      <w:marLeft w:val="0"/>
      <w:marRight w:val="0"/>
      <w:marTop w:val="0"/>
      <w:marBottom w:val="0"/>
      <w:divBdr>
        <w:top w:val="none" w:sz="0" w:space="0" w:color="auto"/>
        <w:left w:val="none" w:sz="0" w:space="0" w:color="auto"/>
        <w:bottom w:val="none" w:sz="0" w:space="0" w:color="auto"/>
        <w:right w:val="none" w:sz="0" w:space="0" w:color="auto"/>
      </w:divBdr>
    </w:div>
    <w:div w:id="163590150">
      <w:bodyDiv w:val="1"/>
      <w:marLeft w:val="0"/>
      <w:marRight w:val="0"/>
      <w:marTop w:val="0"/>
      <w:marBottom w:val="0"/>
      <w:divBdr>
        <w:top w:val="none" w:sz="0" w:space="0" w:color="auto"/>
        <w:left w:val="none" w:sz="0" w:space="0" w:color="auto"/>
        <w:bottom w:val="none" w:sz="0" w:space="0" w:color="auto"/>
        <w:right w:val="none" w:sz="0" w:space="0" w:color="auto"/>
      </w:divBdr>
    </w:div>
    <w:div w:id="200365102">
      <w:bodyDiv w:val="1"/>
      <w:marLeft w:val="0"/>
      <w:marRight w:val="0"/>
      <w:marTop w:val="0"/>
      <w:marBottom w:val="0"/>
      <w:divBdr>
        <w:top w:val="none" w:sz="0" w:space="0" w:color="auto"/>
        <w:left w:val="none" w:sz="0" w:space="0" w:color="auto"/>
        <w:bottom w:val="none" w:sz="0" w:space="0" w:color="auto"/>
        <w:right w:val="none" w:sz="0" w:space="0" w:color="auto"/>
      </w:divBdr>
    </w:div>
    <w:div w:id="375665548">
      <w:bodyDiv w:val="1"/>
      <w:marLeft w:val="0"/>
      <w:marRight w:val="0"/>
      <w:marTop w:val="0"/>
      <w:marBottom w:val="0"/>
      <w:divBdr>
        <w:top w:val="none" w:sz="0" w:space="0" w:color="auto"/>
        <w:left w:val="none" w:sz="0" w:space="0" w:color="auto"/>
        <w:bottom w:val="none" w:sz="0" w:space="0" w:color="auto"/>
        <w:right w:val="none" w:sz="0" w:space="0" w:color="auto"/>
      </w:divBdr>
      <w:divsChild>
        <w:div w:id="648360151">
          <w:marLeft w:val="0"/>
          <w:marRight w:val="0"/>
          <w:marTop w:val="0"/>
          <w:marBottom w:val="0"/>
          <w:divBdr>
            <w:top w:val="none" w:sz="0" w:space="0" w:color="auto"/>
            <w:left w:val="none" w:sz="0" w:space="0" w:color="auto"/>
            <w:bottom w:val="none" w:sz="0" w:space="0" w:color="auto"/>
            <w:right w:val="none" w:sz="0" w:space="0" w:color="auto"/>
          </w:divBdr>
        </w:div>
        <w:div w:id="1254052073">
          <w:marLeft w:val="0"/>
          <w:marRight w:val="0"/>
          <w:marTop w:val="0"/>
          <w:marBottom w:val="0"/>
          <w:divBdr>
            <w:top w:val="none" w:sz="0" w:space="0" w:color="auto"/>
            <w:left w:val="none" w:sz="0" w:space="0" w:color="auto"/>
            <w:bottom w:val="none" w:sz="0" w:space="0" w:color="auto"/>
            <w:right w:val="none" w:sz="0" w:space="0" w:color="auto"/>
          </w:divBdr>
        </w:div>
      </w:divsChild>
    </w:div>
    <w:div w:id="402265023">
      <w:bodyDiv w:val="1"/>
      <w:marLeft w:val="0"/>
      <w:marRight w:val="0"/>
      <w:marTop w:val="0"/>
      <w:marBottom w:val="0"/>
      <w:divBdr>
        <w:top w:val="none" w:sz="0" w:space="0" w:color="auto"/>
        <w:left w:val="none" w:sz="0" w:space="0" w:color="auto"/>
        <w:bottom w:val="none" w:sz="0" w:space="0" w:color="auto"/>
        <w:right w:val="none" w:sz="0" w:space="0" w:color="auto"/>
      </w:divBdr>
    </w:div>
    <w:div w:id="541674274">
      <w:bodyDiv w:val="1"/>
      <w:marLeft w:val="0"/>
      <w:marRight w:val="0"/>
      <w:marTop w:val="0"/>
      <w:marBottom w:val="0"/>
      <w:divBdr>
        <w:top w:val="none" w:sz="0" w:space="0" w:color="auto"/>
        <w:left w:val="none" w:sz="0" w:space="0" w:color="auto"/>
        <w:bottom w:val="none" w:sz="0" w:space="0" w:color="auto"/>
        <w:right w:val="none" w:sz="0" w:space="0" w:color="auto"/>
      </w:divBdr>
    </w:div>
    <w:div w:id="551430045">
      <w:bodyDiv w:val="1"/>
      <w:marLeft w:val="0"/>
      <w:marRight w:val="0"/>
      <w:marTop w:val="0"/>
      <w:marBottom w:val="0"/>
      <w:divBdr>
        <w:top w:val="none" w:sz="0" w:space="0" w:color="auto"/>
        <w:left w:val="none" w:sz="0" w:space="0" w:color="auto"/>
        <w:bottom w:val="none" w:sz="0" w:space="0" w:color="auto"/>
        <w:right w:val="none" w:sz="0" w:space="0" w:color="auto"/>
      </w:divBdr>
    </w:div>
    <w:div w:id="610209149">
      <w:bodyDiv w:val="1"/>
      <w:marLeft w:val="0"/>
      <w:marRight w:val="0"/>
      <w:marTop w:val="0"/>
      <w:marBottom w:val="0"/>
      <w:divBdr>
        <w:top w:val="none" w:sz="0" w:space="0" w:color="auto"/>
        <w:left w:val="none" w:sz="0" w:space="0" w:color="auto"/>
        <w:bottom w:val="none" w:sz="0" w:space="0" w:color="auto"/>
        <w:right w:val="none" w:sz="0" w:space="0" w:color="auto"/>
      </w:divBdr>
    </w:div>
    <w:div w:id="627129985">
      <w:bodyDiv w:val="1"/>
      <w:marLeft w:val="0"/>
      <w:marRight w:val="0"/>
      <w:marTop w:val="0"/>
      <w:marBottom w:val="0"/>
      <w:divBdr>
        <w:top w:val="none" w:sz="0" w:space="0" w:color="auto"/>
        <w:left w:val="none" w:sz="0" w:space="0" w:color="auto"/>
        <w:bottom w:val="none" w:sz="0" w:space="0" w:color="auto"/>
        <w:right w:val="none" w:sz="0" w:space="0" w:color="auto"/>
      </w:divBdr>
    </w:div>
    <w:div w:id="751319088">
      <w:bodyDiv w:val="1"/>
      <w:marLeft w:val="0"/>
      <w:marRight w:val="0"/>
      <w:marTop w:val="0"/>
      <w:marBottom w:val="0"/>
      <w:divBdr>
        <w:top w:val="none" w:sz="0" w:space="0" w:color="auto"/>
        <w:left w:val="none" w:sz="0" w:space="0" w:color="auto"/>
        <w:bottom w:val="none" w:sz="0" w:space="0" w:color="auto"/>
        <w:right w:val="none" w:sz="0" w:space="0" w:color="auto"/>
      </w:divBdr>
    </w:div>
    <w:div w:id="840393654">
      <w:bodyDiv w:val="1"/>
      <w:marLeft w:val="0"/>
      <w:marRight w:val="0"/>
      <w:marTop w:val="0"/>
      <w:marBottom w:val="0"/>
      <w:divBdr>
        <w:top w:val="none" w:sz="0" w:space="0" w:color="auto"/>
        <w:left w:val="none" w:sz="0" w:space="0" w:color="auto"/>
        <w:bottom w:val="none" w:sz="0" w:space="0" w:color="auto"/>
        <w:right w:val="none" w:sz="0" w:space="0" w:color="auto"/>
      </w:divBdr>
    </w:div>
    <w:div w:id="875777032">
      <w:bodyDiv w:val="1"/>
      <w:marLeft w:val="0"/>
      <w:marRight w:val="0"/>
      <w:marTop w:val="0"/>
      <w:marBottom w:val="0"/>
      <w:divBdr>
        <w:top w:val="none" w:sz="0" w:space="0" w:color="auto"/>
        <w:left w:val="none" w:sz="0" w:space="0" w:color="auto"/>
        <w:bottom w:val="none" w:sz="0" w:space="0" w:color="auto"/>
        <w:right w:val="none" w:sz="0" w:space="0" w:color="auto"/>
      </w:divBdr>
    </w:div>
    <w:div w:id="1001738311">
      <w:bodyDiv w:val="1"/>
      <w:marLeft w:val="0"/>
      <w:marRight w:val="0"/>
      <w:marTop w:val="0"/>
      <w:marBottom w:val="0"/>
      <w:divBdr>
        <w:top w:val="none" w:sz="0" w:space="0" w:color="auto"/>
        <w:left w:val="none" w:sz="0" w:space="0" w:color="auto"/>
        <w:bottom w:val="none" w:sz="0" w:space="0" w:color="auto"/>
        <w:right w:val="none" w:sz="0" w:space="0" w:color="auto"/>
      </w:divBdr>
    </w:div>
    <w:div w:id="1063872919">
      <w:bodyDiv w:val="1"/>
      <w:marLeft w:val="0"/>
      <w:marRight w:val="0"/>
      <w:marTop w:val="0"/>
      <w:marBottom w:val="0"/>
      <w:divBdr>
        <w:top w:val="none" w:sz="0" w:space="0" w:color="auto"/>
        <w:left w:val="none" w:sz="0" w:space="0" w:color="auto"/>
        <w:bottom w:val="none" w:sz="0" w:space="0" w:color="auto"/>
        <w:right w:val="none" w:sz="0" w:space="0" w:color="auto"/>
      </w:divBdr>
    </w:div>
    <w:div w:id="1080910811">
      <w:bodyDiv w:val="1"/>
      <w:marLeft w:val="0"/>
      <w:marRight w:val="0"/>
      <w:marTop w:val="0"/>
      <w:marBottom w:val="0"/>
      <w:divBdr>
        <w:top w:val="none" w:sz="0" w:space="0" w:color="auto"/>
        <w:left w:val="none" w:sz="0" w:space="0" w:color="auto"/>
        <w:bottom w:val="none" w:sz="0" w:space="0" w:color="auto"/>
        <w:right w:val="none" w:sz="0" w:space="0" w:color="auto"/>
      </w:divBdr>
      <w:divsChild>
        <w:div w:id="41103478">
          <w:marLeft w:val="0"/>
          <w:marRight w:val="0"/>
          <w:marTop w:val="0"/>
          <w:marBottom w:val="0"/>
          <w:divBdr>
            <w:top w:val="none" w:sz="0" w:space="0" w:color="auto"/>
            <w:left w:val="none" w:sz="0" w:space="0" w:color="auto"/>
            <w:bottom w:val="none" w:sz="0" w:space="0" w:color="auto"/>
            <w:right w:val="none" w:sz="0" w:space="0" w:color="auto"/>
          </w:divBdr>
          <w:divsChild>
            <w:div w:id="2076200158">
              <w:marLeft w:val="0"/>
              <w:marRight w:val="0"/>
              <w:marTop w:val="0"/>
              <w:marBottom w:val="0"/>
              <w:divBdr>
                <w:top w:val="none" w:sz="0" w:space="0" w:color="auto"/>
                <w:left w:val="none" w:sz="0" w:space="0" w:color="auto"/>
                <w:bottom w:val="none" w:sz="0" w:space="0" w:color="auto"/>
                <w:right w:val="none" w:sz="0" w:space="0" w:color="auto"/>
              </w:divBdr>
              <w:divsChild>
                <w:div w:id="960261371">
                  <w:marLeft w:val="0"/>
                  <w:marRight w:val="0"/>
                  <w:marTop w:val="0"/>
                  <w:marBottom w:val="0"/>
                  <w:divBdr>
                    <w:top w:val="none" w:sz="0" w:space="12" w:color="auto"/>
                    <w:left w:val="none" w:sz="0" w:space="12" w:color="auto"/>
                    <w:bottom w:val="none" w:sz="0" w:space="12" w:color="auto"/>
                    <w:right w:val="none" w:sz="0" w:space="12" w:color="auto"/>
                  </w:divBdr>
                  <w:divsChild>
                    <w:div w:id="1495872994">
                      <w:marLeft w:val="0"/>
                      <w:marRight w:val="0"/>
                      <w:marTop w:val="0"/>
                      <w:marBottom w:val="0"/>
                      <w:divBdr>
                        <w:top w:val="none" w:sz="0" w:space="12" w:color="auto"/>
                        <w:left w:val="none" w:sz="0" w:space="12" w:color="auto"/>
                        <w:bottom w:val="none" w:sz="0" w:space="12" w:color="auto"/>
                        <w:right w:val="none" w:sz="0" w:space="12" w:color="auto"/>
                      </w:divBdr>
                      <w:divsChild>
                        <w:div w:id="518008921">
                          <w:marLeft w:val="0"/>
                          <w:marRight w:val="0"/>
                          <w:marTop w:val="0"/>
                          <w:marBottom w:val="0"/>
                          <w:divBdr>
                            <w:top w:val="none" w:sz="0" w:space="0" w:color="auto"/>
                            <w:left w:val="none" w:sz="0" w:space="0" w:color="auto"/>
                            <w:bottom w:val="none" w:sz="0" w:space="0" w:color="auto"/>
                            <w:right w:val="none" w:sz="0" w:space="0" w:color="auto"/>
                          </w:divBdr>
                          <w:divsChild>
                            <w:div w:id="749079423">
                              <w:marLeft w:val="-225"/>
                              <w:marRight w:val="-225"/>
                              <w:marTop w:val="0"/>
                              <w:marBottom w:val="0"/>
                              <w:divBdr>
                                <w:top w:val="none" w:sz="0" w:space="0" w:color="auto"/>
                                <w:left w:val="none" w:sz="0" w:space="0" w:color="auto"/>
                                <w:bottom w:val="none" w:sz="0" w:space="0" w:color="auto"/>
                                <w:right w:val="none" w:sz="0" w:space="0" w:color="auto"/>
                              </w:divBdr>
                              <w:divsChild>
                                <w:div w:id="856384076">
                                  <w:marLeft w:val="0"/>
                                  <w:marRight w:val="0"/>
                                  <w:marTop w:val="0"/>
                                  <w:marBottom w:val="0"/>
                                  <w:divBdr>
                                    <w:top w:val="none" w:sz="0" w:space="0" w:color="auto"/>
                                    <w:left w:val="none" w:sz="0" w:space="0" w:color="auto"/>
                                    <w:bottom w:val="none" w:sz="0" w:space="0" w:color="auto"/>
                                    <w:right w:val="none" w:sz="0" w:space="0" w:color="auto"/>
                                  </w:divBdr>
                                  <w:divsChild>
                                    <w:div w:id="838545856">
                                      <w:marLeft w:val="0"/>
                                      <w:marRight w:val="0"/>
                                      <w:marTop w:val="0"/>
                                      <w:marBottom w:val="0"/>
                                      <w:divBdr>
                                        <w:top w:val="none" w:sz="0" w:space="0" w:color="auto"/>
                                        <w:left w:val="none" w:sz="0" w:space="0" w:color="auto"/>
                                        <w:bottom w:val="none" w:sz="0" w:space="0" w:color="auto"/>
                                        <w:right w:val="none" w:sz="0" w:space="0" w:color="auto"/>
                                      </w:divBdr>
                                      <w:divsChild>
                                        <w:div w:id="1391031963">
                                          <w:marLeft w:val="0"/>
                                          <w:marRight w:val="0"/>
                                          <w:marTop w:val="0"/>
                                          <w:marBottom w:val="0"/>
                                          <w:divBdr>
                                            <w:top w:val="none" w:sz="0" w:space="0" w:color="auto"/>
                                            <w:left w:val="none" w:sz="0" w:space="0" w:color="auto"/>
                                            <w:bottom w:val="none" w:sz="0" w:space="0" w:color="auto"/>
                                            <w:right w:val="none" w:sz="0" w:space="0" w:color="auto"/>
                                          </w:divBdr>
                                          <w:divsChild>
                                            <w:div w:id="976181440">
                                              <w:marLeft w:val="0"/>
                                              <w:marRight w:val="0"/>
                                              <w:marTop w:val="0"/>
                                              <w:marBottom w:val="0"/>
                                              <w:divBdr>
                                                <w:top w:val="none" w:sz="0" w:space="0" w:color="auto"/>
                                                <w:left w:val="none" w:sz="0" w:space="0" w:color="auto"/>
                                                <w:bottom w:val="none" w:sz="0" w:space="0" w:color="auto"/>
                                                <w:right w:val="none" w:sz="0" w:space="0" w:color="auto"/>
                                              </w:divBdr>
                                            </w:div>
                                            <w:div w:id="18700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18695">
      <w:bodyDiv w:val="1"/>
      <w:marLeft w:val="0"/>
      <w:marRight w:val="0"/>
      <w:marTop w:val="0"/>
      <w:marBottom w:val="0"/>
      <w:divBdr>
        <w:top w:val="none" w:sz="0" w:space="0" w:color="auto"/>
        <w:left w:val="none" w:sz="0" w:space="0" w:color="auto"/>
        <w:bottom w:val="none" w:sz="0" w:space="0" w:color="auto"/>
        <w:right w:val="none" w:sz="0" w:space="0" w:color="auto"/>
      </w:divBdr>
    </w:div>
    <w:div w:id="1295991337">
      <w:bodyDiv w:val="1"/>
      <w:marLeft w:val="0"/>
      <w:marRight w:val="0"/>
      <w:marTop w:val="0"/>
      <w:marBottom w:val="0"/>
      <w:divBdr>
        <w:top w:val="none" w:sz="0" w:space="0" w:color="auto"/>
        <w:left w:val="none" w:sz="0" w:space="0" w:color="auto"/>
        <w:bottom w:val="none" w:sz="0" w:space="0" w:color="auto"/>
        <w:right w:val="none" w:sz="0" w:space="0" w:color="auto"/>
      </w:divBdr>
    </w:div>
    <w:div w:id="1419211964">
      <w:bodyDiv w:val="1"/>
      <w:marLeft w:val="0"/>
      <w:marRight w:val="0"/>
      <w:marTop w:val="0"/>
      <w:marBottom w:val="0"/>
      <w:divBdr>
        <w:top w:val="none" w:sz="0" w:space="0" w:color="auto"/>
        <w:left w:val="none" w:sz="0" w:space="0" w:color="auto"/>
        <w:bottom w:val="none" w:sz="0" w:space="0" w:color="auto"/>
        <w:right w:val="none" w:sz="0" w:space="0" w:color="auto"/>
      </w:divBdr>
    </w:div>
    <w:div w:id="1463377825">
      <w:bodyDiv w:val="1"/>
      <w:marLeft w:val="0"/>
      <w:marRight w:val="0"/>
      <w:marTop w:val="0"/>
      <w:marBottom w:val="0"/>
      <w:divBdr>
        <w:top w:val="none" w:sz="0" w:space="0" w:color="auto"/>
        <w:left w:val="none" w:sz="0" w:space="0" w:color="auto"/>
        <w:bottom w:val="none" w:sz="0" w:space="0" w:color="auto"/>
        <w:right w:val="none" w:sz="0" w:space="0" w:color="auto"/>
      </w:divBdr>
    </w:div>
    <w:div w:id="1664239715">
      <w:bodyDiv w:val="1"/>
      <w:marLeft w:val="0"/>
      <w:marRight w:val="0"/>
      <w:marTop w:val="0"/>
      <w:marBottom w:val="0"/>
      <w:divBdr>
        <w:top w:val="none" w:sz="0" w:space="0" w:color="auto"/>
        <w:left w:val="none" w:sz="0" w:space="0" w:color="auto"/>
        <w:bottom w:val="none" w:sz="0" w:space="0" w:color="auto"/>
        <w:right w:val="none" w:sz="0" w:space="0" w:color="auto"/>
      </w:divBdr>
    </w:div>
    <w:div w:id="1758597515">
      <w:bodyDiv w:val="1"/>
      <w:marLeft w:val="0"/>
      <w:marRight w:val="0"/>
      <w:marTop w:val="0"/>
      <w:marBottom w:val="0"/>
      <w:divBdr>
        <w:top w:val="none" w:sz="0" w:space="0" w:color="auto"/>
        <w:left w:val="none" w:sz="0" w:space="0" w:color="auto"/>
        <w:bottom w:val="none" w:sz="0" w:space="0" w:color="auto"/>
        <w:right w:val="none" w:sz="0" w:space="0" w:color="auto"/>
      </w:divBdr>
    </w:div>
    <w:div w:id="1769696832">
      <w:bodyDiv w:val="1"/>
      <w:marLeft w:val="0"/>
      <w:marRight w:val="0"/>
      <w:marTop w:val="0"/>
      <w:marBottom w:val="0"/>
      <w:divBdr>
        <w:top w:val="none" w:sz="0" w:space="0" w:color="auto"/>
        <w:left w:val="none" w:sz="0" w:space="0" w:color="auto"/>
        <w:bottom w:val="none" w:sz="0" w:space="0" w:color="auto"/>
        <w:right w:val="none" w:sz="0" w:space="0" w:color="auto"/>
      </w:divBdr>
    </w:div>
    <w:div w:id="1812401386">
      <w:bodyDiv w:val="1"/>
      <w:marLeft w:val="0"/>
      <w:marRight w:val="0"/>
      <w:marTop w:val="0"/>
      <w:marBottom w:val="0"/>
      <w:divBdr>
        <w:top w:val="none" w:sz="0" w:space="0" w:color="auto"/>
        <w:left w:val="none" w:sz="0" w:space="0" w:color="auto"/>
        <w:bottom w:val="none" w:sz="0" w:space="0" w:color="auto"/>
        <w:right w:val="none" w:sz="0" w:space="0" w:color="auto"/>
      </w:divBdr>
    </w:div>
    <w:div w:id="1888761098">
      <w:bodyDiv w:val="1"/>
      <w:marLeft w:val="0"/>
      <w:marRight w:val="0"/>
      <w:marTop w:val="0"/>
      <w:marBottom w:val="0"/>
      <w:divBdr>
        <w:top w:val="none" w:sz="0" w:space="0" w:color="auto"/>
        <w:left w:val="none" w:sz="0" w:space="0" w:color="auto"/>
        <w:bottom w:val="none" w:sz="0" w:space="0" w:color="auto"/>
        <w:right w:val="none" w:sz="0" w:space="0" w:color="auto"/>
      </w:divBdr>
    </w:div>
    <w:div w:id="1966421194">
      <w:bodyDiv w:val="1"/>
      <w:marLeft w:val="0"/>
      <w:marRight w:val="0"/>
      <w:marTop w:val="0"/>
      <w:marBottom w:val="0"/>
      <w:divBdr>
        <w:top w:val="none" w:sz="0" w:space="0" w:color="auto"/>
        <w:left w:val="none" w:sz="0" w:space="0" w:color="auto"/>
        <w:bottom w:val="none" w:sz="0" w:space="0" w:color="auto"/>
        <w:right w:val="none" w:sz="0" w:space="0" w:color="auto"/>
      </w:divBdr>
    </w:div>
    <w:div w:id="1975788820">
      <w:bodyDiv w:val="1"/>
      <w:marLeft w:val="0"/>
      <w:marRight w:val="0"/>
      <w:marTop w:val="0"/>
      <w:marBottom w:val="0"/>
      <w:divBdr>
        <w:top w:val="none" w:sz="0" w:space="0" w:color="auto"/>
        <w:left w:val="none" w:sz="0" w:space="0" w:color="auto"/>
        <w:bottom w:val="none" w:sz="0" w:space="0" w:color="auto"/>
        <w:right w:val="none" w:sz="0" w:space="0" w:color="auto"/>
      </w:divBdr>
    </w:div>
    <w:div w:id="2044866032">
      <w:bodyDiv w:val="1"/>
      <w:marLeft w:val="0"/>
      <w:marRight w:val="0"/>
      <w:marTop w:val="0"/>
      <w:marBottom w:val="0"/>
      <w:divBdr>
        <w:top w:val="none" w:sz="0" w:space="0" w:color="auto"/>
        <w:left w:val="none" w:sz="0" w:space="0" w:color="auto"/>
        <w:bottom w:val="none" w:sz="0" w:space="0" w:color="auto"/>
        <w:right w:val="none" w:sz="0" w:space="0" w:color="auto"/>
      </w:divBdr>
    </w:div>
    <w:div w:id="2137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app.leg.wa.gov/WAC/default.aspx?cite=480-109-22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170682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C303289E123146BC0E2ADA93E52D6E" ma:contentTypeVersion="92" ma:contentTypeDescription="" ma:contentTypeScope="" ma:versionID="35ff29a6f22bf8a4f42e0a35bdf2ab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523985-063E-4F88-99D0-8C7F4FA15AE1}">
  <ds:schemaRefs>
    <ds:schemaRef ds:uri="http://www.w3.org/XML/1998/namespace"/>
    <ds:schemaRef ds:uri="http://purl.org/dc/dcmitype/"/>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E0EC479-0FDC-4410-8646-46184F5F98FF}">
  <ds:schemaRefs>
    <ds:schemaRef ds:uri="http://schemas.microsoft.com/sharepoint/v3/contenttype/forms"/>
  </ds:schemaRefs>
</ds:datastoreItem>
</file>

<file path=customXml/itemProps3.xml><?xml version="1.0" encoding="utf-8"?>
<ds:datastoreItem xmlns:ds="http://schemas.openxmlformats.org/officeDocument/2006/customXml" ds:itemID="{F0120D49-1ACB-424D-A813-FC43131BCBBD}"/>
</file>

<file path=customXml/itemProps4.xml><?xml version="1.0" encoding="utf-8"?>
<ds:datastoreItem xmlns:ds="http://schemas.openxmlformats.org/officeDocument/2006/customXml" ds:itemID="{8BAC7F49-56B2-481D-9A31-F10344655D11}">
  <ds:schemaRefs>
    <ds:schemaRef ds:uri="http://schemas.openxmlformats.org/officeDocument/2006/bibliography"/>
  </ds:schemaRefs>
</ds:datastoreItem>
</file>

<file path=customXml/itemProps5.xml><?xml version="1.0" encoding="utf-8"?>
<ds:datastoreItem xmlns:ds="http://schemas.openxmlformats.org/officeDocument/2006/customXml" ds:itemID="{7B3181C1-2E71-4B9E-8FB6-9D9E75C7A234}">
  <ds:schemaRefs>
    <ds:schemaRef ds:uri="http://schemas.openxmlformats.org/officeDocument/2006/bibliography"/>
  </ds:schemaRefs>
</ds:datastoreItem>
</file>

<file path=customXml/itemProps6.xml><?xml version="1.0" encoding="utf-8"?>
<ds:datastoreItem xmlns:ds="http://schemas.openxmlformats.org/officeDocument/2006/customXml" ds:itemID="{DD0E6F4D-7555-47EF-A647-219C7527DC20}">
  <ds:schemaRefs>
    <ds:schemaRef ds:uri="http://schemas.openxmlformats.org/officeDocument/2006/bibliography"/>
  </ds:schemaRefs>
</ds:datastoreItem>
</file>

<file path=customXml/itemProps7.xml><?xml version="1.0" encoding="utf-8"?>
<ds:datastoreItem xmlns:ds="http://schemas.openxmlformats.org/officeDocument/2006/customXml" ds:itemID="{DF0CA107-E6A0-4AD9-82D8-82BE551FDDAF}"/>
</file>

<file path=docProps/app.xml><?xml version="1.0" encoding="utf-8"?>
<Properties xmlns="http://schemas.openxmlformats.org/officeDocument/2006/extended-properties" xmlns:vt="http://schemas.openxmlformats.org/officeDocument/2006/docPropsVTypes">
  <Template>Normal</Template>
  <TotalTime>1</TotalTime>
  <Pages>9</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2012-2013 Biennial Conservation Plan</vt:lpstr>
    </vt:vector>
  </TitlesOfParts>
  <Company>Paine Hamblen</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Biennial Conservation Plan</dc:title>
  <dc:creator>Avista PPA Team</dc:creator>
  <cp:lastModifiedBy>Huey, Lorilyn (UTC)</cp:lastModifiedBy>
  <cp:revision>2</cp:revision>
  <cp:lastPrinted>2017-05-23T17:25:00Z</cp:lastPrinted>
  <dcterms:created xsi:type="dcterms:W3CDTF">2017-06-02T16:10:00Z</dcterms:created>
  <dcterms:modified xsi:type="dcterms:W3CDTF">2017-06-02T16:10:00Z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0x0101006E56B4D1795A2E4DB2F0B01679ED314A009EC303289E123146BC0E2ADA93E52D6E</vt:lpwstr>
  </property>
  <property fmtid="{D5CDD505-2E9C-101B-9397-08002B2CF9AE}" pid="3" name="_docset_NoMedatataSyncRequired">
    <vt:lpwstr>False</vt:lpwstr>
  </property>
  <property fmtid="{D5CDD505-2E9C-101B-9397-08002B2CF9AE}" pid="4" name="IsEFSEC">
    <vt:bool>false</vt:bool>
  </property>
</Properties>
</file>