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D51A44"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D51A44"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D51A44"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235F54" w:rsidRPr="00164966" w:rsidRDefault="00235F54" w:rsidP="00164966">
      <w:pPr>
        <w:pStyle w:val="BodyText"/>
        <w:keepNext/>
        <w:keepLines/>
        <w:numPr>
          <w:ilvl w:val="0"/>
          <w:numId w:val="5"/>
        </w:numPr>
        <w:spacing w:after="0" w:line="286" w:lineRule="exact"/>
        <w:rPr>
          <w:rFonts w:ascii="Arial" w:hAnsi="Arial" w:cs="Arial"/>
          <w:b/>
          <w:sz w:val="20"/>
          <w:szCs w:val="20"/>
        </w:rPr>
      </w:pPr>
      <w:r w:rsidRPr="00235F54">
        <w:rPr>
          <w:rFonts w:ascii="Arial" w:hAnsi="Arial" w:cs="Arial"/>
          <w:b/>
          <w:sz w:val="20"/>
          <w:szCs w:val="20"/>
        </w:rPr>
        <w:t xml:space="preserve">SCHEDULE </w:t>
      </w:r>
      <w:r w:rsidRPr="00164966">
        <w:rPr>
          <w:rFonts w:ascii="Arial" w:hAnsi="Arial" w:cs="Arial"/>
          <w:b/>
          <w:sz w:val="20"/>
          <w:szCs w:val="20"/>
        </w:rPr>
        <w:t>451 SERVICE AGREEMENT</w:t>
      </w:r>
      <w:r w:rsidR="00164966" w:rsidRPr="00164966">
        <w:rPr>
          <w:rFonts w:ascii="Arial" w:hAnsi="Arial" w:cs="Arial"/>
          <w:sz w:val="20"/>
          <w:szCs w:val="20"/>
        </w:rPr>
        <w:t xml:space="preserve"> (Continued)</w:t>
      </w:r>
    </w:p>
    <w:p w:rsidR="00235F54" w:rsidRPr="00164966" w:rsidRDefault="00235F54" w:rsidP="00164966">
      <w:pPr>
        <w:pStyle w:val="BodyText"/>
        <w:spacing w:after="0" w:line="286" w:lineRule="exact"/>
        <w:ind w:right="360"/>
        <w:rPr>
          <w:rFonts w:ascii="Arial" w:hAnsi="Arial" w:cs="Arial"/>
          <w:sz w:val="20"/>
          <w:szCs w:val="20"/>
        </w:rPr>
      </w:pPr>
    </w:p>
    <w:p w:rsidR="00164966" w:rsidRPr="00164966" w:rsidRDefault="00235F54" w:rsidP="0016151B">
      <w:pPr>
        <w:pStyle w:val="BodyText"/>
        <w:numPr>
          <w:ilvl w:val="0"/>
          <w:numId w:val="10"/>
        </w:numPr>
        <w:spacing w:after="0" w:line="286" w:lineRule="exact"/>
        <w:ind w:left="720" w:right="360" w:hanging="360"/>
        <w:rPr>
          <w:rFonts w:ascii="Arial" w:hAnsi="Arial" w:cs="Arial"/>
          <w:sz w:val="20"/>
          <w:szCs w:val="20"/>
        </w:rPr>
      </w:pPr>
      <w:r w:rsidRPr="00164966">
        <w:rPr>
          <w:rFonts w:ascii="Arial" w:hAnsi="Arial" w:cs="Arial"/>
          <w:sz w:val="20"/>
          <w:szCs w:val="20"/>
          <w:u w:val="single"/>
        </w:rPr>
        <w:t>General Rules and Provisions</w:t>
      </w:r>
      <w:r w:rsidRPr="00164966">
        <w:rPr>
          <w:rFonts w:ascii="Arial" w:hAnsi="Arial" w:cs="Arial"/>
          <w:sz w:val="20"/>
          <w:szCs w:val="20"/>
        </w:rPr>
        <w:t xml:space="preserve">. </w:t>
      </w:r>
      <w:r w:rsidR="00164966" w:rsidRPr="00164966">
        <w:rPr>
          <w:rFonts w:ascii="Arial" w:hAnsi="Arial" w:cs="Arial"/>
          <w:sz w:val="20"/>
          <w:szCs w:val="20"/>
        </w:rPr>
        <w:t>(Continued) Except as provided in Section 14 of this Schedule, Customers shall have all rights of redress before the Commission that are normally accorded the Company’s Customers regarding these general tariff provisions.</w:t>
      </w:r>
    </w:p>
    <w:p w:rsidR="00164966" w:rsidRPr="00164966" w:rsidRDefault="00164966" w:rsidP="00164966">
      <w:pPr>
        <w:pStyle w:val="BodyText"/>
        <w:spacing w:after="0" w:line="286" w:lineRule="exact"/>
        <w:ind w:left="720" w:right="720"/>
        <w:rPr>
          <w:rFonts w:ascii="Arial" w:hAnsi="Arial" w:cs="Arial"/>
          <w:sz w:val="20"/>
          <w:szCs w:val="20"/>
        </w:rPr>
      </w:pPr>
    </w:p>
    <w:p w:rsidR="00164966" w:rsidRPr="00164966" w:rsidRDefault="00164966" w:rsidP="0016151B">
      <w:pPr>
        <w:pStyle w:val="BodyText"/>
        <w:numPr>
          <w:ilvl w:val="0"/>
          <w:numId w:val="10"/>
        </w:numPr>
        <w:spacing w:after="0" w:line="286" w:lineRule="exact"/>
        <w:ind w:left="720" w:right="360" w:hanging="360"/>
        <w:rPr>
          <w:rFonts w:ascii="Arial" w:hAnsi="Arial" w:cs="Arial"/>
          <w:sz w:val="20"/>
          <w:szCs w:val="20"/>
        </w:rPr>
      </w:pPr>
      <w:r w:rsidRPr="00164966">
        <w:rPr>
          <w:rFonts w:ascii="Arial" w:hAnsi="Arial" w:cs="Arial"/>
          <w:sz w:val="20"/>
          <w:szCs w:val="20"/>
          <w:u w:val="single"/>
        </w:rPr>
        <w:t>Location Shut-Down</w:t>
      </w:r>
      <w:r w:rsidRPr="00164966">
        <w:rPr>
          <w:rFonts w:ascii="Arial" w:hAnsi="Arial" w:cs="Arial"/>
          <w:sz w:val="20"/>
          <w:szCs w:val="20"/>
        </w:rPr>
        <w:t>. Upon written notification by the Customer to the Company that the Customer has permanently ceased all operations at a Location, Customer shall have the right to terminate service under the Schedule 451 Service Agreement as to such Location, effective at the end of the first full calendar month following the Company’s receipt of written notice of such shut-down, subject to payment of any remaining costs for Dedicated Facilities serving such Locations identified in the Schedule 451 Service Agreement and subject to payment of any amounts owed under the OATT.</w:t>
      </w:r>
    </w:p>
    <w:p w:rsidR="00164966" w:rsidRPr="00164966" w:rsidRDefault="00164966" w:rsidP="00164966">
      <w:pPr>
        <w:pStyle w:val="BodyText"/>
        <w:spacing w:after="0" w:line="286" w:lineRule="exact"/>
        <w:ind w:right="720"/>
        <w:rPr>
          <w:rFonts w:ascii="Arial" w:hAnsi="Arial" w:cs="Arial"/>
          <w:sz w:val="20"/>
          <w:szCs w:val="20"/>
        </w:rPr>
      </w:pPr>
    </w:p>
    <w:p w:rsidR="00164966" w:rsidRDefault="00164966" w:rsidP="0016151B">
      <w:pPr>
        <w:pStyle w:val="BodyText"/>
        <w:numPr>
          <w:ilvl w:val="0"/>
          <w:numId w:val="10"/>
        </w:numPr>
        <w:spacing w:after="0" w:line="286" w:lineRule="exact"/>
        <w:ind w:left="720" w:right="360" w:hanging="360"/>
        <w:rPr>
          <w:rFonts w:ascii="Arial" w:hAnsi="Arial" w:cs="Arial"/>
          <w:sz w:val="20"/>
          <w:szCs w:val="20"/>
        </w:rPr>
      </w:pPr>
      <w:r w:rsidRPr="00164966">
        <w:rPr>
          <w:rFonts w:ascii="Arial" w:hAnsi="Arial" w:cs="Arial"/>
          <w:sz w:val="20"/>
          <w:szCs w:val="20"/>
          <w:u w:val="single"/>
        </w:rPr>
        <w:t>Successors and Assigns</w:t>
      </w:r>
      <w:r w:rsidRPr="00164966">
        <w:rPr>
          <w:rFonts w:ascii="Arial" w:hAnsi="Arial" w:cs="Arial"/>
          <w:sz w:val="20"/>
          <w:szCs w:val="20"/>
        </w:rPr>
        <w:t>. Unless otherwise provided in this Schedule, each Schedule 451 Service Agreement shall be binding upon and shall inure to the benefit of the Company and Customer and their respective successors, assigns, purchasers, and transferees.</w:t>
      </w:r>
    </w:p>
    <w:p w:rsidR="00164966" w:rsidRPr="00164966" w:rsidRDefault="00164966" w:rsidP="00164966">
      <w:pPr>
        <w:pStyle w:val="BodyText"/>
        <w:spacing w:after="0" w:line="286" w:lineRule="exact"/>
        <w:ind w:right="720"/>
        <w:rPr>
          <w:rFonts w:ascii="Arial" w:hAnsi="Arial" w:cs="Arial"/>
          <w:sz w:val="20"/>
          <w:szCs w:val="20"/>
        </w:rPr>
      </w:pPr>
    </w:p>
    <w:p w:rsidR="00164966" w:rsidRDefault="00164966" w:rsidP="0016151B">
      <w:pPr>
        <w:pStyle w:val="BodyText"/>
        <w:numPr>
          <w:ilvl w:val="0"/>
          <w:numId w:val="10"/>
        </w:numPr>
        <w:spacing w:after="0" w:line="286" w:lineRule="exact"/>
        <w:ind w:left="720" w:right="360" w:hanging="360"/>
        <w:rPr>
          <w:rFonts w:ascii="Arial" w:hAnsi="Arial" w:cs="Arial"/>
          <w:sz w:val="20"/>
          <w:szCs w:val="20"/>
        </w:rPr>
      </w:pPr>
      <w:r w:rsidRPr="00164966">
        <w:rPr>
          <w:rFonts w:ascii="Arial" w:hAnsi="Arial" w:cs="Arial"/>
          <w:sz w:val="20"/>
          <w:szCs w:val="20"/>
          <w:u w:val="single"/>
        </w:rPr>
        <w:t>Confidentiality</w:t>
      </w:r>
      <w:r w:rsidRPr="00164966">
        <w:rPr>
          <w:rFonts w:ascii="Arial" w:hAnsi="Arial" w:cs="Arial"/>
          <w:sz w:val="20"/>
          <w:szCs w:val="20"/>
        </w:rPr>
        <w:t xml:space="preserve">. The Company and Customer shall each use reasonable efforts to not disclose to third parties (other than the Power Supplier) any information or documents furnished by the Company or Customer to the other that are confidential or proprietary to the furnishing party, if and to the extent that such information and documents are conspicuously marked as confidential or proprietary when furnished. The foregoing provisions of this </w:t>
      </w:r>
      <w:r w:rsidR="009E7A91">
        <w:rPr>
          <w:rFonts w:ascii="Arial" w:hAnsi="Arial" w:cs="Arial"/>
          <w:sz w:val="20"/>
          <w:szCs w:val="20"/>
        </w:rPr>
        <w:t>S</w:t>
      </w:r>
      <w:bookmarkStart w:id="0" w:name="_GoBack"/>
      <w:bookmarkEnd w:id="0"/>
      <w:r w:rsidRPr="00164966">
        <w:rPr>
          <w:rFonts w:ascii="Arial" w:hAnsi="Arial" w:cs="Arial"/>
          <w:sz w:val="20"/>
          <w:szCs w:val="20"/>
        </w:rPr>
        <w:t xml:space="preserve">ection shall not apply to (A) any information or documents which are in the public domain, known to the receiving party prior to receipt from the other party, or acquired from a third party without a requirement of protection; </w:t>
      </w:r>
      <w:r w:rsidR="000126C2">
        <w:rPr>
          <w:rFonts w:ascii="Arial" w:hAnsi="Arial" w:cs="Arial"/>
          <w:sz w:val="20"/>
          <w:szCs w:val="20"/>
        </w:rPr>
        <w:t>(Continued)</w:t>
      </w:r>
    </w:p>
    <w:p w:rsidR="00DC788C" w:rsidRDefault="00DC788C" w:rsidP="00DC788C">
      <w:pPr>
        <w:spacing w:after="0" w:line="286" w:lineRule="exact"/>
        <w:ind w:right="720"/>
        <w:rPr>
          <w:rFonts w:ascii="Arial" w:hAnsi="Arial" w:cs="Arial"/>
          <w:sz w:val="20"/>
          <w:szCs w:val="20"/>
        </w:rPr>
      </w:pPr>
    </w:p>
    <w:p w:rsidR="00DC788C" w:rsidRDefault="00DC788C" w:rsidP="00DC788C">
      <w:pPr>
        <w:spacing w:after="0" w:line="286" w:lineRule="exact"/>
        <w:ind w:right="720"/>
        <w:rPr>
          <w:rFonts w:ascii="Arial" w:hAnsi="Arial" w:cs="Arial"/>
          <w:sz w:val="20"/>
          <w:szCs w:val="20"/>
        </w:rPr>
      </w:pPr>
    </w:p>
    <w:p w:rsidR="00827B7B" w:rsidRDefault="00827B7B" w:rsidP="00DC788C">
      <w:pPr>
        <w:spacing w:after="0" w:line="286" w:lineRule="exact"/>
        <w:ind w:right="720"/>
        <w:rPr>
          <w:rFonts w:ascii="Arial" w:hAnsi="Arial" w:cs="Arial"/>
          <w:sz w:val="20"/>
          <w:szCs w:val="20"/>
        </w:rPr>
      </w:pPr>
    </w:p>
    <w:p w:rsidR="00DC788C" w:rsidRDefault="00DC788C" w:rsidP="00DC788C">
      <w:pPr>
        <w:spacing w:after="0" w:line="286" w:lineRule="exact"/>
        <w:ind w:right="720"/>
        <w:rPr>
          <w:rFonts w:ascii="Arial" w:hAnsi="Arial" w:cs="Arial"/>
          <w:sz w:val="20"/>
          <w:szCs w:val="20"/>
        </w:rPr>
      </w:pPr>
    </w:p>
    <w:p w:rsidR="00DC788C" w:rsidRDefault="00DC788C" w:rsidP="00C076F4">
      <w:pPr>
        <w:spacing w:after="0" w:line="286" w:lineRule="exact"/>
        <w:ind w:right="720"/>
        <w:jc w:val="right"/>
        <w:rPr>
          <w:rFonts w:ascii="Arial" w:hAnsi="Arial" w:cs="Arial"/>
          <w:sz w:val="20"/>
          <w:szCs w:val="20"/>
        </w:rPr>
      </w:pPr>
    </w:p>
    <w:p w:rsidR="00DC788C" w:rsidRDefault="00DC788C" w:rsidP="00C076F4">
      <w:pPr>
        <w:spacing w:after="0" w:line="286" w:lineRule="exact"/>
        <w:ind w:right="720"/>
        <w:jc w:val="right"/>
        <w:rPr>
          <w:rFonts w:ascii="Arial" w:hAnsi="Arial" w:cs="Arial"/>
          <w:sz w:val="20"/>
          <w:szCs w:val="20"/>
        </w:rPr>
      </w:pPr>
    </w:p>
    <w:p w:rsidR="00DC788C" w:rsidRDefault="00DC788C" w:rsidP="00C076F4">
      <w:pPr>
        <w:spacing w:after="0" w:line="286" w:lineRule="exact"/>
        <w:ind w:right="720"/>
        <w:jc w:val="right"/>
        <w:rPr>
          <w:rFonts w:ascii="Arial" w:hAnsi="Arial" w:cs="Arial"/>
          <w:sz w:val="20"/>
          <w:szCs w:val="20"/>
        </w:rPr>
      </w:pPr>
    </w:p>
    <w:p w:rsidR="00DC788C" w:rsidRDefault="00DC788C" w:rsidP="00827B7B">
      <w:pPr>
        <w:spacing w:after="0" w:line="286" w:lineRule="exact"/>
        <w:ind w:right="720"/>
        <w:rPr>
          <w:rFonts w:ascii="Arial" w:hAnsi="Arial" w:cs="Arial"/>
          <w:sz w:val="20"/>
          <w:szCs w:val="20"/>
        </w:rPr>
      </w:pPr>
    </w:p>
    <w:p w:rsidR="00C32776" w:rsidRPr="00164966" w:rsidRDefault="00DC788C" w:rsidP="00827B7B">
      <w:pPr>
        <w:spacing w:after="0" w:line="240" w:lineRule="auto"/>
        <w:ind w:right="720"/>
        <w:jc w:val="right"/>
        <w:rPr>
          <w:rFonts w:ascii="Arial" w:hAnsi="Arial" w:cs="Arial"/>
          <w:sz w:val="20"/>
          <w:szCs w:val="20"/>
        </w:rPr>
      </w:pPr>
      <w:r w:rsidRPr="00164966">
        <w:rPr>
          <w:rFonts w:ascii="Arial" w:hAnsi="Arial" w:cs="Arial"/>
          <w:sz w:val="20"/>
          <w:szCs w:val="20"/>
        </w:rPr>
        <w:t xml:space="preserve"> </w:t>
      </w:r>
      <w:r w:rsidR="00C076F4" w:rsidRPr="00164966">
        <w:rPr>
          <w:rFonts w:ascii="Arial" w:hAnsi="Arial" w:cs="Arial"/>
          <w:sz w:val="20"/>
          <w:szCs w:val="20"/>
        </w:rPr>
        <w:t xml:space="preserve">(Continued on Sheet No. 451-K) </w:t>
      </w:r>
    </w:p>
    <w:sectPr w:rsidR="00C32776" w:rsidRPr="0016496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w:t>
        </w:r>
        <w:r w:rsidR="00164966">
          <w:rPr>
            <w:u w:val="single"/>
          </w:rPr>
          <w:t>J</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C54"/>
    <w:multiLevelType w:val="multilevel"/>
    <w:tmpl w:val="9854464C"/>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
    <w:nsid w:val="193A7C4D"/>
    <w:multiLevelType w:val="multilevel"/>
    <w:tmpl w:val="9854464C"/>
    <w:lvl w:ilvl="0">
      <w:start w:val="1"/>
      <w:numFmt w:val="decimal"/>
      <w:lvlText w:val="%1."/>
      <w:lvlJc w:val="left"/>
      <w:pPr>
        <w:ind w:left="-540" w:hanging="540"/>
      </w:pPr>
      <w:rPr>
        <w:rFonts w:hint="default"/>
        <w:b w:val="0"/>
      </w:rPr>
    </w:lvl>
    <w:lvl w:ilvl="1">
      <w:start w:val="5"/>
      <w:numFmt w:val="decimal"/>
      <w:isLgl/>
      <w:lvlText w:val="%1.%2"/>
      <w:lvlJc w:val="left"/>
      <w:pPr>
        <w:ind w:left="-173" w:hanging="360"/>
      </w:pPr>
      <w:rPr>
        <w:rFonts w:hint="default"/>
        <w:b w:val="0"/>
      </w:rPr>
    </w:lvl>
    <w:lvl w:ilvl="2">
      <w:start w:val="1"/>
      <w:numFmt w:val="decimal"/>
      <w:isLgl/>
      <w:lvlText w:val="%1.%2.%3"/>
      <w:lvlJc w:val="left"/>
      <w:pPr>
        <w:ind w:left="73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735" w:hanging="108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4189" w:hanging="1440"/>
      </w:pPr>
      <w:rPr>
        <w:rFonts w:hint="default"/>
      </w:rPr>
    </w:lvl>
    <w:lvl w:ilvl="8">
      <w:start w:val="1"/>
      <w:numFmt w:val="decimal"/>
      <w:isLgl/>
      <w:lvlText w:val="%1.%2.%3.%4.%5.%6.%7.%8.%9"/>
      <w:lvlJc w:val="left"/>
      <w:pPr>
        <w:ind w:left="5096" w:hanging="1800"/>
      </w:pPr>
      <w:rPr>
        <w:rFonts w:hint="default"/>
      </w:rPr>
    </w:lvl>
  </w:abstractNum>
  <w:abstractNum w:abstractNumId="2">
    <w:nsid w:val="20C4397B"/>
    <w:multiLevelType w:val="multilevel"/>
    <w:tmpl w:val="F1EEF406"/>
    <w:lvl w:ilvl="0">
      <w:start w:val="2"/>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3">
    <w:nsid w:val="38280F98"/>
    <w:multiLevelType w:val="multilevel"/>
    <w:tmpl w:val="6F5A5B7C"/>
    <w:lvl w:ilvl="0">
      <w:start w:val="3"/>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4">
    <w:nsid w:val="3EF27E33"/>
    <w:multiLevelType w:val="multilevel"/>
    <w:tmpl w:val="37148070"/>
    <w:lvl w:ilvl="0">
      <w:start w:val="2"/>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5">
    <w:nsid w:val="495A3EF8"/>
    <w:multiLevelType w:val="multilevel"/>
    <w:tmpl w:val="A88802CE"/>
    <w:lvl w:ilvl="0">
      <w:start w:val="5"/>
      <w:numFmt w:val="decimal"/>
      <w:lvlText w:val="%1."/>
      <w:lvlJc w:val="left"/>
      <w:pPr>
        <w:ind w:left="540" w:hanging="540"/>
      </w:pPr>
      <w:rPr>
        <w:rFonts w:hint="default"/>
        <w:b w:val="0"/>
      </w:rPr>
    </w:lvl>
    <w:lvl w:ilvl="1">
      <w:start w:val="5"/>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6">
    <w:nsid w:val="4A0E47E1"/>
    <w:multiLevelType w:val="multilevel"/>
    <w:tmpl w:val="D2E667BC"/>
    <w:lvl w:ilvl="0">
      <w:start w:val="2"/>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7">
    <w:nsid w:val="53C73E52"/>
    <w:multiLevelType w:val="multilevel"/>
    <w:tmpl w:val="F3AA7BC2"/>
    <w:lvl w:ilvl="0">
      <w:start w:val="2"/>
      <w:numFmt w:val="decimal"/>
      <w:lvlText w:val="%1."/>
      <w:lvlJc w:val="left"/>
      <w:pPr>
        <w:ind w:left="540" w:hanging="54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8">
    <w:nsid w:val="657517A0"/>
    <w:multiLevelType w:val="hybridMultilevel"/>
    <w:tmpl w:val="ECAC4B52"/>
    <w:lvl w:ilvl="0" w:tplc="A8B6CDF0">
      <w:start w:val="9"/>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F81087"/>
    <w:multiLevelType w:val="multilevel"/>
    <w:tmpl w:val="2CC63150"/>
    <w:lvl w:ilvl="0">
      <w:start w:val="1"/>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num w:numId="1">
    <w:abstractNumId w:val="9"/>
  </w:num>
  <w:num w:numId="2">
    <w:abstractNumId w:val="7"/>
  </w:num>
  <w:num w:numId="3">
    <w:abstractNumId w:val="4"/>
  </w:num>
  <w:num w:numId="4">
    <w:abstractNumId w:val="5"/>
  </w:num>
  <w:num w:numId="5">
    <w:abstractNumId w:val="8"/>
  </w:num>
  <w:num w:numId="6">
    <w:abstractNumId w:val="2"/>
  </w:num>
  <w:num w:numId="7">
    <w:abstractNumId w:val="3"/>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066A9"/>
    <w:rsid w:val="000126C2"/>
    <w:rsid w:val="0003601D"/>
    <w:rsid w:val="00053192"/>
    <w:rsid w:val="00055FD8"/>
    <w:rsid w:val="00060533"/>
    <w:rsid w:val="0008711D"/>
    <w:rsid w:val="0009579F"/>
    <w:rsid w:val="000A1DBB"/>
    <w:rsid w:val="000B0263"/>
    <w:rsid w:val="000C04B8"/>
    <w:rsid w:val="000D2886"/>
    <w:rsid w:val="000F642C"/>
    <w:rsid w:val="00104A70"/>
    <w:rsid w:val="00125206"/>
    <w:rsid w:val="0013127F"/>
    <w:rsid w:val="001351A6"/>
    <w:rsid w:val="00143924"/>
    <w:rsid w:val="001601CC"/>
    <w:rsid w:val="0016151B"/>
    <w:rsid w:val="00164966"/>
    <w:rsid w:val="00186C0A"/>
    <w:rsid w:val="001B2E67"/>
    <w:rsid w:val="001C0C09"/>
    <w:rsid w:val="001F3D9B"/>
    <w:rsid w:val="001F3E4B"/>
    <w:rsid w:val="001F5B0A"/>
    <w:rsid w:val="00211594"/>
    <w:rsid w:val="00212172"/>
    <w:rsid w:val="00212367"/>
    <w:rsid w:val="00214FB0"/>
    <w:rsid w:val="00225C37"/>
    <w:rsid w:val="0023057D"/>
    <w:rsid w:val="0023458C"/>
    <w:rsid w:val="00235B37"/>
    <w:rsid w:val="00235F54"/>
    <w:rsid w:val="00255575"/>
    <w:rsid w:val="00256D47"/>
    <w:rsid w:val="00264C96"/>
    <w:rsid w:val="0026698D"/>
    <w:rsid w:val="00273F94"/>
    <w:rsid w:val="00277173"/>
    <w:rsid w:val="00282FCF"/>
    <w:rsid w:val="00284F0A"/>
    <w:rsid w:val="002A4238"/>
    <w:rsid w:val="002C09C5"/>
    <w:rsid w:val="002D1FE2"/>
    <w:rsid w:val="002E7037"/>
    <w:rsid w:val="002F56BC"/>
    <w:rsid w:val="003133E9"/>
    <w:rsid w:val="00350702"/>
    <w:rsid w:val="00350A9F"/>
    <w:rsid w:val="003930FE"/>
    <w:rsid w:val="003A5EFC"/>
    <w:rsid w:val="003D5068"/>
    <w:rsid w:val="003D6A10"/>
    <w:rsid w:val="003D6A6F"/>
    <w:rsid w:val="003F48BD"/>
    <w:rsid w:val="00401C8E"/>
    <w:rsid w:val="004139AE"/>
    <w:rsid w:val="00466466"/>
    <w:rsid w:val="00466546"/>
    <w:rsid w:val="00466A71"/>
    <w:rsid w:val="0047056F"/>
    <w:rsid w:val="004A7502"/>
    <w:rsid w:val="004B1B35"/>
    <w:rsid w:val="005141B1"/>
    <w:rsid w:val="005241EE"/>
    <w:rsid w:val="00543EA4"/>
    <w:rsid w:val="005743AB"/>
    <w:rsid w:val="005746B6"/>
    <w:rsid w:val="00575DD5"/>
    <w:rsid w:val="00596AA0"/>
    <w:rsid w:val="005B033D"/>
    <w:rsid w:val="005D7A32"/>
    <w:rsid w:val="005E09BA"/>
    <w:rsid w:val="00616FBB"/>
    <w:rsid w:val="0065551E"/>
    <w:rsid w:val="00663D77"/>
    <w:rsid w:val="006A72BD"/>
    <w:rsid w:val="006C27C7"/>
    <w:rsid w:val="006D2365"/>
    <w:rsid w:val="006E75FB"/>
    <w:rsid w:val="00703E53"/>
    <w:rsid w:val="0070796F"/>
    <w:rsid w:val="00707DF4"/>
    <w:rsid w:val="00716A97"/>
    <w:rsid w:val="00730332"/>
    <w:rsid w:val="00757C64"/>
    <w:rsid w:val="00770E9A"/>
    <w:rsid w:val="00784841"/>
    <w:rsid w:val="00795847"/>
    <w:rsid w:val="007A48CC"/>
    <w:rsid w:val="007B3F61"/>
    <w:rsid w:val="007D11B1"/>
    <w:rsid w:val="007D24F2"/>
    <w:rsid w:val="007D434A"/>
    <w:rsid w:val="007E6230"/>
    <w:rsid w:val="007F3BEC"/>
    <w:rsid w:val="0080589E"/>
    <w:rsid w:val="00827B7B"/>
    <w:rsid w:val="008312C9"/>
    <w:rsid w:val="00880B8E"/>
    <w:rsid w:val="00882FF5"/>
    <w:rsid w:val="008A3E31"/>
    <w:rsid w:val="008A7114"/>
    <w:rsid w:val="008A742D"/>
    <w:rsid w:val="008B3592"/>
    <w:rsid w:val="008C1F4D"/>
    <w:rsid w:val="008D7577"/>
    <w:rsid w:val="008E58E7"/>
    <w:rsid w:val="0091741E"/>
    <w:rsid w:val="009342D5"/>
    <w:rsid w:val="00941F3E"/>
    <w:rsid w:val="00957A0B"/>
    <w:rsid w:val="009878A2"/>
    <w:rsid w:val="00993140"/>
    <w:rsid w:val="0099361B"/>
    <w:rsid w:val="009B1D7A"/>
    <w:rsid w:val="009E7A91"/>
    <w:rsid w:val="00A0363D"/>
    <w:rsid w:val="00A1049A"/>
    <w:rsid w:val="00A21194"/>
    <w:rsid w:val="00A42F11"/>
    <w:rsid w:val="00A54BF6"/>
    <w:rsid w:val="00A55388"/>
    <w:rsid w:val="00A55507"/>
    <w:rsid w:val="00A742E6"/>
    <w:rsid w:val="00A839AA"/>
    <w:rsid w:val="00AA293E"/>
    <w:rsid w:val="00AA55FC"/>
    <w:rsid w:val="00AA7DD5"/>
    <w:rsid w:val="00AB4028"/>
    <w:rsid w:val="00AB5920"/>
    <w:rsid w:val="00B0749D"/>
    <w:rsid w:val="00B248DC"/>
    <w:rsid w:val="00B30E8E"/>
    <w:rsid w:val="00B42E7C"/>
    <w:rsid w:val="00B60AD9"/>
    <w:rsid w:val="00B64632"/>
    <w:rsid w:val="00B70BA0"/>
    <w:rsid w:val="00B963E0"/>
    <w:rsid w:val="00BA1F04"/>
    <w:rsid w:val="00BC7E42"/>
    <w:rsid w:val="00BE428A"/>
    <w:rsid w:val="00BE7294"/>
    <w:rsid w:val="00C06D5B"/>
    <w:rsid w:val="00C070F6"/>
    <w:rsid w:val="00C07562"/>
    <w:rsid w:val="00C076F4"/>
    <w:rsid w:val="00C24748"/>
    <w:rsid w:val="00C27AA6"/>
    <w:rsid w:val="00C32776"/>
    <w:rsid w:val="00C33152"/>
    <w:rsid w:val="00C40E40"/>
    <w:rsid w:val="00C42132"/>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51A44"/>
    <w:rsid w:val="00D6121B"/>
    <w:rsid w:val="00D6353E"/>
    <w:rsid w:val="00D712C1"/>
    <w:rsid w:val="00D736F2"/>
    <w:rsid w:val="00D768B3"/>
    <w:rsid w:val="00D80755"/>
    <w:rsid w:val="00D81917"/>
    <w:rsid w:val="00D92C30"/>
    <w:rsid w:val="00DB3D30"/>
    <w:rsid w:val="00DB60D7"/>
    <w:rsid w:val="00DC040E"/>
    <w:rsid w:val="00DC2AAE"/>
    <w:rsid w:val="00DC788C"/>
    <w:rsid w:val="00DD07CF"/>
    <w:rsid w:val="00DE4028"/>
    <w:rsid w:val="00DF04B6"/>
    <w:rsid w:val="00E002F2"/>
    <w:rsid w:val="00E042E8"/>
    <w:rsid w:val="00E07D30"/>
    <w:rsid w:val="00E12B4A"/>
    <w:rsid w:val="00E526ED"/>
    <w:rsid w:val="00E61AEC"/>
    <w:rsid w:val="00E72624"/>
    <w:rsid w:val="00E74A20"/>
    <w:rsid w:val="00E84B31"/>
    <w:rsid w:val="00E9001F"/>
    <w:rsid w:val="00E94710"/>
    <w:rsid w:val="00EC4414"/>
    <w:rsid w:val="00ED6D74"/>
    <w:rsid w:val="00ED7F87"/>
    <w:rsid w:val="00EF663C"/>
    <w:rsid w:val="00F05B1D"/>
    <w:rsid w:val="00F468B3"/>
    <w:rsid w:val="00F518C8"/>
    <w:rsid w:val="00F53FC2"/>
    <w:rsid w:val="00F565DB"/>
    <w:rsid w:val="00F57C21"/>
    <w:rsid w:val="00F86A24"/>
    <w:rsid w:val="00FA1B13"/>
    <w:rsid w:val="00FA5049"/>
    <w:rsid w:val="00FE2F6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656084" w:rsidRDefault="00656084">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656084" w:rsidRDefault="00656084">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84"/>
    <w:rsid w:val="0065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0745D79-38AC-4AFC-B944-2FA1CFE18789}"/>
</file>

<file path=customXml/itemProps2.xml><?xml version="1.0" encoding="utf-8"?>
<ds:datastoreItem xmlns:ds="http://schemas.openxmlformats.org/officeDocument/2006/customXml" ds:itemID="{E6E8E213-6C03-4B3E-BE0A-8F8F70C53C86}"/>
</file>

<file path=customXml/itemProps3.xml><?xml version="1.0" encoding="utf-8"?>
<ds:datastoreItem xmlns:ds="http://schemas.openxmlformats.org/officeDocument/2006/customXml" ds:itemID="{F4EC6412-B00F-4E49-9345-D08094A0B5EC}"/>
</file>

<file path=customXml/itemProps4.xml><?xml version="1.0" encoding="utf-8"?>
<ds:datastoreItem xmlns:ds="http://schemas.openxmlformats.org/officeDocument/2006/customXml" ds:itemID="{96ABADE0-DF64-42B4-B13F-343E09EF4724}"/>
</file>

<file path=docProps/app.xml><?xml version="1.0" encoding="utf-8"?>
<Properties xmlns="http://schemas.openxmlformats.org/officeDocument/2006/extended-properties" xmlns:vt="http://schemas.openxmlformats.org/officeDocument/2006/docPropsVTypes">
  <Template>(Electric)Tariff Sheet Template.dotx</Template>
  <TotalTime>16</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Lori Traore</cp:lastModifiedBy>
  <cp:revision>8</cp:revision>
  <cp:lastPrinted>2016-10-05T00:55:00Z</cp:lastPrinted>
  <dcterms:created xsi:type="dcterms:W3CDTF">2016-10-05T23:24:00Z</dcterms:created>
  <dcterms:modified xsi:type="dcterms:W3CDTF">2016-10-07T22:32:00Z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