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900"/>
      </w:tblGrid>
      <w:tr w:rsidR="00C453BC" w:rsidRPr="00C453BC" w:rsidTr="00707EBF">
        <w:tc>
          <w:tcPr>
            <w:tcW w:w="9450" w:type="dxa"/>
          </w:tcPr>
          <w:p w:rsidR="00C453BC" w:rsidRPr="00C453BC" w:rsidRDefault="00C453BC" w:rsidP="00CC03DD">
            <w:pPr>
              <w:widowControl/>
              <w:rPr>
                <w:rFonts w:ascii="Times New Roman" w:hAnsi="Times New Roman"/>
                <w:sz w:val="24"/>
                <w:szCs w:val="24"/>
              </w:rPr>
            </w:pPr>
          </w:p>
        </w:tc>
        <w:tc>
          <w:tcPr>
            <w:tcW w:w="900" w:type="dxa"/>
          </w:tcPr>
          <w:p w:rsidR="00C453BC" w:rsidRPr="00C453BC" w:rsidRDefault="00C453BC" w:rsidP="00CC03DD">
            <w:pPr>
              <w:widowControl/>
              <w:tabs>
                <w:tab w:val="left" w:pos="366"/>
              </w:tabs>
              <w:rPr>
                <w:rFonts w:ascii="Times New Roman" w:hAnsi="Times New Roman"/>
                <w:sz w:val="24"/>
                <w:szCs w:val="24"/>
              </w:rPr>
            </w:pPr>
          </w:p>
        </w:tc>
      </w:tr>
      <w:tr w:rsidR="00C453BC" w:rsidRPr="00C453BC" w:rsidTr="00707EBF">
        <w:tc>
          <w:tcPr>
            <w:tcW w:w="9450" w:type="dxa"/>
          </w:tcPr>
          <w:p w:rsidR="00C453BC" w:rsidRPr="00C453BC" w:rsidRDefault="00C453BC" w:rsidP="00707EBF">
            <w:pPr>
              <w:jc w:val="center"/>
              <w:rPr>
                <w:rFonts w:ascii="Times New Roman" w:hAnsi="Times New Roman"/>
                <w:b/>
                <w:sz w:val="24"/>
                <w:szCs w:val="24"/>
                <w:u w:val="single"/>
              </w:rPr>
            </w:pPr>
            <w:r w:rsidRPr="00C453BC">
              <w:rPr>
                <w:rFonts w:ascii="Times New Roman" w:hAnsi="Times New Roman"/>
                <w:b/>
                <w:sz w:val="24"/>
                <w:szCs w:val="24"/>
                <w:u w:val="single"/>
              </w:rPr>
              <w:t>SCHEDULE NO. 2</w:t>
            </w:r>
          </w:p>
        </w:tc>
        <w:tc>
          <w:tcPr>
            <w:tcW w:w="900" w:type="dxa"/>
          </w:tcPr>
          <w:p w:rsidR="00C453BC" w:rsidRPr="00C453BC" w:rsidRDefault="00C453BC" w:rsidP="00CC03DD">
            <w:pPr>
              <w:rPr>
                <w:rFonts w:ascii="Times New Roman" w:hAnsi="Times New Roman"/>
                <w:b/>
                <w:sz w:val="24"/>
                <w:szCs w:val="24"/>
                <w:u w:val="single"/>
              </w:rPr>
            </w:pPr>
          </w:p>
        </w:tc>
      </w:tr>
      <w:tr w:rsidR="00C453BC" w:rsidRPr="00C453BC" w:rsidTr="00707EBF">
        <w:tc>
          <w:tcPr>
            <w:tcW w:w="9450" w:type="dxa"/>
          </w:tcPr>
          <w:p w:rsidR="00C453BC" w:rsidRPr="00C453BC" w:rsidRDefault="00C453BC" w:rsidP="00707EBF">
            <w:pPr>
              <w:jc w:val="center"/>
              <w:rPr>
                <w:rFonts w:ascii="Times New Roman" w:hAnsi="Times New Roman"/>
                <w:b/>
                <w:sz w:val="24"/>
                <w:szCs w:val="24"/>
              </w:rPr>
            </w:pPr>
            <w:r w:rsidRPr="00C453BC">
              <w:rPr>
                <w:rFonts w:ascii="Times New Roman" w:hAnsi="Times New Roman"/>
                <w:b/>
                <w:sz w:val="24"/>
                <w:szCs w:val="24"/>
                <w:u w:val="single"/>
              </w:rPr>
              <w:t>METERED RATE SERVICE</w:t>
            </w:r>
          </w:p>
        </w:tc>
        <w:tc>
          <w:tcPr>
            <w:tcW w:w="900" w:type="dxa"/>
          </w:tcPr>
          <w:p w:rsidR="00C453BC" w:rsidRPr="00C453BC" w:rsidRDefault="00C453BC" w:rsidP="00CC03DD">
            <w:pPr>
              <w:rPr>
                <w:rFonts w:ascii="Times New Roman" w:hAnsi="Times New Roman"/>
                <w:b/>
                <w:sz w:val="24"/>
                <w:szCs w:val="24"/>
                <w:u w:val="single"/>
              </w:rPr>
            </w:pPr>
          </w:p>
        </w:tc>
      </w:tr>
      <w:tr w:rsidR="00C453BC" w:rsidRPr="00C453BC" w:rsidTr="00707EBF">
        <w:tc>
          <w:tcPr>
            <w:tcW w:w="9450" w:type="dxa"/>
          </w:tcPr>
          <w:p w:rsidR="00CC03DD" w:rsidRDefault="00CC03DD" w:rsidP="00CC03DD">
            <w:pPr>
              <w:rPr>
                <w:rFonts w:ascii="Times New Roman" w:hAnsi="Times New Roman"/>
                <w:b/>
                <w:bCs/>
                <w:sz w:val="24"/>
                <w:szCs w:val="24"/>
                <w:u w:val="single"/>
              </w:rPr>
            </w:pPr>
          </w:p>
          <w:p w:rsidR="00C453BC" w:rsidRPr="00C453BC" w:rsidRDefault="00C453BC" w:rsidP="00CC03DD">
            <w:pPr>
              <w:rPr>
                <w:rFonts w:ascii="Times New Roman" w:hAnsi="Times New Roman"/>
                <w:sz w:val="24"/>
                <w:szCs w:val="24"/>
              </w:rPr>
            </w:pPr>
            <w:r w:rsidRPr="00C453BC">
              <w:rPr>
                <w:rFonts w:ascii="Times New Roman" w:hAnsi="Times New Roman"/>
                <w:b/>
                <w:bCs/>
                <w:sz w:val="24"/>
                <w:szCs w:val="24"/>
                <w:u w:val="single"/>
              </w:rPr>
              <w:t>Availability</w:t>
            </w:r>
          </w:p>
        </w:tc>
        <w:tc>
          <w:tcPr>
            <w:tcW w:w="900" w:type="dxa"/>
          </w:tcPr>
          <w:p w:rsidR="00C453BC" w:rsidRPr="00C453BC" w:rsidRDefault="00C453BC" w:rsidP="00CC03DD">
            <w:pPr>
              <w:rPr>
                <w:rFonts w:ascii="Times New Roman" w:hAnsi="Times New Roman"/>
                <w:b/>
                <w:bCs/>
                <w:sz w:val="24"/>
                <w:szCs w:val="24"/>
                <w:u w:val="single"/>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p>
        </w:tc>
        <w:tc>
          <w:tcPr>
            <w:tcW w:w="900" w:type="dxa"/>
          </w:tcPr>
          <w:p w:rsidR="00C453BC" w:rsidRPr="00C453BC" w:rsidRDefault="00C453BC" w:rsidP="00CC03DD">
            <w:pPr>
              <w:rPr>
                <w:rFonts w:ascii="Times New Roman" w:hAnsi="Times New Roman"/>
                <w:sz w:val="24"/>
                <w:szCs w:val="24"/>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As feasible within the limits of all Water Service Areas served by the Utility and at Utility’s option and capability to maintain Department of Health standards of quantity and quality.</w:t>
            </w:r>
          </w:p>
        </w:tc>
        <w:tc>
          <w:tcPr>
            <w:tcW w:w="900" w:type="dxa"/>
          </w:tcPr>
          <w:p w:rsidR="00C453BC" w:rsidRDefault="00C453BC" w:rsidP="00CC03DD">
            <w:pPr>
              <w:rPr>
                <w:rFonts w:ascii="Times New Roman" w:hAnsi="Times New Roman"/>
                <w:sz w:val="24"/>
                <w:szCs w:val="24"/>
              </w:rPr>
            </w:pPr>
          </w:p>
          <w:p w:rsidR="00C453BC" w:rsidRPr="00C453BC" w:rsidRDefault="00C453BC" w:rsidP="00CC03DD">
            <w:pPr>
              <w:rPr>
                <w:rFonts w:ascii="Times New Roman" w:hAnsi="Times New Roman"/>
                <w:sz w:val="24"/>
                <w:szCs w:val="24"/>
              </w:rPr>
            </w:pPr>
            <w:r>
              <w:rPr>
                <w:rFonts w:ascii="Times New Roman" w:hAnsi="Times New Roman"/>
                <w:sz w:val="24"/>
                <w:szCs w:val="24"/>
              </w:rPr>
              <w:t>(T)</w:t>
            </w:r>
          </w:p>
        </w:tc>
      </w:tr>
      <w:tr w:rsidR="00C453BC" w:rsidRPr="00C453BC" w:rsidDel="00950547" w:rsidTr="00707EBF">
        <w:tc>
          <w:tcPr>
            <w:tcW w:w="9450" w:type="dxa"/>
          </w:tcPr>
          <w:p w:rsidR="00C453BC" w:rsidRPr="00C453BC" w:rsidDel="00950547" w:rsidRDefault="00C453BC" w:rsidP="00CC03DD">
            <w:pPr>
              <w:spacing w:line="200" w:lineRule="atLeast"/>
              <w:rPr>
                <w:rFonts w:ascii="Times New Roman" w:hAnsi="Times New Roman"/>
                <w:b/>
                <w:sz w:val="24"/>
                <w:szCs w:val="24"/>
                <w:u w:val="single"/>
              </w:rPr>
            </w:pPr>
          </w:p>
        </w:tc>
        <w:tc>
          <w:tcPr>
            <w:tcW w:w="900" w:type="dxa"/>
          </w:tcPr>
          <w:p w:rsidR="00C453BC" w:rsidRPr="00C453BC" w:rsidDel="00950547" w:rsidRDefault="00C453BC" w:rsidP="00CC03DD">
            <w:pPr>
              <w:spacing w:line="200" w:lineRule="atLeast"/>
              <w:rPr>
                <w:rFonts w:ascii="Times New Roman" w:hAnsi="Times New Roman"/>
                <w:b/>
                <w:sz w:val="24"/>
                <w:szCs w:val="24"/>
                <w:u w:val="single"/>
              </w:rPr>
            </w:pPr>
          </w:p>
        </w:tc>
      </w:tr>
      <w:tr w:rsidR="00C453BC" w:rsidRPr="00C453BC" w:rsidTr="00707EBF">
        <w:tc>
          <w:tcPr>
            <w:tcW w:w="9450" w:type="dxa"/>
          </w:tcPr>
          <w:p w:rsidR="00CC03DD" w:rsidRDefault="00CC03DD" w:rsidP="00CC03DD">
            <w:pPr>
              <w:spacing w:line="200" w:lineRule="atLeast"/>
              <w:rPr>
                <w:rFonts w:ascii="Times New Roman" w:hAnsi="Times New Roman"/>
                <w:b/>
                <w:sz w:val="24"/>
                <w:szCs w:val="24"/>
                <w:u w:val="single"/>
              </w:rPr>
            </w:pPr>
          </w:p>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b/>
                <w:sz w:val="24"/>
                <w:szCs w:val="24"/>
                <w:u w:val="single"/>
              </w:rPr>
              <w:t>Applicable</w:t>
            </w:r>
          </w:p>
        </w:tc>
        <w:tc>
          <w:tcPr>
            <w:tcW w:w="900" w:type="dxa"/>
          </w:tcPr>
          <w:p w:rsidR="00C453BC" w:rsidRPr="00C453BC" w:rsidRDefault="00C453BC" w:rsidP="00CC03DD">
            <w:pPr>
              <w:spacing w:line="200" w:lineRule="atLeast"/>
              <w:rPr>
                <w:rFonts w:ascii="Times New Roman" w:hAnsi="Times New Roman"/>
                <w:b/>
                <w:sz w:val="24"/>
                <w:szCs w:val="24"/>
                <w:u w:val="single"/>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 xml:space="preserve">Applicable to each domestic residential customer served by the Utility on a metered basis. </w:t>
            </w: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b/>
                <w:sz w:val="24"/>
                <w:szCs w:val="24"/>
                <w:u w:val="single"/>
              </w:rPr>
              <w:t>Conditions</w:t>
            </w:r>
          </w:p>
        </w:tc>
        <w:tc>
          <w:tcPr>
            <w:tcW w:w="900" w:type="dxa"/>
          </w:tcPr>
          <w:p w:rsidR="00C453BC" w:rsidRPr="00C453BC" w:rsidRDefault="00C453BC" w:rsidP="00CC03DD">
            <w:pPr>
              <w:spacing w:line="200" w:lineRule="atLeast"/>
              <w:rPr>
                <w:rFonts w:ascii="Times New Roman" w:hAnsi="Times New Roman"/>
                <w:b/>
                <w:sz w:val="24"/>
                <w:szCs w:val="24"/>
                <w:u w:val="single"/>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 xml:space="preserve">All metered rate service base rate(s) have zero allowance for the water usage. </w:t>
            </w:r>
          </w:p>
        </w:tc>
        <w:tc>
          <w:tcPr>
            <w:tcW w:w="900" w:type="dxa"/>
          </w:tcPr>
          <w:p w:rsidR="00C453BC" w:rsidRPr="00C453BC" w:rsidRDefault="00C453BC" w:rsidP="00CC03DD">
            <w:pPr>
              <w:rPr>
                <w:rFonts w:ascii="Times New Roman" w:hAnsi="Times New Roman"/>
                <w:sz w:val="24"/>
                <w:szCs w:val="24"/>
              </w:rPr>
            </w:pPr>
          </w:p>
        </w:tc>
      </w:tr>
      <w:tr w:rsidR="00C453BC" w:rsidRPr="00C453BC" w:rsidTr="00707EBF">
        <w:tc>
          <w:tcPr>
            <w:tcW w:w="9450" w:type="dxa"/>
          </w:tcPr>
          <w:p w:rsidR="00C453BC" w:rsidRPr="00C453BC" w:rsidRDefault="00C453BC" w:rsidP="00CC03DD">
            <w:pPr>
              <w:rPr>
                <w:rFonts w:ascii="Times New Roman" w:hAnsi="Times New Roman"/>
                <w:sz w:val="24"/>
                <w:szCs w:val="24"/>
              </w:rPr>
            </w:pPr>
            <w:r w:rsidRPr="00C453BC">
              <w:rPr>
                <w:rFonts w:ascii="Times New Roman" w:hAnsi="Times New Roman"/>
                <w:sz w:val="24"/>
                <w:szCs w:val="24"/>
              </w:rPr>
              <w:t xml:space="preserve">Base rate charge(s) and water usage block(s) are modified by the meter size factor. </w:t>
            </w:r>
          </w:p>
        </w:tc>
        <w:tc>
          <w:tcPr>
            <w:tcW w:w="900" w:type="dxa"/>
          </w:tcPr>
          <w:p w:rsidR="00C72683" w:rsidRPr="00C453BC" w:rsidRDefault="00C72683" w:rsidP="00CC03DD">
            <w:pPr>
              <w:rPr>
                <w:rFonts w:ascii="Times New Roman" w:hAnsi="Times New Roman"/>
                <w:sz w:val="24"/>
                <w:szCs w:val="24"/>
              </w:rPr>
            </w:pPr>
            <w:r>
              <w:rPr>
                <w:rFonts w:ascii="Times New Roman" w:hAnsi="Times New Roman"/>
                <w:sz w:val="24"/>
                <w:szCs w:val="24"/>
              </w:rPr>
              <w:t>(N)</w:t>
            </w:r>
          </w:p>
        </w:tc>
      </w:tr>
      <w:tr w:rsidR="00C453BC" w:rsidRPr="00C453BC" w:rsidTr="00707EBF">
        <w:tc>
          <w:tcPr>
            <w:tcW w:w="9450" w:type="dxa"/>
          </w:tcPr>
          <w:p w:rsidR="00C453BC" w:rsidRPr="00C453BC" w:rsidRDefault="00C453BC" w:rsidP="00CC03DD">
            <w:pPr>
              <w:rPr>
                <w:rFonts w:ascii="Times New Roman" w:hAnsi="Times New Roman"/>
                <w:sz w:val="24"/>
                <w:szCs w:val="24"/>
              </w:rPr>
            </w:pPr>
          </w:p>
        </w:tc>
        <w:tc>
          <w:tcPr>
            <w:tcW w:w="900" w:type="dxa"/>
          </w:tcPr>
          <w:p w:rsidR="00C453BC" w:rsidRPr="00C453BC" w:rsidRDefault="00C453BC" w:rsidP="00CC03DD">
            <w:pPr>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r w:rsidRPr="00C453BC">
              <w:rPr>
                <w:rFonts w:ascii="Times New Roman" w:hAnsi="Times New Roman"/>
                <w:sz w:val="24"/>
                <w:szCs w:val="24"/>
              </w:rPr>
              <w:t xml:space="preserve">Usage rates are shown per 100 cubic feet. Billing for any block shall be calculated on a per cubic foot amount based on the usage rate charge of that block. </w:t>
            </w:r>
          </w:p>
        </w:tc>
        <w:tc>
          <w:tcPr>
            <w:tcW w:w="900" w:type="dxa"/>
          </w:tcPr>
          <w:p w:rsidR="00C72683" w:rsidRDefault="00C72683" w:rsidP="00CC03DD">
            <w:pPr>
              <w:spacing w:line="200" w:lineRule="atLeast"/>
              <w:rPr>
                <w:rFonts w:ascii="Times New Roman" w:hAnsi="Times New Roman"/>
                <w:sz w:val="24"/>
                <w:szCs w:val="24"/>
              </w:rPr>
            </w:pPr>
          </w:p>
          <w:p w:rsidR="00C72683" w:rsidRPr="00C453BC" w:rsidRDefault="00C72683" w:rsidP="00CC03DD">
            <w:pPr>
              <w:spacing w:line="200" w:lineRule="atLeast"/>
              <w:rPr>
                <w:rFonts w:ascii="Times New Roman" w:hAnsi="Times New Roman"/>
                <w:sz w:val="24"/>
                <w:szCs w:val="24"/>
              </w:rPr>
            </w:pPr>
            <w:r>
              <w:rPr>
                <w:rFonts w:ascii="Times New Roman" w:hAnsi="Times New Roman"/>
                <w:sz w:val="24"/>
                <w:szCs w:val="24"/>
              </w:rPr>
              <w:t>(N)</w:t>
            </w:r>
          </w:p>
        </w:tc>
      </w:tr>
      <w:tr w:rsidR="00C453BC" w:rsidRPr="00C453BC" w:rsidTr="00707EBF">
        <w:tc>
          <w:tcPr>
            <w:tcW w:w="9450" w:type="dxa"/>
          </w:tcPr>
          <w:p w:rsidR="00C453BC" w:rsidRPr="00C453BC" w:rsidRDefault="00C453BC" w:rsidP="00CC03DD">
            <w:pPr>
              <w:spacing w:line="200" w:lineRule="atLeast"/>
              <w:rPr>
                <w:rFonts w:ascii="Times New Roman" w:hAnsi="Times New Roman"/>
                <w:sz w:val="24"/>
                <w:szCs w:val="24"/>
              </w:rPr>
            </w:pPr>
          </w:p>
        </w:tc>
        <w:tc>
          <w:tcPr>
            <w:tcW w:w="900" w:type="dxa"/>
          </w:tcPr>
          <w:p w:rsidR="00C453BC" w:rsidRPr="00C453BC" w:rsidRDefault="00C453BC" w:rsidP="00CC03DD">
            <w:pPr>
              <w:spacing w:line="200" w:lineRule="atLeast"/>
              <w:rPr>
                <w:rFonts w:ascii="Times New Roman" w:hAnsi="Times New Roman"/>
                <w:sz w:val="24"/>
                <w:szCs w:val="24"/>
              </w:rPr>
            </w:pPr>
          </w:p>
        </w:tc>
      </w:tr>
      <w:tr w:rsidR="00C453BC" w:rsidRPr="00C453BC" w:rsidTr="00707EBF">
        <w:tc>
          <w:tcPr>
            <w:tcW w:w="9450" w:type="dxa"/>
          </w:tcPr>
          <w:p w:rsidR="00C453BC" w:rsidRPr="00C453BC" w:rsidRDefault="00C453BC" w:rsidP="00CC03DD">
            <w:pPr>
              <w:spacing w:line="200" w:lineRule="atLeast"/>
              <w:rPr>
                <w:rFonts w:ascii="Times New Roman" w:hAnsi="Times New Roman"/>
                <w:b/>
                <w:sz w:val="24"/>
                <w:szCs w:val="24"/>
                <w:u w:val="single"/>
              </w:rPr>
            </w:pPr>
            <w:r w:rsidRPr="00C453BC">
              <w:rPr>
                <w:rFonts w:ascii="Times New Roman" w:hAnsi="Times New Roman"/>
                <w:b/>
                <w:sz w:val="24"/>
                <w:szCs w:val="24"/>
                <w:u w:val="single"/>
              </w:rPr>
              <w:t>Monthly Charges</w:t>
            </w:r>
          </w:p>
        </w:tc>
        <w:tc>
          <w:tcPr>
            <w:tcW w:w="900" w:type="dxa"/>
          </w:tcPr>
          <w:p w:rsidR="00C453BC" w:rsidRPr="00C72683" w:rsidRDefault="0035719A" w:rsidP="00707EBF">
            <w:pPr>
              <w:spacing w:line="200" w:lineRule="atLeast"/>
              <w:rPr>
                <w:rFonts w:ascii="Times New Roman" w:hAnsi="Times New Roman"/>
                <w:sz w:val="24"/>
                <w:szCs w:val="24"/>
              </w:rPr>
            </w:pPr>
            <w:r>
              <w:rPr>
                <w:rFonts w:ascii="Times New Roman" w:hAnsi="Times New Roman"/>
                <w:sz w:val="24"/>
                <w:szCs w:val="24"/>
              </w:rPr>
              <w:t xml:space="preserve">(T) </w:t>
            </w:r>
            <w:r w:rsidR="00C72683" w:rsidRPr="00C72683">
              <w:rPr>
                <w:rFonts w:ascii="Times New Roman" w:hAnsi="Times New Roman"/>
                <w:sz w:val="24"/>
                <w:szCs w:val="24"/>
              </w:rPr>
              <w:t>(I)</w:t>
            </w:r>
          </w:p>
        </w:tc>
      </w:tr>
    </w:tbl>
    <w:p w:rsidR="005A5AAC" w:rsidRPr="00C86E02" w:rsidRDefault="005A5AAC" w:rsidP="00CC03DD">
      <w:pPr>
        <w:spacing w:line="200" w:lineRule="atLeast"/>
        <w:rPr>
          <w:rFonts w:ascii="Times New Roman" w:hAnsi="Times New Roman"/>
          <w:sz w:val="24"/>
          <w:szCs w:val="24"/>
        </w:rPr>
      </w:pPr>
    </w:p>
    <w:p w:rsidR="005A5AAC" w:rsidRPr="00C86E02" w:rsidRDefault="005A5AAC" w:rsidP="005A5AAC">
      <w:pPr>
        <w:spacing w:line="200" w:lineRule="atLeast"/>
        <w:rPr>
          <w:rFonts w:ascii="Times New Roman" w:hAnsi="Times New Roman"/>
          <w:sz w:val="24"/>
          <w:szCs w:val="24"/>
        </w:rPr>
      </w:pPr>
      <w:r w:rsidRPr="00C86E02">
        <w:rPr>
          <w:rFonts w:ascii="Times New Roman" w:hAnsi="Times New Roman"/>
          <w:sz w:val="24"/>
          <w:szCs w:val="24"/>
        </w:rPr>
        <w:t>Each connection or customer.</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952"/>
        <w:gridCol w:w="1090"/>
        <w:gridCol w:w="1040"/>
        <w:gridCol w:w="1012"/>
        <w:gridCol w:w="1058"/>
        <w:gridCol w:w="1060"/>
        <w:gridCol w:w="1060"/>
        <w:gridCol w:w="920"/>
      </w:tblGrid>
      <w:tr w:rsidR="005A5AAC" w:rsidRPr="00C86E02" w:rsidTr="00790C76">
        <w:trPr>
          <w:trHeight w:val="432"/>
        </w:trPr>
        <w:tc>
          <w:tcPr>
            <w:tcW w:w="493"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Meter Size</w:t>
            </w:r>
          </w:p>
        </w:tc>
        <w:tc>
          <w:tcPr>
            <w:tcW w:w="524"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Meter Size Factor</w:t>
            </w:r>
          </w:p>
        </w:tc>
        <w:tc>
          <w:tcPr>
            <w:tcW w:w="600"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Base Rate</w:t>
            </w:r>
          </w:p>
        </w:tc>
        <w:tc>
          <w:tcPr>
            <w:tcW w:w="572"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57"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82"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83"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83"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(cu.</w:t>
            </w:r>
            <w:r w:rsidR="00CC03DD">
              <w:rPr>
                <w:rFonts w:ascii="Times New Roman" w:hAnsi="Times New Roman"/>
                <w:b/>
                <w:sz w:val="24"/>
                <w:szCs w:val="24"/>
              </w:rPr>
              <w:t xml:space="preserve"> </w:t>
            </w:r>
            <w:r w:rsidRPr="00B379DA">
              <w:rPr>
                <w:rFonts w:ascii="Times New Roman" w:hAnsi="Times New Roman"/>
                <w:b/>
                <w:sz w:val="24"/>
                <w:szCs w:val="24"/>
              </w:rPr>
              <w:t>ft.)</w:t>
            </w:r>
          </w:p>
        </w:tc>
        <w:tc>
          <w:tcPr>
            <w:tcW w:w="506" w:type="pct"/>
            <w:tcBorders>
              <w:bottom w:val="double" w:sz="4" w:space="0" w:color="auto"/>
            </w:tcBorders>
            <w:vAlign w:val="bottom"/>
          </w:tcPr>
          <w:p w:rsidR="005A5AAC" w:rsidRPr="00B379DA" w:rsidRDefault="005A5AAC" w:rsidP="00BE4A35">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1-inch</w:t>
            </w:r>
          </w:p>
        </w:tc>
        <w:tc>
          <w:tcPr>
            <w:tcW w:w="524"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1.00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30.00</w:t>
            </w:r>
          </w:p>
        </w:tc>
        <w:tc>
          <w:tcPr>
            <w:tcW w:w="572"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600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601</w:t>
            </w:r>
            <w:r w:rsidRPr="00B379DA">
              <w:rPr>
                <w:rFonts w:ascii="Times New Roman" w:hAnsi="Times New Roman"/>
                <w:sz w:val="24"/>
                <w:szCs w:val="24"/>
              </w:rPr>
              <w:t xml:space="preserve"> – </w:t>
            </w:r>
            <w:r>
              <w:rPr>
                <w:rFonts w:ascii="Times New Roman" w:hAnsi="Times New Roman"/>
                <w:sz w:val="24"/>
                <w:szCs w:val="24"/>
              </w:rPr>
              <w:t>1,200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1,200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2-inch</w:t>
            </w:r>
          </w:p>
        </w:tc>
        <w:tc>
          <w:tcPr>
            <w:tcW w:w="524" w:type="pct"/>
            <w:vAlign w:val="bottom"/>
          </w:tcPr>
          <w:p w:rsidR="00790C76" w:rsidRPr="00B379DA" w:rsidRDefault="00670294" w:rsidP="00790C76">
            <w:pPr>
              <w:rPr>
                <w:rFonts w:ascii="Times New Roman" w:hAnsi="Times New Roman"/>
                <w:sz w:val="24"/>
                <w:szCs w:val="24"/>
              </w:rPr>
            </w:pPr>
            <w:r>
              <w:rPr>
                <w:rFonts w:ascii="Times New Roman" w:hAnsi="Times New Roman"/>
                <w:sz w:val="24"/>
                <w:szCs w:val="24"/>
              </w:rPr>
              <w:t>3.2</w:t>
            </w:r>
            <w:r w:rsidR="00790C76">
              <w:rPr>
                <w:rFonts w:ascii="Times New Roman" w:hAnsi="Times New Roman"/>
                <w:sz w:val="24"/>
                <w:szCs w:val="24"/>
              </w:rPr>
              <w:t>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96.00</w:t>
            </w:r>
          </w:p>
        </w:tc>
        <w:tc>
          <w:tcPr>
            <w:tcW w:w="572"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1,920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1,921</w:t>
            </w:r>
            <w:r w:rsidRPr="00B379DA">
              <w:rPr>
                <w:rFonts w:ascii="Times New Roman" w:hAnsi="Times New Roman"/>
                <w:sz w:val="24"/>
                <w:szCs w:val="24"/>
              </w:rPr>
              <w:t>–</w:t>
            </w:r>
            <w:r>
              <w:rPr>
                <w:rFonts w:ascii="Times New Roman" w:hAnsi="Times New Roman"/>
                <w:sz w:val="24"/>
                <w:szCs w:val="24"/>
              </w:rPr>
              <w:t>3,840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3,840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3-inch</w:t>
            </w:r>
          </w:p>
        </w:tc>
        <w:tc>
          <w:tcPr>
            <w:tcW w:w="524"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6</w:t>
            </w:r>
            <w:r w:rsidRPr="00B379DA">
              <w:rPr>
                <w:rFonts w:ascii="Times New Roman" w:hAnsi="Times New Roman"/>
                <w:sz w:val="24"/>
                <w:szCs w:val="24"/>
              </w:rPr>
              <w:t>.00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180.00</w:t>
            </w:r>
          </w:p>
        </w:tc>
        <w:tc>
          <w:tcPr>
            <w:tcW w:w="572"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3</w:t>
            </w:r>
            <w:r w:rsidRPr="00B379DA">
              <w:rPr>
                <w:rFonts w:ascii="Times New Roman" w:hAnsi="Times New Roman"/>
                <w:sz w:val="24"/>
                <w:szCs w:val="24"/>
              </w:rPr>
              <w:t>,</w:t>
            </w:r>
            <w:r>
              <w:rPr>
                <w:rFonts w:ascii="Times New Roman" w:hAnsi="Times New Roman"/>
                <w:sz w:val="24"/>
                <w:szCs w:val="24"/>
              </w:rPr>
              <w:t>6</w:t>
            </w:r>
            <w:r w:rsidRPr="00B379DA">
              <w:rPr>
                <w:rFonts w:ascii="Times New Roman" w:hAnsi="Times New Roman"/>
                <w:sz w:val="24"/>
                <w:szCs w:val="24"/>
              </w:rPr>
              <w:t>00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3</w:t>
            </w:r>
            <w:r w:rsidRPr="00B379DA">
              <w:rPr>
                <w:rFonts w:ascii="Times New Roman" w:hAnsi="Times New Roman"/>
                <w:sz w:val="24"/>
                <w:szCs w:val="24"/>
              </w:rPr>
              <w:t>,</w:t>
            </w:r>
            <w:r>
              <w:rPr>
                <w:rFonts w:ascii="Times New Roman" w:hAnsi="Times New Roman"/>
                <w:sz w:val="24"/>
                <w:szCs w:val="24"/>
              </w:rPr>
              <w:t>6</w:t>
            </w:r>
            <w:r w:rsidRPr="00B379DA">
              <w:rPr>
                <w:rFonts w:ascii="Times New Roman" w:hAnsi="Times New Roman"/>
                <w:sz w:val="24"/>
                <w:szCs w:val="24"/>
              </w:rPr>
              <w:t>01–</w:t>
            </w:r>
            <w:r>
              <w:rPr>
                <w:rFonts w:ascii="Times New Roman" w:hAnsi="Times New Roman"/>
                <w:sz w:val="24"/>
                <w:szCs w:val="24"/>
              </w:rPr>
              <w:t>7,200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7,200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r w:rsidR="00790C76" w:rsidRPr="00C86E02" w:rsidTr="00790C76">
        <w:trPr>
          <w:trHeight w:val="432"/>
        </w:trPr>
        <w:tc>
          <w:tcPr>
            <w:tcW w:w="493"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-inch</w:t>
            </w:r>
          </w:p>
        </w:tc>
        <w:tc>
          <w:tcPr>
            <w:tcW w:w="524" w:type="pct"/>
            <w:vAlign w:val="bottom"/>
          </w:tcPr>
          <w:p w:rsidR="00790C76" w:rsidRPr="00B379DA" w:rsidRDefault="00790C76" w:rsidP="00790C76">
            <w:pPr>
              <w:rPr>
                <w:rFonts w:ascii="Times New Roman" w:hAnsi="Times New Roman"/>
                <w:sz w:val="24"/>
                <w:szCs w:val="24"/>
              </w:rPr>
            </w:pPr>
            <w:r>
              <w:rPr>
                <w:rFonts w:ascii="Times New Roman" w:hAnsi="Times New Roman"/>
                <w:sz w:val="24"/>
                <w:szCs w:val="24"/>
              </w:rPr>
              <w:t>32.00</w:t>
            </w:r>
          </w:p>
        </w:tc>
        <w:tc>
          <w:tcPr>
            <w:tcW w:w="600"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sidR="00670294">
              <w:rPr>
                <w:rFonts w:ascii="Times New Roman" w:hAnsi="Times New Roman"/>
                <w:sz w:val="24"/>
                <w:szCs w:val="24"/>
              </w:rPr>
              <w:t>96</w:t>
            </w:r>
            <w:r>
              <w:rPr>
                <w:rFonts w:ascii="Times New Roman" w:hAnsi="Times New Roman"/>
                <w:sz w:val="24"/>
                <w:szCs w:val="24"/>
              </w:rPr>
              <w:t>0.00</w:t>
            </w:r>
          </w:p>
        </w:tc>
        <w:tc>
          <w:tcPr>
            <w:tcW w:w="572" w:type="pct"/>
            <w:vAlign w:val="bottom"/>
          </w:tcPr>
          <w:p w:rsidR="00790C76" w:rsidRPr="00B379DA" w:rsidRDefault="00790C76" w:rsidP="00670294">
            <w:pPr>
              <w:rPr>
                <w:rFonts w:ascii="Times New Roman" w:hAnsi="Times New Roman"/>
                <w:sz w:val="24"/>
                <w:szCs w:val="24"/>
              </w:rPr>
            </w:pPr>
            <w:r w:rsidRPr="00B379DA">
              <w:rPr>
                <w:rFonts w:ascii="Times New Roman" w:hAnsi="Times New Roman"/>
                <w:sz w:val="24"/>
                <w:szCs w:val="24"/>
              </w:rPr>
              <w:t xml:space="preserve">0 – </w:t>
            </w:r>
            <w:r w:rsidR="00670294">
              <w:rPr>
                <w:rFonts w:ascii="Times New Roman" w:hAnsi="Times New Roman"/>
                <w:sz w:val="24"/>
                <w:szCs w:val="24"/>
              </w:rPr>
              <w:t>19,200</w:t>
            </w:r>
          </w:p>
        </w:tc>
        <w:tc>
          <w:tcPr>
            <w:tcW w:w="557"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1.50</w:t>
            </w:r>
          </w:p>
        </w:tc>
        <w:tc>
          <w:tcPr>
            <w:tcW w:w="582" w:type="pct"/>
            <w:vAlign w:val="bottom"/>
          </w:tcPr>
          <w:p w:rsidR="00790C76" w:rsidRPr="00B379DA" w:rsidRDefault="00670294" w:rsidP="00670294">
            <w:pPr>
              <w:rPr>
                <w:rFonts w:ascii="Times New Roman" w:hAnsi="Times New Roman"/>
                <w:sz w:val="24"/>
                <w:szCs w:val="24"/>
              </w:rPr>
            </w:pPr>
            <w:r>
              <w:rPr>
                <w:rFonts w:ascii="Times New Roman" w:hAnsi="Times New Roman"/>
                <w:sz w:val="24"/>
                <w:szCs w:val="24"/>
              </w:rPr>
              <w:t>19,2</w:t>
            </w:r>
            <w:r w:rsidR="00790C76">
              <w:rPr>
                <w:rFonts w:ascii="Times New Roman" w:hAnsi="Times New Roman"/>
                <w:sz w:val="24"/>
                <w:szCs w:val="24"/>
              </w:rPr>
              <w:t>01</w:t>
            </w:r>
            <w:r w:rsidR="00790C76" w:rsidRPr="00B379DA">
              <w:rPr>
                <w:rFonts w:ascii="Times New Roman" w:hAnsi="Times New Roman"/>
                <w:sz w:val="24"/>
                <w:szCs w:val="24"/>
              </w:rPr>
              <w:t>–</w:t>
            </w:r>
            <w:r>
              <w:rPr>
                <w:rFonts w:ascii="Times New Roman" w:hAnsi="Times New Roman"/>
                <w:sz w:val="24"/>
                <w:szCs w:val="24"/>
              </w:rPr>
              <w:t>38,400</w:t>
            </w:r>
          </w:p>
        </w:tc>
        <w:tc>
          <w:tcPr>
            <w:tcW w:w="583"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c>
          <w:tcPr>
            <w:tcW w:w="583" w:type="pct"/>
            <w:vAlign w:val="bottom"/>
          </w:tcPr>
          <w:p w:rsidR="00790C76" w:rsidRPr="00B379DA" w:rsidRDefault="00790C76" w:rsidP="00670294">
            <w:pPr>
              <w:rPr>
                <w:rFonts w:ascii="Times New Roman" w:hAnsi="Times New Roman"/>
                <w:sz w:val="24"/>
                <w:szCs w:val="24"/>
              </w:rPr>
            </w:pPr>
            <w:r w:rsidRPr="00B379DA">
              <w:rPr>
                <w:rFonts w:ascii="Times New Roman" w:hAnsi="Times New Roman"/>
                <w:sz w:val="24"/>
                <w:szCs w:val="24"/>
              </w:rPr>
              <w:t xml:space="preserve">Over </w:t>
            </w:r>
            <w:r w:rsidR="00670294">
              <w:rPr>
                <w:rFonts w:ascii="Times New Roman" w:hAnsi="Times New Roman"/>
                <w:sz w:val="24"/>
                <w:szCs w:val="24"/>
              </w:rPr>
              <w:t>38,400</w:t>
            </w:r>
          </w:p>
        </w:tc>
        <w:tc>
          <w:tcPr>
            <w:tcW w:w="506" w:type="pct"/>
            <w:vAlign w:val="bottom"/>
          </w:tcPr>
          <w:p w:rsidR="00790C76" w:rsidRPr="00B379DA" w:rsidRDefault="00790C76" w:rsidP="00790C76">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3.40</w:t>
            </w:r>
          </w:p>
        </w:tc>
      </w:tr>
    </w:tbl>
    <w:p w:rsidR="002C039A" w:rsidRPr="00AD3312" w:rsidRDefault="005A5AAC" w:rsidP="00707EBF">
      <w:pPr>
        <w:ind w:right="-540"/>
        <w:rPr>
          <w:rFonts w:ascii="Times New Roman" w:hAnsi="Times New Roman"/>
          <w:sz w:val="24"/>
          <w:szCs w:val="24"/>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 xml:space="preserve">Usage rates(s) are based on consumption per </w:t>
      </w:r>
      <w:r w:rsidR="005715C7">
        <w:rPr>
          <w:rFonts w:ascii="Times New Roman" w:hAnsi="Times New Roman"/>
        </w:rPr>
        <w:t>100 cubic fee</w:t>
      </w:r>
      <w:r w:rsidRPr="00115B20">
        <w:rPr>
          <w:rFonts w:ascii="Times New Roman" w:hAnsi="Times New Roman"/>
        </w:rPr>
        <w:t>t (cu.</w:t>
      </w:r>
      <w:r w:rsidR="00CC03DD">
        <w:rPr>
          <w:rFonts w:ascii="Times New Roman" w:hAnsi="Times New Roman"/>
        </w:rPr>
        <w:t xml:space="preserve"> </w:t>
      </w:r>
      <w:r w:rsidRPr="00115B20">
        <w:rPr>
          <w:rFonts w:ascii="Times New Roman" w:hAnsi="Times New Roman"/>
        </w:rPr>
        <w:t>ft.).</w:t>
      </w:r>
    </w:p>
    <w:sectPr w:rsidR="002C039A" w:rsidRPr="00AD3312" w:rsidSect="00E907EE">
      <w:headerReference w:type="even" r:id="rId7"/>
      <w:headerReference w:type="default" r:id="rId8"/>
      <w:footerReference w:type="even" r:id="rId9"/>
      <w:footerReference w:type="default" r:id="rId10"/>
      <w:headerReference w:type="first" r:id="rId11"/>
      <w:footerReference w:type="first" r:id="rId12"/>
      <w:pgSz w:w="12240" w:h="15840"/>
      <w:pgMar w:top="720" w:right="16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C0" w:rsidRDefault="006C04C0" w:rsidP="005A5AAC">
      <w:r>
        <w:separator/>
      </w:r>
    </w:p>
  </w:endnote>
  <w:endnote w:type="continuationSeparator" w:id="0">
    <w:p w:rsidR="006C04C0" w:rsidRDefault="006C04C0" w:rsidP="005A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20" w:rsidRDefault="008A1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AC" w:rsidRDefault="00D32F42" w:rsidP="005A5AAC">
    <w:pPr>
      <w:rPr>
        <w:rFonts w:ascii="Arial" w:hAnsi="Arial"/>
        <w:sz w:val="24"/>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0</wp:posOffset>
              </wp:positionH>
              <wp:positionV relativeFrom="paragraph">
                <wp:posOffset>30479</wp:posOffset>
              </wp:positionV>
              <wp:extent cx="6217920" cy="0"/>
              <wp:effectExtent l="0" t="19050" r="3048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B039"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8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0r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" o:allowincell="f" strokeweight="2.25pt"/>
          </w:pict>
        </mc:Fallback>
      </mc:AlternateContent>
    </w:r>
  </w:p>
  <w:p w:rsidR="005A5AAC" w:rsidRDefault="005A5AAC" w:rsidP="005A5AAC">
    <w:pPr>
      <w:rPr>
        <w:rFonts w:ascii="Arial" w:hAnsi="Arial"/>
        <w:b/>
      </w:rPr>
    </w:pPr>
    <w:r>
      <w:rPr>
        <w:rFonts w:ascii="Arial" w:hAnsi="Arial"/>
        <w:b/>
      </w:rPr>
      <w:t>Issued</w:t>
    </w:r>
    <w:r w:rsidR="00BE5190">
      <w:rPr>
        <w:rFonts w:ascii="Arial" w:hAnsi="Arial"/>
        <w:b/>
      </w:rPr>
      <w:t xml:space="preserve">: </w:t>
    </w:r>
    <w:r w:rsidR="00670294">
      <w:rPr>
        <w:rFonts w:ascii="Arial" w:hAnsi="Arial"/>
        <w:b/>
      </w:rPr>
      <w:t>April 25</w:t>
    </w:r>
    <w:r w:rsidR="00BE5190">
      <w:rPr>
        <w:rFonts w:ascii="Arial" w:hAnsi="Arial"/>
        <w:b/>
      </w:rPr>
      <w:t>, 2016</w:t>
    </w:r>
    <w:r>
      <w:rPr>
        <w:rFonts w:ascii="Arial" w:hAnsi="Arial"/>
        <w:b/>
      </w:rPr>
      <w:tab/>
    </w:r>
    <w:r>
      <w:rPr>
        <w:rFonts w:ascii="Arial" w:hAnsi="Arial"/>
        <w:b/>
      </w:rPr>
      <w:tab/>
    </w:r>
    <w:r w:rsidR="00BE5190">
      <w:rPr>
        <w:rFonts w:ascii="Arial" w:hAnsi="Arial"/>
        <w:b/>
      </w:rPr>
      <w:tab/>
    </w:r>
    <w:r w:rsidR="00BE5190">
      <w:rPr>
        <w:rFonts w:ascii="Arial" w:hAnsi="Arial"/>
        <w:b/>
      </w:rPr>
      <w:tab/>
    </w:r>
    <w:r w:rsidR="00BE5190">
      <w:rPr>
        <w:rFonts w:ascii="Arial" w:hAnsi="Arial"/>
        <w:b/>
      </w:rPr>
      <w:tab/>
    </w:r>
    <w:r w:rsidR="00BE5190">
      <w:rPr>
        <w:rFonts w:ascii="Arial" w:hAnsi="Arial"/>
        <w:b/>
      </w:rPr>
      <w:tab/>
    </w:r>
    <w:r w:rsidR="00BE5190">
      <w:rPr>
        <w:rFonts w:ascii="Arial" w:hAnsi="Arial"/>
        <w:b/>
      </w:rPr>
      <w:tab/>
    </w:r>
    <w:r>
      <w:rPr>
        <w:rFonts w:ascii="Arial" w:hAnsi="Arial"/>
        <w:b/>
      </w:rPr>
      <w:t>Effective</w:t>
    </w:r>
    <w:r w:rsidR="00BE5190">
      <w:rPr>
        <w:rFonts w:ascii="Arial" w:hAnsi="Arial"/>
        <w:b/>
      </w:rPr>
      <w:t xml:space="preserve">: </w:t>
    </w:r>
    <w:r w:rsidR="0061771A">
      <w:rPr>
        <w:rFonts w:ascii="Arial" w:hAnsi="Arial"/>
        <w:b/>
      </w:rPr>
      <w:t>June</w:t>
    </w:r>
    <w:r w:rsidR="00BE5190">
      <w:rPr>
        <w:rFonts w:ascii="Arial" w:hAnsi="Arial"/>
        <w:b/>
      </w:rPr>
      <w:t xml:space="preserve"> 1, 2016</w:t>
    </w:r>
  </w:p>
  <w:p w:rsidR="005A5AAC" w:rsidRDefault="005A5AAC" w:rsidP="005A5AAC">
    <w:pPr>
      <w:rPr>
        <w:rFonts w:ascii="Arial" w:hAnsi="Arial"/>
        <w:b/>
      </w:rPr>
    </w:pPr>
  </w:p>
  <w:p w:rsidR="005A5AAC" w:rsidRDefault="005A5AAC" w:rsidP="005A5AAC">
    <w:pPr>
      <w:rPr>
        <w:rFonts w:ascii="Arial" w:hAnsi="Arial"/>
        <w:b/>
      </w:rPr>
    </w:pPr>
    <w:r>
      <w:rPr>
        <w:rFonts w:ascii="Arial" w:hAnsi="Arial"/>
        <w:b/>
      </w:rPr>
      <w:t>Issued by</w:t>
    </w:r>
    <w:r w:rsidR="00BE5190">
      <w:rPr>
        <w:rFonts w:ascii="Arial" w:hAnsi="Arial"/>
        <w:b/>
      </w:rPr>
      <w:t>:  Desert Canyon Utility Company</w:t>
    </w:r>
  </w:p>
  <w:p w:rsidR="005A5AAC" w:rsidRDefault="005A5AAC" w:rsidP="005A5AAC">
    <w:pPr>
      <w:rPr>
        <w:rFonts w:ascii="Arial" w:hAnsi="Arial"/>
        <w:b/>
      </w:rPr>
    </w:pPr>
  </w:p>
  <w:p w:rsidR="005A5AAC" w:rsidRPr="00D32F42" w:rsidRDefault="00BE5190" w:rsidP="00D32F42">
    <w:pPr>
      <w:rPr>
        <w:rFonts w:ascii="Arial" w:hAnsi="Arial"/>
        <w:b/>
      </w:rPr>
    </w:pPr>
    <w:r>
      <w:rPr>
        <w:rFonts w:ascii="Arial" w:hAnsi="Arial"/>
        <w:b/>
      </w:rPr>
      <w:t xml:space="preserve"> By: Mark Peterson</w:t>
    </w:r>
    <w:r w:rsidR="005A5AAC">
      <w:rPr>
        <w:rFonts w:ascii="Arial" w:hAnsi="Arial"/>
        <w:b/>
      </w:rPr>
      <w:tab/>
      <w:t>Title</w:t>
    </w:r>
    <w:r w:rsidR="00A24C97">
      <w:rPr>
        <w:rFonts w:ascii="Arial" w:hAnsi="Arial"/>
        <w:b/>
      </w:rPr>
      <w:t>: Agent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20" w:rsidRDefault="008A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C0" w:rsidRDefault="006C04C0" w:rsidP="005A5AAC">
      <w:r>
        <w:separator/>
      </w:r>
    </w:p>
  </w:footnote>
  <w:footnote w:type="continuationSeparator" w:id="0">
    <w:p w:rsidR="006C04C0" w:rsidRDefault="006C04C0" w:rsidP="005A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20" w:rsidRDefault="008A1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3A" w:rsidRDefault="00817AD7" w:rsidP="005A5AAC">
    <w:pPr>
      <w:pStyle w:val="Header"/>
      <w:rPr>
        <w:rFonts w:ascii="Times New Roman" w:hAnsi="Times New Roman"/>
      </w:rPr>
    </w:pPr>
    <w:r>
      <w:rPr>
        <w:rFonts w:ascii="Times New Roman" w:hAnsi="Times New Roman"/>
      </w:rPr>
      <w:t>1</w:t>
    </w:r>
    <w:r w:rsidRPr="00817AD7">
      <w:rPr>
        <w:rFonts w:ascii="Times New Roman" w:hAnsi="Times New Roman"/>
        <w:vertAlign w:val="superscript"/>
      </w:rPr>
      <w:t>st</w:t>
    </w:r>
    <w:r>
      <w:rPr>
        <w:rFonts w:ascii="Times New Roman" w:hAnsi="Times New Roman"/>
      </w:rPr>
      <w:t xml:space="preserve"> Revised</w:t>
    </w:r>
    <w:r w:rsidR="005A5AAC" w:rsidRPr="00F415FA">
      <w:rPr>
        <w:rFonts w:ascii="Times New Roman" w:hAnsi="Times New Roman"/>
      </w:rPr>
      <w:t xml:space="preserve"> Sheet No. </w:t>
    </w:r>
    <w:r w:rsidR="001D3025">
      <w:rPr>
        <w:rFonts w:ascii="Times New Roman" w:hAnsi="Times New Roman"/>
      </w:rPr>
      <w:t>2</w:t>
    </w:r>
    <w:r w:rsidR="008A1B20">
      <w:rPr>
        <w:rFonts w:ascii="Times New Roman" w:hAnsi="Times New Roman"/>
      </w:rPr>
      <w:t>2</w:t>
    </w:r>
    <w:bookmarkStart w:id="0" w:name="_GoBack"/>
    <w:bookmarkEnd w:id="0"/>
    <w:r w:rsidR="00A67D3A">
      <w:rPr>
        <w:rFonts w:ascii="Times New Roman" w:hAnsi="Times New Roman"/>
      </w:rPr>
      <w:t xml:space="preserve"> </w:t>
    </w:r>
  </w:p>
  <w:p w:rsidR="005A5AAC" w:rsidRPr="00F415FA" w:rsidRDefault="0061771A" w:rsidP="005A5AAC">
    <w:pPr>
      <w:pStyle w:val="Header"/>
      <w:rPr>
        <w:rFonts w:ascii="Times New Roman" w:hAnsi="Times New Roman"/>
      </w:rPr>
    </w:pPr>
    <w:r>
      <w:rPr>
        <w:rFonts w:ascii="Times New Roman" w:hAnsi="Times New Roman"/>
      </w:rPr>
      <w:t>Canceling</w:t>
    </w:r>
    <w:r w:rsidR="008A1B20">
      <w:rPr>
        <w:rFonts w:ascii="Times New Roman" w:hAnsi="Times New Roman"/>
      </w:rPr>
      <w:t xml:space="preserve"> Original Sheet No. 22</w:t>
    </w:r>
  </w:p>
  <w:p w:rsidR="005A5AAC" w:rsidRPr="00F415FA" w:rsidRDefault="005A5AAC" w:rsidP="005A5AAC">
    <w:pPr>
      <w:pStyle w:val="Header"/>
      <w:rPr>
        <w:rFonts w:ascii="Times New Roman" w:hAnsi="Times New Roman"/>
      </w:rPr>
    </w:pPr>
    <w:r w:rsidRPr="00F415FA">
      <w:rPr>
        <w:rFonts w:ascii="Times New Roman" w:hAnsi="Times New Roman"/>
      </w:rPr>
      <w:t>WN U-1</w:t>
    </w:r>
  </w:p>
  <w:p w:rsidR="005A5AAC" w:rsidRPr="00F415FA" w:rsidRDefault="005A5AAC" w:rsidP="005A5AAC">
    <w:pPr>
      <w:pStyle w:val="Header"/>
      <w:rPr>
        <w:rFonts w:ascii="Times New Roman" w:hAnsi="Times New Roman"/>
      </w:rPr>
    </w:pPr>
  </w:p>
  <w:p w:rsidR="005A5AAC" w:rsidRPr="00E44D38" w:rsidRDefault="001D3025" w:rsidP="005A5AAC">
    <w:pPr>
      <w:pStyle w:val="Header"/>
      <w:rPr>
        <w:rFonts w:ascii="Times New Roman" w:hAnsi="Times New Roman"/>
      </w:rPr>
    </w:pPr>
    <w:r>
      <w:rPr>
        <w:rFonts w:ascii="Times New Roman" w:hAnsi="Times New Roman"/>
      </w:rPr>
      <w:t>Desert Canyon Utility Company</w:t>
    </w:r>
    <w:r w:rsidR="005A5AAC" w:rsidRPr="00E44D38">
      <w:rPr>
        <w:rFonts w:ascii="Times New Roman" w:hAnsi="Times New Roman"/>
        <w:sz w:val="24"/>
        <w:szCs w:val="24"/>
      </w:rPr>
      <w:tab/>
    </w:r>
    <w:r w:rsidR="005A5AAC" w:rsidRPr="00E44D38">
      <w:rPr>
        <w:rFonts w:ascii="Times New Roman" w:hAnsi="Times New Roman"/>
        <w:sz w:val="24"/>
        <w:szCs w:val="24"/>
      </w:rPr>
      <w:tab/>
    </w:r>
    <w:r w:rsidR="005A5AAC" w:rsidRPr="00E44D38">
      <w:rPr>
        <w:rFonts w:ascii="Times New Roman" w:hAnsi="Times New Roman"/>
        <w:b/>
      </w:rPr>
      <w:t>For Commission's Receipt Stamp</w:t>
    </w:r>
  </w:p>
  <w:p w:rsidR="005A5AAC" w:rsidRPr="00D32F42" w:rsidRDefault="00D32F42">
    <w:pPr>
      <w:pStyle w:val="Header"/>
      <w:rPr>
        <w:rFonts w:ascii="Times New Roman" w:hAnsi="Times New Roman"/>
        <w:sz w:val="24"/>
        <w:szCs w:val="24"/>
      </w:rPr>
    </w:pPr>
    <w:r>
      <w:rPr>
        <w:noProof/>
      </w:rPr>
      <mc:AlternateContent>
        <mc:Choice Requires="wps">
          <w:drawing>
            <wp:anchor distT="4294967295" distB="4294967295" distL="114300" distR="114300" simplePos="0" relativeHeight="251659264" behindDoc="0" locked="0" layoutInCell="0" allowOverlap="1" wp14:anchorId="0E25284C" wp14:editId="4287ADEC">
              <wp:simplePos x="0" y="0"/>
              <wp:positionH relativeFrom="column">
                <wp:posOffset>0</wp:posOffset>
              </wp:positionH>
              <wp:positionV relativeFrom="paragraph">
                <wp:posOffset>30479</wp:posOffset>
              </wp:positionV>
              <wp:extent cx="5955665" cy="0"/>
              <wp:effectExtent l="0" t="19050" r="260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CFF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qs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Hs9mqwU&#10;AgAAKQQAAA4AAAAAAAAAAAAAAAAALgIAAGRycy9lMm9Eb2MueG1sUEsBAi0AFAAGAAgAAAAhAGOO&#10;4jDZAAAABAEAAA8AAAAAAAAAAAAAAAAAbgQAAGRycy9kb3ducmV2LnhtbFBLBQYAAAAABAAEAPMA&#10;AAB0BQAAAAA=&#10;" o:allowincell="f"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20" w:rsidRDefault="008A1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C"/>
    <w:rsid w:val="000E640C"/>
    <w:rsid w:val="001977C4"/>
    <w:rsid w:val="001C5AB1"/>
    <w:rsid w:val="001D3025"/>
    <w:rsid w:val="001E1D7A"/>
    <w:rsid w:val="00214C79"/>
    <w:rsid w:val="0024248A"/>
    <w:rsid w:val="00271CA3"/>
    <w:rsid w:val="002A6C9D"/>
    <w:rsid w:val="002B3388"/>
    <w:rsid w:val="002C039A"/>
    <w:rsid w:val="002D699A"/>
    <w:rsid w:val="0035719A"/>
    <w:rsid w:val="00371354"/>
    <w:rsid w:val="003911D6"/>
    <w:rsid w:val="003C0582"/>
    <w:rsid w:val="003C3C3D"/>
    <w:rsid w:val="003E7F19"/>
    <w:rsid w:val="00481B1A"/>
    <w:rsid w:val="004A1151"/>
    <w:rsid w:val="004D692E"/>
    <w:rsid w:val="00530404"/>
    <w:rsid w:val="00546279"/>
    <w:rsid w:val="00552600"/>
    <w:rsid w:val="005715C7"/>
    <w:rsid w:val="005A5AAC"/>
    <w:rsid w:val="005A6C74"/>
    <w:rsid w:val="005E22D9"/>
    <w:rsid w:val="0061771A"/>
    <w:rsid w:val="00637737"/>
    <w:rsid w:val="00670294"/>
    <w:rsid w:val="00672F7B"/>
    <w:rsid w:val="006A41EE"/>
    <w:rsid w:val="006B697F"/>
    <w:rsid w:val="006C04C0"/>
    <w:rsid w:val="00707EBF"/>
    <w:rsid w:val="00790C76"/>
    <w:rsid w:val="007D76A3"/>
    <w:rsid w:val="00817AD7"/>
    <w:rsid w:val="008A1B20"/>
    <w:rsid w:val="00A24C97"/>
    <w:rsid w:val="00A33B3C"/>
    <w:rsid w:val="00A67D3A"/>
    <w:rsid w:val="00A84C2A"/>
    <w:rsid w:val="00AD3312"/>
    <w:rsid w:val="00AE273E"/>
    <w:rsid w:val="00AE6A1C"/>
    <w:rsid w:val="00B13041"/>
    <w:rsid w:val="00B46E4F"/>
    <w:rsid w:val="00B757B7"/>
    <w:rsid w:val="00BA11B3"/>
    <w:rsid w:val="00BE5190"/>
    <w:rsid w:val="00C453BC"/>
    <w:rsid w:val="00C64FAB"/>
    <w:rsid w:val="00C72683"/>
    <w:rsid w:val="00CC03DD"/>
    <w:rsid w:val="00CF42CA"/>
    <w:rsid w:val="00D015E9"/>
    <w:rsid w:val="00D32F42"/>
    <w:rsid w:val="00D85087"/>
    <w:rsid w:val="00DA1B86"/>
    <w:rsid w:val="00DD2A47"/>
    <w:rsid w:val="00E907EE"/>
    <w:rsid w:val="00ED2825"/>
    <w:rsid w:val="00EE214D"/>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E082"/>
  <w15:chartTrackingRefBased/>
  <w15:docId w15:val="{BEF54B3C-0A07-48B5-9712-761BC61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5AAC"/>
    <w:pPr>
      <w:widowControl w:val="0"/>
    </w:pPr>
    <w:rPr>
      <w:rFonts w:ascii="Courier" w:eastAsia="Times New Roman" w:hAnsi="Courier" w:cs="Times New Roman"/>
      <w:snapToGrid w:val="0"/>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5A5AAC"/>
    <w:pPr>
      <w:tabs>
        <w:tab w:val="center" w:pos="4680"/>
        <w:tab w:val="right" w:pos="9360"/>
      </w:tabs>
    </w:pPr>
  </w:style>
  <w:style w:type="character" w:customStyle="1" w:styleId="HeaderChar">
    <w:name w:val="Header Char"/>
    <w:basedOn w:val="DefaultParagraphFont"/>
    <w:link w:val="Header"/>
    <w:uiPriority w:val="99"/>
    <w:rsid w:val="005A5AAC"/>
    <w:rPr>
      <w:rFonts w:ascii="Courier" w:eastAsia="Times New Roman" w:hAnsi="Courier" w:cs="Times New Roman"/>
      <w:snapToGrid w:val="0"/>
      <w:sz w:val="20"/>
      <w:szCs w:val="20"/>
    </w:rPr>
  </w:style>
  <w:style w:type="paragraph" w:styleId="Footer">
    <w:name w:val="footer"/>
    <w:basedOn w:val="Normal"/>
    <w:link w:val="FooterChar"/>
    <w:uiPriority w:val="99"/>
    <w:unhideWhenUsed/>
    <w:rsid w:val="005A5AAC"/>
    <w:pPr>
      <w:tabs>
        <w:tab w:val="center" w:pos="4680"/>
        <w:tab w:val="right" w:pos="9360"/>
      </w:tabs>
    </w:pPr>
  </w:style>
  <w:style w:type="character" w:customStyle="1" w:styleId="FooterChar">
    <w:name w:val="Footer Char"/>
    <w:basedOn w:val="DefaultParagraphFont"/>
    <w:link w:val="Footer"/>
    <w:uiPriority w:val="99"/>
    <w:rsid w:val="005A5AAC"/>
    <w:rPr>
      <w:rFonts w:ascii="Courier" w:eastAsia="Times New Roman" w:hAnsi="Courier" w:cs="Times New Roman"/>
      <w:snapToGrid w:val="0"/>
      <w:sz w:val="20"/>
      <w:szCs w:val="20"/>
    </w:rPr>
  </w:style>
  <w:style w:type="table" w:styleId="TableGrid">
    <w:name w:val="Table Grid"/>
    <w:basedOn w:val="TableNormal"/>
    <w:uiPriority w:val="59"/>
    <w:rsid w:val="00C4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4FE8AD6093E745BDFD834BD80DD29E" ma:contentTypeVersion="104" ma:contentTypeDescription="" ma:contentTypeScope="" ma:versionID="a687f736fbb8e4769689cf8784136a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2016-04-25T07:00:00+00:00</OpenedDate>
    <Date1 xmlns="dc463f71-b30c-4ab2-9473-d307f9d35888">2016-05-12T07:00:00+00:00</Date1>
    <IsDocumentOrder xmlns="dc463f71-b30c-4ab2-9473-d307f9d35888" xsi:nil="true"/>
    <IsHighlyConfidential xmlns="dc463f71-b30c-4ab2-9473-d307f9d35888">false</IsHighlyConfidential>
    <CaseCompanyNames xmlns="dc463f71-b30c-4ab2-9473-d307f9d35888">Desert Canyon Utility Co.</CaseCompanyNames>
    <DocketNumber xmlns="dc463f71-b30c-4ab2-9473-d307f9d35888">160437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90A68D-8BEF-4C58-B5B1-7633DA49E503}"/>
</file>

<file path=customXml/itemProps2.xml><?xml version="1.0" encoding="utf-8"?>
<ds:datastoreItem xmlns:ds="http://schemas.openxmlformats.org/officeDocument/2006/customXml" ds:itemID="{C24ECC7A-DAB8-4E25-BC28-9A5C0EA659EC}"/>
</file>

<file path=customXml/itemProps3.xml><?xml version="1.0" encoding="utf-8"?>
<ds:datastoreItem xmlns:ds="http://schemas.openxmlformats.org/officeDocument/2006/customXml" ds:itemID="{60BE0C6B-A52E-49DC-A398-F54EF6BC73FE}"/>
</file>

<file path=customXml/itemProps4.xml><?xml version="1.0" encoding="utf-8"?>
<ds:datastoreItem xmlns:ds="http://schemas.openxmlformats.org/officeDocument/2006/customXml" ds:itemID="{9C7BE9B9-5297-4366-8A85-55BB06A98F2B}"/>
</file>

<file path=customXml/itemProps5.xml><?xml version="1.0" encoding="utf-8"?>
<ds:datastoreItem xmlns:ds="http://schemas.openxmlformats.org/officeDocument/2006/customXml" ds:itemID="{6FDFEF44-26F4-4A07-821F-F85F7864FF9F}"/>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Mike (UTC)</dc:creator>
  <cp:keywords/>
  <dc:description/>
  <cp:lastModifiedBy>mark peterson</cp:lastModifiedBy>
  <cp:revision>2</cp:revision>
  <dcterms:created xsi:type="dcterms:W3CDTF">2016-05-12T15:47:00Z</dcterms:created>
  <dcterms:modified xsi:type="dcterms:W3CDTF">2016-05-12T15:47:00Z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0x0101006E56B4D1795A2E4DB2F0B01679ED314A002D4FE8AD6093E745BDFD834BD80DD29E</vt:lpwstr>
  </property>
  <property fmtid="{D5CDD505-2E9C-101B-9397-08002B2CF9AE}" pid="3" name="_docset_NoMedatataSyncRequired">
    <vt:lpwstr>False</vt:lpwstr>
  </property>
</Properties>
</file>