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3F52BEBF" w:rsidR="00657DEE" w:rsidRPr="00AC3F42" w:rsidRDefault="00657DEE">
      <w:pPr>
        <w:rPr>
          <w:rFonts w:ascii="Times New Roman" w:hAnsi="Times New Roman"/>
        </w:rPr>
      </w:pPr>
      <w:bookmarkStart w:id="0" w:name="_GoBack"/>
      <w:bookmarkEnd w:id="0"/>
      <w:r w:rsidRPr="00AC3F42">
        <w:rPr>
          <w:rFonts w:ascii="Times New Roman" w:hAnsi="Times New Roman"/>
        </w:rPr>
        <w:t>Agenda Date:</w:t>
      </w:r>
      <w:r w:rsidRPr="00AC3F42">
        <w:rPr>
          <w:rFonts w:ascii="Times New Roman" w:hAnsi="Times New Roman"/>
        </w:rPr>
        <w:tab/>
      </w:r>
      <w:r w:rsidR="00666E93" w:rsidRPr="00AC3F42">
        <w:rPr>
          <w:rFonts w:ascii="Times New Roman" w:hAnsi="Times New Roman"/>
        </w:rPr>
        <w:tab/>
      </w:r>
      <w:r w:rsidR="003736ED" w:rsidRPr="00B410FE">
        <w:rPr>
          <w:rFonts w:ascii="Times New Roman" w:hAnsi="Times New Roman"/>
        </w:rPr>
        <w:t>February 25, 2016</w:t>
      </w:r>
    </w:p>
    <w:p w14:paraId="782D8F41" w14:textId="2174A706" w:rsidR="00657DEE" w:rsidRDefault="00657DEE" w:rsidP="00751DD9">
      <w:pPr>
        <w:ind w:left="2160" w:hanging="2160"/>
        <w:rPr>
          <w:rFonts w:ascii="Times New Roman" w:hAnsi="Times New Roman"/>
        </w:rPr>
      </w:pPr>
      <w:r w:rsidRPr="00AC3F42">
        <w:rPr>
          <w:rFonts w:ascii="Times New Roman" w:hAnsi="Times New Roman"/>
        </w:rPr>
        <w:t>Item Number:</w:t>
      </w:r>
      <w:r w:rsidRPr="00AC3F42">
        <w:rPr>
          <w:rFonts w:ascii="Times New Roman" w:hAnsi="Times New Roman"/>
        </w:rPr>
        <w:tab/>
      </w:r>
      <w:r w:rsidR="00FD1CFF" w:rsidRPr="004064B6">
        <w:rPr>
          <w:rFonts w:ascii="Times New Roman" w:hAnsi="Times New Roman"/>
        </w:rPr>
        <w:t>A1</w:t>
      </w:r>
    </w:p>
    <w:p w14:paraId="56BA27A8" w14:textId="77777777" w:rsidR="009420CC" w:rsidRPr="00AC3F42" w:rsidRDefault="009420CC" w:rsidP="00751DD9">
      <w:pPr>
        <w:ind w:left="2160" w:hanging="2160"/>
        <w:rPr>
          <w:rFonts w:ascii="Times New Roman" w:hAnsi="Times New Roman"/>
        </w:rPr>
      </w:pPr>
    </w:p>
    <w:p w14:paraId="782D8F42" w14:textId="10FC6C2A" w:rsidR="00657DEE" w:rsidRPr="00AC3F42" w:rsidRDefault="00657DEE">
      <w:pPr>
        <w:rPr>
          <w:rFonts w:ascii="Times New Roman" w:hAnsi="Times New Roman"/>
          <w:b/>
          <w:bCs/>
        </w:rPr>
      </w:pPr>
      <w:r w:rsidRPr="00AC3F42">
        <w:rPr>
          <w:rFonts w:ascii="Times New Roman" w:hAnsi="Times New Roman"/>
          <w:b/>
          <w:bCs/>
        </w:rPr>
        <w:t>Docket:</w:t>
      </w:r>
      <w:r w:rsidRPr="00AC3F42">
        <w:rPr>
          <w:rFonts w:ascii="Times New Roman" w:hAnsi="Times New Roman"/>
          <w:b/>
          <w:bCs/>
        </w:rPr>
        <w:tab/>
      </w:r>
      <w:r w:rsidRPr="00AC3F42">
        <w:rPr>
          <w:rFonts w:ascii="Times New Roman" w:hAnsi="Times New Roman"/>
          <w:b/>
          <w:bCs/>
        </w:rPr>
        <w:tab/>
      </w:r>
      <w:r w:rsidR="003736ED" w:rsidRPr="00AC3F42">
        <w:rPr>
          <w:rFonts w:ascii="Times New Roman" w:hAnsi="Times New Roman"/>
          <w:b/>
          <w:bCs/>
        </w:rPr>
        <w:t>UG-152394</w:t>
      </w:r>
    </w:p>
    <w:p w14:paraId="782D8F43" w14:textId="59FD77E9" w:rsidR="00657DEE" w:rsidRPr="00AC3F42" w:rsidRDefault="00657DEE">
      <w:pPr>
        <w:rPr>
          <w:rFonts w:ascii="Times New Roman" w:hAnsi="Times New Roman"/>
        </w:rPr>
      </w:pPr>
      <w:r w:rsidRPr="00AC3F42">
        <w:rPr>
          <w:rFonts w:ascii="Times New Roman" w:hAnsi="Times New Roman"/>
        </w:rPr>
        <w:t>Company:</w:t>
      </w:r>
      <w:r w:rsidRPr="00AC3F42">
        <w:rPr>
          <w:rFonts w:ascii="Times New Roman" w:hAnsi="Times New Roman"/>
        </w:rPr>
        <w:tab/>
      </w:r>
      <w:r w:rsidRPr="00AC3F42">
        <w:rPr>
          <w:rFonts w:ascii="Times New Roman" w:hAnsi="Times New Roman"/>
        </w:rPr>
        <w:tab/>
      </w:r>
      <w:r w:rsidR="003736ED" w:rsidRPr="00AC3F42">
        <w:rPr>
          <w:rFonts w:ascii="Times New Roman" w:hAnsi="Times New Roman"/>
        </w:rPr>
        <w:t>Avista Corporation</w:t>
      </w:r>
    </w:p>
    <w:p w14:paraId="782D8F44" w14:textId="77777777" w:rsidR="00657DEE" w:rsidRPr="00AC3F42" w:rsidRDefault="00657DEE">
      <w:pPr>
        <w:rPr>
          <w:rFonts w:ascii="Times New Roman" w:hAnsi="Times New Roman"/>
        </w:rPr>
      </w:pPr>
    </w:p>
    <w:p w14:paraId="782D8F45" w14:textId="5E2C6D5E" w:rsidR="00657DEE" w:rsidRPr="00AC3F42" w:rsidRDefault="00657DEE">
      <w:pPr>
        <w:rPr>
          <w:rFonts w:ascii="Times New Roman" w:hAnsi="Times New Roman"/>
        </w:rPr>
      </w:pPr>
      <w:r w:rsidRPr="00AC3F42">
        <w:rPr>
          <w:rFonts w:ascii="Times New Roman" w:hAnsi="Times New Roman"/>
        </w:rPr>
        <w:t>Staff:</w:t>
      </w:r>
      <w:r w:rsidRPr="00AC3F42">
        <w:rPr>
          <w:rFonts w:ascii="Times New Roman" w:hAnsi="Times New Roman"/>
        </w:rPr>
        <w:tab/>
      </w:r>
      <w:r w:rsidRPr="00AC3F42">
        <w:rPr>
          <w:rFonts w:ascii="Times New Roman" w:hAnsi="Times New Roman"/>
        </w:rPr>
        <w:tab/>
      </w:r>
      <w:r w:rsidRPr="00AC3F42">
        <w:rPr>
          <w:rFonts w:ascii="Times New Roman" w:hAnsi="Times New Roman"/>
        </w:rPr>
        <w:tab/>
      </w:r>
      <w:r w:rsidR="003736ED" w:rsidRPr="00AC3F42">
        <w:rPr>
          <w:rFonts w:ascii="Times New Roman" w:hAnsi="Times New Roman"/>
        </w:rPr>
        <w:t>Christopher Hancock, Regulatory Analyst</w:t>
      </w:r>
      <w:r w:rsidRPr="00AC3F42">
        <w:rPr>
          <w:rFonts w:ascii="Times New Roman" w:hAnsi="Times New Roman"/>
        </w:rPr>
        <w:t xml:space="preserve"> </w:t>
      </w:r>
    </w:p>
    <w:p w14:paraId="782D8F46" w14:textId="377B7C10" w:rsidR="00115C02" w:rsidRPr="00AC3F42" w:rsidRDefault="00115C02">
      <w:pPr>
        <w:rPr>
          <w:rFonts w:ascii="Times New Roman" w:hAnsi="Times New Roman"/>
        </w:rPr>
      </w:pPr>
      <w:r w:rsidRPr="00AC3F42">
        <w:rPr>
          <w:rFonts w:ascii="Times New Roman" w:hAnsi="Times New Roman"/>
        </w:rPr>
        <w:tab/>
      </w:r>
      <w:r w:rsidRPr="00AC3F42">
        <w:rPr>
          <w:rFonts w:ascii="Times New Roman" w:hAnsi="Times New Roman"/>
        </w:rPr>
        <w:tab/>
      </w:r>
      <w:r w:rsidRPr="00AC3F42">
        <w:rPr>
          <w:rFonts w:ascii="Times New Roman" w:hAnsi="Times New Roman"/>
        </w:rPr>
        <w:tab/>
      </w:r>
      <w:r w:rsidR="00794734">
        <w:rPr>
          <w:rFonts w:ascii="Times New Roman" w:hAnsi="Times New Roman"/>
        </w:rPr>
        <w:t>Joanna Huang, Regulatory Analyst</w:t>
      </w:r>
      <w:r w:rsidRPr="00AC3F42">
        <w:rPr>
          <w:rFonts w:ascii="Times New Roman" w:hAnsi="Times New Roman"/>
        </w:rPr>
        <w:t xml:space="preserve"> </w:t>
      </w:r>
    </w:p>
    <w:p w14:paraId="782D8F47" w14:textId="650E3490" w:rsidR="00657DEE" w:rsidRPr="00AC3F42" w:rsidRDefault="00657DEE" w:rsidP="00514DF5">
      <w:pPr>
        <w:ind w:left="2160"/>
        <w:rPr>
          <w:rFonts w:ascii="Times New Roman" w:hAnsi="Times New Roman"/>
        </w:rPr>
      </w:pPr>
    </w:p>
    <w:p w14:paraId="782D8F48" w14:textId="77777777" w:rsidR="00657DEE" w:rsidRPr="00AC3F42" w:rsidRDefault="00657DEE">
      <w:pPr>
        <w:rPr>
          <w:rFonts w:ascii="Times New Roman" w:hAnsi="Times New Roman"/>
        </w:rPr>
      </w:pPr>
    </w:p>
    <w:p w14:paraId="782D8F49" w14:textId="77777777" w:rsidR="00657DEE" w:rsidRPr="00AC3F42" w:rsidRDefault="00842F1A" w:rsidP="002071CB">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782D8F4A" w14:textId="57610B42" w:rsidR="00657DEE" w:rsidRPr="00AC3F42" w:rsidRDefault="00794734">
      <w:pPr>
        <w:rPr>
          <w:rFonts w:ascii="Times New Roman" w:hAnsi="Times New Roman"/>
        </w:rPr>
      </w:pPr>
      <w:r w:rsidRPr="00BA6A9A">
        <w:rPr>
          <w:rFonts w:ascii="Times New Roman" w:hAnsi="Times New Roman"/>
        </w:rPr>
        <w:t>Issue an order a</w:t>
      </w:r>
      <w:r w:rsidR="00447652" w:rsidRPr="00BA6A9A">
        <w:rPr>
          <w:rFonts w:ascii="Times New Roman" w:hAnsi="Times New Roman"/>
        </w:rPr>
        <w:t>pprov</w:t>
      </w:r>
      <w:r w:rsidRPr="00BA6A9A">
        <w:rPr>
          <w:rFonts w:ascii="Times New Roman" w:hAnsi="Times New Roman"/>
        </w:rPr>
        <w:t xml:space="preserve">ing </w:t>
      </w:r>
      <w:r w:rsidR="00BA6A9A">
        <w:rPr>
          <w:rFonts w:ascii="Times New Roman" w:hAnsi="Times New Roman"/>
        </w:rPr>
        <w:t>the</w:t>
      </w:r>
      <w:r w:rsidR="00BA6A9A" w:rsidRPr="00BA6A9A">
        <w:rPr>
          <w:rFonts w:ascii="Times New Roman" w:hAnsi="Times New Roman"/>
        </w:rPr>
        <w:t xml:space="preserve"> </w:t>
      </w:r>
      <w:r w:rsidRPr="00BA6A9A">
        <w:rPr>
          <w:rFonts w:ascii="Times New Roman" w:hAnsi="Times New Roman"/>
        </w:rPr>
        <w:t>proposed</w:t>
      </w:r>
      <w:r w:rsidR="00447652" w:rsidRPr="00BA6A9A">
        <w:rPr>
          <w:rFonts w:ascii="Times New Roman" w:hAnsi="Times New Roman"/>
        </w:rPr>
        <w:t xml:space="preserve"> accounting treatment and change in line extension allowance methodology</w:t>
      </w:r>
      <w:r w:rsidR="002553D7">
        <w:rPr>
          <w:rFonts w:ascii="Times New Roman" w:hAnsi="Times New Roman"/>
        </w:rPr>
        <w:t xml:space="preserve"> and</w:t>
      </w:r>
      <w:r w:rsidR="005B5C5F">
        <w:rPr>
          <w:rFonts w:ascii="Times New Roman" w:hAnsi="Times New Roman"/>
        </w:rPr>
        <w:t xml:space="preserve"> </w:t>
      </w:r>
      <w:r w:rsidR="002553D7">
        <w:rPr>
          <w:rFonts w:ascii="Times New Roman" w:hAnsi="Times New Roman"/>
        </w:rPr>
        <w:t>approve</w:t>
      </w:r>
      <w:r w:rsidR="005B5C5F">
        <w:rPr>
          <w:rFonts w:ascii="Times New Roman" w:hAnsi="Times New Roman"/>
        </w:rPr>
        <w:t xml:space="preserve"> revisions to Tariff WN U-29, Schedule 151.</w:t>
      </w:r>
    </w:p>
    <w:p w14:paraId="782D8F4C" w14:textId="77777777" w:rsidR="00657DEE" w:rsidRPr="00AC3F42" w:rsidRDefault="00657DEE" w:rsidP="002071CB">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Discussion</w:t>
      </w:r>
    </w:p>
    <w:p w14:paraId="51D491EF" w14:textId="50B5A745" w:rsidR="005B633A" w:rsidRDefault="005B633A">
      <w:pPr>
        <w:rPr>
          <w:rFonts w:ascii="Times New Roman" w:hAnsi="Times New Roman"/>
        </w:rPr>
      </w:pPr>
      <w:r>
        <w:rPr>
          <w:rFonts w:ascii="Times New Roman" w:hAnsi="Times New Roman"/>
        </w:rPr>
        <w:t xml:space="preserve">On </w:t>
      </w:r>
      <w:r w:rsidR="000F03F4">
        <w:rPr>
          <w:rFonts w:ascii="Times New Roman" w:hAnsi="Times New Roman"/>
        </w:rPr>
        <w:t>October 2</w:t>
      </w:r>
      <w:r>
        <w:rPr>
          <w:rFonts w:ascii="Times New Roman" w:hAnsi="Times New Roman"/>
        </w:rPr>
        <w:t xml:space="preserve">, </w:t>
      </w:r>
      <w:r w:rsidR="00FD1CFF">
        <w:rPr>
          <w:rFonts w:ascii="Times New Roman" w:hAnsi="Times New Roman"/>
        </w:rPr>
        <w:t>2014</w:t>
      </w:r>
      <w:r>
        <w:rPr>
          <w:rFonts w:ascii="Times New Roman" w:hAnsi="Times New Roman"/>
        </w:rPr>
        <w:t xml:space="preserve">, the </w:t>
      </w:r>
      <w:r w:rsidR="00FD1CFF">
        <w:rPr>
          <w:rFonts w:ascii="Times New Roman" w:hAnsi="Times New Roman"/>
        </w:rPr>
        <w:t xml:space="preserve">commission </w:t>
      </w:r>
      <w:r>
        <w:rPr>
          <w:rFonts w:ascii="Times New Roman" w:hAnsi="Times New Roman"/>
        </w:rPr>
        <w:t xml:space="preserve">opened Docket UG-143616 to </w:t>
      </w:r>
      <w:r w:rsidR="00794734">
        <w:rPr>
          <w:rFonts w:ascii="Times New Roman" w:hAnsi="Times New Roman"/>
        </w:rPr>
        <w:t>investigate</w:t>
      </w:r>
      <w:r w:rsidR="00BA6A9A">
        <w:rPr>
          <w:rFonts w:ascii="Times New Roman" w:hAnsi="Times New Roman"/>
        </w:rPr>
        <w:t xml:space="preserve"> the need for expanding natural gas distribution infrastructure</w:t>
      </w:r>
      <w:r>
        <w:rPr>
          <w:rFonts w:ascii="Times New Roman" w:hAnsi="Times New Roman"/>
        </w:rPr>
        <w:t xml:space="preserve">. Modifications to line extension policies were </w:t>
      </w:r>
      <w:r w:rsidR="00794734">
        <w:rPr>
          <w:rFonts w:ascii="Times New Roman" w:hAnsi="Times New Roman"/>
        </w:rPr>
        <w:t>propos</w:t>
      </w:r>
      <w:r>
        <w:rPr>
          <w:rFonts w:ascii="Times New Roman" w:hAnsi="Times New Roman"/>
        </w:rPr>
        <w:t>ed</w:t>
      </w:r>
      <w:r w:rsidR="00794734">
        <w:rPr>
          <w:rFonts w:ascii="Times New Roman" w:hAnsi="Times New Roman"/>
        </w:rPr>
        <w:t xml:space="preserve"> in two rounds of comments</w:t>
      </w:r>
      <w:r>
        <w:rPr>
          <w:rFonts w:ascii="Times New Roman" w:hAnsi="Times New Roman"/>
        </w:rPr>
        <w:t xml:space="preserve"> as one way in which to </w:t>
      </w:r>
      <w:r w:rsidR="00BA6A9A">
        <w:rPr>
          <w:rFonts w:ascii="Times New Roman" w:hAnsi="Times New Roman"/>
        </w:rPr>
        <w:t>accomplish this goal</w:t>
      </w:r>
      <w:r w:rsidR="00794734">
        <w:rPr>
          <w:rFonts w:ascii="Times New Roman" w:hAnsi="Times New Roman"/>
        </w:rPr>
        <w:t>.</w:t>
      </w:r>
    </w:p>
    <w:p w14:paraId="4BA00605" w14:textId="77777777" w:rsidR="005B633A" w:rsidRDefault="005B633A">
      <w:pPr>
        <w:rPr>
          <w:rFonts w:ascii="Times New Roman" w:hAnsi="Times New Roman"/>
        </w:rPr>
      </w:pPr>
    </w:p>
    <w:p w14:paraId="782D8F4D" w14:textId="40F9B579" w:rsidR="00657DEE" w:rsidRPr="00AC3F42" w:rsidRDefault="00564811">
      <w:pPr>
        <w:rPr>
          <w:rFonts w:ascii="Times New Roman" w:hAnsi="Times New Roman"/>
        </w:rPr>
      </w:pPr>
      <w:r w:rsidRPr="00AC3F42">
        <w:rPr>
          <w:rFonts w:ascii="Times New Roman" w:hAnsi="Times New Roman"/>
        </w:rPr>
        <w:t xml:space="preserve">Avista’s filing contains three main elements: a change in the methodology used to calculate line extension allowances; </w:t>
      </w:r>
      <w:r w:rsidR="00BA6A9A">
        <w:rPr>
          <w:rFonts w:ascii="Times New Roman" w:hAnsi="Times New Roman"/>
        </w:rPr>
        <w:t>accounting treatment of an excess</w:t>
      </w:r>
      <w:r w:rsidR="00BA6A9A" w:rsidRPr="00AC3F42">
        <w:rPr>
          <w:rFonts w:ascii="Times New Roman" w:hAnsi="Times New Roman"/>
        </w:rPr>
        <w:t xml:space="preserve"> </w:t>
      </w:r>
      <w:r w:rsidRPr="00AC3F42">
        <w:rPr>
          <w:rFonts w:ascii="Times New Roman" w:hAnsi="Times New Roman"/>
        </w:rPr>
        <w:t>allowance to customers</w:t>
      </w:r>
      <w:r w:rsidR="00AC3F42" w:rsidRPr="00AC3F42">
        <w:rPr>
          <w:rFonts w:ascii="Times New Roman" w:hAnsi="Times New Roman"/>
        </w:rPr>
        <w:t xml:space="preserve"> for the purchase of </w:t>
      </w:r>
      <w:r w:rsidR="005B633A">
        <w:rPr>
          <w:rFonts w:ascii="Times New Roman" w:hAnsi="Times New Roman"/>
        </w:rPr>
        <w:t>space and water-heating</w:t>
      </w:r>
      <w:r w:rsidR="005B633A" w:rsidRPr="00AC3F42">
        <w:rPr>
          <w:rFonts w:ascii="Times New Roman" w:hAnsi="Times New Roman"/>
        </w:rPr>
        <w:t xml:space="preserve"> </w:t>
      </w:r>
      <w:r w:rsidR="00AC3F42" w:rsidRPr="00AC3F42">
        <w:rPr>
          <w:rFonts w:ascii="Times New Roman" w:hAnsi="Times New Roman"/>
        </w:rPr>
        <w:t xml:space="preserve">equipment when the cost of the line extension </w:t>
      </w:r>
      <w:r w:rsidR="00BA6A9A">
        <w:rPr>
          <w:rFonts w:ascii="Times New Roman" w:hAnsi="Times New Roman"/>
        </w:rPr>
        <w:t xml:space="preserve">is less than the </w:t>
      </w:r>
      <w:r w:rsidR="005B5C5F">
        <w:rPr>
          <w:rFonts w:ascii="Times New Roman" w:hAnsi="Times New Roman"/>
        </w:rPr>
        <w:t xml:space="preserve">value </w:t>
      </w:r>
      <w:r w:rsidR="00BA6A9A">
        <w:rPr>
          <w:rFonts w:ascii="Times New Roman" w:hAnsi="Times New Roman"/>
        </w:rPr>
        <w:t>of the</w:t>
      </w:r>
      <w:r w:rsidR="00AC3F42" w:rsidRPr="00AC3F42">
        <w:rPr>
          <w:rFonts w:ascii="Times New Roman" w:hAnsi="Times New Roman"/>
        </w:rPr>
        <w:t xml:space="preserve"> line extension allowance; and, a </w:t>
      </w:r>
      <w:r w:rsidR="00B410FE">
        <w:rPr>
          <w:rFonts w:ascii="Times New Roman" w:hAnsi="Times New Roman"/>
        </w:rPr>
        <w:t xml:space="preserve">since-retracted </w:t>
      </w:r>
      <w:r w:rsidR="005B633A">
        <w:rPr>
          <w:rFonts w:ascii="Times New Roman" w:hAnsi="Times New Roman"/>
        </w:rPr>
        <w:t xml:space="preserve">request for a </w:t>
      </w:r>
      <w:r w:rsidR="00AC3F42" w:rsidRPr="00AC3F42">
        <w:rPr>
          <w:rFonts w:ascii="Times New Roman" w:hAnsi="Times New Roman"/>
        </w:rPr>
        <w:t>limited waiver of WAC 480-90-223(1)</w:t>
      </w:r>
      <w:r w:rsidR="005B5C5F">
        <w:rPr>
          <w:rFonts w:ascii="Times New Roman" w:hAnsi="Times New Roman"/>
        </w:rPr>
        <w:t xml:space="preserve"> concerning utility advertising</w:t>
      </w:r>
      <w:r w:rsidR="00AC3F42" w:rsidRPr="00AC3F42">
        <w:rPr>
          <w:rFonts w:ascii="Times New Roman" w:hAnsi="Times New Roman"/>
        </w:rPr>
        <w:t>.</w:t>
      </w:r>
    </w:p>
    <w:p w14:paraId="4788B870" w14:textId="77777777" w:rsidR="00D33B36" w:rsidRPr="00AC3F42" w:rsidRDefault="00D33B36">
      <w:pPr>
        <w:rPr>
          <w:rFonts w:ascii="Times New Roman" w:hAnsi="Times New Roman"/>
        </w:rPr>
      </w:pPr>
    </w:p>
    <w:p w14:paraId="63188BFC" w14:textId="064DE24D" w:rsidR="00D33B36" w:rsidRPr="00AC3F42" w:rsidRDefault="00D33B36" w:rsidP="002071CB">
      <w:pPr>
        <w:pStyle w:val="Heading2"/>
        <w:rPr>
          <w:rFonts w:ascii="Times New Roman" w:hAnsi="Times New Roman" w:cs="Times New Roman"/>
          <w:i/>
          <w:color w:val="000000" w:themeColor="text1"/>
          <w:sz w:val="24"/>
          <w:szCs w:val="24"/>
        </w:rPr>
      </w:pPr>
      <w:r w:rsidRPr="00AC3F42">
        <w:rPr>
          <w:rFonts w:ascii="Times New Roman" w:hAnsi="Times New Roman" w:cs="Times New Roman"/>
          <w:i/>
          <w:color w:val="000000" w:themeColor="text1"/>
          <w:sz w:val="24"/>
          <w:szCs w:val="24"/>
        </w:rPr>
        <w:t>Change in Allowance Methodology</w:t>
      </w:r>
    </w:p>
    <w:p w14:paraId="2C938671" w14:textId="63DEE99E" w:rsidR="00564811" w:rsidRDefault="00564811" w:rsidP="00564811">
      <w:pPr>
        <w:rPr>
          <w:rFonts w:ascii="Times New Roman" w:hAnsi="Times New Roman"/>
        </w:rPr>
      </w:pPr>
      <w:r w:rsidRPr="00AC3F42">
        <w:rPr>
          <w:rFonts w:ascii="Times New Roman" w:hAnsi="Times New Roman"/>
        </w:rPr>
        <w:t xml:space="preserve">Avista proposes adopting a new methodology for </w:t>
      </w:r>
      <w:r w:rsidR="000F03F4">
        <w:rPr>
          <w:rFonts w:ascii="Times New Roman" w:hAnsi="Times New Roman"/>
        </w:rPr>
        <w:t xml:space="preserve">the </w:t>
      </w:r>
      <w:r w:rsidRPr="00AC3F42">
        <w:rPr>
          <w:rFonts w:ascii="Times New Roman" w:hAnsi="Times New Roman"/>
        </w:rPr>
        <w:t>calculation of line extension allowances.</w:t>
      </w:r>
      <w:r w:rsidR="00AC3F42" w:rsidRPr="00AC3F42">
        <w:rPr>
          <w:rFonts w:ascii="Times New Roman" w:hAnsi="Times New Roman"/>
        </w:rPr>
        <w:t xml:space="preserve"> This methodology is known as the Perpetual Net Present Value method. </w:t>
      </w:r>
      <w:r w:rsidR="00B67FF2">
        <w:rPr>
          <w:rFonts w:ascii="Times New Roman" w:hAnsi="Times New Roman"/>
        </w:rPr>
        <w:t xml:space="preserve">The methodology is </w:t>
      </w:r>
      <w:r w:rsidR="00D70AB2">
        <w:rPr>
          <w:rFonts w:ascii="Times New Roman" w:hAnsi="Times New Roman"/>
        </w:rPr>
        <w:t xml:space="preserve">reviewed </w:t>
      </w:r>
      <w:r w:rsidR="00B67FF2">
        <w:rPr>
          <w:rFonts w:ascii="Times New Roman" w:hAnsi="Times New Roman"/>
        </w:rPr>
        <w:t>in a paper titled “Line Extensions for Natural Gas: Regulatory Considerations</w:t>
      </w:r>
      <w:r w:rsidR="00FD1CFF">
        <w:rPr>
          <w:rFonts w:ascii="Times New Roman" w:hAnsi="Times New Roman"/>
        </w:rPr>
        <w:t>,</w:t>
      </w:r>
      <w:r w:rsidR="00B67FF2">
        <w:rPr>
          <w:rFonts w:ascii="Times New Roman" w:hAnsi="Times New Roman"/>
        </w:rPr>
        <w:t>” by Ken Costello of the National Regulatory Research Institute.</w:t>
      </w:r>
      <w:r w:rsidR="00B67FF2">
        <w:rPr>
          <w:rStyle w:val="FootnoteReference"/>
          <w:rFonts w:ascii="Times New Roman" w:hAnsi="Times New Roman"/>
        </w:rPr>
        <w:footnoteReference w:id="1"/>
      </w:r>
      <w:r w:rsidR="00B67FF2">
        <w:rPr>
          <w:rFonts w:ascii="Times New Roman" w:hAnsi="Times New Roman"/>
        </w:rPr>
        <w:t xml:space="preserve"> </w:t>
      </w:r>
      <w:r w:rsidR="003D17FB">
        <w:rPr>
          <w:rFonts w:ascii="Times New Roman" w:hAnsi="Times New Roman"/>
        </w:rPr>
        <w:t>Staff supports using this methodology</w:t>
      </w:r>
      <w:r w:rsidR="00D70AB2">
        <w:rPr>
          <w:rFonts w:ascii="Times New Roman" w:hAnsi="Times New Roman"/>
        </w:rPr>
        <w:t xml:space="preserve"> because it produces the maximum line extension allowance that is economically-viable for the </w:t>
      </w:r>
      <w:r w:rsidR="00FD1CFF">
        <w:rPr>
          <w:rFonts w:ascii="Times New Roman" w:hAnsi="Times New Roman"/>
        </w:rPr>
        <w:t>company</w:t>
      </w:r>
      <w:r w:rsidR="003D17FB">
        <w:rPr>
          <w:rFonts w:ascii="Times New Roman" w:hAnsi="Times New Roman"/>
        </w:rPr>
        <w:t>.</w:t>
      </w:r>
    </w:p>
    <w:p w14:paraId="731D5C6B" w14:textId="77777777" w:rsidR="00B67FF2" w:rsidRDefault="00B67FF2" w:rsidP="00564811">
      <w:pPr>
        <w:rPr>
          <w:rFonts w:ascii="Times New Roman" w:hAnsi="Times New Roman"/>
        </w:rPr>
      </w:pPr>
    </w:p>
    <w:p w14:paraId="7BF9C795" w14:textId="45A90500" w:rsidR="00E43838" w:rsidRDefault="00E43838" w:rsidP="00564811">
      <w:pPr>
        <w:rPr>
          <w:rFonts w:ascii="Times New Roman" w:hAnsi="Times New Roman"/>
        </w:rPr>
      </w:pPr>
      <w:r>
        <w:rPr>
          <w:rFonts w:ascii="Times New Roman" w:hAnsi="Times New Roman"/>
        </w:rPr>
        <w:t xml:space="preserve">A benefit of this methodology is that it simple to calculate, and uses figures that are established by the </w:t>
      </w:r>
      <w:r w:rsidR="00FD1CFF">
        <w:rPr>
          <w:rFonts w:ascii="Times New Roman" w:hAnsi="Times New Roman"/>
        </w:rPr>
        <w:t xml:space="preserve">commission </w:t>
      </w:r>
      <w:r>
        <w:rPr>
          <w:rFonts w:ascii="Times New Roman" w:hAnsi="Times New Roman"/>
        </w:rPr>
        <w:t xml:space="preserve">during a rate case. </w:t>
      </w:r>
      <w:r w:rsidR="00A26EAD">
        <w:rPr>
          <w:rFonts w:ascii="Times New Roman" w:hAnsi="Times New Roman"/>
        </w:rPr>
        <w:t>The anticipated revenue from the customer</w:t>
      </w:r>
      <w:r w:rsidR="00A26EAD">
        <w:rPr>
          <w:rStyle w:val="FootnoteReference"/>
          <w:rFonts w:ascii="Times New Roman" w:hAnsi="Times New Roman"/>
        </w:rPr>
        <w:footnoteReference w:id="2"/>
      </w:r>
      <w:r w:rsidR="003747CB">
        <w:rPr>
          <w:rFonts w:ascii="Times New Roman" w:hAnsi="Times New Roman"/>
        </w:rPr>
        <w:t xml:space="preserve"> is divided by the authorized rate of return. The resulting figure is the</w:t>
      </w:r>
      <w:r w:rsidR="00794734">
        <w:rPr>
          <w:rFonts w:ascii="Times New Roman" w:hAnsi="Times New Roman"/>
        </w:rPr>
        <w:t xml:space="preserve"> net present value of the customer’s presence on the system, and therefore the</w:t>
      </w:r>
      <w:r w:rsidR="003747CB">
        <w:rPr>
          <w:rFonts w:ascii="Times New Roman" w:hAnsi="Times New Roman"/>
        </w:rPr>
        <w:t xml:space="preserve"> </w:t>
      </w:r>
      <w:r w:rsidR="00C53AE4">
        <w:rPr>
          <w:rFonts w:ascii="Times New Roman" w:hAnsi="Times New Roman"/>
        </w:rPr>
        <w:t xml:space="preserve">financial </w:t>
      </w:r>
      <w:r w:rsidR="003747CB">
        <w:rPr>
          <w:rFonts w:ascii="Times New Roman" w:hAnsi="Times New Roman"/>
        </w:rPr>
        <w:t xml:space="preserve">break-even point at which the </w:t>
      </w:r>
      <w:r w:rsidR="00FD1CFF">
        <w:rPr>
          <w:rFonts w:ascii="Times New Roman" w:hAnsi="Times New Roman"/>
        </w:rPr>
        <w:t xml:space="preserve">company </w:t>
      </w:r>
      <w:r w:rsidR="00794734">
        <w:rPr>
          <w:rFonts w:ascii="Times New Roman" w:hAnsi="Times New Roman"/>
        </w:rPr>
        <w:t>and existing customers</w:t>
      </w:r>
      <w:r w:rsidR="003747CB">
        <w:rPr>
          <w:rFonts w:ascii="Times New Roman" w:hAnsi="Times New Roman"/>
        </w:rPr>
        <w:t xml:space="preserve"> </w:t>
      </w:r>
      <w:r w:rsidR="00794734">
        <w:rPr>
          <w:rFonts w:ascii="Times New Roman" w:hAnsi="Times New Roman"/>
        </w:rPr>
        <w:t>are</w:t>
      </w:r>
      <w:r w:rsidR="003747CB">
        <w:rPr>
          <w:rFonts w:ascii="Times New Roman" w:hAnsi="Times New Roman"/>
        </w:rPr>
        <w:t xml:space="preserve"> indifferent to the customer’s presence.</w:t>
      </w:r>
    </w:p>
    <w:p w14:paraId="6BDCE3BB" w14:textId="77777777" w:rsidR="00E43838" w:rsidRDefault="00E43838" w:rsidP="00564811">
      <w:pPr>
        <w:rPr>
          <w:rFonts w:ascii="Times New Roman" w:hAnsi="Times New Roman"/>
        </w:rPr>
      </w:pPr>
    </w:p>
    <w:p w14:paraId="6999C39C" w14:textId="79B52D49" w:rsidR="00971233" w:rsidRDefault="00E43838" w:rsidP="00564811">
      <w:pPr>
        <w:rPr>
          <w:rFonts w:ascii="Times New Roman" w:hAnsi="Times New Roman"/>
        </w:rPr>
      </w:pPr>
      <w:r>
        <w:rPr>
          <w:rFonts w:ascii="Times New Roman" w:hAnsi="Times New Roman"/>
        </w:rPr>
        <w:lastRenderedPageBreak/>
        <w:t xml:space="preserve">A key assumption in this methodology is that the recovery period </w:t>
      </w:r>
      <w:r w:rsidRPr="00975735">
        <w:rPr>
          <w:rFonts w:ascii="Times New Roman" w:hAnsi="Times New Roman"/>
          <w:u w:val="single"/>
        </w:rPr>
        <w:t>approaches</w:t>
      </w:r>
      <w:r>
        <w:rPr>
          <w:rFonts w:ascii="Times New Roman" w:hAnsi="Times New Roman"/>
        </w:rPr>
        <w:t xml:space="preserve"> infinity.</w:t>
      </w:r>
      <w:r w:rsidR="00975735">
        <w:rPr>
          <w:rFonts w:ascii="Times New Roman" w:hAnsi="Times New Roman"/>
        </w:rPr>
        <w:t xml:space="preserve"> Mathematically, this is </w:t>
      </w:r>
      <w:r w:rsidR="009A45E2">
        <w:rPr>
          <w:rFonts w:ascii="Times New Roman" w:hAnsi="Times New Roman"/>
        </w:rPr>
        <w:t>reasonably approximate</w:t>
      </w:r>
      <w:r w:rsidR="00975735">
        <w:rPr>
          <w:rFonts w:ascii="Times New Roman" w:hAnsi="Times New Roman"/>
        </w:rPr>
        <w:t xml:space="preserve"> to the depreciable life of </w:t>
      </w:r>
      <w:r w:rsidR="009A45E2">
        <w:rPr>
          <w:rFonts w:ascii="Times New Roman" w:hAnsi="Times New Roman"/>
        </w:rPr>
        <w:t>distribution assets, which are commonly 30 to 50 years</w:t>
      </w:r>
      <w:r w:rsidR="003D17FB">
        <w:rPr>
          <w:rFonts w:ascii="Times New Roman" w:hAnsi="Times New Roman"/>
        </w:rPr>
        <w:t>.</w:t>
      </w:r>
      <w:r w:rsidR="00C53AE4">
        <w:rPr>
          <w:rStyle w:val="FootnoteReference"/>
          <w:rFonts w:ascii="Times New Roman" w:hAnsi="Times New Roman"/>
        </w:rPr>
        <w:footnoteReference w:id="3"/>
      </w:r>
      <w:r w:rsidR="00C53AE4">
        <w:rPr>
          <w:rFonts w:ascii="Times New Roman" w:hAnsi="Times New Roman"/>
        </w:rPr>
        <w:t xml:space="preserve"> While the notion of an infinite recoverable</w:t>
      </w:r>
      <w:r w:rsidR="00971233">
        <w:rPr>
          <w:rFonts w:ascii="Times New Roman" w:hAnsi="Times New Roman"/>
        </w:rPr>
        <w:t xml:space="preserve"> life may</w:t>
      </w:r>
      <w:r w:rsidR="00C53AE4">
        <w:rPr>
          <w:rFonts w:ascii="Times New Roman" w:hAnsi="Times New Roman"/>
        </w:rPr>
        <w:t xml:space="preserve"> on the surface seem absurd, it</w:t>
      </w:r>
      <w:r w:rsidR="00A01784">
        <w:rPr>
          <w:rFonts w:ascii="Times New Roman" w:hAnsi="Times New Roman"/>
        </w:rPr>
        <w:t xml:space="preserve"> is not significant</w:t>
      </w:r>
      <w:r w:rsidR="00420758">
        <w:rPr>
          <w:rFonts w:ascii="Times New Roman" w:hAnsi="Times New Roman"/>
        </w:rPr>
        <w:t>l</w:t>
      </w:r>
      <w:r w:rsidR="00C53AE4">
        <w:rPr>
          <w:rFonts w:ascii="Times New Roman" w:hAnsi="Times New Roman"/>
        </w:rPr>
        <w:t>y different than a calculation that uses a standard depreciable life</w:t>
      </w:r>
      <w:r w:rsidR="00130194">
        <w:rPr>
          <w:rFonts w:ascii="Times New Roman" w:hAnsi="Times New Roman"/>
        </w:rPr>
        <w:t xml:space="preserve"> of 30-plus years</w:t>
      </w:r>
      <w:r w:rsidR="00C53AE4">
        <w:rPr>
          <w:rFonts w:ascii="Times New Roman" w:hAnsi="Times New Roman"/>
        </w:rPr>
        <w:t>.</w:t>
      </w:r>
      <w:r w:rsidR="003D17FB">
        <w:rPr>
          <w:rFonts w:ascii="Times New Roman" w:hAnsi="Times New Roman"/>
        </w:rPr>
        <w:t xml:space="preserve"> </w:t>
      </w:r>
      <w:r w:rsidR="00130194">
        <w:rPr>
          <w:rFonts w:ascii="Times New Roman" w:hAnsi="Times New Roman"/>
        </w:rPr>
        <w:t>The chart below illustrates this point.</w:t>
      </w:r>
    </w:p>
    <w:p w14:paraId="30785C3F" w14:textId="77777777" w:rsidR="00130194" w:rsidRDefault="00130194" w:rsidP="00564811">
      <w:pPr>
        <w:rPr>
          <w:rFonts w:ascii="Times New Roman" w:hAnsi="Times New Roman"/>
        </w:rPr>
      </w:pPr>
    </w:p>
    <w:p w14:paraId="1477AEA3" w14:textId="251F3669" w:rsidR="00130194" w:rsidRDefault="00A83643" w:rsidP="005B633A">
      <w:pPr>
        <w:jc w:val="center"/>
        <w:rPr>
          <w:rFonts w:ascii="Times New Roman" w:hAnsi="Times New Roman"/>
        </w:rPr>
      </w:pPr>
      <w:r>
        <w:rPr>
          <w:rFonts w:ascii="Times New Roman" w:hAnsi="Times New Roman"/>
          <w:noProof/>
        </w:rPr>
        <w:drawing>
          <wp:inline distT="0" distB="0" distL="0" distR="0" wp14:anchorId="6745002C" wp14:editId="519D930D">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9BE2C57" w14:textId="77777777" w:rsidR="00920316" w:rsidRDefault="00920316" w:rsidP="005B633A">
      <w:pPr>
        <w:jc w:val="center"/>
        <w:rPr>
          <w:rFonts w:ascii="Times New Roman" w:hAnsi="Times New Roman"/>
        </w:rPr>
      </w:pPr>
    </w:p>
    <w:p w14:paraId="462BC116" w14:textId="473BA264" w:rsidR="00E43838" w:rsidRDefault="00920316" w:rsidP="00564811">
      <w:pPr>
        <w:rPr>
          <w:rFonts w:ascii="Times New Roman" w:hAnsi="Times New Roman"/>
        </w:rPr>
      </w:pPr>
      <w:r>
        <w:rPr>
          <w:rFonts w:ascii="Times New Roman" w:hAnsi="Times New Roman"/>
        </w:rPr>
        <w:t>Avista’s current line extension allowance methodology is more arbitrary</w:t>
      </w:r>
      <w:r w:rsidR="005B633A">
        <w:rPr>
          <w:rFonts w:ascii="Times New Roman" w:hAnsi="Times New Roman"/>
        </w:rPr>
        <w:t>,</w:t>
      </w:r>
      <w:r>
        <w:rPr>
          <w:rFonts w:ascii="Times New Roman" w:hAnsi="Times New Roman"/>
        </w:rPr>
        <w:t xml:space="preserve"> and less generous. An average Avista customer currently receives a line extension allowance of $1,920, based on three times an average customer’s contributed revenue of $640 per year. Customers connected under the existing line extension methodology contribute $110 more to the utility than they cost to serve on an annual basis. The change in methodology better ensures that the </w:t>
      </w:r>
      <w:r w:rsidR="00FD1CFF">
        <w:rPr>
          <w:rFonts w:ascii="Times New Roman" w:hAnsi="Times New Roman"/>
        </w:rPr>
        <w:t xml:space="preserve">company </w:t>
      </w:r>
      <w:r>
        <w:rPr>
          <w:rFonts w:ascii="Times New Roman" w:hAnsi="Times New Roman"/>
        </w:rPr>
        <w:t>is acquiring new customers who will aid in lowering fixed costs recovered from existing customers.</w:t>
      </w:r>
    </w:p>
    <w:p w14:paraId="21934030" w14:textId="77777777" w:rsidR="000F03F4" w:rsidRDefault="000F03F4" w:rsidP="00564811">
      <w:pPr>
        <w:rPr>
          <w:rFonts w:ascii="Times New Roman" w:hAnsi="Times New Roman"/>
        </w:rPr>
      </w:pPr>
    </w:p>
    <w:p w14:paraId="74EF4B3B" w14:textId="1B261D88" w:rsidR="00D33B36" w:rsidRPr="00AC3F42" w:rsidRDefault="00D33B36" w:rsidP="002071CB">
      <w:pPr>
        <w:pStyle w:val="Heading2"/>
        <w:rPr>
          <w:rFonts w:ascii="Times New Roman" w:hAnsi="Times New Roman" w:cs="Times New Roman"/>
          <w:i/>
          <w:color w:val="000000" w:themeColor="text1"/>
          <w:sz w:val="24"/>
          <w:szCs w:val="24"/>
        </w:rPr>
      </w:pPr>
      <w:r w:rsidRPr="00AC3F42">
        <w:rPr>
          <w:rFonts w:ascii="Times New Roman" w:hAnsi="Times New Roman" w:cs="Times New Roman"/>
          <w:i/>
          <w:color w:val="000000" w:themeColor="text1"/>
          <w:sz w:val="24"/>
          <w:szCs w:val="24"/>
        </w:rPr>
        <w:t>Excess Residential Allowance for Customer Equipment</w:t>
      </w:r>
    </w:p>
    <w:p w14:paraId="3FBF2095" w14:textId="073EED6F" w:rsidR="00D33B36" w:rsidRDefault="00D9666D">
      <w:pPr>
        <w:rPr>
          <w:rFonts w:ascii="Times New Roman" w:hAnsi="Times New Roman"/>
        </w:rPr>
      </w:pPr>
      <w:r>
        <w:rPr>
          <w:rFonts w:ascii="Times New Roman" w:hAnsi="Times New Roman"/>
        </w:rPr>
        <w:t xml:space="preserve">Avista is proposing a rebate program for </w:t>
      </w:r>
      <w:r w:rsidR="000D6E22">
        <w:rPr>
          <w:rFonts w:ascii="Times New Roman" w:hAnsi="Times New Roman"/>
        </w:rPr>
        <w:t>existing single-family, Residential Schedule 101 customers</w:t>
      </w:r>
      <w:r>
        <w:rPr>
          <w:rFonts w:ascii="Times New Roman" w:hAnsi="Times New Roman"/>
        </w:rPr>
        <w:t xml:space="preserve"> that have received a natural gas line extension</w:t>
      </w:r>
      <w:r w:rsidR="000D6E22">
        <w:rPr>
          <w:rFonts w:ascii="Times New Roman" w:hAnsi="Times New Roman"/>
        </w:rPr>
        <w:t xml:space="preserve"> as part of conversion to natural gas from another fuel source</w:t>
      </w:r>
      <w:r>
        <w:rPr>
          <w:rFonts w:ascii="Times New Roman" w:hAnsi="Times New Roman"/>
        </w:rPr>
        <w:t>. In cases where the customer’s line extension allowance exceeds the cost of providing the line extension, an “excess allowance” remains. Customers in these circumstances can, within 90 days, apply for a rebate to cover the costs of purchasing</w:t>
      </w:r>
      <w:r w:rsidR="000F03F4">
        <w:rPr>
          <w:rFonts w:ascii="Times New Roman" w:hAnsi="Times New Roman"/>
        </w:rPr>
        <w:t xml:space="preserve"> and </w:t>
      </w:r>
      <w:r>
        <w:rPr>
          <w:rFonts w:ascii="Times New Roman" w:hAnsi="Times New Roman"/>
        </w:rPr>
        <w:t>installing high-efficiency natural gas appliances</w:t>
      </w:r>
      <w:r w:rsidR="000F03F4">
        <w:rPr>
          <w:rFonts w:ascii="Times New Roman" w:hAnsi="Times New Roman"/>
        </w:rPr>
        <w:t xml:space="preserve"> for space-heating and water-heating</w:t>
      </w:r>
      <w:r>
        <w:rPr>
          <w:rFonts w:ascii="Times New Roman" w:hAnsi="Times New Roman"/>
        </w:rPr>
        <w:t>.</w:t>
      </w:r>
      <w:r w:rsidR="00712B01">
        <w:rPr>
          <w:rStyle w:val="FootnoteReference"/>
          <w:rFonts w:ascii="Times New Roman" w:hAnsi="Times New Roman"/>
        </w:rPr>
        <w:footnoteReference w:id="4"/>
      </w:r>
      <w:r w:rsidR="00712B01">
        <w:rPr>
          <w:rFonts w:ascii="Times New Roman" w:hAnsi="Times New Roman"/>
        </w:rPr>
        <w:t xml:space="preserve"> The size of the rebate is capped at the size of the excess allowance. This provision ensures that the </w:t>
      </w:r>
      <w:r w:rsidR="00FD1CFF">
        <w:rPr>
          <w:rFonts w:ascii="Times New Roman" w:hAnsi="Times New Roman"/>
        </w:rPr>
        <w:t xml:space="preserve">company </w:t>
      </w:r>
      <w:r w:rsidR="00712B01">
        <w:rPr>
          <w:rFonts w:ascii="Times New Roman" w:hAnsi="Times New Roman"/>
        </w:rPr>
        <w:t>does not spend more on acquiring the customer than is economical, and ensures that</w:t>
      </w:r>
      <w:r w:rsidR="00331F1A">
        <w:rPr>
          <w:rFonts w:ascii="Times New Roman" w:hAnsi="Times New Roman"/>
        </w:rPr>
        <w:t xml:space="preserve"> new customers acquired are not acquired </w:t>
      </w:r>
      <w:r w:rsidR="000F03F4">
        <w:rPr>
          <w:rFonts w:ascii="Times New Roman" w:hAnsi="Times New Roman"/>
        </w:rPr>
        <w:t>to the detriment</w:t>
      </w:r>
      <w:r w:rsidR="00331F1A">
        <w:rPr>
          <w:rFonts w:ascii="Times New Roman" w:hAnsi="Times New Roman"/>
        </w:rPr>
        <w:t xml:space="preserve"> of </w:t>
      </w:r>
      <w:r w:rsidR="00712B01">
        <w:rPr>
          <w:rFonts w:ascii="Times New Roman" w:hAnsi="Times New Roman"/>
        </w:rPr>
        <w:t>existing customers.</w:t>
      </w:r>
    </w:p>
    <w:p w14:paraId="7AF8EF6A" w14:textId="77777777" w:rsidR="00447652" w:rsidRDefault="00447652">
      <w:pPr>
        <w:rPr>
          <w:rFonts w:ascii="Times New Roman" w:hAnsi="Times New Roman"/>
        </w:rPr>
      </w:pPr>
    </w:p>
    <w:p w14:paraId="3B05AAEC" w14:textId="113FA9E7" w:rsidR="00447652" w:rsidRDefault="00447652">
      <w:pPr>
        <w:rPr>
          <w:rFonts w:ascii="Times New Roman" w:hAnsi="Times New Roman"/>
        </w:rPr>
      </w:pPr>
      <w:r>
        <w:rPr>
          <w:rFonts w:ascii="Times New Roman" w:hAnsi="Times New Roman"/>
        </w:rPr>
        <w:t xml:space="preserve">Many customers who will be eligible for this rebate will also be eligible for incentives under the </w:t>
      </w:r>
      <w:r w:rsidR="00FD1CFF">
        <w:rPr>
          <w:rFonts w:ascii="Times New Roman" w:hAnsi="Times New Roman"/>
        </w:rPr>
        <w:t xml:space="preserve">company’s </w:t>
      </w:r>
      <w:r>
        <w:rPr>
          <w:rFonts w:ascii="Times New Roman" w:hAnsi="Times New Roman"/>
        </w:rPr>
        <w:t xml:space="preserve">conservation program. Under that program, customers can be eligible for over $3500 in assistance when converting from electric to natural gas services. In these instances, customers will only be eligible for the excess allowance rebate if their costs have not been fully covered by the conservation program, and the total amount of assistance provided to the customer by the </w:t>
      </w:r>
      <w:r w:rsidR="00FD1CFF">
        <w:rPr>
          <w:rFonts w:ascii="Times New Roman" w:hAnsi="Times New Roman"/>
        </w:rPr>
        <w:t xml:space="preserve">company </w:t>
      </w:r>
      <w:r>
        <w:rPr>
          <w:rFonts w:ascii="Times New Roman" w:hAnsi="Times New Roman"/>
        </w:rPr>
        <w:t>will not exceed the costs of equipment and installation.</w:t>
      </w:r>
    </w:p>
    <w:p w14:paraId="4774DB84" w14:textId="77777777" w:rsidR="00447652" w:rsidRDefault="00447652">
      <w:pPr>
        <w:rPr>
          <w:rFonts w:ascii="Times New Roman" w:hAnsi="Times New Roman"/>
        </w:rPr>
      </w:pPr>
    </w:p>
    <w:p w14:paraId="69162866" w14:textId="1BA0F2A2" w:rsidR="00447652" w:rsidRDefault="00447652">
      <w:pPr>
        <w:rPr>
          <w:rFonts w:ascii="Times New Roman" w:hAnsi="Times New Roman"/>
        </w:rPr>
      </w:pPr>
      <w:r>
        <w:rPr>
          <w:rFonts w:ascii="Times New Roman" w:hAnsi="Times New Roman"/>
        </w:rPr>
        <w:t>The excess allowance rebate will aid in mitigating</w:t>
      </w:r>
      <w:r w:rsidR="00331F1A">
        <w:rPr>
          <w:rFonts w:ascii="Times New Roman" w:hAnsi="Times New Roman"/>
        </w:rPr>
        <w:t xml:space="preserve"> the switching costs </w:t>
      </w:r>
      <w:r>
        <w:rPr>
          <w:rFonts w:ascii="Times New Roman" w:hAnsi="Times New Roman"/>
        </w:rPr>
        <w:t>for many customers who are interested in natural gas services.</w:t>
      </w:r>
    </w:p>
    <w:p w14:paraId="6C9FF2BD" w14:textId="77777777" w:rsidR="00B410FE" w:rsidRDefault="00B410FE">
      <w:pPr>
        <w:rPr>
          <w:rFonts w:ascii="Times New Roman" w:hAnsi="Times New Roman"/>
        </w:rPr>
      </w:pPr>
    </w:p>
    <w:p w14:paraId="4CE59FC6" w14:textId="77777777" w:rsidR="00B410FE" w:rsidRDefault="00B410FE" w:rsidP="00B410FE">
      <w:pPr>
        <w:pStyle w:val="Heading2"/>
        <w:rPr>
          <w:rFonts w:ascii="Times New Roman" w:hAnsi="Times New Roman" w:cs="Times New Roman"/>
          <w:i/>
          <w:color w:val="000000" w:themeColor="text1"/>
          <w:sz w:val="24"/>
          <w:szCs w:val="24"/>
        </w:rPr>
      </w:pPr>
      <w:r w:rsidRPr="0024415C">
        <w:rPr>
          <w:rFonts w:ascii="Times New Roman" w:hAnsi="Times New Roman" w:cs="Times New Roman"/>
          <w:i/>
          <w:color w:val="000000" w:themeColor="text1"/>
          <w:sz w:val="24"/>
          <w:szCs w:val="24"/>
        </w:rPr>
        <w:t>Proposed Accounting Treatment</w:t>
      </w:r>
    </w:p>
    <w:p w14:paraId="202F5A28" w14:textId="2609F039" w:rsidR="00B410FE" w:rsidRPr="0024415C" w:rsidRDefault="00B410FE" w:rsidP="00B410FE">
      <w:pPr>
        <w:rPr>
          <w:rFonts w:ascii="Times New Roman" w:hAnsi="Times New Roman"/>
        </w:rPr>
      </w:pPr>
      <w:r w:rsidRPr="0024415C">
        <w:rPr>
          <w:rFonts w:ascii="Times New Roman" w:hAnsi="Times New Roman"/>
        </w:rPr>
        <w:t>Avista se</w:t>
      </w:r>
      <w:r>
        <w:rPr>
          <w:rFonts w:ascii="Times New Roman" w:hAnsi="Times New Roman"/>
        </w:rPr>
        <w:t>eks to defer the aforementioned excess allowance rebates paid to Washington residential customers upon conversion to natural gas</w:t>
      </w:r>
      <w:r w:rsidR="00794734">
        <w:rPr>
          <w:rFonts w:ascii="Times New Roman" w:hAnsi="Times New Roman"/>
        </w:rPr>
        <w:t xml:space="preserve"> from another fuel source</w:t>
      </w:r>
      <w:r>
        <w:rPr>
          <w:rFonts w:ascii="Times New Roman" w:hAnsi="Times New Roman"/>
        </w:rPr>
        <w:t xml:space="preserve">. </w:t>
      </w:r>
      <w:r w:rsidR="009E538B">
        <w:rPr>
          <w:rFonts w:ascii="Times New Roman" w:hAnsi="Times New Roman"/>
        </w:rPr>
        <w:t>Deferring these expenses for later recovery is appropriate, given that acquisition of these new customers will aid in lowering costs to existing customers by spreading the burden of fixed costs over a larger user base.</w:t>
      </w:r>
      <w:r w:rsidR="00794734">
        <w:rPr>
          <w:rFonts w:ascii="Times New Roman" w:hAnsi="Times New Roman"/>
        </w:rPr>
        <w:t xml:space="preserve"> The three year period requested for this treatment provides a reasonable timeframe in which to expect the company to file a general rate case, which will serve as an opportunity to review the program.</w:t>
      </w:r>
    </w:p>
    <w:p w14:paraId="666136DE" w14:textId="77777777" w:rsidR="0099144D" w:rsidRPr="00AC3F42" w:rsidRDefault="0099144D">
      <w:pPr>
        <w:rPr>
          <w:rFonts w:ascii="Times New Roman" w:hAnsi="Times New Roman"/>
          <w:i/>
        </w:rPr>
      </w:pPr>
    </w:p>
    <w:p w14:paraId="371B177B" w14:textId="708214FF" w:rsidR="00D33B36" w:rsidRPr="00AC3F42" w:rsidRDefault="00D33B36" w:rsidP="002071CB">
      <w:pPr>
        <w:pStyle w:val="Heading2"/>
        <w:rPr>
          <w:rFonts w:ascii="Times New Roman" w:hAnsi="Times New Roman" w:cs="Times New Roman"/>
          <w:i/>
          <w:color w:val="000000" w:themeColor="text1"/>
          <w:sz w:val="24"/>
          <w:szCs w:val="24"/>
        </w:rPr>
      </w:pPr>
      <w:r w:rsidRPr="00AC3F42">
        <w:rPr>
          <w:rFonts w:ascii="Times New Roman" w:hAnsi="Times New Roman" w:cs="Times New Roman"/>
          <w:i/>
          <w:color w:val="000000" w:themeColor="text1"/>
          <w:sz w:val="24"/>
          <w:szCs w:val="24"/>
        </w:rPr>
        <w:t xml:space="preserve">Limited Waiver of WAC 480-90-223(1) </w:t>
      </w:r>
    </w:p>
    <w:p w14:paraId="782D8F4E" w14:textId="609A691A" w:rsidR="00657DEE" w:rsidRPr="00AC3F42" w:rsidRDefault="00AC3F42">
      <w:pPr>
        <w:rPr>
          <w:rFonts w:ascii="Times New Roman" w:hAnsi="Times New Roman"/>
        </w:rPr>
      </w:pPr>
      <w:r w:rsidRPr="00AC3F42">
        <w:rPr>
          <w:rFonts w:ascii="Times New Roman" w:hAnsi="Times New Roman"/>
        </w:rPr>
        <w:t xml:space="preserve">Avista </w:t>
      </w:r>
      <w:r w:rsidR="009863F2">
        <w:rPr>
          <w:rFonts w:ascii="Times New Roman" w:hAnsi="Times New Roman"/>
        </w:rPr>
        <w:t>originally sought waiver of the so-called “advertising rule” in WAC 480-90-223</w:t>
      </w:r>
      <w:r w:rsidR="009E538B">
        <w:rPr>
          <w:rFonts w:ascii="Times New Roman" w:hAnsi="Times New Roman"/>
        </w:rPr>
        <w:t>(1)</w:t>
      </w:r>
      <w:r w:rsidR="009863F2">
        <w:rPr>
          <w:rFonts w:ascii="Times New Roman" w:hAnsi="Times New Roman"/>
        </w:rPr>
        <w:t xml:space="preserve">. The </w:t>
      </w:r>
      <w:r w:rsidR="00FD1CFF">
        <w:rPr>
          <w:rFonts w:ascii="Times New Roman" w:hAnsi="Times New Roman"/>
        </w:rPr>
        <w:t xml:space="preserve">company </w:t>
      </w:r>
      <w:r w:rsidR="009863F2">
        <w:rPr>
          <w:rFonts w:ascii="Times New Roman" w:hAnsi="Times New Roman"/>
        </w:rPr>
        <w:t>now no longer seeks this waiver</w:t>
      </w:r>
      <w:r w:rsidR="009E538B">
        <w:rPr>
          <w:rFonts w:ascii="Times New Roman" w:hAnsi="Times New Roman"/>
        </w:rPr>
        <w:t xml:space="preserve"> because it does not believe it is necessary</w:t>
      </w:r>
      <w:r w:rsidR="009863F2">
        <w:rPr>
          <w:rFonts w:ascii="Times New Roman" w:hAnsi="Times New Roman"/>
        </w:rPr>
        <w:t>.</w:t>
      </w:r>
    </w:p>
    <w:p w14:paraId="782D8F56" w14:textId="77777777" w:rsidR="00115C02" w:rsidRPr="00AC3F42" w:rsidRDefault="00115C02" w:rsidP="00115C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ascii="Times New Roman" w:hAnsi="Times New Roman"/>
          <w:b/>
          <w:u w:val="single"/>
        </w:rPr>
      </w:pPr>
    </w:p>
    <w:p w14:paraId="782D8F9C" w14:textId="77777777" w:rsidR="00D60E7F" w:rsidRPr="00AC3F42" w:rsidRDefault="00D60E7F" w:rsidP="002071CB">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Conclusion</w:t>
      </w:r>
    </w:p>
    <w:p w14:paraId="782D8FC2" w14:textId="2A66522E" w:rsidR="000B1B56" w:rsidRDefault="005B633A" w:rsidP="005B633A">
      <w:pPr>
        <w:rPr>
          <w:rFonts w:ascii="Times New Roman" w:hAnsi="Times New Roman"/>
        </w:rPr>
      </w:pPr>
      <w:r>
        <w:rPr>
          <w:rFonts w:ascii="Times New Roman" w:hAnsi="Times New Roman"/>
        </w:rPr>
        <w:t>Avista’s revised natural gas line extension allowance methodology allows the company to make natural gas service a more viable option to single-family residences in its service territory</w:t>
      </w:r>
      <w:r w:rsidR="0052673F" w:rsidRPr="00AC3F42">
        <w:rPr>
          <w:rFonts w:ascii="Times New Roman" w:hAnsi="Times New Roman"/>
        </w:rPr>
        <w:t>.</w:t>
      </w:r>
      <w:r>
        <w:rPr>
          <w:rFonts w:ascii="Times New Roman" w:hAnsi="Times New Roman"/>
        </w:rPr>
        <w:t xml:space="preserve"> </w:t>
      </w:r>
    </w:p>
    <w:p w14:paraId="4F09B19E" w14:textId="77777777" w:rsidR="005B5C5F" w:rsidRPr="00AC3F42" w:rsidRDefault="005B5C5F" w:rsidP="005B5C5F">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3D2EFF6C" w14:textId="784A90AF" w:rsidR="005B5C5F" w:rsidRPr="00AC3F42" w:rsidRDefault="005B5C5F" w:rsidP="005B5C5F">
      <w:pPr>
        <w:rPr>
          <w:rFonts w:ascii="Times New Roman" w:hAnsi="Times New Roman"/>
        </w:rPr>
      </w:pPr>
      <w:r w:rsidRPr="00BA6A9A">
        <w:rPr>
          <w:rFonts w:ascii="Times New Roman" w:hAnsi="Times New Roman"/>
        </w:rPr>
        <w:t xml:space="preserve">Issue an order approving </w:t>
      </w:r>
      <w:r>
        <w:rPr>
          <w:rFonts w:ascii="Times New Roman" w:hAnsi="Times New Roman"/>
        </w:rPr>
        <w:t>the</w:t>
      </w:r>
      <w:r w:rsidRPr="00BA6A9A">
        <w:rPr>
          <w:rFonts w:ascii="Times New Roman" w:hAnsi="Times New Roman"/>
        </w:rPr>
        <w:t xml:space="preserve"> proposed accounting treatment and change in line extension allowance methodology</w:t>
      </w:r>
      <w:r w:rsidR="002553D7">
        <w:rPr>
          <w:rFonts w:ascii="Times New Roman" w:hAnsi="Times New Roman"/>
        </w:rPr>
        <w:t xml:space="preserve"> and approve revisions to Tariff WN U-29, Schedule 151.</w:t>
      </w:r>
    </w:p>
    <w:sectPr w:rsidR="005B5C5F" w:rsidRPr="00AC3F4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920316" w:rsidRDefault="00920316">
      <w:r>
        <w:separator/>
      </w:r>
    </w:p>
  </w:endnote>
  <w:endnote w:type="continuationSeparator" w:id="0">
    <w:p w14:paraId="782D8FC6" w14:textId="77777777" w:rsidR="00920316" w:rsidRDefault="009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920316" w:rsidRDefault="00920316">
      <w:r>
        <w:separator/>
      </w:r>
    </w:p>
  </w:footnote>
  <w:footnote w:type="continuationSeparator" w:id="0">
    <w:p w14:paraId="782D8FC4" w14:textId="77777777" w:rsidR="00920316" w:rsidRDefault="00920316">
      <w:r>
        <w:continuationSeparator/>
      </w:r>
    </w:p>
  </w:footnote>
  <w:footnote w:id="1">
    <w:p w14:paraId="71C130DC" w14:textId="045B85E1" w:rsidR="00920316" w:rsidRPr="00751DD9" w:rsidRDefault="00920316">
      <w:pPr>
        <w:pStyle w:val="FootnoteText"/>
        <w:rPr>
          <w:rFonts w:ascii="Times New Roman" w:hAnsi="Times New Roman"/>
          <w:b/>
        </w:rPr>
      </w:pPr>
      <w:r>
        <w:rPr>
          <w:rStyle w:val="FootnoteReference"/>
        </w:rPr>
        <w:footnoteRef/>
      </w:r>
      <w:r>
        <w:t xml:space="preserve"> </w:t>
      </w:r>
      <w:r w:rsidRPr="00751DD9">
        <w:rPr>
          <w:rFonts w:ascii="Times New Roman" w:hAnsi="Times New Roman"/>
          <w:i/>
        </w:rPr>
        <w:t>Line Extensions for Natural Gas: Regulatory Considerations</w:t>
      </w:r>
      <w:r w:rsidRPr="00751DD9">
        <w:rPr>
          <w:rFonts w:ascii="Times New Roman" w:hAnsi="Times New Roman"/>
        </w:rPr>
        <w:t>, by Ken Costello. February 2013, National Regulatory Research Institute. See page 20.</w:t>
      </w:r>
    </w:p>
  </w:footnote>
  <w:footnote w:id="2">
    <w:p w14:paraId="473A9458" w14:textId="4953AED1" w:rsidR="00920316" w:rsidRPr="00751DD9" w:rsidRDefault="00920316" w:rsidP="00A26EAD">
      <w:pPr>
        <w:pStyle w:val="FootnoteText"/>
        <w:rPr>
          <w:rFonts w:ascii="Times New Roman" w:hAnsi="Times New Roman"/>
        </w:rPr>
      </w:pPr>
      <w:r w:rsidRPr="00751DD9">
        <w:rPr>
          <w:rStyle w:val="FootnoteReference"/>
          <w:rFonts w:ascii="Times New Roman" w:hAnsi="Times New Roman"/>
        </w:rPr>
        <w:footnoteRef/>
      </w:r>
      <w:r w:rsidRPr="00751DD9">
        <w:rPr>
          <w:rFonts w:ascii="Times New Roman" w:hAnsi="Times New Roman"/>
        </w:rPr>
        <w:t xml:space="preserve"> The anticipated revenue from the customer is found by summing the annual revenues from basic charges and the decoupled revenue per customer, after “backing out” the rate of return component embedded in those figures. The </w:t>
      </w:r>
      <w:r w:rsidR="000B1362">
        <w:rPr>
          <w:rFonts w:ascii="Times New Roman" w:hAnsi="Times New Roman"/>
        </w:rPr>
        <w:t>c</w:t>
      </w:r>
      <w:r w:rsidRPr="00751DD9">
        <w:rPr>
          <w:rFonts w:ascii="Times New Roman" w:hAnsi="Times New Roman"/>
        </w:rPr>
        <w:t>ompany earns a rate of return on the line extension when the line extension is added to rate base.</w:t>
      </w:r>
    </w:p>
  </w:footnote>
  <w:footnote w:id="3">
    <w:p w14:paraId="1F62B55F" w14:textId="5BD12945" w:rsidR="00920316" w:rsidRPr="00751DD9" w:rsidRDefault="00920316">
      <w:pPr>
        <w:pStyle w:val="FootnoteText"/>
        <w:rPr>
          <w:rFonts w:ascii="Times New Roman" w:hAnsi="Times New Roman"/>
        </w:rPr>
      </w:pPr>
      <w:r>
        <w:rPr>
          <w:rStyle w:val="FootnoteReference"/>
        </w:rPr>
        <w:footnoteRef/>
      </w:r>
      <w:r w:rsidRPr="00751DD9">
        <w:rPr>
          <w:rFonts w:ascii="Times New Roman" w:hAnsi="Times New Roman"/>
        </w:rPr>
        <w:t xml:space="preserve"> The utility’s authorized rate of return is a proxy for the time-value of money to the utility. Future revenue streams are discounted by the rate used (here, the authorized rate of return), and revenues received at dates further out in the future converge towards a value of zero. Put more simply, $100 received today is worth more than $100 received 50 years from today.</w:t>
      </w:r>
    </w:p>
  </w:footnote>
  <w:footnote w:id="4">
    <w:p w14:paraId="0A6D97B2" w14:textId="51AC8C61" w:rsidR="00920316" w:rsidRPr="00751DD9" w:rsidRDefault="00920316">
      <w:pPr>
        <w:pStyle w:val="FootnoteText"/>
        <w:rPr>
          <w:rFonts w:ascii="Times New Roman" w:hAnsi="Times New Roman"/>
        </w:rPr>
      </w:pPr>
      <w:r>
        <w:rPr>
          <w:rStyle w:val="FootnoteReference"/>
        </w:rPr>
        <w:footnoteRef/>
      </w:r>
      <w:r>
        <w:t xml:space="preserve"> </w:t>
      </w:r>
      <w:r w:rsidRPr="00751DD9">
        <w:rPr>
          <w:rFonts w:ascii="Times New Roman" w:hAnsi="Times New Roman"/>
        </w:rPr>
        <w:t xml:space="preserve">“High efficiency” is as defined in the </w:t>
      </w:r>
      <w:r w:rsidR="00FD1CFF">
        <w:rPr>
          <w:rFonts w:ascii="Times New Roman" w:hAnsi="Times New Roman"/>
        </w:rPr>
        <w:t>c</w:t>
      </w:r>
      <w:r w:rsidR="00FD1CFF" w:rsidRPr="00751DD9">
        <w:rPr>
          <w:rFonts w:ascii="Times New Roman" w:hAnsi="Times New Roman"/>
        </w:rPr>
        <w:t xml:space="preserve">ompany’s </w:t>
      </w:r>
      <w:r w:rsidRPr="00751DD9">
        <w:rPr>
          <w:rFonts w:ascii="Times New Roman" w:hAnsi="Times New Roman"/>
        </w:rPr>
        <w:t>conservation and demand-side management program, similar in standards to the Department of Energy’s Energy STAR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0E5ECD93" w:rsidR="00920316" w:rsidRPr="0052673F" w:rsidRDefault="00920316">
    <w:pPr>
      <w:pStyle w:val="Header"/>
      <w:rPr>
        <w:rFonts w:ascii="Times New Roman" w:hAnsi="Times New Roman"/>
        <w:sz w:val="20"/>
      </w:rPr>
    </w:pPr>
    <w:r w:rsidRPr="0052673F">
      <w:rPr>
        <w:rFonts w:ascii="Times New Roman" w:hAnsi="Times New Roman"/>
        <w:sz w:val="20"/>
      </w:rPr>
      <w:t xml:space="preserve">Docket </w:t>
    </w:r>
    <w:r>
      <w:rPr>
        <w:rFonts w:ascii="Times New Roman" w:hAnsi="Times New Roman"/>
        <w:sz w:val="20"/>
      </w:rPr>
      <w:t>UG-152394</w:t>
    </w:r>
  </w:p>
  <w:p w14:paraId="782D8FC8" w14:textId="57F0A7BF" w:rsidR="00920316" w:rsidRPr="0052673F" w:rsidRDefault="00920316">
    <w:pPr>
      <w:pStyle w:val="Header"/>
      <w:rPr>
        <w:rFonts w:ascii="Times New Roman" w:hAnsi="Times New Roman"/>
        <w:sz w:val="20"/>
      </w:rPr>
    </w:pPr>
    <w:r w:rsidRPr="005B633A">
      <w:rPr>
        <w:rFonts w:ascii="Times New Roman" w:hAnsi="Times New Roman"/>
        <w:sz w:val="20"/>
      </w:rPr>
      <w:t>February 25, 2016</w:t>
    </w:r>
  </w:p>
  <w:p w14:paraId="782D8FC9" w14:textId="77777777" w:rsidR="00920316" w:rsidRPr="0052673F" w:rsidRDefault="00920316">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B70FE2">
      <w:rPr>
        <w:rStyle w:val="PageNumber"/>
        <w:rFonts w:ascii="Times New Roman" w:hAnsi="Times New Roman"/>
        <w:noProof/>
        <w:sz w:val="20"/>
        <w:szCs w:val="20"/>
      </w:rPr>
      <w:t>3</w:t>
    </w:r>
    <w:r w:rsidRPr="00751DD9">
      <w:rPr>
        <w:rStyle w:val="PageNumber"/>
        <w:rFonts w:ascii="Times New Roman" w:hAnsi="Times New Roman"/>
        <w:sz w:val="20"/>
        <w:szCs w:val="20"/>
      </w:rPr>
      <w:fldChar w:fldCharType="end"/>
    </w:r>
  </w:p>
  <w:p w14:paraId="782D8FCA" w14:textId="77777777" w:rsidR="00920316" w:rsidRDefault="00920316">
    <w:pPr>
      <w:pStyle w:val="Header"/>
      <w:rPr>
        <w:rStyle w:val="PageNumber"/>
        <w:sz w:val="20"/>
      </w:rPr>
    </w:pPr>
  </w:p>
  <w:p w14:paraId="782D8FCB" w14:textId="77777777" w:rsidR="00920316" w:rsidRDefault="0092031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36A86"/>
    <w:rsid w:val="00041921"/>
    <w:rsid w:val="000B1362"/>
    <w:rsid w:val="000B1B56"/>
    <w:rsid w:val="000D20FB"/>
    <w:rsid w:val="000D6E22"/>
    <w:rsid w:val="000F03F4"/>
    <w:rsid w:val="00115C02"/>
    <w:rsid w:val="00130194"/>
    <w:rsid w:val="00136702"/>
    <w:rsid w:val="00157F99"/>
    <w:rsid w:val="001C2364"/>
    <w:rsid w:val="001F5226"/>
    <w:rsid w:val="0020635F"/>
    <w:rsid w:val="002071CB"/>
    <w:rsid w:val="0022715D"/>
    <w:rsid w:val="00242044"/>
    <w:rsid w:val="0024415C"/>
    <w:rsid w:val="002553D7"/>
    <w:rsid w:val="00331F1A"/>
    <w:rsid w:val="003736ED"/>
    <w:rsid w:val="003747CB"/>
    <w:rsid w:val="00380F67"/>
    <w:rsid w:val="003A683D"/>
    <w:rsid w:val="003D17FB"/>
    <w:rsid w:val="004064B6"/>
    <w:rsid w:val="00415CAD"/>
    <w:rsid w:val="00420758"/>
    <w:rsid w:val="00434A3B"/>
    <w:rsid w:val="00446C55"/>
    <w:rsid w:val="00447652"/>
    <w:rsid w:val="00506886"/>
    <w:rsid w:val="00514DF5"/>
    <w:rsid w:val="00521DDB"/>
    <w:rsid w:val="00524B4F"/>
    <w:rsid w:val="0052673F"/>
    <w:rsid w:val="00564811"/>
    <w:rsid w:val="005B5C5F"/>
    <w:rsid w:val="005B633A"/>
    <w:rsid w:val="00657DEE"/>
    <w:rsid w:val="00666E93"/>
    <w:rsid w:val="006F744B"/>
    <w:rsid w:val="00712B01"/>
    <w:rsid w:val="00744BCA"/>
    <w:rsid w:val="00751DD9"/>
    <w:rsid w:val="00767FFB"/>
    <w:rsid w:val="00774009"/>
    <w:rsid w:val="00794734"/>
    <w:rsid w:val="00842F1A"/>
    <w:rsid w:val="00862FFC"/>
    <w:rsid w:val="00920316"/>
    <w:rsid w:val="009420CC"/>
    <w:rsid w:val="00947AAF"/>
    <w:rsid w:val="00971233"/>
    <w:rsid w:val="00975735"/>
    <w:rsid w:val="009863F2"/>
    <w:rsid w:val="0099144D"/>
    <w:rsid w:val="009A45E2"/>
    <w:rsid w:val="009D6358"/>
    <w:rsid w:val="009E538B"/>
    <w:rsid w:val="00A01784"/>
    <w:rsid w:val="00A26EAD"/>
    <w:rsid w:val="00A32572"/>
    <w:rsid w:val="00A83643"/>
    <w:rsid w:val="00AB3123"/>
    <w:rsid w:val="00AC3F42"/>
    <w:rsid w:val="00AD4D61"/>
    <w:rsid w:val="00B33E84"/>
    <w:rsid w:val="00B34050"/>
    <w:rsid w:val="00B37E04"/>
    <w:rsid w:val="00B410FE"/>
    <w:rsid w:val="00B67FF2"/>
    <w:rsid w:val="00B70FE2"/>
    <w:rsid w:val="00B97950"/>
    <w:rsid w:val="00BA6A9A"/>
    <w:rsid w:val="00BD6CA0"/>
    <w:rsid w:val="00C53AE4"/>
    <w:rsid w:val="00C60290"/>
    <w:rsid w:val="00D33B36"/>
    <w:rsid w:val="00D60E7F"/>
    <w:rsid w:val="00D70AB2"/>
    <w:rsid w:val="00D82418"/>
    <w:rsid w:val="00D9666D"/>
    <w:rsid w:val="00E27FBC"/>
    <w:rsid w:val="00E43838"/>
    <w:rsid w:val="00F240AF"/>
    <w:rsid w:val="00FC5ECC"/>
    <w:rsid w:val="00FD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0BED2-E4A4-4DD0-BB89-8EF3B5974D9C}"/>
</file>

<file path=customXml/itemProps2.xml><?xml version="1.0" encoding="utf-8"?>
<ds:datastoreItem xmlns:ds="http://schemas.openxmlformats.org/officeDocument/2006/customXml" ds:itemID="{DA66EB31-0DDC-4093-9D01-263E7DC43A8E}"/>
</file>

<file path=customXml/itemProps3.xml><?xml version="1.0" encoding="utf-8"?>
<ds:datastoreItem xmlns:ds="http://schemas.openxmlformats.org/officeDocument/2006/customXml" ds:itemID="{3FD5CEB4-6301-439C-84D7-502D088673EC}"/>
</file>

<file path=customXml/itemProps4.xml><?xml version="1.0" encoding="utf-8"?>
<ds:datastoreItem xmlns:ds="http://schemas.openxmlformats.org/officeDocument/2006/customXml" ds:itemID="{CB7D70D1-FAEE-4CC5-A266-DA04868F1F36}"/>
</file>

<file path=customXml/itemProps5.xml><?xml version="1.0" encoding="utf-8"?>
<ds:datastoreItem xmlns:ds="http://schemas.openxmlformats.org/officeDocument/2006/customXml" ds:itemID="{8A2D904D-0F9B-4123-96A3-9D3FE7E77C67}"/>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2016-02-22T23:34:00Z</dcterms:created>
  <dcterms:modified xsi:type="dcterms:W3CDTF">2016-02-22T23:34:00Z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