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544" w:rsidRDefault="004A2544"/>
    <w:p w:rsidR="004A2544" w:rsidRDefault="004A2544"/>
    <w:p w:rsidR="004A2544" w:rsidRDefault="004A2544"/>
    <w:p w:rsidR="004A2544" w:rsidRDefault="004A2544"/>
    <w:p w:rsidR="004A2544" w:rsidRDefault="004A2544"/>
    <w:p w:rsidR="004A2544" w:rsidRDefault="004A2544"/>
    <w:p w:rsidR="004A2544" w:rsidRDefault="004A2544"/>
    <w:p w:rsidR="004A2544" w:rsidRDefault="004A2544"/>
    <w:p w:rsidR="004A2544" w:rsidRDefault="004A2544"/>
    <w:p w:rsidR="004A2544" w:rsidRPr="0048194C" w:rsidRDefault="004A2544" w:rsidP="0048194C">
      <w:pPr>
        <w:jc w:val="center"/>
        <w:rPr>
          <w:b/>
          <w:i/>
          <w:sz w:val="40"/>
          <w:szCs w:val="40"/>
        </w:rPr>
      </w:pPr>
    </w:p>
    <w:p w:rsidR="004A2544" w:rsidRDefault="004A2544">
      <w:pPr>
        <w:jc w:val="center"/>
        <w:outlineLvl w:val="0"/>
        <w:rPr>
          <w:rFonts w:ascii="Bookman Old Style" w:hAnsi="Bookman Old Style"/>
          <w:b/>
          <w:sz w:val="44"/>
        </w:rPr>
      </w:pPr>
      <w:r>
        <w:rPr>
          <w:rFonts w:ascii="Bookman Old Style" w:hAnsi="Bookman Old Style"/>
          <w:b/>
          <w:sz w:val="44"/>
        </w:rPr>
        <w:t>PUGET SOUND ENERGY</w:t>
      </w:r>
    </w:p>
    <w:p w:rsidR="004A2544" w:rsidRDefault="004A2544">
      <w:pPr>
        <w:jc w:val="center"/>
        <w:rPr>
          <w:rFonts w:ascii="Bookman Old Style" w:hAnsi="Bookman Old Style"/>
          <w:sz w:val="44"/>
        </w:rPr>
      </w:pPr>
    </w:p>
    <w:p w:rsidR="004A2544" w:rsidRDefault="00C27E75">
      <w:pPr>
        <w:jc w:val="center"/>
        <w:outlineLvl w:val="0"/>
        <w:rPr>
          <w:rFonts w:ascii="Bookman Old Style" w:hAnsi="Bookman Old Style"/>
          <w:sz w:val="44"/>
        </w:rPr>
      </w:pPr>
      <w:r>
        <w:rPr>
          <w:rFonts w:ascii="Bookman Old Style" w:hAnsi="Bookman Old Style"/>
          <w:sz w:val="44"/>
        </w:rPr>
        <w:t>201</w:t>
      </w:r>
      <w:r w:rsidR="00D25DAE">
        <w:rPr>
          <w:rFonts w:ascii="Bookman Old Style" w:hAnsi="Bookman Old Style"/>
          <w:sz w:val="44"/>
        </w:rPr>
        <w:t>5</w:t>
      </w:r>
      <w:r>
        <w:rPr>
          <w:rFonts w:ascii="Bookman Old Style" w:hAnsi="Bookman Old Style"/>
          <w:sz w:val="44"/>
        </w:rPr>
        <w:t xml:space="preserve"> </w:t>
      </w:r>
      <w:r w:rsidR="004A2544">
        <w:rPr>
          <w:rFonts w:ascii="Bookman Old Style" w:hAnsi="Bookman Old Style"/>
          <w:sz w:val="44"/>
        </w:rPr>
        <w:t>INTEGRATED RESOURCE PLAN</w:t>
      </w:r>
    </w:p>
    <w:p w:rsidR="004A2544" w:rsidRDefault="00512206">
      <w:pPr>
        <w:jc w:val="center"/>
        <w:rPr>
          <w:rFonts w:ascii="Bookman Old Style" w:hAnsi="Bookman Old Style"/>
          <w:sz w:val="44"/>
        </w:rPr>
      </w:pPr>
      <w:r>
        <w:rPr>
          <w:noProof/>
        </w:rPr>
        <mc:AlternateContent>
          <mc:Choice Requires="wps">
            <w:drawing>
              <wp:anchor distT="0" distB="0" distL="114300" distR="114300" simplePos="0" relativeHeight="251655680" behindDoc="0" locked="0" layoutInCell="0" allowOverlap="1">
                <wp:simplePos x="0" y="0"/>
                <wp:positionH relativeFrom="column">
                  <wp:posOffset>228600</wp:posOffset>
                </wp:positionH>
                <wp:positionV relativeFrom="paragraph">
                  <wp:posOffset>153035</wp:posOffset>
                </wp:positionV>
                <wp:extent cx="5029200" cy="0"/>
                <wp:effectExtent l="28575" t="29210" r="2857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05pt" to="414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" o:allowincell="f" strokeweight="4.5pt">
                <v:stroke linestyle="thinThick"/>
              </v:line>
            </w:pict>
          </mc:Fallback>
        </mc:AlternateContent>
      </w:r>
    </w:p>
    <w:p w:rsidR="004A2544" w:rsidRDefault="004905FF">
      <w:pPr>
        <w:jc w:val="center"/>
        <w:outlineLvl w:val="0"/>
        <w:rPr>
          <w:rFonts w:ascii="Bookman Old Style" w:hAnsi="Bookman Old Style"/>
          <w:sz w:val="44"/>
        </w:rPr>
      </w:pPr>
      <w:r>
        <w:rPr>
          <w:rFonts w:ascii="Bookman Old Style" w:hAnsi="Bookman Old Style"/>
          <w:sz w:val="44"/>
        </w:rPr>
        <w:t>UPDATED</w:t>
      </w:r>
      <w:r w:rsidR="003568AE">
        <w:rPr>
          <w:rFonts w:ascii="Bookman Old Style" w:hAnsi="Bookman Old Style"/>
          <w:sz w:val="44"/>
        </w:rPr>
        <w:t xml:space="preserve"> </w:t>
      </w:r>
      <w:r w:rsidR="004A2544">
        <w:rPr>
          <w:rFonts w:ascii="Bookman Old Style" w:hAnsi="Bookman Old Style"/>
          <w:sz w:val="44"/>
        </w:rPr>
        <w:t>WORK PLAN</w:t>
      </w:r>
    </w:p>
    <w:p w:rsidR="004A2544" w:rsidRDefault="004A2544"/>
    <w:p w:rsidR="004A2544" w:rsidRDefault="004A2544"/>
    <w:p w:rsidR="004A2544" w:rsidRDefault="004A2544"/>
    <w:p w:rsidR="004A2544" w:rsidRDefault="004A2544"/>
    <w:p w:rsidR="004A2544" w:rsidRDefault="004A2544"/>
    <w:p w:rsidR="004A2544" w:rsidRDefault="004A2544"/>
    <w:p w:rsidR="004A2544" w:rsidRDefault="004A2544"/>
    <w:p w:rsidR="004A2544" w:rsidRDefault="004A2544"/>
    <w:p w:rsidR="004A2544" w:rsidRDefault="004A2544"/>
    <w:p w:rsidR="004A2544" w:rsidRDefault="004A2544"/>
    <w:p w:rsidR="004A2544" w:rsidRDefault="004A2544"/>
    <w:p w:rsidR="004A2544" w:rsidRDefault="004A2544"/>
    <w:p w:rsidR="004A2544" w:rsidRDefault="004A2544"/>
    <w:p w:rsidR="004A2544" w:rsidRDefault="004A2544"/>
    <w:p w:rsidR="004A2544" w:rsidRDefault="004A2544"/>
    <w:p w:rsidR="004A2544" w:rsidRDefault="004A2544"/>
    <w:p w:rsidR="004A2544" w:rsidRDefault="004A2544"/>
    <w:p w:rsidR="004A2544" w:rsidRDefault="004A2544"/>
    <w:p w:rsidR="004A2544" w:rsidRDefault="004A2544"/>
    <w:p w:rsidR="004A2544" w:rsidRDefault="00033078">
      <w:pPr>
        <w:jc w:val="center"/>
        <w:rPr>
          <w:sz w:val="28"/>
        </w:rPr>
      </w:pPr>
      <w:r>
        <w:rPr>
          <w:sz w:val="28"/>
        </w:rPr>
        <w:t>August</w:t>
      </w:r>
      <w:r w:rsidR="004A2544">
        <w:rPr>
          <w:sz w:val="28"/>
        </w:rPr>
        <w:t xml:space="preserve"> </w:t>
      </w:r>
      <w:r w:rsidR="00D25DAE">
        <w:rPr>
          <w:sz w:val="28"/>
        </w:rPr>
        <w:t>2</w:t>
      </w:r>
      <w:r>
        <w:rPr>
          <w:sz w:val="28"/>
        </w:rPr>
        <w:t>9</w:t>
      </w:r>
      <w:r w:rsidR="004A2544">
        <w:rPr>
          <w:sz w:val="28"/>
        </w:rPr>
        <w:t xml:space="preserve">, </w:t>
      </w:r>
      <w:r w:rsidR="00C27E75">
        <w:rPr>
          <w:sz w:val="28"/>
        </w:rPr>
        <w:t>201</w:t>
      </w:r>
      <w:r w:rsidR="00D25DAE">
        <w:rPr>
          <w:sz w:val="28"/>
        </w:rPr>
        <w:t>4</w:t>
      </w:r>
    </w:p>
    <w:p w:rsidR="004A2544" w:rsidRDefault="004A2544">
      <w:pPr>
        <w:rPr>
          <w:sz w:val="28"/>
        </w:rPr>
        <w:sectPr w:rsidR="004A2544" w:rsidSect="004905FF">
          <w:headerReference w:type="default" r:id="rId9"/>
          <w:pgSz w:w="12240" w:h="15840" w:code="1"/>
          <w:pgMar w:top="1440" w:right="1800" w:bottom="1440" w:left="1800" w:header="720" w:footer="720" w:gutter="0"/>
          <w:cols w:space="720"/>
          <w:titlePg/>
          <w:docGrid w:linePitch="360"/>
        </w:sectPr>
      </w:pPr>
    </w:p>
    <w:p w:rsidR="004A2544" w:rsidRDefault="004A2544">
      <w:pPr>
        <w:rPr>
          <w:rFonts w:ascii="Bookman Old Style" w:hAnsi="Bookman Old Style"/>
          <w:b/>
        </w:rPr>
      </w:pPr>
    </w:p>
    <w:p w:rsidR="004A2544" w:rsidRPr="003D0F7F" w:rsidRDefault="006C749B">
      <w:pPr>
        <w:pStyle w:val="Heading4"/>
        <w:rPr>
          <w:i w:val="0"/>
        </w:rPr>
      </w:pPr>
      <w:r w:rsidRPr="003D0F7F">
        <w:rPr>
          <w:i w:val="0"/>
        </w:rPr>
        <w:t>IRP WORK PLAN REQUIREMENTS</w:t>
      </w:r>
    </w:p>
    <w:p w:rsidR="004A2544" w:rsidRPr="003D0F7F" w:rsidRDefault="004A2544">
      <w:pPr>
        <w:rPr>
          <w:rFonts w:ascii="Bookman Old Style" w:hAnsi="Bookman Old Style"/>
        </w:rPr>
      </w:pPr>
    </w:p>
    <w:p w:rsidR="003E092B" w:rsidRPr="003D0F7F" w:rsidRDefault="003E092B" w:rsidP="003E092B">
      <w:pPr>
        <w:rPr>
          <w:rFonts w:ascii="Bookman Old Style" w:hAnsi="Bookman Old Style"/>
        </w:rPr>
      </w:pPr>
      <w:r w:rsidRPr="003D0F7F">
        <w:rPr>
          <w:rFonts w:ascii="Bookman Old Style" w:hAnsi="Bookman Old Style"/>
        </w:rPr>
        <w:t xml:space="preserve">Section 480-90-238 (4) and 480-100-238 (4), the natural gas and electric </w:t>
      </w:r>
      <w:r w:rsidR="003836FB" w:rsidRPr="003D0F7F">
        <w:rPr>
          <w:rFonts w:ascii="Bookman Old Style" w:hAnsi="Bookman Old Style"/>
        </w:rPr>
        <w:t>Integrated Resource Plan (“</w:t>
      </w:r>
      <w:r w:rsidRPr="003D0F7F">
        <w:rPr>
          <w:rFonts w:ascii="Bookman Old Style" w:hAnsi="Bookman Old Style"/>
        </w:rPr>
        <w:t>IRP</w:t>
      </w:r>
      <w:r w:rsidR="003836FB" w:rsidRPr="003D0F7F">
        <w:rPr>
          <w:rFonts w:ascii="Bookman Old Style" w:hAnsi="Bookman Old Style"/>
        </w:rPr>
        <w:t>”)</w:t>
      </w:r>
      <w:r w:rsidRPr="003D0F7F">
        <w:rPr>
          <w:rFonts w:ascii="Bookman Old Style" w:hAnsi="Bookman Old Style"/>
        </w:rPr>
        <w:t xml:space="preserve"> rules, specify requirements for the IRP Work Plan: </w:t>
      </w:r>
    </w:p>
    <w:p w:rsidR="003E092B" w:rsidRPr="003D0F7F" w:rsidRDefault="003E092B" w:rsidP="003E092B">
      <w:pPr>
        <w:rPr>
          <w:rFonts w:ascii="Bookman Old Style" w:hAnsi="Bookman Old Style"/>
        </w:rPr>
      </w:pPr>
    </w:p>
    <w:p w:rsidR="003E092B" w:rsidRPr="003D0F7F" w:rsidRDefault="003E092B" w:rsidP="003E092B">
      <w:pPr>
        <w:ind w:left="360"/>
        <w:rPr>
          <w:rFonts w:ascii="Bookman Old Style" w:hAnsi="Bookman Old Style"/>
        </w:rPr>
      </w:pPr>
      <w:r w:rsidRPr="003D0F7F">
        <w:rPr>
          <w:rFonts w:ascii="Bookman Old Style" w:hAnsi="Bookman Old Style"/>
        </w:rPr>
        <w:t>Not later than twelve months prior to the due date of a plan, the utility must provide a work plan for informal commission review.  The work plan must outline the content of the integrated resource plan to be developed by the utility and the method for assessing potential resources.</w:t>
      </w:r>
    </w:p>
    <w:p w:rsidR="003E092B" w:rsidRPr="003D0F7F" w:rsidRDefault="003E092B" w:rsidP="003E092B">
      <w:pPr>
        <w:ind w:left="360"/>
        <w:rPr>
          <w:rFonts w:ascii="Bookman Old Style" w:hAnsi="Bookman Old Style"/>
        </w:rPr>
      </w:pPr>
    </w:p>
    <w:p w:rsidR="003E092B" w:rsidRPr="003D0F7F" w:rsidRDefault="003E092B" w:rsidP="003E092B">
      <w:pPr>
        <w:rPr>
          <w:rFonts w:ascii="Bookman Old Style" w:hAnsi="Bookman Old Style"/>
        </w:rPr>
      </w:pPr>
      <w:r w:rsidRPr="003D0F7F">
        <w:rPr>
          <w:rFonts w:ascii="Bookman Old Style" w:hAnsi="Bookman Old Style"/>
        </w:rPr>
        <w:t>Additionally, Section 480-90-238 (5) and 480-100-238 (5) of the WAC states:</w:t>
      </w:r>
    </w:p>
    <w:p w:rsidR="003E092B" w:rsidRPr="003D0F7F" w:rsidRDefault="003E092B" w:rsidP="003E092B">
      <w:pPr>
        <w:rPr>
          <w:rFonts w:ascii="Bookman Old Style" w:hAnsi="Bookman Old Style"/>
        </w:rPr>
      </w:pPr>
    </w:p>
    <w:p w:rsidR="003E092B" w:rsidRPr="003D0F7F" w:rsidRDefault="00B93550" w:rsidP="003E092B">
      <w:pPr>
        <w:ind w:left="360"/>
        <w:rPr>
          <w:rFonts w:ascii="Bookman Old Style" w:hAnsi="Bookman Old Style"/>
        </w:rPr>
      </w:pPr>
      <w:r>
        <w:rPr>
          <w:rFonts w:ascii="Arial" w:hAnsi="Arial" w:cs="Arial"/>
          <w:sz w:val="22"/>
          <w:szCs w:val="22"/>
        </w:rPr>
        <w:t xml:space="preserve">(5) Public participation. Consultations with commission staff and public participation are essential to the development of an effective plan. The work plan must outline the timing and extent of public participation…. </w:t>
      </w:r>
      <w:r w:rsidR="003E092B" w:rsidRPr="003D0F7F">
        <w:rPr>
          <w:rFonts w:ascii="Bookman Old Style" w:hAnsi="Bookman Old Style" w:cs="Arial"/>
        </w:rPr>
        <w:t xml:space="preserve"> </w:t>
      </w:r>
    </w:p>
    <w:p w:rsidR="003E092B" w:rsidRPr="003D0F7F" w:rsidRDefault="003E092B">
      <w:pPr>
        <w:rPr>
          <w:rFonts w:ascii="Bookman Old Style" w:hAnsi="Bookman Old Style"/>
        </w:rPr>
      </w:pPr>
    </w:p>
    <w:p w:rsidR="004A2544" w:rsidRPr="003D0F7F" w:rsidRDefault="004A2544">
      <w:pPr>
        <w:rPr>
          <w:rFonts w:ascii="Bookman Old Style" w:hAnsi="Bookman Old Style"/>
        </w:rPr>
      </w:pPr>
    </w:p>
    <w:p w:rsidR="004A2544" w:rsidRPr="003D0F7F" w:rsidRDefault="004A2544">
      <w:pPr>
        <w:pStyle w:val="Heading4"/>
      </w:pPr>
      <w:r w:rsidRPr="003D0F7F">
        <w:t>Purpose of the Integrated Resource Plan</w:t>
      </w:r>
    </w:p>
    <w:p w:rsidR="004A2544" w:rsidRPr="003D0F7F" w:rsidRDefault="004A2544">
      <w:pPr>
        <w:rPr>
          <w:rFonts w:ascii="Bookman Old Style" w:hAnsi="Bookman Old Style"/>
        </w:rPr>
      </w:pPr>
    </w:p>
    <w:p w:rsidR="00D25DAE" w:rsidRDefault="004A2544">
      <w:pPr>
        <w:rPr>
          <w:rFonts w:ascii="Bookman Old Style" w:hAnsi="Bookman Old Style"/>
        </w:rPr>
      </w:pPr>
      <w:r w:rsidRPr="003D0F7F">
        <w:rPr>
          <w:rFonts w:ascii="Bookman Old Style" w:hAnsi="Bookman Old Style"/>
        </w:rPr>
        <w:t xml:space="preserve">PSE’s long-term resource planning process continues </w:t>
      </w:r>
      <w:r w:rsidR="005B2503" w:rsidRPr="003D0F7F">
        <w:rPr>
          <w:rFonts w:ascii="Bookman Old Style" w:hAnsi="Bookman Old Style"/>
        </w:rPr>
        <w:t>t</w:t>
      </w:r>
      <w:r w:rsidRPr="003D0F7F">
        <w:rPr>
          <w:rFonts w:ascii="Bookman Old Style" w:hAnsi="Bookman Old Style"/>
        </w:rPr>
        <w:t>o inform and guid</w:t>
      </w:r>
      <w:r w:rsidR="005B2503" w:rsidRPr="003D0F7F">
        <w:rPr>
          <w:rFonts w:ascii="Bookman Old Style" w:hAnsi="Bookman Old Style"/>
        </w:rPr>
        <w:t>e</w:t>
      </w:r>
      <w:r w:rsidRPr="003D0F7F">
        <w:rPr>
          <w:rFonts w:ascii="Bookman Old Style" w:hAnsi="Bookman Old Style"/>
        </w:rPr>
        <w:t xml:space="preserve"> the Company’s resource acquisition processes, consistent with the letter and spirit of WAC 480-90-238 and WAC 480-100-238.  </w:t>
      </w:r>
      <w:r w:rsidR="005B2503" w:rsidRPr="003D0F7F">
        <w:rPr>
          <w:rFonts w:ascii="Bookman Old Style" w:hAnsi="Bookman Old Style"/>
        </w:rPr>
        <w:t xml:space="preserve">PSE’s IRP </w:t>
      </w:r>
      <w:r w:rsidR="003321E7" w:rsidRPr="003D0F7F">
        <w:rPr>
          <w:rFonts w:ascii="Bookman Old Style" w:hAnsi="Bookman Old Style"/>
        </w:rPr>
        <w:t xml:space="preserve">analysis </w:t>
      </w:r>
      <w:r w:rsidR="005B2503" w:rsidRPr="003D0F7F">
        <w:rPr>
          <w:rFonts w:ascii="Bookman Old Style" w:hAnsi="Bookman Old Style"/>
        </w:rPr>
        <w:t xml:space="preserve">integrates demand-side and supply side resources in a manner so as to find the lowest reasonable cost set of resources to meet the growing energy needs of our customers.  </w:t>
      </w:r>
    </w:p>
    <w:p w:rsidR="004A2544" w:rsidRPr="003D0F7F" w:rsidRDefault="004A2544">
      <w:pPr>
        <w:rPr>
          <w:rFonts w:ascii="Bookman Old Style" w:hAnsi="Bookman Old Style"/>
        </w:rPr>
      </w:pPr>
    </w:p>
    <w:p w:rsidR="00D25DAE" w:rsidRDefault="00D25DAE" w:rsidP="001C6AC7">
      <w:pPr>
        <w:rPr>
          <w:rFonts w:ascii="Bookman Old Style" w:hAnsi="Bookman Old Style"/>
        </w:rPr>
      </w:pPr>
    </w:p>
    <w:p w:rsidR="00D25DAE" w:rsidRPr="005406D2" w:rsidRDefault="000D08D5" w:rsidP="001C6AC7">
      <w:pPr>
        <w:rPr>
          <w:rFonts w:ascii="Bookman Old Style" w:hAnsi="Bookman Old Style"/>
          <w:b/>
        </w:rPr>
      </w:pPr>
      <w:r w:rsidRPr="005406D2">
        <w:rPr>
          <w:rFonts w:ascii="Bookman Old Style" w:hAnsi="Bookman Old Style"/>
          <w:b/>
        </w:rPr>
        <w:t xml:space="preserve">Section I:  </w:t>
      </w:r>
      <w:r w:rsidR="00B93550" w:rsidRPr="005406D2">
        <w:rPr>
          <w:rFonts w:ascii="Bookman Old Style" w:hAnsi="Bookman Old Style"/>
          <w:b/>
        </w:rPr>
        <w:t>Public Participation Process</w:t>
      </w:r>
      <w:r w:rsidRPr="005406D2">
        <w:rPr>
          <w:rFonts w:ascii="Bookman Old Style" w:hAnsi="Bookman Old Style"/>
          <w:b/>
        </w:rPr>
        <w:t xml:space="preserve"> and Anticipated Timing</w:t>
      </w:r>
    </w:p>
    <w:p w:rsidR="00D25DAE" w:rsidRDefault="00D25DAE" w:rsidP="001C6AC7">
      <w:pPr>
        <w:rPr>
          <w:rFonts w:ascii="Bookman Old Style" w:hAnsi="Bookman Old Style"/>
        </w:rPr>
      </w:pPr>
    </w:p>
    <w:p w:rsidR="00D25DAE" w:rsidRDefault="006E07A1" w:rsidP="001C6AC7">
      <w:pPr>
        <w:rPr>
          <w:rFonts w:ascii="Bookman Old Style" w:hAnsi="Bookman Old Style"/>
        </w:rPr>
      </w:pPr>
      <w:r w:rsidRPr="003D0F7F">
        <w:rPr>
          <w:rFonts w:ascii="Bookman Old Style" w:hAnsi="Bookman Old Style"/>
        </w:rPr>
        <w:t>Input and feedback in PSE’s planning process from external stakeholders has been fundamental to the success of PSE’s IRP process.</w:t>
      </w:r>
      <w:r w:rsidR="00406AC1">
        <w:rPr>
          <w:rFonts w:ascii="Bookman Old Style" w:hAnsi="Bookman Old Style"/>
        </w:rPr>
        <w:t xml:space="preserve">  </w:t>
      </w:r>
      <w:r w:rsidR="00D25DAE">
        <w:rPr>
          <w:rFonts w:ascii="Bookman Old Style" w:hAnsi="Bookman Old Style"/>
        </w:rPr>
        <w:t>In response to feedback from stakeholders at the conclusion of the 2013 IRP process, the Company included the following item in that IRP’s Action Plan:</w:t>
      </w:r>
    </w:p>
    <w:p w:rsidR="00D25DAE" w:rsidRDefault="00D25DAE" w:rsidP="001C6AC7">
      <w:pPr>
        <w:rPr>
          <w:rFonts w:ascii="Bookman Old Style" w:hAnsi="Bookman Old Style"/>
        </w:rPr>
      </w:pPr>
    </w:p>
    <w:p w:rsidR="00D25DAE" w:rsidRPr="005406D2" w:rsidRDefault="00D25DAE" w:rsidP="005406D2">
      <w:pPr>
        <w:pStyle w:val="ListParagraph"/>
        <w:numPr>
          <w:ilvl w:val="0"/>
          <w:numId w:val="8"/>
        </w:numPr>
        <w:rPr>
          <w:rFonts w:ascii="Bookman Old Style" w:hAnsi="Bookman Old Style"/>
          <w:b/>
        </w:rPr>
      </w:pPr>
      <w:r>
        <w:rPr>
          <w:rFonts w:ascii="Bookman Old Style" w:hAnsi="Bookman Old Style"/>
        </w:rPr>
        <w:t>Develop a robust work plan for the 2015 IRP to clarify the roles and expectations of the of the public participation process and to provide greater transparency regarding PSE’s analytical processes.</w:t>
      </w:r>
    </w:p>
    <w:p w:rsidR="00D25DAE" w:rsidRPr="005406D2" w:rsidRDefault="00D25DAE" w:rsidP="005406D2">
      <w:pPr>
        <w:pStyle w:val="ListParagraph"/>
        <w:ind w:left="360"/>
        <w:rPr>
          <w:rFonts w:ascii="Bookman Old Style" w:hAnsi="Bookman Old Style"/>
          <w:b/>
        </w:rPr>
      </w:pPr>
    </w:p>
    <w:p w:rsidR="00D25DAE" w:rsidRDefault="00D25DAE" w:rsidP="00D25DAE">
      <w:pPr>
        <w:rPr>
          <w:rFonts w:ascii="Bookman Old Style" w:hAnsi="Bookman Old Style"/>
        </w:rPr>
      </w:pPr>
      <w:r>
        <w:rPr>
          <w:rFonts w:ascii="Bookman Old Style" w:hAnsi="Bookman Old Style"/>
        </w:rPr>
        <w:t>This section will describe the key elements of the public stakeholder process.</w:t>
      </w:r>
    </w:p>
    <w:p w:rsidR="00033078" w:rsidRDefault="00033078" w:rsidP="00D25DAE">
      <w:pPr>
        <w:rPr>
          <w:rFonts w:ascii="Bookman Old Style" w:hAnsi="Bookman Old Style"/>
        </w:rPr>
      </w:pPr>
    </w:p>
    <w:p w:rsidR="00D25DAE" w:rsidRDefault="00D25DAE" w:rsidP="00D25DAE">
      <w:pPr>
        <w:rPr>
          <w:rFonts w:ascii="Bookman Old Style" w:hAnsi="Bookman Old Style"/>
        </w:rPr>
      </w:pPr>
    </w:p>
    <w:p w:rsidR="00D25DAE" w:rsidRPr="005406D2" w:rsidRDefault="00D25DAE" w:rsidP="00D25DAE">
      <w:pPr>
        <w:rPr>
          <w:rFonts w:ascii="Bookman Old Style" w:hAnsi="Bookman Old Style"/>
          <w:u w:val="single"/>
        </w:rPr>
      </w:pPr>
      <w:r w:rsidRPr="005406D2">
        <w:rPr>
          <w:rFonts w:ascii="Bookman Old Style" w:hAnsi="Bookman Old Style"/>
          <w:u w:val="single"/>
        </w:rPr>
        <w:lastRenderedPageBreak/>
        <w:t xml:space="preserve">Purpose of the Stakeholder Process </w:t>
      </w:r>
    </w:p>
    <w:p w:rsidR="00D25DAE" w:rsidRDefault="00D25DAE" w:rsidP="00D25DAE">
      <w:pPr>
        <w:rPr>
          <w:rFonts w:ascii="Bookman Old Style" w:hAnsi="Bookman Old Style"/>
        </w:rPr>
      </w:pPr>
    </w:p>
    <w:p w:rsidR="00EB3A79" w:rsidRDefault="00B93550" w:rsidP="00D25DAE">
      <w:pPr>
        <w:rPr>
          <w:rFonts w:ascii="Bookman Old Style" w:hAnsi="Bookman Old Style"/>
        </w:rPr>
      </w:pPr>
      <w:r>
        <w:rPr>
          <w:rFonts w:ascii="Bookman Old Style" w:hAnsi="Bookman Old Style"/>
        </w:rPr>
        <w:t xml:space="preserve">Participation by external stakeholders </w:t>
      </w:r>
      <w:r w:rsidR="005533F5" w:rsidRPr="005533F5">
        <w:rPr>
          <w:rFonts w:ascii="Bookman Old Style" w:hAnsi="Bookman Old Style"/>
          <w:i/>
        </w:rPr>
        <w:t>is</w:t>
      </w:r>
      <w:r w:rsidR="005533F5">
        <w:rPr>
          <w:rFonts w:ascii="Bookman Old Style" w:hAnsi="Bookman Old Style"/>
        </w:rPr>
        <w:t xml:space="preserve"> </w:t>
      </w:r>
      <w:r>
        <w:rPr>
          <w:rFonts w:ascii="Bookman Old Style" w:hAnsi="Bookman Old Style"/>
        </w:rPr>
        <w:t>essential</w:t>
      </w:r>
      <w:r w:rsidR="00D25DAE">
        <w:rPr>
          <w:rFonts w:ascii="Bookman Old Style" w:hAnsi="Bookman Old Style"/>
        </w:rPr>
        <w:t xml:space="preserve"> </w:t>
      </w:r>
      <w:r>
        <w:rPr>
          <w:rFonts w:ascii="Bookman Old Style" w:hAnsi="Bookman Old Style"/>
        </w:rPr>
        <w:t xml:space="preserve">to the development of an effective resource plan.  Dialogue with stakeholders </w:t>
      </w:r>
      <w:r w:rsidR="006E07A1">
        <w:rPr>
          <w:rFonts w:ascii="Bookman Old Style" w:hAnsi="Bookman Old Style"/>
        </w:rPr>
        <w:t>provides</w:t>
      </w:r>
      <w:r>
        <w:rPr>
          <w:rFonts w:ascii="Bookman Old Style" w:hAnsi="Bookman Old Style"/>
        </w:rPr>
        <w:t xml:space="preserve"> PSE </w:t>
      </w:r>
      <w:r w:rsidR="006E07A1">
        <w:rPr>
          <w:rFonts w:ascii="Bookman Old Style" w:hAnsi="Bookman Old Style"/>
        </w:rPr>
        <w:t xml:space="preserve">with broader </w:t>
      </w:r>
      <w:r>
        <w:rPr>
          <w:rFonts w:ascii="Bookman Old Style" w:hAnsi="Bookman Old Style"/>
        </w:rPr>
        <w:t xml:space="preserve">perspectives about the future than PSE would have on its own.  Additionally, the stakeholder process provides the opportunity to share technical information with other experts in the region, including other utilities, Northwest Power and Conservation Council staff, WUTC Staff, and advocacy groups.  </w:t>
      </w:r>
      <w:r w:rsidR="00EB3A79">
        <w:rPr>
          <w:rFonts w:ascii="Bookman Old Style" w:hAnsi="Bookman Old Style"/>
        </w:rPr>
        <w:t>Additionally, the stakeholder process provides an opportunity to work through complex details on how PSE performs its portfolio analysis with those same groups of experts.  Finally, t</w:t>
      </w:r>
      <w:r>
        <w:rPr>
          <w:rFonts w:ascii="Bookman Old Style" w:hAnsi="Bookman Old Style"/>
        </w:rPr>
        <w:t xml:space="preserve">he stakeholder process </w:t>
      </w:r>
      <w:r w:rsidR="00EB3A79">
        <w:rPr>
          <w:rFonts w:ascii="Bookman Old Style" w:hAnsi="Bookman Old Style"/>
        </w:rPr>
        <w:t xml:space="preserve">can also </w:t>
      </w:r>
      <w:r>
        <w:rPr>
          <w:rFonts w:ascii="Bookman Old Style" w:hAnsi="Bookman Old Style"/>
        </w:rPr>
        <w:t xml:space="preserve">provide </w:t>
      </w:r>
      <w:r w:rsidR="00EB3A79">
        <w:rPr>
          <w:rFonts w:ascii="Bookman Old Style" w:hAnsi="Bookman Old Style"/>
        </w:rPr>
        <w:t xml:space="preserve">PSE an opportunity to work with stakeholders on what information to include in the IRP and how to best present that information, to support </w:t>
      </w:r>
      <w:r w:rsidR="006E07A1">
        <w:rPr>
          <w:rFonts w:ascii="Bookman Old Style" w:hAnsi="Bookman Old Style"/>
        </w:rPr>
        <w:t>planning</w:t>
      </w:r>
      <w:r w:rsidR="00EB3A79">
        <w:rPr>
          <w:rFonts w:ascii="Bookman Old Style" w:hAnsi="Bookman Old Style"/>
        </w:rPr>
        <w:t xml:space="preserve"> decisions.</w:t>
      </w:r>
      <w:r w:rsidR="00A71F77">
        <w:rPr>
          <w:rFonts w:ascii="Bookman Old Style" w:hAnsi="Bookman Old Style"/>
        </w:rPr>
        <w:t xml:space="preserve">  All these things help PSE develop more robust resource plans.</w:t>
      </w:r>
    </w:p>
    <w:p w:rsidR="00EB3A79" w:rsidRDefault="00EB3A79" w:rsidP="00D25DAE">
      <w:pPr>
        <w:rPr>
          <w:rFonts w:ascii="Bookman Old Style" w:hAnsi="Bookman Old Style"/>
        </w:rPr>
      </w:pPr>
    </w:p>
    <w:p w:rsidR="00EB3A79" w:rsidRPr="005406D2" w:rsidRDefault="00EB3A79" w:rsidP="00D25DAE">
      <w:pPr>
        <w:rPr>
          <w:rFonts w:ascii="Bookman Old Style" w:hAnsi="Bookman Old Style"/>
          <w:u w:val="single"/>
        </w:rPr>
      </w:pPr>
      <w:r w:rsidRPr="005406D2">
        <w:rPr>
          <w:rFonts w:ascii="Bookman Old Style" w:hAnsi="Bookman Old Style"/>
          <w:u w:val="single"/>
        </w:rPr>
        <w:t xml:space="preserve">Consultative </w:t>
      </w:r>
      <w:r w:rsidR="00C655F5">
        <w:rPr>
          <w:rFonts w:ascii="Bookman Old Style" w:hAnsi="Bookman Old Style"/>
          <w:u w:val="single"/>
        </w:rPr>
        <w:t xml:space="preserve">Stakeholder </w:t>
      </w:r>
      <w:r w:rsidRPr="005406D2">
        <w:rPr>
          <w:rFonts w:ascii="Bookman Old Style" w:hAnsi="Bookman Old Style"/>
          <w:u w:val="single"/>
        </w:rPr>
        <w:t>Process</w:t>
      </w:r>
    </w:p>
    <w:p w:rsidR="00EB3A79" w:rsidRDefault="00EB3A79" w:rsidP="00D25DAE">
      <w:pPr>
        <w:rPr>
          <w:rFonts w:ascii="Bookman Old Style" w:hAnsi="Bookman Old Style"/>
        </w:rPr>
      </w:pPr>
    </w:p>
    <w:p w:rsidR="00EB3A79" w:rsidRDefault="00EB3A79" w:rsidP="00D25DAE">
      <w:pPr>
        <w:rPr>
          <w:rFonts w:ascii="Bookman Old Style" w:hAnsi="Bookman Old Style"/>
        </w:rPr>
      </w:pPr>
      <w:r>
        <w:rPr>
          <w:rFonts w:ascii="Bookman Old Style" w:hAnsi="Bookman Old Style"/>
        </w:rPr>
        <w:t xml:space="preserve">PSE values the feedback, alternative views, and technical information received from stakeholders in prior IRP processes. We appreciate the advice from stakeholders and appreciate the time individuals take to provide such </w:t>
      </w:r>
      <w:r w:rsidR="00A71F77">
        <w:rPr>
          <w:rFonts w:ascii="Bookman Old Style" w:hAnsi="Bookman Old Style"/>
        </w:rPr>
        <w:t xml:space="preserve">consultation, ideas, and </w:t>
      </w:r>
      <w:r>
        <w:rPr>
          <w:rFonts w:ascii="Bookman Old Style" w:hAnsi="Bookman Old Style"/>
        </w:rPr>
        <w:t>advice</w:t>
      </w:r>
      <w:r w:rsidR="006E07A1">
        <w:rPr>
          <w:rFonts w:ascii="Bookman Old Style" w:hAnsi="Bookman Old Style"/>
        </w:rPr>
        <w:t xml:space="preserve">, especially when stakeholders have no legal obligation to lend such </w:t>
      </w:r>
      <w:r w:rsidR="005533F5">
        <w:rPr>
          <w:rFonts w:ascii="Bookman Old Style" w:hAnsi="Bookman Old Style"/>
        </w:rPr>
        <w:t>assistance</w:t>
      </w:r>
      <w:r>
        <w:rPr>
          <w:rFonts w:ascii="Bookman Old Style" w:hAnsi="Bookman Old Style"/>
        </w:rPr>
        <w:t xml:space="preserve">.  </w:t>
      </w:r>
      <w:r w:rsidR="00A71F77">
        <w:rPr>
          <w:rFonts w:ascii="Bookman Old Style" w:hAnsi="Bookman Old Style"/>
        </w:rPr>
        <w:t>Th</w:t>
      </w:r>
      <w:r w:rsidR="00C655F5">
        <w:rPr>
          <w:rFonts w:ascii="Bookman Old Style" w:hAnsi="Bookman Old Style"/>
        </w:rPr>
        <w:t>e IRP stakeholder process</w:t>
      </w:r>
      <w:r w:rsidR="00A71F77">
        <w:rPr>
          <w:rFonts w:ascii="Bookman Old Style" w:hAnsi="Bookman Old Style"/>
        </w:rPr>
        <w:t xml:space="preserve"> </w:t>
      </w:r>
      <w:r w:rsidR="00C655F5">
        <w:rPr>
          <w:rFonts w:ascii="Bookman Old Style" w:hAnsi="Bookman Old Style"/>
        </w:rPr>
        <w:t>is</w:t>
      </w:r>
      <w:r w:rsidR="00A71F77">
        <w:rPr>
          <w:rFonts w:ascii="Bookman Old Style" w:hAnsi="Bookman Old Style"/>
        </w:rPr>
        <w:t xml:space="preserve"> </w:t>
      </w:r>
      <w:r w:rsidR="006E07A1">
        <w:rPr>
          <w:rFonts w:ascii="Bookman Old Style" w:hAnsi="Bookman Old Style"/>
        </w:rPr>
        <w:t xml:space="preserve">a </w:t>
      </w:r>
      <w:r w:rsidR="00A71F77">
        <w:rPr>
          <w:rFonts w:ascii="Bookman Old Style" w:hAnsi="Bookman Old Style"/>
        </w:rPr>
        <w:t>consultative</w:t>
      </w:r>
      <w:r w:rsidR="006E07A1">
        <w:rPr>
          <w:rFonts w:ascii="Bookman Old Style" w:hAnsi="Bookman Old Style"/>
        </w:rPr>
        <w:t xml:space="preserve"> one</w:t>
      </w:r>
      <w:r w:rsidR="00C655F5">
        <w:rPr>
          <w:rFonts w:ascii="Bookman Old Style" w:hAnsi="Bookman Old Style"/>
        </w:rPr>
        <w:t xml:space="preserve">, not a consensus process where majority voting will drive decisions.  </w:t>
      </w:r>
      <w:r w:rsidR="00A71F77">
        <w:rPr>
          <w:rFonts w:ascii="Bookman Old Style" w:hAnsi="Bookman Old Style"/>
        </w:rPr>
        <w:t xml:space="preserve">PSE </w:t>
      </w:r>
      <w:r w:rsidR="005533F5">
        <w:rPr>
          <w:rFonts w:ascii="Bookman Old Style" w:hAnsi="Bookman Old Style"/>
        </w:rPr>
        <w:t>bears full</w:t>
      </w:r>
      <w:r w:rsidR="00A71F77">
        <w:rPr>
          <w:rFonts w:ascii="Bookman Old Style" w:hAnsi="Bookman Old Style"/>
        </w:rPr>
        <w:t xml:space="preserve"> </w:t>
      </w:r>
      <w:r w:rsidR="005533F5">
        <w:rPr>
          <w:rFonts w:ascii="Bookman Old Style" w:hAnsi="Bookman Old Style"/>
        </w:rPr>
        <w:t>responsibility</w:t>
      </w:r>
      <w:r w:rsidR="00A71F77">
        <w:rPr>
          <w:rFonts w:ascii="Bookman Old Style" w:hAnsi="Bookman Old Style"/>
        </w:rPr>
        <w:t xml:space="preserve"> for filing an Integrated Resource Plan with the WUTC that complies with WAC 480-90-238 and WAC 480-100-238</w:t>
      </w:r>
      <w:r w:rsidR="00C655F5">
        <w:rPr>
          <w:rFonts w:ascii="Bookman Old Style" w:hAnsi="Bookman Old Style"/>
        </w:rPr>
        <w:t xml:space="preserve">.  Stakeholders need not be experts in compliance to provide helpful advice, but </w:t>
      </w:r>
      <w:r w:rsidR="002317EA">
        <w:rPr>
          <w:rFonts w:ascii="Bookman Old Style" w:hAnsi="Bookman Old Style"/>
        </w:rPr>
        <w:t xml:space="preserve">the IRP is ultimately a compliance filing </w:t>
      </w:r>
      <w:r w:rsidR="006E07A1">
        <w:rPr>
          <w:rFonts w:ascii="Bookman Old Style" w:hAnsi="Bookman Old Style"/>
        </w:rPr>
        <w:t>for which P</w:t>
      </w:r>
      <w:r w:rsidR="00C655F5">
        <w:rPr>
          <w:rFonts w:ascii="Bookman Old Style" w:hAnsi="Bookman Old Style"/>
        </w:rPr>
        <w:t xml:space="preserve">SE </w:t>
      </w:r>
      <w:r w:rsidR="006E07A1">
        <w:rPr>
          <w:rFonts w:ascii="Bookman Old Style" w:hAnsi="Bookman Old Style"/>
        </w:rPr>
        <w:t xml:space="preserve">is </w:t>
      </w:r>
      <w:r w:rsidR="002317EA">
        <w:rPr>
          <w:rFonts w:ascii="Bookman Old Style" w:hAnsi="Bookman Old Style"/>
        </w:rPr>
        <w:t xml:space="preserve">responsible.  </w:t>
      </w:r>
      <w:r w:rsidR="00C655F5">
        <w:rPr>
          <w:rFonts w:ascii="Bookman Old Style" w:hAnsi="Bookman Old Style"/>
        </w:rPr>
        <w:t xml:space="preserve">Additionally, </w:t>
      </w:r>
      <w:r w:rsidR="00A71F77">
        <w:rPr>
          <w:rFonts w:ascii="Bookman Old Style" w:hAnsi="Bookman Old Style"/>
        </w:rPr>
        <w:t xml:space="preserve">PSE </w:t>
      </w:r>
      <w:r w:rsidR="00C655F5">
        <w:rPr>
          <w:rFonts w:ascii="Bookman Old Style" w:hAnsi="Bookman Old Style"/>
        </w:rPr>
        <w:t>bears the responsibility for demonstrating the prudence of its resource decisions that will be informed by the IRP; again, stakeholders need not be prudence experts to provide helpful advice</w:t>
      </w:r>
      <w:r w:rsidR="002317EA">
        <w:rPr>
          <w:rFonts w:ascii="Bookman Old Style" w:hAnsi="Bookman Old Style"/>
        </w:rPr>
        <w:t xml:space="preserve"> in the IRP</w:t>
      </w:r>
      <w:r w:rsidR="00C655F5">
        <w:rPr>
          <w:rFonts w:ascii="Bookman Old Style" w:hAnsi="Bookman Old Style"/>
        </w:rPr>
        <w:t xml:space="preserve">, but PSE </w:t>
      </w:r>
      <w:r w:rsidR="002317EA">
        <w:rPr>
          <w:rFonts w:ascii="Bookman Old Style" w:hAnsi="Bookman Old Style"/>
        </w:rPr>
        <w:t xml:space="preserve">will be required to demonstrate prudence in potentially highly contested cases in the future.  </w:t>
      </w:r>
      <w:r w:rsidR="00512206">
        <w:rPr>
          <w:rFonts w:ascii="Bookman Old Style" w:hAnsi="Bookman Old Style"/>
        </w:rPr>
        <w:t xml:space="preserve">Therefore, PSE will continue to use a consultative process, with </w:t>
      </w:r>
      <w:r w:rsidR="006E07A1">
        <w:rPr>
          <w:rFonts w:ascii="Bookman Old Style" w:hAnsi="Bookman Old Style"/>
        </w:rPr>
        <w:t>enhancement</w:t>
      </w:r>
      <w:r w:rsidR="00512206">
        <w:rPr>
          <w:rFonts w:ascii="Bookman Old Style" w:hAnsi="Bookman Old Style"/>
        </w:rPr>
        <w:t>s to improve transparency and improve communication</w:t>
      </w:r>
      <w:r>
        <w:rPr>
          <w:rFonts w:ascii="Bookman Old Style" w:hAnsi="Bookman Old Style"/>
        </w:rPr>
        <w:t xml:space="preserve"> so all participants can derive greater value from </w:t>
      </w:r>
      <w:r w:rsidR="006E07A1">
        <w:rPr>
          <w:rFonts w:ascii="Bookman Old Style" w:hAnsi="Bookman Old Style"/>
        </w:rPr>
        <w:t>PSE’s</w:t>
      </w:r>
      <w:r>
        <w:rPr>
          <w:rFonts w:ascii="Bookman Old Style" w:hAnsi="Bookman Old Style"/>
        </w:rPr>
        <w:t xml:space="preserve"> IRP</w:t>
      </w:r>
      <w:r w:rsidR="006E07A1">
        <w:rPr>
          <w:rFonts w:ascii="Bookman Old Style" w:hAnsi="Bookman Old Style"/>
        </w:rPr>
        <w:t xml:space="preserve"> process</w:t>
      </w:r>
      <w:r>
        <w:rPr>
          <w:rFonts w:ascii="Bookman Old Style" w:hAnsi="Bookman Old Style"/>
        </w:rPr>
        <w:t xml:space="preserve">.  </w:t>
      </w:r>
    </w:p>
    <w:p w:rsidR="00EB3A79" w:rsidRDefault="00EB3A79" w:rsidP="00D25DAE">
      <w:pPr>
        <w:rPr>
          <w:rFonts w:ascii="Bookman Old Style" w:hAnsi="Bookman Old Style"/>
        </w:rPr>
      </w:pPr>
    </w:p>
    <w:p w:rsidR="00EB3A79" w:rsidRPr="005406D2" w:rsidRDefault="006E07A1" w:rsidP="00D25DAE">
      <w:pPr>
        <w:rPr>
          <w:rFonts w:ascii="Bookman Old Style" w:hAnsi="Bookman Old Style"/>
          <w:u w:val="single"/>
        </w:rPr>
      </w:pPr>
      <w:r w:rsidRPr="005406D2">
        <w:rPr>
          <w:rFonts w:ascii="Bookman Old Style" w:hAnsi="Bookman Old Style"/>
          <w:u w:val="single"/>
        </w:rPr>
        <w:t>IRP Advisory Group</w:t>
      </w:r>
    </w:p>
    <w:p w:rsidR="00EB3A79" w:rsidRDefault="00EB3A79" w:rsidP="00D25DAE">
      <w:pPr>
        <w:rPr>
          <w:rFonts w:ascii="Bookman Old Style" w:hAnsi="Bookman Old Style"/>
        </w:rPr>
      </w:pPr>
    </w:p>
    <w:p w:rsidR="00406AC1" w:rsidRDefault="006E07A1" w:rsidP="00D25DAE">
      <w:pPr>
        <w:rPr>
          <w:rFonts w:ascii="Bookman Old Style" w:hAnsi="Bookman Old Style"/>
        </w:rPr>
      </w:pPr>
      <w:r>
        <w:rPr>
          <w:rFonts w:ascii="Bookman Old Style" w:hAnsi="Bookman Old Style"/>
        </w:rPr>
        <w:t xml:space="preserve">PSE will continue to rely on its IRP Advisory Group as the principle means for ensuring public participation in the planning process.  This is the same process the Company has used since 2003.  The Company anticipates </w:t>
      </w:r>
      <w:r w:rsidR="00F12A03">
        <w:rPr>
          <w:rFonts w:ascii="Bookman Old Style" w:hAnsi="Bookman Old Style"/>
        </w:rPr>
        <w:t>full</w:t>
      </w:r>
      <w:r>
        <w:rPr>
          <w:rFonts w:ascii="Bookman Old Style" w:hAnsi="Bookman Old Style"/>
        </w:rPr>
        <w:t xml:space="preserve"> IRP Advisory Group meetings will continue to be open to the public</w:t>
      </w:r>
      <w:r w:rsidR="00F12A03">
        <w:rPr>
          <w:rFonts w:ascii="Bookman Old Style" w:hAnsi="Bookman Old Style"/>
        </w:rPr>
        <w:t xml:space="preserve">.  </w:t>
      </w:r>
      <w:r w:rsidR="00DB6706">
        <w:rPr>
          <w:rFonts w:ascii="Bookman Old Style" w:hAnsi="Bookman Old Style"/>
        </w:rPr>
        <w:t xml:space="preserve">Lyn Wiltse, from </w:t>
      </w:r>
      <w:r w:rsidR="00F12A03">
        <w:rPr>
          <w:rFonts w:ascii="Bookman Old Style" w:hAnsi="Bookman Old Style"/>
        </w:rPr>
        <w:t>PDSA consulting</w:t>
      </w:r>
      <w:r w:rsidR="00DB6706">
        <w:rPr>
          <w:rFonts w:ascii="Bookman Old Style" w:hAnsi="Bookman Old Style"/>
        </w:rPr>
        <w:t>,</w:t>
      </w:r>
      <w:r w:rsidR="00F12A03">
        <w:rPr>
          <w:rFonts w:ascii="Bookman Old Style" w:hAnsi="Bookman Old Style"/>
        </w:rPr>
        <w:t xml:space="preserve"> has been retained to facilitate these large group meetings</w:t>
      </w:r>
      <w:r>
        <w:rPr>
          <w:rFonts w:ascii="Bookman Old Style" w:hAnsi="Bookman Old Style"/>
        </w:rPr>
        <w:t xml:space="preserve">.  </w:t>
      </w:r>
      <w:r w:rsidR="00FF521F" w:rsidRPr="00FF521F">
        <w:rPr>
          <w:rFonts w:ascii="Bookman Old Style" w:hAnsi="Bookman Old Style"/>
          <w:color w:val="000000" w:themeColor="text1"/>
        </w:rPr>
        <w:t>Appendix</w:t>
      </w:r>
      <w:r w:rsidR="00406AC1" w:rsidRPr="00FF521F">
        <w:rPr>
          <w:rFonts w:ascii="Bookman Old Style" w:hAnsi="Bookman Old Style"/>
          <w:color w:val="000000" w:themeColor="text1"/>
        </w:rPr>
        <w:t xml:space="preserve"> A</w:t>
      </w:r>
      <w:r w:rsidR="00406AC1">
        <w:rPr>
          <w:rFonts w:ascii="Bookman Old Style" w:hAnsi="Bookman Old Style"/>
        </w:rPr>
        <w:t xml:space="preserve"> is the anticipated </w:t>
      </w:r>
      <w:r w:rsidR="00406AC1">
        <w:rPr>
          <w:rFonts w:ascii="Bookman Old Style" w:hAnsi="Bookman Old Style"/>
        </w:rPr>
        <w:lastRenderedPageBreak/>
        <w:t>timeline for IRP Advisory Group meetings.  Meeting dates are subject to change, based on stakeholders’ schedules and PSE’s progress, as meeting dates get closer.  The Company will endeavor to inform stakeholders as far in advance as possible if meeting dates must change. Please note, this meeting schedule may be revised in the future, based on the timing needs of key stakeholders, changes in policy direction, and/or based on progress the Company makes in developing the plan.</w:t>
      </w:r>
    </w:p>
    <w:p w:rsidR="00406AC1" w:rsidRDefault="00406AC1" w:rsidP="00D25DAE">
      <w:pPr>
        <w:rPr>
          <w:rFonts w:ascii="Bookman Old Style" w:hAnsi="Bookman Old Style"/>
        </w:rPr>
      </w:pPr>
    </w:p>
    <w:p w:rsidR="00F12A03" w:rsidRDefault="00F12A03" w:rsidP="00D25DAE">
      <w:pPr>
        <w:rPr>
          <w:rFonts w:ascii="Bookman Old Style" w:hAnsi="Bookman Old Style"/>
        </w:rPr>
      </w:pPr>
      <w:r>
        <w:rPr>
          <w:rFonts w:ascii="Bookman Old Style" w:hAnsi="Bookman Old Style"/>
        </w:rPr>
        <w:t xml:space="preserve">In the first IRP Advisory Group meeting on March 18, 2014, </w:t>
      </w:r>
      <w:r w:rsidR="00DB6706">
        <w:rPr>
          <w:rFonts w:ascii="Bookman Old Style" w:hAnsi="Bookman Old Style"/>
        </w:rPr>
        <w:t xml:space="preserve">certain ground rules and expectations were established, with assistance from facilitator Ms. Wiltse.  Please find those summarized in </w:t>
      </w:r>
      <w:r w:rsidR="00FF521F" w:rsidRPr="00FF521F">
        <w:rPr>
          <w:rFonts w:ascii="Bookman Old Style" w:hAnsi="Bookman Old Style"/>
          <w:color w:val="000000" w:themeColor="text1"/>
        </w:rPr>
        <w:t>Appendix</w:t>
      </w:r>
      <w:r w:rsidR="00DB6706" w:rsidRPr="00FF521F">
        <w:rPr>
          <w:rFonts w:ascii="Bookman Old Style" w:hAnsi="Bookman Old Style"/>
          <w:color w:val="000000" w:themeColor="text1"/>
        </w:rPr>
        <w:t xml:space="preserve"> </w:t>
      </w:r>
      <w:r w:rsidR="00406AC1" w:rsidRPr="00FF521F">
        <w:rPr>
          <w:rFonts w:ascii="Bookman Old Style" w:hAnsi="Bookman Old Style"/>
          <w:color w:val="000000" w:themeColor="text1"/>
        </w:rPr>
        <w:t>B</w:t>
      </w:r>
      <w:r w:rsidR="00DB6706">
        <w:rPr>
          <w:rFonts w:ascii="Bookman Old Style" w:hAnsi="Bookman Old Style"/>
        </w:rPr>
        <w:t xml:space="preserve">. PSE will update these ground rules and expectations throughout the process as the group gains experience with them, to ensure an efficient process.  </w:t>
      </w:r>
    </w:p>
    <w:p w:rsidR="00F12A03" w:rsidRDefault="00F12A03" w:rsidP="00D25DAE">
      <w:pPr>
        <w:rPr>
          <w:rFonts w:ascii="Bookman Old Style" w:hAnsi="Bookman Old Style"/>
        </w:rPr>
      </w:pPr>
    </w:p>
    <w:p w:rsidR="00F12A03" w:rsidRDefault="00F12A03" w:rsidP="00D25DAE">
      <w:pPr>
        <w:rPr>
          <w:rFonts w:ascii="Bookman Old Style" w:hAnsi="Bookman Old Style"/>
        </w:rPr>
      </w:pPr>
      <w:r>
        <w:rPr>
          <w:rFonts w:ascii="Bookman Old Style" w:hAnsi="Bookman Old Style"/>
        </w:rPr>
        <w:t xml:space="preserve">While IRP Advisory Group meetings are productive ways for PSE to get feedback from stakeholders, the </w:t>
      </w:r>
      <w:r w:rsidR="00DB6706">
        <w:rPr>
          <w:rFonts w:ascii="Bookman Old Style" w:hAnsi="Bookman Old Style"/>
        </w:rPr>
        <w:t>“</w:t>
      </w:r>
      <w:r>
        <w:rPr>
          <w:rFonts w:ascii="Bookman Old Style" w:hAnsi="Bookman Old Style"/>
        </w:rPr>
        <w:t>IRP Advisory Group</w:t>
      </w:r>
      <w:r w:rsidR="00DB6706">
        <w:rPr>
          <w:rFonts w:ascii="Bookman Old Style" w:hAnsi="Bookman Old Style"/>
        </w:rPr>
        <w:t>”</w:t>
      </w:r>
      <w:r>
        <w:rPr>
          <w:rFonts w:ascii="Bookman Old Style" w:hAnsi="Bookman Old Style"/>
        </w:rPr>
        <w:t xml:space="preserve"> is not synonymous with the meetings.  </w:t>
      </w:r>
      <w:r w:rsidR="00DB6706">
        <w:rPr>
          <w:rFonts w:ascii="Bookman Old Style" w:hAnsi="Bookman Old Style"/>
        </w:rPr>
        <w:t xml:space="preserve">PSE </w:t>
      </w:r>
      <w:r w:rsidR="00A70851">
        <w:rPr>
          <w:rFonts w:ascii="Bookman Old Style" w:hAnsi="Bookman Old Style"/>
        </w:rPr>
        <w:t>has</w:t>
      </w:r>
      <w:r w:rsidR="00DB6706">
        <w:rPr>
          <w:rFonts w:ascii="Bookman Old Style" w:hAnsi="Bookman Old Style"/>
        </w:rPr>
        <w:t xml:space="preserve"> found one-on-one discussions with IRP Advisory Group members </w:t>
      </w:r>
      <w:r w:rsidR="00A70851">
        <w:rPr>
          <w:rFonts w:ascii="Bookman Old Style" w:hAnsi="Bookman Old Style"/>
        </w:rPr>
        <w:t xml:space="preserve">extremely helpful in the past, as the dynamic of such dialogue is much more open.  PSE will continue to engage in such discussions.  Additionally, PSE will be formalizing a process for smaller group meetings to focus on highly technical material, in an effort to enhance transparency and facilitate more efficient communication with other technical experts.   </w:t>
      </w:r>
    </w:p>
    <w:p w:rsidR="00F12A03" w:rsidRDefault="00F12A03" w:rsidP="00D25DAE">
      <w:pPr>
        <w:rPr>
          <w:rFonts w:ascii="Bookman Old Style" w:hAnsi="Bookman Old Style"/>
        </w:rPr>
      </w:pPr>
    </w:p>
    <w:p w:rsidR="006E07A1" w:rsidRPr="005406D2" w:rsidRDefault="00A70851" w:rsidP="00D25DAE">
      <w:pPr>
        <w:rPr>
          <w:rFonts w:ascii="Bookman Old Style" w:hAnsi="Bookman Old Style"/>
          <w:u w:val="single"/>
        </w:rPr>
      </w:pPr>
      <w:r w:rsidRPr="005406D2">
        <w:rPr>
          <w:rFonts w:ascii="Bookman Old Style" w:hAnsi="Bookman Old Style"/>
          <w:u w:val="single"/>
        </w:rPr>
        <w:t>Technical Advisory Groups (“TAGs”)</w:t>
      </w:r>
    </w:p>
    <w:p w:rsidR="006E07A1" w:rsidRDefault="006E07A1" w:rsidP="00D25DAE">
      <w:pPr>
        <w:rPr>
          <w:rFonts w:ascii="Bookman Old Style" w:hAnsi="Bookman Old Style"/>
        </w:rPr>
      </w:pPr>
    </w:p>
    <w:p w:rsidR="000D7C86" w:rsidRDefault="00A70851" w:rsidP="00D25DAE">
      <w:pPr>
        <w:rPr>
          <w:rFonts w:ascii="Bookman Old Style" w:hAnsi="Bookman Old Style"/>
        </w:rPr>
      </w:pPr>
      <w:r>
        <w:rPr>
          <w:rFonts w:ascii="Bookman Old Style" w:hAnsi="Bookman Old Style"/>
        </w:rPr>
        <w:t xml:space="preserve">The quantity, depth, and complexity of both assumptions and analytical processes to perform IRP analysis is simply beyond the scope of non-technical experts in certain areas.  PSE has a team of highly qualified analysts devoted to performing this kind of work full-time, with access to software, models, and resources commensurate with a utility that will be making significant investment decisions; e.g., the Lower Snake River wind facility cost upward of $800 million.  </w:t>
      </w:r>
      <w:r w:rsidR="002F7236">
        <w:rPr>
          <w:rFonts w:ascii="Bookman Old Style" w:hAnsi="Bookman Old Style"/>
        </w:rPr>
        <w:t xml:space="preserve">In order to communicate with experts on detailed assumptions and better explain </w:t>
      </w:r>
      <w:r w:rsidR="000D08D5">
        <w:rPr>
          <w:rFonts w:ascii="Bookman Old Style" w:hAnsi="Bookman Old Style"/>
        </w:rPr>
        <w:t xml:space="preserve">details of </w:t>
      </w:r>
      <w:r w:rsidR="002F7236">
        <w:rPr>
          <w:rFonts w:ascii="Bookman Old Style" w:hAnsi="Bookman Old Style"/>
        </w:rPr>
        <w:t>analytical processes to key stakeholders PSE has developed a set of Technical Advisory Groups.  This will allow the Company to engage with specific sub-sets of the IRP Advisory Group in small group meetings.  Small group meetings with specific stakeholders will provide a more efficient way to communicate highly technical information, resulting in a more effective resource plan.  Attachment C provides an overview of the TAGs PSE has defined, along with the stakeholders that have been or will be invited to attend those discussions.</w:t>
      </w:r>
      <w:r w:rsidR="000D7C86">
        <w:rPr>
          <w:rFonts w:ascii="Bookman Old Style" w:hAnsi="Bookman Old Style"/>
        </w:rPr>
        <w:t xml:space="preserve">  </w:t>
      </w:r>
    </w:p>
    <w:p w:rsidR="000D7C86" w:rsidRDefault="000D7C86" w:rsidP="00D25DAE">
      <w:pPr>
        <w:rPr>
          <w:rFonts w:ascii="Bookman Old Style" w:hAnsi="Bookman Old Style"/>
        </w:rPr>
      </w:pPr>
    </w:p>
    <w:p w:rsidR="00033078" w:rsidRDefault="00033078" w:rsidP="00D25DAE">
      <w:pPr>
        <w:rPr>
          <w:rFonts w:ascii="Bookman Old Style" w:hAnsi="Bookman Old Style"/>
        </w:rPr>
      </w:pPr>
    </w:p>
    <w:p w:rsidR="00033078" w:rsidRDefault="00033078" w:rsidP="00D25DAE">
      <w:pPr>
        <w:rPr>
          <w:rFonts w:ascii="Bookman Old Style" w:hAnsi="Bookman Old Style"/>
        </w:rPr>
      </w:pPr>
    </w:p>
    <w:p w:rsidR="00033078" w:rsidRDefault="00033078" w:rsidP="00D25DAE">
      <w:pPr>
        <w:rPr>
          <w:rFonts w:ascii="Bookman Old Style" w:hAnsi="Bookman Old Style"/>
        </w:rPr>
      </w:pPr>
    </w:p>
    <w:p w:rsidR="000D08D5" w:rsidRPr="005406D2" w:rsidRDefault="000D08D5" w:rsidP="000D08D5">
      <w:pPr>
        <w:rPr>
          <w:rFonts w:ascii="Bookman Old Style" w:hAnsi="Bookman Old Style"/>
          <w:u w:val="single"/>
        </w:rPr>
      </w:pPr>
      <w:r w:rsidRPr="005406D2">
        <w:rPr>
          <w:rFonts w:ascii="Bookman Old Style" w:hAnsi="Bookman Old Style"/>
          <w:u w:val="single"/>
        </w:rPr>
        <w:lastRenderedPageBreak/>
        <w:t>Feedback on Specific Information to Include in IRP Document</w:t>
      </w:r>
    </w:p>
    <w:p w:rsidR="000D08D5" w:rsidRDefault="000D08D5" w:rsidP="000D08D5">
      <w:pPr>
        <w:rPr>
          <w:rFonts w:ascii="Bookman Old Style" w:hAnsi="Bookman Old Style"/>
        </w:rPr>
      </w:pPr>
    </w:p>
    <w:p w:rsidR="00FD342F" w:rsidRDefault="000D08D5" w:rsidP="000D08D5">
      <w:pPr>
        <w:rPr>
          <w:rFonts w:ascii="Bookman Old Style" w:hAnsi="Bookman Old Style"/>
        </w:rPr>
      </w:pPr>
      <w:r>
        <w:rPr>
          <w:rFonts w:ascii="Bookman Old Style" w:hAnsi="Bookman Old Style"/>
        </w:rPr>
        <w:t xml:space="preserve">There are several areas in the IRP that stakeholders, including the Commission, wanted to see more information included in the document.  To be responsive, in this IRP cycle, PSE will engage with stakeholders during IRPAG meetings to scope and discuss such information.  </w:t>
      </w:r>
      <w:r w:rsidR="00503889">
        <w:rPr>
          <w:rFonts w:ascii="Bookman Old Style" w:hAnsi="Bookman Old Style"/>
        </w:rPr>
        <w:t>The Integrated Resource Plan is a filing at the Commission</w:t>
      </w:r>
      <w:r w:rsidR="0080691E">
        <w:rPr>
          <w:rFonts w:ascii="Bookman Old Style" w:hAnsi="Bookman Old Style"/>
        </w:rPr>
        <w:t>.  T</w:t>
      </w:r>
      <w:r w:rsidR="00503889">
        <w:rPr>
          <w:rFonts w:ascii="Bookman Old Style" w:hAnsi="Bookman Old Style"/>
        </w:rPr>
        <w:t xml:space="preserve">he emphasis of </w:t>
      </w:r>
      <w:r w:rsidR="0080691E">
        <w:rPr>
          <w:rFonts w:ascii="Bookman Old Style" w:hAnsi="Bookman Old Style"/>
        </w:rPr>
        <w:t xml:space="preserve">these </w:t>
      </w:r>
      <w:r w:rsidR="00503889">
        <w:rPr>
          <w:rFonts w:ascii="Bookman Old Style" w:hAnsi="Bookman Old Style"/>
        </w:rPr>
        <w:t>discussions will be what information should be included in the document</w:t>
      </w:r>
      <w:r w:rsidR="0080691E">
        <w:rPr>
          <w:rFonts w:ascii="Bookman Old Style" w:hAnsi="Bookman Old Style"/>
        </w:rPr>
        <w:t xml:space="preserve"> to help stakeholders understand the different elements of the resource plan</w:t>
      </w:r>
      <w:r w:rsidR="00503889">
        <w:rPr>
          <w:rFonts w:ascii="Bookman Old Style" w:hAnsi="Bookman Old Style"/>
        </w:rPr>
        <w:t xml:space="preserve">.  </w:t>
      </w:r>
    </w:p>
    <w:p w:rsidR="00FD342F" w:rsidRDefault="00FD342F" w:rsidP="000D08D5">
      <w:pPr>
        <w:rPr>
          <w:rFonts w:ascii="Bookman Old Style" w:hAnsi="Bookman Old Style"/>
        </w:rPr>
      </w:pPr>
    </w:p>
    <w:p w:rsidR="00346D03" w:rsidRDefault="0080691E" w:rsidP="000D08D5">
      <w:pPr>
        <w:rPr>
          <w:rFonts w:ascii="Bookman Old Style" w:hAnsi="Bookman Old Style"/>
        </w:rPr>
      </w:pPr>
      <w:r>
        <w:rPr>
          <w:rFonts w:ascii="Bookman Old Style" w:hAnsi="Bookman Old Style"/>
        </w:rPr>
        <w:t xml:space="preserve">PSE does not anticipate any information in the 2015 IRP will </w:t>
      </w:r>
      <w:r w:rsidR="00395B54">
        <w:rPr>
          <w:rFonts w:ascii="Bookman Old Style" w:hAnsi="Bookman Old Style"/>
        </w:rPr>
        <w:t xml:space="preserve">need to be treated as </w:t>
      </w:r>
      <w:r>
        <w:rPr>
          <w:rFonts w:ascii="Bookman Old Style" w:hAnsi="Bookman Old Style"/>
        </w:rPr>
        <w:t xml:space="preserve">confidential. </w:t>
      </w:r>
      <w:r w:rsidR="00FD342F">
        <w:rPr>
          <w:rFonts w:ascii="Bookman Old Style" w:hAnsi="Bookman Old Style"/>
        </w:rPr>
        <w:t>If</w:t>
      </w:r>
      <w:r w:rsidR="00395B54">
        <w:rPr>
          <w:rFonts w:ascii="Bookman Old Style" w:hAnsi="Bookman Old Style"/>
        </w:rPr>
        <w:t xml:space="preserve"> it becomes necessary to share confidential information during IRP Advisory Group meetings or TAG meetings</w:t>
      </w:r>
      <w:r w:rsidR="00FD342F">
        <w:rPr>
          <w:rFonts w:ascii="Bookman Old Style" w:hAnsi="Bookman Old Style"/>
        </w:rPr>
        <w:t xml:space="preserve"> with stakeholders, </w:t>
      </w:r>
      <w:r w:rsidR="00395B54">
        <w:rPr>
          <w:rFonts w:ascii="Bookman Old Style" w:hAnsi="Bookman Old Style"/>
        </w:rPr>
        <w:t>the Company will work with stakeholders</w:t>
      </w:r>
      <w:r w:rsidR="00FD342F">
        <w:rPr>
          <w:rFonts w:ascii="Bookman Old Style" w:hAnsi="Bookman Old Style"/>
        </w:rPr>
        <w:t xml:space="preserve"> </w:t>
      </w:r>
      <w:r w:rsidR="00395B54">
        <w:rPr>
          <w:rFonts w:ascii="Bookman Old Style" w:hAnsi="Bookman Old Style"/>
        </w:rPr>
        <w:t xml:space="preserve">to address those concerns in a way that is consistent with the Company’s need to protect confidential information on behalf of our customers, information providers, and shareholders.  </w:t>
      </w:r>
      <w:r w:rsidR="002A5832">
        <w:rPr>
          <w:rFonts w:ascii="Bookman Old Style" w:hAnsi="Bookman Old Style"/>
        </w:rPr>
        <w:t xml:space="preserve">The </w:t>
      </w:r>
      <w:r w:rsidR="00FD342F">
        <w:rPr>
          <w:rFonts w:ascii="Bookman Old Style" w:hAnsi="Bookman Old Style"/>
        </w:rPr>
        <w:t xml:space="preserve">complexity of </w:t>
      </w:r>
      <w:r w:rsidR="002A5832">
        <w:rPr>
          <w:rFonts w:ascii="Bookman Old Style" w:hAnsi="Bookman Old Style"/>
        </w:rPr>
        <w:t>IRP</w:t>
      </w:r>
      <w:r w:rsidR="00FD342F">
        <w:rPr>
          <w:rFonts w:ascii="Bookman Old Style" w:hAnsi="Bookman Old Style"/>
        </w:rPr>
        <w:t xml:space="preserve"> </w:t>
      </w:r>
      <w:r w:rsidR="002A5832">
        <w:rPr>
          <w:rFonts w:ascii="Bookman Old Style" w:hAnsi="Bookman Old Style"/>
        </w:rPr>
        <w:t xml:space="preserve">models and frameworks, along with the magnitude of input and output data can create barriers to transparency—very little data is actually confidential.  </w:t>
      </w:r>
      <w:r w:rsidR="00FD342F">
        <w:rPr>
          <w:rFonts w:ascii="Bookman Old Style" w:hAnsi="Bookman Old Style"/>
        </w:rPr>
        <w:t>Therefore, focusing on specifically what information stakeholders believe would be helpful in t</w:t>
      </w:r>
      <w:r w:rsidR="00D90719">
        <w:rPr>
          <w:rFonts w:ascii="Bookman Old Style" w:hAnsi="Bookman Old Style"/>
        </w:rPr>
        <w:t>he IRP document should address most of these issues, if they emerge during the process.</w:t>
      </w:r>
      <w:r w:rsidR="00FD342F">
        <w:rPr>
          <w:rFonts w:ascii="Bookman Old Style" w:hAnsi="Bookman Old Style"/>
        </w:rPr>
        <w:t xml:space="preserve"> </w:t>
      </w:r>
    </w:p>
    <w:p w:rsidR="00346D03" w:rsidRDefault="00346D03" w:rsidP="000D08D5">
      <w:pPr>
        <w:rPr>
          <w:rFonts w:ascii="Bookman Old Style" w:hAnsi="Bookman Old Style"/>
        </w:rPr>
      </w:pPr>
    </w:p>
    <w:p w:rsidR="001C6AC7" w:rsidRPr="003D0F7F" w:rsidRDefault="003E092B" w:rsidP="0080691E">
      <w:pPr>
        <w:rPr>
          <w:rFonts w:ascii="Bookman Old Style" w:hAnsi="Bookman Old Style"/>
        </w:rPr>
      </w:pPr>
      <w:r w:rsidRPr="005406D2">
        <w:rPr>
          <w:rFonts w:ascii="Bookman Old Style" w:hAnsi="Bookman Old Style"/>
        </w:rPr>
        <w:br w:type="page"/>
      </w:r>
    </w:p>
    <w:p w:rsidR="001C6AC7" w:rsidRPr="003D0F7F" w:rsidRDefault="001C6AC7" w:rsidP="001C6AC7">
      <w:pPr>
        <w:rPr>
          <w:rFonts w:ascii="Bookman Old Style" w:hAnsi="Bookman Old Style"/>
        </w:rPr>
      </w:pPr>
    </w:p>
    <w:p w:rsidR="003E092B" w:rsidRPr="003D0F7F" w:rsidRDefault="006C749B">
      <w:pPr>
        <w:rPr>
          <w:rFonts w:ascii="Bookman Old Style" w:hAnsi="Bookman Old Style"/>
          <w:b/>
        </w:rPr>
      </w:pPr>
      <w:r w:rsidRPr="003D0F7F">
        <w:rPr>
          <w:rFonts w:ascii="Bookman Old Style" w:hAnsi="Bookman Old Style"/>
          <w:b/>
        </w:rPr>
        <w:t>SECTION I</w:t>
      </w:r>
      <w:r w:rsidR="001C6AC7" w:rsidRPr="003D0F7F">
        <w:rPr>
          <w:rFonts w:ascii="Bookman Old Style" w:hAnsi="Bookman Old Style"/>
          <w:b/>
        </w:rPr>
        <w:t>I</w:t>
      </w:r>
      <w:r w:rsidRPr="003D0F7F">
        <w:rPr>
          <w:rFonts w:ascii="Bookman Old Style" w:hAnsi="Bookman Old Style"/>
          <w:b/>
        </w:rPr>
        <w:t xml:space="preserve">:  </w:t>
      </w:r>
      <w:r w:rsidR="003E092B" w:rsidRPr="003D0F7F">
        <w:rPr>
          <w:rFonts w:ascii="Bookman Old Style" w:hAnsi="Bookman Old Style"/>
          <w:b/>
        </w:rPr>
        <w:t>METHODS FOR ASSESSING RESOURCES</w:t>
      </w:r>
    </w:p>
    <w:p w:rsidR="00C14326" w:rsidRPr="003D0F7F" w:rsidRDefault="00C14326" w:rsidP="00802AF2">
      <w:pPr>
        <w:pStyle w:val="BodyTextIndent"/>
        <w:ind w:left="0"/>
        <w:rPr>
          <w:b/>
          <w:i/>
          <w:sz w:val="24"/>
        </w:rPr>
      </w:pPr>
    </w:p>
    <w:p w:rsidR="009F3E84" w:rsidRPr="003D0F7F" w:rsidRDefault="009F3E84" w:rsidP="00802AF2">
      <w:pPr>
        <w:pStyle w:val="BodyTextIndent"/>
        <w:ind w:left="0"/>
        <w:rPr>
          <w:b/>
          <w:i/>
          <w:sz w:val="24"/>
        </w:rPr>
      </w:pPr>
      <w:r w:rsidRPr="003D0F7F">
        <w:rPr>
          <w:b/>
          <w:i/>
          <w:sz w:val="24"/>
        </w:rPr>
        <w:t>Overview of Analytical Approach</w:t>
      </w:r>
    </w:p>
    <w:p w:rsidR="009F3E84" w:rsidRPr="003D0F7F" w:rsidRDefault="009F3E84" w:rsidP="00802AF2">
      <w:pPr>
        <w:pStyle w:val="BodyTextIndent"/>
        <w:ind w:left="0"/>
        <w:rPr>
          <w:sz w:val="24"/>
        </w:rPr>
      </w:pPr>
    </w:p>
    <w:p w:rsidR="00802AF2" w:rsidRPr="003D0F7F" w:rsidRDefault="00802AF2" w:rsidP="00802AF2">
      <w:pPr>
        <w:pStyle w:val="BodyTextIndent"/>
        <w:ind w:left="0"/>
        <w:rPr>
          <w:sz w:val="24"/>
        </w:rPr>
      </w:pPr>
      <w:r w:rsidRPr="003D0F7F">
        <w:rPr>
          <w:sz w:val="24"/>
        </w:rPr>
        <w:t>PSE’s demand-side and supply-side resource analyses are well integrated, as are the Company’s electric and gas resource planning efforts.  Common assumptions are used and similar analytical approaches are used</w:t>
      </w:r>
      <w:r w:rsidR="00777276" w:rsidRPr="003D0F7F">
        <w:rPr>
          <w:sz w:val="24"/>
        </w:rPr>
        <w:t xml:space="preserve"> in our electric and gas planning efforts</w:t>
      </w:r>
      <w:r w:rsidRPr="003D0F7F">
        <w:rPr>
          <w:sz w:val="24"/>
        </w:rPr>
        <w:t xml:space="preserve">.  </w:t>
      </w:r>
      <w:r w:rsidRPr="00FF521F">
        <w:rPr>
          <w:color w:val="000000" w:themeColor="text1"/>
          <w:sz w:val="24"/>
        </w:rPr>
        <w:t>A</w:t>
      </w:r>
      <w:r w:rsidR="004208EC" w:rsidRPr="00FF521F">
        <w:rPr>
          <w:color w:val="000000" w:themeColor="text1"/>
          <w:sz w:val="24"/>
        </w:rPr>
        <w:t>ppendix</w:t>
      </w:r>
      <w:r w:rsidRPr="00FF521F">
        <w:rPr>
          <w:color w:val="000000" w:themeColor="text1"/>
          <w:sz w:val="24"/>
        </w:rPr>
        <w:t xml:space="preserve"> </w:t>
      </w:r>
      <w:r w:rsidR="0056133E">
        <w:rPr>
          <w:color w:val="000000" w:themeColor="text1"/>
          <w:sz w:val="24"/>
        </w:rPr>
        <w:t>D</w:t>
      </w:r>
      <w:r w:rsidRPr="003D0F7F">
        <w:rPr>
          <w:sz w:val="24"/>
        </w:rPr>
        <w:t xml:space="preserve"> is a diagram that illustrates how PSE plans to perform the quantitative analysis for this </w:t>
      </w:r>
      <w:r w:rsidR="00466595" w:rsidRPr="003D0F7F">
        <w:rPr>
          <w:sz w:val="24"/>
        </w:rPr>
        <w:t>201</w:t>
      </w:r>
      <w:r w:rsidR="00F95D2D">
        <w:rPr>
          <w:sz w:val="24"/>
        </w:rPr>
        <w:t>5</w:t>
      </w:r>
      <w:r w:rsidR="00466595" w:rsidRPr="003D0F7F">
        <w:rPr>
          <w:sz w:val="24"/>
        </w:rPr>
        <w:t xml:space="preserve"> </w:t>
      </w:r>
      <w:r w:rsidRPr="003D0F7F">
        <w:rPr>
          <w:sz w:val="24"/>
        </w:rPr>
        <w:t>IRP.</w:t>
      </w:r>
      <w:r w:rsidR="000E1D5E">
        <w:rPr>
          <w:sz w:val="24"/>
        </w:rPr>
        <w:t xml:space="preserve">  Appendix </w:t>
      </w:r>
      <w:r w:rsidR="0056133E">
        <w:rPr>
          <w:sz w:val="24"/>
        </w:rPr>
        <w:t>D</w:t>
      </w:r>
      <w:r w:rsidR="000E1D5E">
        <w:rPr>
          <w:sz w:val="24"/>
        </w:rPr>
        <w:t xml:space="preserve"> also includes a table summarizing the different parts of the Company that contribute to the IRP process.</w:t>
      </w:r>
    </w:p>
    <w:p w:rsidR="00802AF2" w:rsidRPr="003D0F7F" w:rsidRDefault="00802AF2" w:rsidP="00802AF2">
      <w:pPr>
        <w:rPr>
          <w:rFonts w:ascii="Bookman Old Style" w:hAnsi="Bookman Old Style"/>
        </w:rPr>
      </w:pPr>
    </w:p>
    <w:p w:rsidR="00802AF2" w:rsidRPr="003D0F7F" w:rsidRDefault="00802AF2" w:rsidP="00802AF2">
      <w:pPr>
        <w:rPr>
          <w:rFonts w:ascii="Bookman Old Style" w:hAnsi="Bookman Old Style"/>
        </w:rPr>
      </w:pPr>
      <w:r w:rsidRPr="003D0F7F">
        <w:rPr>
          <w:rFonts w:ascii="Bookman Old Style" w:hAnsi="Bookman Old Style"/>
        </w:rPr>
        <w:t xml:space="preserve">Uncertainty will be addressed in two ways, consistent with PSE’s </w:t>
      </w:r>
      <w:r w:rsidR="00F95D2D">
        <w:rPr>
          <w:rFonts w:ascii="Bookman Old Style" w:hAnsi="Bookman Old Style"/>
        </w:rPr>
        <w:t xml:space="preserve">last six IRPs going back to </w:t>
      </w:r>
      <w:r w:rsidRPr="003D0F7F">
        <w:rPr>
          <w:rFonts w:ascii="Bookman Old Style" w:hAnsi="Bookman Old Style"/>
        </w:rPr>
        <w:t xml:space="preserve">2003.  Potential futures will be reflected in scenarios that will have different fuel prices, carbon costs, resource costs, environmental policies, etc..  </w:t>
      </w:r>
      <w:r w:rsidR="00C27E75">
        <w:rPr>
          <w:rFonts w:ascii="Bookman Old Style" w:hAnsi="Bookman Old Style"/>
        </w:rPr>
        <w:t>Sensitivities will also be used</w:t>
      </w:r>
      <w:r w:rsidR="00AE5DBF">
        <w:rPr>
          <w:rFonts w:ascii="Bookman Old Style" w:hAnsi="Bookman Old Style"/>
        </w:rPr>
        <w:t xml:space="preserve">.  Sensitivities </w:t>
      </w:r>
      <w:r w:rsidR="00C27E75">
        <w:rPr>
          <w:rFonts w:ascii="Bookman Old Style" w:hAnsi="Bookman Old Style"/>
        </w:rPr>
        <w:t>are similar to scenarios, but focus on impact of one variable; i.e., sensitivity analyses examine implications of key variables “all else equal”</w:t>
      </w:r>
      <w:r w:rsidR="00F95D2D">
        <w:rPr>
          <w:rFonts w:ascii="Bookman Old Style" w:hAnsi="Bookman Old Style"/>
        </w:rPr>
        <w:t xml:space="preserve"> such as changing natural gas prices or the resource additions in a portfolio</w:t>
      </w:r>
      <w:r w:rsidR="00C27E75">
        <w:rPr>
          <w:rFonts w:ascii="Bookman Old Style" w:hAnsi="Bookman Old Style"/>
        </w:rPr>
        <w:t xml:space="preserve">.  </w:t>
      </w:r>
      <w:r w:rsidR="004250D9" w:rsidRPr="003D0F7F">
        <w:rPr>
          <w:rFonts w:ascii="Bookman Old Style" w:hAnsi="Bookman Old Style"/>
        </w:rPr>
        <w:t xml:space="preserve">Understanding how different potential futures </w:t>
      </w:r>
      <w:r w:rsidR="00C27E75">
        <w:rPr>
          <w:rFonts w:ascii="Bookman Old Style" w:hAnsi="Bookman Old Style"/>
        </w:rPr>
        <w:t xml:space="preserve">and factors </w:t>
      </w:r>
      <w:r w:rsidR="004250D9" w:rsidRPr="003D0F7F">
        <w:rPr>
          <w:rFonts w:ascii="Bookman Old Style" w:hAnsi="Bookman Old Style"/>
        </w:rPr>
        <w:t>affect resource strategies</w:t>
      </w:r>
      <w:r w:rsidR="00F95D2D">
        <w:rPr>
          <w:rFonts w:ascii="Bookman Old Style" w:hAnsi="Bookman Old Style"/>
        </w:rPr>
        <w:t>, costs, emissions, and cost risks</w:t>
      </w:r>
      <w:r w:rsidR="004250D9" w:rsidRPr="003D0F7F">
        <w:rPr>
          <w:rFonts w:ascii="Bookman Old Style" w:hAnsi="Bookman Old Style"/>
        </w:rPr>
        <w:t xml:space="preserve"> is the focus of this analysis.  </w:t>
      </w:r>
    </w:p>
    <w:p w:rsidR="00802AF2" w:rsidRPr="003D0F7F" w:rsidRDefault="00802AF2" w:rsidP="00802AF2">
      <w:pPr>
        <w:ind w:left="360"/>
        <w:rPr>
          <w:rFonts w:ascii="Bookman Old Style" w:hAnsi="Bookman Old Style"/>
        </w:rPr>
      </w:pPr>
    </w:p>
    <w:p w:rsidR="00802AF2" w:rsidRPr="003D0F7F" w:rsidRDefault="00802AF2" w:rsidP="009F3E84">
      <w:pPr>
        <w:rPr>
          <w:rFonts w:ascii="Bookman Old Style" w:hAnsi="Bookman Old Style"/>
        </w:rPr>
      </w:pPr>
      <w:r w:rsidRPr="003D0F7F">
        <w:rPr>
          <w:rFonts w:ascii="Bookman Old Style" w:hAnsi="Bookman Old Style"/>
        </w:rPr>
        <w:t xml:space="preserve">Stochastic analysis will </w:t>
      </w:r>
      <w:r w:rsidR="00777276" w:rsidRPr="003D0F7F">
        <w:rPr>
          <w:rFonts w:ascii="Bookman Old Style" w:hAnsi="Bookman Old Style"/>
        </w:rPr>
        <w:t xml:space="preserve">be used in addition to </w:t>
      </w:r>
      <w:r w:rsidR="00C27E75">
        <w:rPr>
          <w:rFonts w:ascii="Bookman Old Style" w:hAnsi="Bookman Old Style"/>
        </w:rPr>
        <w:t xml:space="preserve">deterministic </w:t>
      </w:r>
      <w:r w:rsidR="00777276" w:rsidRPr="003D0F7F">
        <w:rPr>
          <w:rFonts w:ascii="Bookman Old Style" w:hAnsi="Bookman Old Style"/>
        </w:rPr>
        <w:t xml:space="preserve">scenario </w:t>
      </w:r>
      <w:r w:rsidR="00C27E75">
        <w:rPr>
          <w:rFonts w:ascii="Bookman Old Style" w:hAnsi="Bookman Old Style"/>
        </w:rPr>
        <w:t xml:space="preserve">and sensitivity </w:t>
      </w:r>
      <w:r w:rsidR="00777276" w:rsidRPr="003D0F7F">
        <w:rPr>
          <w:rFonts w:ascii="Bookman Old Style" w:hAnsi="Bookman Old Style"/>
        </w:rPr>
        <w:t xml:space="preserve">analysis.  Stochastic analysis is helpful to understand the impact on </w:t>
      </w:r>
      <w:r w:rsidR="00B4309C" w:rsidRPr="003D0F7F">
        <w:rPr>
          <w:rFonts w:ascii="Bookman Old Style" w:hAnsi="Bookman Old Style"/>
        </w:rPr>
        <w:t xml:space="preserve">the risk and volatility of costs </w:t>
      </w:r>
      <w:r w:rsidR="00777276" w:rsidRPr="003D0F7F">
        <w:rPr>
          <w:rFonts w:ascii="Bookman Old Style" w:hAnsi="Bookman Old Style"/>
        </w:rPr>
        <w:t xml:space="preserve">that different resource types may have on the Company’s long term portfolio.  </w:t>
      </w:r>
    </w:p>
    <w:p w:rsidR="004A2544" w:rsidRPr="003D0F7F" w:rsidRDefault="00DD09D1">
      <w:pPr>
        <w:rPr>
          <w:rFonts w:ascii="Bookman Old Style" w:hAnsi="Bookman Old Style"/>
        </w:rPr>
      </w:pPr>
      <w:r w:rsidRPr="003D0F7F">
        <w:rPr>
          <w:rFonts w:ascii="Bookman Old Style" w:hAnsi="Bookman Old Style"/>
        </w:rPr>
        <w:br w:type="page"/>
      </w:r>
    </w:p>
    <w:p w:rsidR="004A2544" w:rsidRPr="003D0F7F" w:rsidRDefault="006C749B" w:rsidP="006C749B">
      <w:pPr>
        <w:rPr>
          <w:rFonts w:ascii="Bookman Old Style" w:hAnsi="Bookman Old Style"/>
          <w:b/>
        </w:rPr>
      </w:pPr>
      <w:r w:rsidRPr="003D0F7F">
        <w:rPr>
          <w:rFonts w:ascii="Bookman Old Style" w:hAnsi="Bookman Old Style"/>
          <w:b/>
        </w:rPr>
        <w:lastRenderedPageBreak/>
        <w:t xml:space="preserve">SECTION </w:t>
      </w:r>
      <w:r w:rsidR="004208EC" w:rsidRPr="003D0F7F">
        <w:rPr>
          <w:rFonts w:ascii="Bookman Old Style" w:hAnsi="Bookman Old Style"/>
          <w:b/>
        </w:rPr>
        <w:t>I</w:t>
      </w:r>
      <w:r w:rsidRPr="003D0F7F">
        <w:rPr>
          <w:rFonts w:ascii="Bookman Old Style" w:hAnsi="Bookman Old Style"/>
          <w:b/>
        </w:rPr>
        <w:t xml:space="preserve">II:  </w:t>
      </w:r>
      <w:r w:rsidR="00C27E75" w:rsidRPr="003D0F7F">
        <w:rPr>
          <w:rFonts w:ascii="Bookman Old Style" w:hAnsi="Bookman Old Style"/>
          <w:b/>
        </w:rPr>
        <w:t>201</w:t>
      </w:r>
      <w:r w:rsidR="007561CC">
        <w:rPr>
          <w:rFonts w:ascii="Bookman Old Style" w:hAnsi="Bookman Old Style"/>
          <w:b/>
        </w:rPr>
        <w:t>5</w:t>
      </w:r>
      <w:r w:rsidR="00C27E75" w:rsidRPr="003D0F7F">
        <w:rPr>
          <w:rFonts w:ascii="Bookman Old Style" w:hAnsi="Bookman Old Style"/>
          <w:b/>
        </w:rPr>
        <w:t xml:space="preserve"> </w:t>
      </w:r>
      <w:r w:rsidRPr="003D0F7F">
        <w:rPr>
          <w:rFonts w:ascii="Bookman Old Style" w:hAnsi="Bookman Old Style"/>
          <w:b/>
        </w:rPr>
        <w:t>IRP</w:t>
      </w:r>
      <w:r w:rsidR="004A2544" w:rsidRPr="003D0F7F">
        <w:rPr>
          <w:rFonts w:ascii="Bookman Old Style" w:hAnsi="Bookman Old Style"/>
          <w:b/>
        </w:rPr>
        <w:t>-</w:t>
      </w:r>
      <w:r w:rsidRPr="003D0F7F">
        <w:rPr>
          <w:rFonts w:ascii="Bookman Old Style" w:hAnsi="Bookman Old Style"/>
          <w:b/>
        </w:rPr>
        <w:t>CONTENT OUTLINE</w:t>
      </w:r>
    </w:p>
    <w:p w:rsidR="004A2544" w:rsidRPr="003D0F7F" w:rsidRDefault="004A2544">
      <w:pPr>
        <w:rPr>
          <w:rFonts w:ascii="Bookman Old Style" w:hAnsi="Bookman Old Style"/>
        </w:rPr>
      </w:pPr>
    </w:p>
    <w:p w:rsidR="004A2544" w:rsidRPr="003D0F7F" w:rsidRDefault="004A2544">
      <w:pPr>
        <w:rPr>
          <w:rFonts w:ascii="Bookman Old Style" w:hAnsi="Bookman Old Style"/>
        </w:rPr>
      </w:pPr>
      <w:r w:rsidRPr="003D0F7F">
        <w:rPr>
          <w:rFonts w:ascii="Bookman Old Style" w:hAnsi="Bookman Old Style"/>
        </w:rPr>
        <w:t xml:space="preserve">The following is a draft outline of the </w:t>
      </w:r>
      <w:r w:rsidR="00466595" w:rsidRPr="003D0F7F">
        <w:rPr>
          <w:rFonts w:ascii="Bookman Old Style" w:hAnsi="Bookman Old Style"/>
        </w:rPr>
        <w:t>201</w:t>
      </w:r>
      <w:r w:rsidR="00FD342F">
        <w:rPr>
          <w:rFonts w:ascii="Bookman Old Style" w:hAnsi="Bookman Old Style"/>
        </w:rPr>
        <w:t>5</w:t>
      </w:r>
      <w:r w:rsidR="00466595" w:rsidRPr="003D0F7F">
        <w:rPr>
          <w:rFonts w:ascii="Bookman Old Style" w:hAnsi="Bookman Old Style"/>
        </w:rPr>
        <w:t xml:space="preserve"> </w:t>
      </w:r>
      <w:r w:rsidRPr="003D0F7F">
        <w:rPr>
          <w:rFonts w:ascii="Bookman Old Style" w:hAnsi="Bookman Old Style"/>
        </w:rPr>
        <w:t xml:space="preserve">IRP.  This </w:t>
      </w:r>
      <w:r w:rsidR="00FD342F">
        <w:rPr>
          <w:rFonts w:ascii="Bookman Old Style" w:hAnsi="Bookman Old Style"/>
        </w:rPr>
        <w:t xml:space="preserve">draft </w:t>
      </w:r>
      <w:r w:rsidRPr="003D0F7F">
        <w:rPr>
          <w:rFonts w:ascii="Bookman Old Style" w:hAnsi="Bookman Old Style"/>
        </w:rPr>
        <w:t xml:space="preserve">is based on PSE’s </w:t>
      </w:r>
      <w:r w:rsidR="00C27E75" w:rsidRPr="003D0F7F">
        <w:rPr>
          <w:rFonts w:ascii="Bookman Old Style" w:hAnsi="Bookman Old Style"/>
        </w:rPr>
        <w:t>20</w:t>
      </w:r>
      <w:r w:rsidR="00C27E75">
        <w:rPr>
          <w:rFonts w:ascii="Bookman Old Style" w:hAnsi="Bookman Old Style"/>
        </w:rPr>
        <w:t>1</w:t>
      </w:r>
      <w:r w:rsidR="00FD342F">
        <w:rPr>
          <w:rFonts w:ascii="Bookman Old Style" w:hAnsi="Bookman Old Style"/>
        </w:rPr>
        <w:t>3</w:t>
      </w:r>
      <w:r w:rsidR="00C27E75" w:rsidRPr="003D0F7F">
        <w:rPr>
          <w:rFonts w:ascii="Bookman Old Style" w:hAnsi="Bookman Old Style"/>
        </w:rPr>
        <w:t xml:space="preserve"> </w:t>
      </w:r>
      <w:r w:rsidR="00E62F22" w:rsidRPr="003D0F7F">
        <w:rPr>
          <w:rFonts w:ascii="Bookman Old Style" w:hAnsi="Bookman Old Style"/>
        </w:rPr>
        <w:t>IRP</w:t>
      </w:r>
      <w:r w:rsidR="00FD342F">
        <w:rPr>
          <w:rFonts w:ascii="Bookman Old Style" w:hAnsi="Bookman Old Style"/>
        </w:rPr>
        <w:t>, modified based on early discussions with stakeholders</w:t>
      </w:r>
      <w:r w:rsidRPr="003D0F7F">
        <w:rPr>
          <w:rFonts w:ascii="Bookman Old Style" w:hAnsi="Bookman Old Style"/>
        </w:rPr>
        <w:t>.  Organizational structure of the final IRP may be revised based on results of analysis and feedback received through the planning process.</w:t>
      </w:r>
    </w:p>
    <w:p w:rsidR="004A2544" w:rsidRPr="003D0F7F" w:rsidRDefault="004A2544">
      <w:pPr>
        <w:rPr>
          <w:rFonts w:ascii="Bookman Old Style" w:hAnsi="Bookman Old Style"/>
        </w:rPr>
      </w:pPr>
    </w:p>
    <w:p w:rsidR="004A2544" w:rsidRDefault="004A2544" w:rsidP="00E62F22">
      <w:pPr>
        <w:numPr>
          <w:ilvl w:val="0"/>
          <w:numId w:val="1"/>
        </w:numPr>
        <w:rPr>
          <w:rFonts w:ascii="Bookman Old Style" w:hAnsi="Bookman Old Style"/>
        </w:rPr>
      </w:pPr>
      <w:r w:rsidRPr="003D0F7F">
        <w:rPr>
          <w:rFonts w:ascii="Bookman Old Style" w:hAnsi="Bookman Old Style"/>
        </w:rPr>
        <w:t>Executive Summary</w:t>
      </w:r>
    </w:p>
    <w:p w:rsidR="00861B37" w:rsidRDefault="00C27E75">
      <w:pPr>
        <w:numPr>
          <w:ilvl w:val="1"/>
          <w:numId w:val="1"/>
        </w:numPr>
        <w:rPr>
          <w:rFonts w:ascii="Bookman Old Style" w:hAnsi="Bookman Old Style"/>
        </w:rPr>
      </w:pPr>
      <w:r>
        <w:rPr>
          <w:rFonts w:ascii="Bookman Old Style" w:hAnsi="Bookman Old Style"/>
        </w:rPr>
        <w:t>Electric Resource Plan</w:t>
      </w:r>
    </w:p>
    <w:p w:rsidR="00861B37" w:rsidRDefault="00C27E75">
      <w:pPr>
        <w:numPr>
          <w:ilvl w:val="1"/>
          <w:numId w:val="1"/>
        </w:numPr>
        <w:rPr>
          <w:rFonts w:ascii="Bookman Old Style" w:hAnsi="Bookman Old Style"/>
        </w:rPr>
      </w:pPr>
      <w:r>
        <w:rPr>
          <w:rFonts w:ascii="Bookman Old Style" w:hAnsi="Bookman Old Style"/>
        </w:rPr>
        <w:t>Gas Sales Resource Plan</w:t>
      </w:r>
    </w:p>
    <w:p w:rsidR="00861B37" w:rsidRDefault="00C27E75">
      <w:pPr>
        <w:numPr>
          <w:ilvl w:val="1"/>
          <w:numId w:val="1"/>
        </w:numPr>
        <w:rPr>
          <w:rFonts w:ascii="Bookman Old Style" w:hAnsi="Bookman Old Style"/>
        </w:rPr>
      </w:pPr>
      <w:r>
        <w:rPr>
          <w:rFonts w:ascii="Bookman Old Style" w:hAnsi="Bookman Old Style"/>
        </w:rPr>
        <w:t>Action Plans</w:t>
      </w:r>
    </w:p>
    <w:p w:rsidR="00C27E75" w:rsidRDefault="00C27E75">
      <w:pPr>
        <w:numPr>
          <w:ilvl w:val="0"/>
          <w:numId w:val="1"/>
        </w:numPr>
        <w:rPr>
          <w:rFonts w:ascii="Bookman Old Style" w:hAnsi="Bookman Old Style"/>
        </w:rPr>
      </w:pPr>
      <w:r>
        <w:rPr>
          <w:rFonts w:ascii="Bookman Old Style" w:hAnsi="Bookman Old Style"/>
        </w:rPr>
        <w:t>Developing the Plan</w:t>
      </w:r>
    </w:p>
    <w:p w:rsidR="00861B37" w:rsidRDefault="00C27E75">
      <w:pPr>
        <w:numPr>
          <w:ilvl w:val="1"/>
          <w:numId w:val="1"/>
        </w:numPr>
        <w:rPr>
          <w:rFonts w:ascii="Bookman Old Style" w:hAnsi="Bookman Old Style"/>
        </w:rPr>
      </w:pPr>
      <w:r>
        <w:rPr>
          <w:rFonts w:ascii="Bookman Old Style" w:hAnsi="Bookman Old Style"/>
        </w:rPr>
        <w:t>Electric Plan</w:t>
      </w:r>
    </w:p>
    <w:p w:rsidR="00861B37" w:rsidRDefault="00C27E75">
      <w:pPr>
        <w:numPr>
          <w:ilvl w:val="1"/>
          <w:numId w:val="1"/>
        </w:numPr>
        <w:rPr>
          <w:rFonts w:ascii="Bookman Old Style" w:hAnsi="Bookman Old Style"/>
        </w:rPr>
      </w:pPr>
      <w:r>
        <w:rPr>
          <w:rFonts w:ascii="Bookman Old Style" w:hAnsi="Bookman Old Style"/>
        </w:rPr>
        <w:t>Electric: Results Across Scenarios/Sensitivities</w:t>
      </w:r>
    </w:p>
    <w:p w:rsidR="00861B37" w:rsidRDefault="003B5137">
      <w:pPr>
        <w:numPr>
          <w:ilvl w:val="1"/>
          <w:numId w:val="1"/>
        </w:numPr>
        <w:rPr>
          <w:rFonts w:ascii="Bookman Old Style" w:hAnsi="Bookman Old Style"/>
        </w:rPr>
      </w:pPr>
      <w:r>
        <w:rPr>
          <w:rFonts w:ascii="Bookman Old Style" w:hAnsi="Bookman Old Style"/>
        </w:rPr>
        <w:t>Other Considerations</w:t>
      </w:r>
    </w:p>
    <w:p w:rsidR="00861B37" w:rsidRDefault="003B5137">
      <w:pPr>
        <w:numPr>
          <w:ilvl w:val="1"/>
          <w:numId w:val="1"/>
        </w:numPr>
        <w:rPr>
          <w:rFonts w:ascii="Bookman Old Style" w:hAnsi="Bookman Old Style"/>
        </w:rPr>
      </w:pPr>
      <w:r>
        <w:rPr>
          <w:rFonts w:ascii="Bookman Old Style" w:hAnsi="Bookman Old Style"/>
        </w:rPr>
        <w:t>Gas Plan</w:t>
      </w:r>
    </w:p>
    <w:p w:rsidR="00861B37" w:rsidRDefault="003B5137">
      <w:pPr>
        <w:numPr>
          <w:ilvl w:val="1"/>
          <w:numId w:val="1"/>
        </w:numPr>
        <w:rPr>
          <w:rFonts w:ascii="Bookman Old Style" w:hAnsi="Bookman Old Style"/>
        </w:rPr>
      </w:pPr>
      <w:r>
        <w:rPr>
          <w:rFonts w:ascii="Bookman Old Style" w:hAnsi="Bookman Old Style"/>
        </w:rPr>
        <w:t>Gas Results Across Scenarios</w:t>
      </w:r>
    </w:p>
    <w:p w:rsidR="004A2544" w:rsidRDefault="00E62F22">
      <w:pPr>
        <w:numPr>
          <w:ilvl w:val="0"/>
          <w:numId w:val="1"/>
        </w:numPr>
        <w:rPr>
          <w:rFonts w:ascii="Bookman Old Style" w:hAnsi="Bookman Old Style"/>
        </w:rPr>
      </w:pPr>
      <w:r w:rsidRPr="003D0F7F">
        <w:rPr>
          <w:rFonts w:ascii="Bookman Old Style" w:hAnsi="Bookman Old Style"/>
        </w:rPr>
        <w:t>Planning Environment</w:t>
      </w:r>
    </w:p>
    <w:p w:rsidR="00861B37" w:rsidRDefault="003B5137">
      <w:pPr>
        <w:numPr>
          <w:ilvl w:val="1"/>
          <w:numId w:val="1"/>
        </w:numPr>
        <w:rPr>
          <w:rFonts w:ascii="Bookman Old Style" w:hAnsi="Bookman Old Style"/>
        </w:rPr>
      </w:pPr>
      <w:r>
        <w:rPr>
          <w:rFonts w:ascii="Bookman Old Style" w:hAnsi="Bookman Old Style"/>
        </w:rPr>
        <w:t>Economic Environment</w:t>
      </w:r>
    </w:p>
    <w:p w:rsidR="00861B37" w:rsidRDefault="003B5137">
      <w:pPr>
        <w:numPr>
          <w:ilvl w:val="1"/>
          <w:numId w:val="1"/>
        </w:numPr>
        <w:rPr>
          <w:rFonts w:ascii="Bookman Old Style" w:hAnsi="Bookman Old Style"/>
        </w:rPr>
      </w:pPr>
      <w:r>
        <w:rPr>
          <w:rFonts w:ascii="Bookman Old Style" w:hAnsi="Bookman Old Style"/>
        </w:rPr>
        <w:t>Policy Requirements and Influences</w:t>
      </w:r>
    </w:p>
    <w:p w:rsidR="00861B37" w:rsidRDefault="003B5137">
      <w:pPr>
        <w:numPr>
          <w:ilvl w:val="1"/>
          <w:numId w:val="1"/>
        </w:numPr>
        <w:rPr>
          <w:rFonts w:ascii="Bookman Old Style" w:hAnsi="Bookman Old Style"/>
        </w:rPr>
      </w:pPr>
      <w:r>
        <w:rPr>
          <w:rFonts w:ascii="Bookman Old Style" w:hAnsi="Bookman Old Style"/>
        </w:rPr>
        <w:t>Resource Considerations</w:t>
      </w:r>
    </w:p>
    <w:p w:rsidR="004A2544" w:rsidRDefault="00DF59C6">
      <w:pPr>
        <w:numPr>
          <w:ilvl w:val="0"/>
          <w:numId w:val="1"/>
        </w:numPr>
        <w:rPr>
          <w:rFonts w:ascii="Bookman Old Style" w:hAnsi="Bookman Old Style"/>
        </w:rPr>
      </w:pPr>
      <w:r w:rsidRPr="003D0F7F">
        <w:rPr>
          <w:rFonts w:ascii="Bookman Old Style" w:hAnsi="Bookman Old Style"/>
        </w:rPr>
        <w:t>Key Analytical Assumptions</w:t>
      </w:r>
    </w:p>
    <w:p w:rsidR="00861B37" w:rsidRDefault="003B5137">
      <w:pPr>
        <w:numPr>
          <w:ilvl w:val="1"/>
          <w:numId w:val="1"/>
        </w:numPr>
        <w:rPr>
          <w:rFonts w:ascii="Bookman Old Style" w:hAnsi="Bookman Old Style"/>
        </w:rPr>
      </w:pPr>
      <w:r>
        <w:rPr>
          <w:rFonts w:ascii="Bookman Old Style" w:hAnsi="Bookman Old Style"/>
        </w:rPr>
        <w:t>Key Inputs</w:t>
      </w:r>
    </w:p>
    <w:p w:rsidR="00861B37" w:rsidRDefault="003B5137">
      <w:pPr>
        <w:numPr>
          <w:ilvl w:val="1"/>
          <w:numId w:val="1"/>
        </w:numPr>
        <w:rPr>
          <w:rFonts w:ascii="Bookman Old Style" w:hAnsi="Bookman Old Style"/>
        </w:rPr>
      </w:pPr>
      <w:r>
        <w:rPr>
          <w:rFonts w:ascii="Bookman Old Style" w:hAnsi="Bookman Old Style"/>
        </w:rPr>
        <w:t>Scenarios/Sensitivities</w:t>
      </w:r>
    </w:p>
    <w:p w:rsidR="00861B37" w:rsidRDefault="003B5137">
      <w:pPr>
        <w:numPr>
          <w:ilvl w:val="1"/>
          <w:numId w:val="1"/>
        </w:numPr>
        <w:rPr>
          <w:rFonts w:ascii="Bookman Old Style" w:hAnsi="Bookman Old Style"/>
        </w:rPr>
      </w:pPr>
      <w:r>
        <w:rPr>
          <w:rFonts w:ascii="Bookman Old Style" w:hAnsi="Bookman Old Style"/>
        </w:rPr>
        <w:t>Stochastic Assumptions</w:t>
      </w:r>
    </w:p>
    <w:p w:rsidR="00861B37" w:rsidRDefault="003B5137">
      <w:pPr>
        <w:numPr>
          <w:ilvl w:val="1"/>
          <w:numId w:val="1"/>
        </w:numPr>
        <w:rPr>
          <w:rFonts w:ascii="Bookman Old Style" w:hAnsi="Bookman Old Style"/>
        </w:rPr>
      </w:pPr>
      <w:r>
        <w:rPr>
          <w:rFonts w:ascii="Bookman Old Style" w:hAnsi="Bookman Old Style"/>
        </w:rPr>
        <w:t>Input Matrices</w:t>
      </w:r>
    </w:p>
    <w:p w:rsidR="00861B37" w:rsidRDefault="003B5137">
      <w:pPr>
        <w:numPr>
          <w:ilvl w:val="1"/>
          <w:numId w:val="1"/>
        </w:numPr>
        <w:rPr>
          <w:rFonts w:ascii="Bookman Old Style" w:hAnsi="Bookman Old Style"/>
        </w:rPr>
      </w:pPr>
      <w:r>
        <w:rPr>
          <w:rFonts w:ascii="Bookman Old Style" w:hAnsi="Bookman Old Style"/>
        </w:rPr>
        <w:t>Summary Table of Scenarios and Sensitivity Assumptions</w:t>
      </w:r>
    </w:p>
    <w:p w:rsidR="000D08D5" w:rsidRDefault="000D08D5" w:rsidP="005406D2">
      <w:pPr>
        <w:numPr>
          <w:ilvl w:val="0"/>
          <w:numId w:val="1"/>
        </w:numPr>
        <w:rPr>
          <w:rFonts w:ascii="Bookman Old Style" w:hAnsi="Bookman Old Style"/>
        </w:rPr>
      </w:pPr>
      <w:r>
        <w:rPr>
          <w:rFonts w:ascii="Bookman Old Style" w:hAnsi="Bookman Old Style"/>
        </w:rPr>
        <w:t>Load Forecasts</w:t>
      </w:r>
    </w:p>
    <w:p w:rsidR="007561CC" w:rsidRDefault="007561CC" w:rsidP="000D08D5">
      <w:pPr>
        <w:numPr>
          <w:ilvl w:val="1"/>
          <w:numId w:val="1"/>
        </w:numPr>
        <w:rPr>
          <w:rFonts w:ascii="Bookman Old Style" w:hAnsi="Bookman Old Style"/>
        </w:rPr>
      </w:pPr>
      <w:r>
        <w:rPr>
          <w:rFonts w:ascii="Bookman Old Style" w:hAnsi="Bookman Old Style"/>
        </w:rPr>
        <w:t>Overview</w:t>
      </w:r>
    </w:p>
    <w:p w:rsidR="007561CC" w:rsidRDefault="007561CC" w:rsidP="000D08D5">
      <w:pPr>
        <w:numPr>
          <w:ilvl w:val="1"/>
          <w:numId w:val="1"/>
        </w:numPr>
        <w:rPr>
          <w:rFonts w:ascii="Bookman Old Style" w:hAnsi="Bookman Old Style"/>
        </w:rPr>
      </w:pPr>
      <w:r>
        <w:rPr>
          <w:rFonts w:ascii="Bookman Old Style" w:hAnsi="Bookman Old Style"/>
        </w:rPr>
        <w:t>Methodology: Electric and Gas, Energy and Peaks</w:t>
      </w:r>
    </w:p>
    <w:p w:rsidR="000D08D5" w:rsidRDefault="000D08D5" w:rsidP="000D08D5">
      <w:pPr>
        <w:numPr>
          <w:ilvl w:val="1"/>
          <w:numId w:val="1"/>
        </w:numPr>
        <w:rPr>
          <w:rFonts w:ascii="Bookman Old Style" w:hAnsi="Bookman Old Style"/>
        </w:rPr>
      </w:pPr>
      <w:r>
        <w:rPr>
          <w:rFonts w:ascii="Bookman Old Style" w:hAnsi="Bookman Old Style"/>
        </w:rPr>
        <w:t xml:space="preserve"> </w:t>
      </w:r>
      <w:r w:rsidR="007561CC">
        <w:rPr>
          <w:rFonts w:ascii="Bookman Old Style" w:hAnsi="Bookman Old Style"/>
        </w:rPr>
        <w:t>Key Assumptions</w:t>
      </w:r>
    </w:p>
    <w:p w:rsidR="007561CC" w:rsidRDefault="007561CC" w:rsidP="000D08D5">
      <w:pPr>
        <w:numPr>
          <w:ilvl w:val="1"/>
          <w:numId w:val="1"/>
        </w:numPr>
        <w:rPr>
          <w:rFonts w:ascii="Bookman Old Style" w:hAnsi="Bookman Old Style"/>
        </w:rPr>
      </w:pPr>
      <w:r>
        <w:rPr>
          <w:rFonts w:ascii="Bookman Old Style" w:hAnsi="Bookman Old Style"/>
        </w:rPr>
        <w:t>Results: Load Forecasts</w:t>
      </w:r>
    </w:p>
    <w:p w:rsidR="007561CC" w:rsidRDefault="007561CC" w:rsidP="000D08D5">
      <w:pPr>
        <w:numPr>
          <w:ilvl w:val="1"/>
          <w:numId w:val="1"/>
        </w:numPr>
        <w:rPr>
          <w:rFonts w:ascii="Bookman Old Style" w:hAnsi="Bookman Old Style"/>
        </w:rPr>
      </w:pPr>
      <w:r>
        <w:rPr>
          <w:rFonts w:ascii="Bookman Old Style" w:hAnsi="Bookman Old Style"/>
        </w:rPr>
        <w:t>Sensitivities to Normal Energy Forecasts Examined—Possible Impacts of Climate Change</w:t>
      </w:r>
    </w:p>
    <w:p w:rsidR="004A2544" w:rsidRDefault="00C27E75">
      <w:pPr>
        <w:numPr>
          <w:ilvl w:val="0"/>
          <w:numId w:val="1"/>
        </w:numPr>
        <w:rPr>
          <w:rFonts w:ascii="Bookman Old Style" w:hAnsi="Bookman Old Style"/>
        </w:rPr>
      </w:pPr>
      <w:r>
        <w:rPr>
          <w:rFonts w:ascii="Bookman Old Style" w:hAnsi="Bookman Old Style"/>
        </w:rPr>
        <w:t>Electric Analysis</w:t>
      </w:r>
    </w:p>
    <w:p w:rsidR="00861B37" w:rsidRDefault="003B5137">
      <w:pPr>
        <w:numPr>
          <w:ilvl w:val="1"/>
          <w:numId w:val="1"/>
        </w:numPr>
        <w:rPr>
          <w:rFonts w:ascii="Bookman Old Style" w:hAnsi="Bookman Old Style"/>
        </w:rPr>
      </w:pPr>
      <w:r>
        <w:rPr>
          <w:rFonts w:ascii="Bookman Old Style" w:hAnsi="Bookman Old Style"/>
        </w:rPr>
        <w:t>Resource Needs</w:t>
      </w:r>
    </w:p>
    <w:p w:rsidR="00861B37" w:rsidRDefault="003B5137">
      <w:pPr>
        <w:numPr>
          <w:ilvl w:val="1"/>
          <w:numId w:val="1"/>
        </w:numPr>
        <w:rPr>
          <w:rFonts w:ascii="Bookman Old Style" w:hAnsi="Bookman Old Style"/>
        </w:rPr>
      </w:pPr>
      <w:r>
        <w:rPr>
          <w:rFonts w:ascii="Bookman Old Style" w:hAnsi="Bookman Old Style"/>
        </w:rPr>
        <w:t>Resource Alternatives</w:t>
      </w:r>
    </w:p>
    <w:p w:rsidR="00861B37" w:rsidRDefault="003B5137">
      <w:pPr>
        <w:numPr>
          <w:ilvl w:val="1"/>
          <w:numId w:val="1"/>
        </w:numPr>
        <w:rPr>
          <w:rFonts w:ascii="Bookman Old Style" w:hAnsi="Bookman Old Style"/>
        </w:rPr>
      </w:pPr>
      <w:r>
        <w:rPr>
          <w:rFonts w:ascii="Bookman Old Style" w:hAnsi="Bookman Old Style"/>
        </w:rPr>
        <w:t>Analytic Methodologies</w:t>
      </w:r>
    </w:p>
    <w:p w:rsidR="00861B37" w:rsidRDefault="003B5137">
      <w:pPr>
        <w:numPr>
          <w:ilvl w:val="1"/>
          <w:numId w:val="1"/>
        </w:numPr>
        <w:rPr>
          <w:rFonts w:ascii="Bookman Old Style" w:hAnsi="Bookman Old Style"/>
        </w:rPr>
      </w:pPr>
      <w:r>
        <w:rPr>
          <w:rFonts w:ascii="Bookman Old Style" w:hAnsi="Bookman Old Style"/>
        </w:rPr>
        <w:t>Results</w:t>
      </w:r>
    </w:p>
    <w:p w:rsidR="00861B37" w:rsidRDefault="003B5137">
      <w:pPr>
        <w:numPr>
          <w:ilvl w:val="1"/>
          <w:numId w:val="1"/>
        </w:numPr>
        <w:rPr>
          <w:rFonts w:ascii="Bookman Old Style" w:hAnsi="Bookman Old Style"/>
        </w:rPr>
      </w:pPr>
      <w:r>
        <w:rPr>
          <w:rFonts w:ascii="Bookman Old Style" w:hAnsi="Bookman Old Style"/>
        </w:rPr>
        <w:t>Key Findings and Insights</w:t>
      </w:r>
    </w:p>
    <w:p w:rsidR="004A2544" w:rsidRPr="003D0F7F" w:rsidRDefault="00C27E75">
      <w:pPr>
        <w:numPr>
          <w:ilvl w:val="0"/>
          <w:numId w:val="1"/>
        </w:numPr>
        <w:rPr>
          <w:rFonts w:ascii="Bookman Old Style" w:hAnsi="Bookman Old Style"/>
        </w:rPr>
      </w:pPr>
      <w:r>
        <w:rPr>
          <w:rFonts w:ascii="Bookman Old Style" w:hAnsi="Bookman Old Style"/>
        </w:rPr>
        <w:t>Gas Analysis</w:t>
      </w:r>
    </w:p>
    <w:p w:rsidR="00DF59C6" w:rsidRPr="003D0F7F" w:rsidRDefault="003B5137" w:rsidP="00DF59C6">
      <w:pPr>
        <w:numPr>
          <w:ilvl w:val="1"/>
          <w:numId w:val="1"/>
        </w:numPr>
        <w:rPr>
          <w:rFonts w:ascii="Bookman Old Style" w:hAnsi="Bookman Old Style"/>
        </w:rPr>
      </w:pPr>
      <w:r>
        <w:rPr>
          <w:rFonts w:ascii="Bookman Old Style" w:hAnsi="Bookman Old Style"/>
        </w:rPr>
        <w:t>Gas Resource Needs</w:t>
      </w:r>
    </w:p>
    <w:p w:rsidR="00DF59C6" w:rsidRPr="003D0F7F" w:rsidRDefault="003B5137" w:rsidP="00DF59C6">
      <w:pPr>
        <w:numPr>
          <w:ilvl w:val="1"/>
          <w:numId w:val="1"/>
        </w:numPr>
        <w:rPr>
          <w:rFonts w:ascii="Bookman Old Style" w:hAnsi="Bookman Old Style"/>
        </w:rPr>
      </w:pPr>
      <w:r>
        <w:rPr>
          <w:rFonts w:ascii="Bookman Old Style" w:hAnsi="Bookman Old Style"/>
        </w:rPr>
        <w:t>Existing Resources</w:t>
      </w:r>
    </w:p>
    <w:p w:rsidR="00DF59C6" w:rsidRPr="003D0F7F" w:rsidRDefault="003B5137" w:rsidP="00DF59C6">
      <w:pPr>
        <w:numPr>
          <w:ilvl w:val="1"/>
          <w:numId w:val="1"/>
        </w:numPr>
        <w:rPr>
          <w:rFonts w:ascii="Bookman Old Style" w:hAnsi="Bookman Old Style"/>
        </w:rPr>
      </w:pPr>
      <w:r>
        <w:rPr>
          <w:rFonts w:ascii="Bookman Old Style" w:hAnsi="Bookman Old Style"/>
        </w:rPr>
        <w:t>Resource Alternatives</w:t>
      </w:r>
    </w:p>
    <w:p w:rsidR="00DF59C6" w:rsidRPr="003D0F7F" w:rsidRDefault="003B5137" w:rsidP="00DF59C6">
      <w:pPr>
        <w:numPr>
          <w:ilvl w:val="1"/>
          <w:numId w:val="1"/>
        </w:numPr>
        <w:rPr>
          <w:rFonts w:ascii="Bookman Old Style" w:hAnsi="Bookman Old Style"/>
        </w:rPr>
      </w:pPr>
      <w:r>
        <w:rPr>
          <w:rFonts w:ascii="Bookman Old Style" w:hAnsi="Bookman Old Style"/>
        </w:rPr>
        <w:t>Analytic Methodologies</w:t>
      </w:r>
    </w:p>
    <w:p w:rsidR="00DF59C6" w:rsidRPr="003D0F7F" w:rsidRDefault="003B5137" w:rsidP="00DF59C6">
      <w:pPr>
        <w:numPr>
          <w:ilvl w:val="1"/>
          <w:numId w:val="1"/>
        </w:numPr>
        <w:rPr>
          <w:rFonts w:ascii="Bookman Old Style" w:hAnsi="Bookman Old Style"/>
        </w:rPr>
      </w:pPr>
      <w:r>
        <w:rPr>
          <w:rFonts w:ascii="Bookman Old Style" w:hAnsi="Bookman Old Style"/>
        </w:rPr>
        <w:t>Results &amp; Key Findings</w:t>
      </w:r>
    </w:p>
    <w:p w:rsidR="004A2544" w:rsidRPr="003D0F7F" w:rsidRDefault="003B5137">
      <w:pPr>
        <w:numPr>
          <w:ilvl w:val="0"/>
          <w:numId w:val="1"/>
        </w:numPr>
        <w:rPr>
          <w:rFonts w:ascii="Bookman Old Style" w:hAnsi="Bookman Old Style"/>
        </w:rPr>
      </w:pPr>
      <w:r>
        <w:rPr>
          <w:rFonts w:ascii="Bookman Old Style" w:hAnsi="Bookman Old Style"/>
        </w:rPr>
        <w:lastRenderedPageBreak/>
        <w:t>Delivery System Infrastructure Planning</w:t>
      </w:r>
    </w:p>
    <w:p w:rsidR="003B5137" w:rsidRDefault="003B5137" w:rsidP="00DF59C6">
      <w:pPr>
        <w:numPr>
          <w:ilvl w:val="1"/>
          <w:numId w:val="1"/>
        </w:numPr>
        <w:rPr>
          <w:rFonts w:ascii="Bookman Old Style" w:hAnsi="Bookman Old Style"/>
        </w:rPr>
      </w:pPr>
      <w:r>
        <w:rPr>
          <w:rFonts w:ascii="Bookman Old Style" w:hAnsi="Bookman Old Style"/>
        </w:rPr>
        <w:t>System Overview</w:t>
      </w:r>
    </w:p>
    <w:p w:rsidR="003B5137" w:rsidRDefault="003B5137" w:rsidP="00DF59C6">
      <w:pPr>
        <w:numPr>
          <w:ilvl w:val="1"/>
          <w:numId w:val="1"/>
        </w:numPr>
        <w:rPr>
          <w:rFonts w:ascii="Bookman Old Style" w:hAnsi="Bookman Old Style"/>
        </w:rPr>
      </w:pPr>
      <w:r>
        <w:rPr>
          <w:rFonts w:ascii="Bookman Old Style" w:hAnsi="Bookman Old Style"/>
        </w:rPr>
        <w:t>Infrastructure Investment Drivers</w:t>
      </w:r>
    </w:p>
    <w:p w:rsidR="003B5137" w:rsidRDefault="003B5137" w:rsidP="00DF59C6">
      <w:pPr>
        <w:numPr>
          <w:ilvl w:val="1"/>
          <w:numId w:val="1"/>
        </w:numPr>
        <w:rPr>
          <w:rFonts w:ascii="Bookman Old Style" w:hAnsi="Bookman Old Style"/>
        </w:rPr>
      </w:pPr>
      <w:r>
        <w:rPr>
          <w:rFonts w:ascii="Bookman Old Style" w:hAnsi="Bookman Old Style"/>
        </w:rPr>
        <w:t>Planning Process</w:t>
      </w:r>
    </w:p>
    <w:p w:rsidR="003B5137" w:rsidRDefault="003B5137" w:rsidP="00DF59C6">
      <w:pPr>
        <w:numPr>
          <w:ilvl w:val="1"/>
          <w:numId w:val="1"/>
        </w:numPr>
        <w:rPr>
          <w:rFonts w:ascii="Bookman Old Style" w:hAnsi="Bookman Old Style"/>
        </w:rPr>
      </w:pPr>
      <w:r>
        <w:rPr>
          <w:rFonts w:ascii="Bookman Old Style" w:hAnsi="Bookman Old Style"/>
        </w:rPr>
        <w:t>2013-2023 Infrastructure Plans</w:t>
      </w:r>
    </w:p>
    <w:p w:rsidR="003B5137" w:rsidRDefault="003B5137" w:rsidP="00DF59C6">
      <w:pPr>
        <w:numPr>
          <w:ilvl w:val="1"/>
          <w:numId w:val="1"/>
        </w:numPr>
        <w:rPr>
          <w:rFonts w:ascii="Bookman Old Style" w:hAnsi="Bookman Old Style"/>
        </w:rPr>
      </w:pPr>
      <w:r>
        <w:rPr>
          <w:rFonts w:ascii="Bookman Old Style" w:hAnsi="Bookman Old Style"/>
        </w:rPr>
        <w:t>Challenges and Opportunities</w:t>
      </w:r>
    </w:p>
    <w:p w:rsidR="00DB08A2" w:rsidRPr="003D0F7F" w:rsidRDefault="00DB08A2" w:rsidP="00DB08A2">
      <w:pPr>
        <w:rPr>
          <w:rFonts w:ascii="Bookman Old Style" w:hAnsi="Bookman Old Style"/>
        </w:rPr>
      </w:pPr>
    </w:p>
    <w:p w:rsidR="004A2544" w:rsidRPr="003D0F7F" w:rsidRDefault="00AE5DBF" w:rsidP="00DB08A2">
      <w:pPr>
        <w:rPr>
          <w:rFonts w:ascii="Bookman Old Style" w:hAnsi="Bookman Old Style"/>
        </w:rPr>
      </w:pPr>
      <w:r w:rsidRPr="003D0F7F">
        <w:rPr>
          <w:rFonts w:ascii="Bookman Old Style" w:hAnsi="Bookman Old Style"/>
        </w:rPr>
        <w:t>Appendices</w:t>
      </w:r>
    </w:p>
    <w:p w:rsidR="004A2544" w:rsidRPr="003D0F7F" w:rsidRDefault="00DB08A2" w:rsidP="00DB08A2">
      <w:pPr>
        <w:numPr>
          <w:ilvl w:val="0"/>
          <w:numId w:val="4"/>
        </w:numPr>
        <w:rPr>
          <w:rFonts w:ascii="Bookman Old Style" w:hAnsi="Bookman Old Style"/>
        </w:rPr>
      </w:pPr>
      <w:r w:rsidRPr="003D0F7F">
        <w:rPr>
          <w:rFonts w:ascii="Bookman Old Style" w:hAnsi="Bookman Old Style"/>
        </w:rPr>
        <w:t>Public Participation</w:t>
      </w:r>
    </w:p>
    <w:p w:rsidR="004A2544" w:rsidRPr="003D0F7F" w:rsidRDefault="00DB08A2">
      <w:pPr>
        <w:numPr>
          <w:ilvl w:val="0"/>
          <w:numId w:val="4"/>
        </w:numPr>
        <w:rPr>
          <w:rFonts w:ascii="Bookman Old Style" w:hAnsi="Bookman Old Style"/>
        </w:rPr>
      </w:pPr>
      <w:r w:rsidRPr="003D0F7F">
        <w:rPr>
          <w:rFonts w:ascii="Bookman Old Style" w:hAnsi="Bookman Old Style"/>
        </w:rPr>
        <w:t>Legal Requirements</w:t>
      </w:r>
      <w:r w:rsidR="003B5137">
        <w:rPr>
          <w:rFonts w:ascii="Bookman Old Style" w:hAnsi="Bookman Old Style"/>
        </w:rPr>
        <w:t xml:space="preserve"> &amp; Other Reports</w:t>
      </w:r>
    </w:p>
    <w:p w:rsidR="004A2544" w:rsidRPr="003D0F7F" w:rsidRDefault="00466595">
      <w:pPr>
        <w:numPr>
          <w:ilvl w:val="0"/>
          <w:numId w:val="4"/>
        </w:numPr>
        <w:rPr>
          <w:rFonts w:ascii="Bookman Old Style" w:hAnsi="Bookman Old Style"/>
        </w:rPr>
      </w:pPr>
      <w:r w:rsidRPr="003D0F7F">
        <w:rPr>
          <w:rFonts w:ascii="Bookman Old Style" w:hAnsi="Bookman Old Style"/>
        </w:rPr>
        <w:t xml:space="preserve">Environmental </w:t>
      </w:r>
      <w:r w:rsidR="003B5137">
        <w:rPr>
          <w:rFonts w:ascii="Bookman Old Style" w:hAnsi="Bookman Old Style"/>
        </w:rPr>
        <w:t xml:space="preserve">and Related Regulatory </w:t>
      </w:r>
      <w:r w:rsidRPr="003D0F7F">
        <w:rPr>
          <w:rFonts w:ascii="Bookman Old Style" w:hAnsi="Bookman Old Style"/>
        </w:rPr>
        <w:t>Matters</w:t>
      </w:r>
    </w:p>
    <w:p w:rsidR="00FB101B" w:rsidRPr="003D0F7F" w:rsidRDefault="007561CC" w:rsidP="00FB101B">
      <w:pPr>
        <w:numPr>
          <w:ilvl w:val="0"/>
          <w:numId w:val="4"/>
        </w:numPr>
        <w:rPr>
          <w:rFonts w:ascii="Bookman Old Style" w:hAnsi="Bookman Old Style"/>
        </w:rPr>
      </w:pPr>
      <w:r>
        <w:rPr>
          <w:rFonts w:ascii="Bookman Old Style" w:hAnsi="Bookman Old Style"/>
        </w:rPr>
        <w:t>Electric Resource Alternatives</w:t>
      </w:r>
    </w:p>
    <w:p w:rsidR="00DB08A2" w:rsidRPr="003D0F7F" w:rsidRDefault="003B5137">
      <w:pPr>
        <w:numPr>
          <w:ilvl w:val="0"/>
          <w:numId w:val="4"/>
        </w:numPr>
        <w:rPr>
          <w:rFonts w:ascii="Bookman Old Style" w:hAnsi="Bookman Old Style"/>
        </w:rPr>
      </w:pPr>
      <w:r>
        <w:rPr>
          <w:rFonts w:ascii="Bookman Old Style" w:hAnsi="Bookman Old Style"/>
        </w:rPr>
        <w:t>Regional Transmission Resources</w:t>
      </w:r>
    </w:p>
    <w:p w:rsidR="00DB08A2" w:rsidRPr="003D0F7F" w:rsidRDefault="003B5137">
      <w:pPr>
        <w:numPr>
          <w:ilvl w:val="0"/>
          <w:numId w:val="4"/>
        </w:numPr>
        <w:rPr>
          <w:rFonts w:ascii="Bookman Old Style" w:hAnsi="Bookman Old Style"/>
        </w:rPr>
      </w:pPr>
      <w:r>
        <w:rPr>
          <w:rFonts w:ascii="Bookman Old Style" w:hAnsi="Bookman Old Style"/>
        </w:rPr>
        <w:t>Financial Considerations</w:t>
      </w:r>
    </w:p>
    <w:p w:rsidR="00DB08A2" w:rsidRPr="003D0F7F" w:rsidRDefault="007561CC">
      <w:pPr>
        <w:numPr>
          <w:ilvl w:val="0"/>
          <w:numId w:val="4"/>
        </w:numPr>
        <w:rPr>
          <w:rFonts w:ascii="Bookman Old Style" w:hAnsi="Bookman Old Style"/>
        </w:rPr>
      </w:pPr>
      <w:r>
        <w:rPr>
          <w:rFonts w:ascii="Bookman Old Style" w:hAnsi="Bookman Old Style"/>
        </w:rPr>
        <w:t>Operational Flexibility</w:t>
      </w:r>
    </w:p>
    <w:p w:rsidR="003B5137" w:rsidRDefault="003B5137">
      <w:pPr>
        <w:numPr>
          <w:ilvl w:val="0"/>
          <w:numId w:val="4"/>
        </w:numPr>
        <w:rPr>
          <w:rFonts w:ascii="Bookman Old Style" w:hAnsi="Bookman Old Style"/>
        </w:rPr>
      </w:pPr>
      <w:r>
        <w:rPr>
          <w:rFonts w:ascii="Bookman Old Style" w:hAnsi="Bookman Old Style"/>
        </w:rPr>
        <w:t>Demand Forecasts</w:t>
      </w:r>
    </w:p>
    <w:p w:rsidR="007561CC" w:rsidRDefault="007561CC">
      <w:pPr>
        <w:numPr>
          <w:ilvl w:val="0"/>
          <w:numId w:val="4"/>
        </w:numPr>
        <w:rPr>
          <w:rFonts w:ascii="Bookman Old Style" w:hAnsi="Bookman Old Style"/>
        </w:rPr>
      </w:pPr>
      <w:r>
        <w:rPr>
          <w:rFonts w:ascii="Bookman Old Style" w:hAnsi="Bookman Old Style"/>
        </w:rPr>
        <w:t>Regional Resource Adequacy</w:t>
      </w:r>
    </w:p>
    <w:p w:rsidR="007561CC" w:rsidRDefault="007561CC">
      <w:pPr>
        <w:numPr>
          <w:ilvl w:val="0"/>
          <w:numId w:val="4"/>
        </w:numPr>
        <w:rPr>
          <w:rFonts w:ascii="Bookman Old Style" w:hAnsi="Bookman Old Style"/>
        </w:rPr>
      </w:pPr>
      <w:r>
        <w:rPr>
          <w:rFonts w:ascii="Bookman Old Style" w:hAnsi="Bookman Old Style"/>
        </w:rPr>
        <w:t>Colstrip</w:t>
      </w:r>
    </w:p>
    <w:p w:rsidR="003B5137" w:rsidRDefault="003B5137">
      <w:pPr>
        <w:numPr>
          <w:ilvl w:val="0"/>
          <w:numId w:val="4"/>
        </w:numPr>
        <w:rPr>
          <w:rFonts w:ascii="Bookman Old Style" w:hAnsi="Bookman Old Style"/>
        </w:rPr>
      </w:pPr>
      <w:r>
        <w:rPr>
          <w:rFonts w:ascii="Bookman Old Style" w:hAnsi="Bookman Old Style"/>
        </w:rPr>
        <w:t>Electric Analysis</w:t>
      </w:r>
    </w:p>
    <w:p w:rsidR="003B5137" w:rsidRDefault="003B5137">
      <w:pPr>
        <w:numPr>
          <w:ilvl w:val="0"/>
          <w:numId w:val="4"/>
        </w:numPr>
        <w:rPr>
          <w:rFonts w:ascii="Bookman Old Style" w:hAnsi="Bookman Old Style"/>
        </w:rPr>
      </w:pPr>
      <w:r>
        <w:rPr>
          <w:rFonts w:ascii="Bookman Old Style" w:hAnsi="Bookman Old Style"/>
        </w:rPr>
        <w:t>Gas Analysis</w:t>
      </w:r>
    </w:p>
    <w:p w:rsidR="007561CC" w:rsidRDefault="007561CC">
      <w:pPr>
        <w:numPr>
          <w:ilvl w:val="0"/>
          <w:numId w:val="4"/>
        </w:numPr>
        <w:rPr>
          <w:rFonts w:ascii="Bookman Old Style" w:hAnsi="Bookman Old Style"/>
        </w:rPr>
      </w:pPr>
      <w:r>
        <w:rPr>
          <w:rFonts w:ascii="Bookman Old Style" w:hAnsi="Bookman Old Style"/>
        </w:rPr>
        <w:t>Electric-Gas Coordination</w:t>
      </w:r>
    </w:p>
    <w:p w:rsidR="004A2544" w:rsidRPr="007561CC" w:rsidRDefault="003B5137" w:rsidP="007561CC">
      <w:pPr>
        <w:pStyle w:val="ListParagraph"/>
        <w:numPr>
          <w:ilvl w:val="0"/>
          <w:numId w:val="4"/>
        </w:numPr>
        <w:rPr>
          <w:rFonts w:ascii="Bookman Old Style" w:hAnsi="Bookman Old Style"/>
        </w:rPr>
      </w:pPr>
      <w:r w:rsidRPr="007561CC">
        <w:rPr>
          <w:rFonts w:ascii="Bookman Old Style" w:hAnsi="Bookman Old Style"/>
        </w:rPr>
        <w:t>Demand-Side Resources</w:t>
      </w:r>
    </w:p>
    <w:p w:rsidR="004A2544" w:rsidRDefault="004A2544">
      <w:pPr>
        <w:rPr>
          <w:rFonts w:ascii="Bookman Old Style" w:hAnsi="Bookman Old Style"/>
          <w:sz w:val="22"/>
        </w:rPr>
      </w:pPr>
    </w:p>
    <w:p w:rsidR="004A2544" w:rsidRDefault="004A2544"/>
    <w:p w:rsidR="004A2544" w:rsidRDefault="004A2544"/>
    <w:p w:rsidR="004A2544" w:rsidRDefault="004A2544"/>
    <w:p w:rsidR="004A2544" w:rsidRDefault="004A2544"/>
    <w:p w:rsidR="004A2544" w:rsidRDefault="004A2544"/>
    <w:p w:rsidR="00AE5DBF" w:rsidRDefault="00AE5DBF">
      <w:r>
        <w:br w:type="page"/>
      </w:r>
    </w:p>
    <w:p w:rsidR="004A2544" w:rsidRDefault="004A2544"/>
    <w:p w:rsidR="004A2544" w:rsidRDefault="004A2544"/>
    <w:p w:rsidR="004A2544" w:rsidRDefault="004A2544"/>
    <w:p w:rsidR="004A2544" w:rsidRDefault="004A2544"/>
    <w:p w:rsidR="004A2544" w:rsidRDefault="004A2544">
      <w:pPr>
        <w:jc w:val="center"/>
        <w:outlineLvl w:val="0"/>
        <w:rPr>
          <w:rFonts w:ascii="Bookman Old Style" w:hAnsi="Bookman Old Style"/>
          <w:b/>
          <w:sz w:val="44"/>
        </w:rPr>
      </w:pPr>
      <w:r>
        <w:rPr>
          <w:rFonts w:ascii="Bookman Old Style" w:hAnsi="Bookman Old Style"/>
          <w:b/>
          <w:sz w:val="44"/>
        </w:rPr>
        <w:t>PUGET SOUND ENERGY</w:t>
      </w:r>
    </w:p>
    <w:p w:rsidR="004A2544" w:rsidRDefault="004A2544">
      <w:pPr>
        <w:jc w:val="center"/>
        <w:rPr>
          <w:rFonts w:ascii="Bookman Old Style" w:hAnsi="Bookman Old Style"/>
          <w:sz w:val="44"/>
        </w:rPr>
      </w:pPr>
    </w:p>
    <w:p w:rsidR="004A2544" w:rsidRDefault="004905FF">
      <w:pPr>
        <w:jc w:val="center"/>
        <w:outlineLvl w:val="0"/>
        <w:rPr>
          <w:rFonts w:ascii="Bookman Old Style" w:hAnsi="Bookman Old Style"/>
          <w:sz w:val="44"/>
        </w:rPr>
      </w:pPr>
      <w:r>
        <w:rPr>
          <w:rFonts w:ascii="Bookman Old Style" w:hAnsi="Bookman Old Style"/>
          <w:sz w:val="44"/>
        </w:rPr>
        <w:t xml:space="preserve">Updated </w:t>
      </w:r>
      <w:r w:rsidR="00466595">
        <w:rPr>
          <w:rFonts w:ascii="Bookman Old Style" w:hAnsi="Bookman Old Style"/>
          <w:sz w:val="44"/>
        </w:rPr>
        <w:t>201</w:t>
      </w:r>
      <w:r w:rsidR="00F95D2D">
        <w:rPr>
          <w:rFonts w:ascii="Bookman Old Style" w:hAnsi="Bookman Old Style"/>
          <w:sz w:val="44"/>
        </w:rPr>
        <w:t>5</w:t>
      </w:r>
      <w:r w:rsidR="00466595">
        <w:rPr>
          <w:rFonts w:ascii="Bookman Old Style" w:hAnsi="Bookman Old Style"/>
          <w:sz w:val="44"/>
        </w:rPr>
        <w:t xml:space="preserve"> </w:t>
      </w:r>
      <w:r w:rsidR="004A2544">
        <w:rPr>
          <w:rFonts w:ascii="Bookman Old Style" w:hAnsi="Bookman Old Style"/>
          <w:sz w:val="44"/>
        </w:rPr>
        <w:t>I</w:t>
      </w:r>
      <w:r w:rsidR="004208EC">
        <w:rPr>
          <w:rFonts w:ascii="Bookman Old Style" w:hAnsi="Bookman Old Style"/>
          <w:sz w:val="44"/>
        </w:rPr>
        <w:t>RP Work Plan</w:t>
      </w:r>
    </w:p>
    <w:p w:rsidR="004A2544" w:rsidRDefault="00512206">
      <w:pPr>
        <w:jc w:val="center"/>
        <w:rPr>
          <w:rFonts w:ascii="Bookman Old Style" w:hAnsi="Bookman Old Style"/>
          <w:sz w:val="44"/>
        </w:rPr>
      </w:pPr>
      <w:r>
        <w:rPr>
          <w:noProof/>
        </w:rPr>
        <mc:AlternateContent>
          <mc:Choice Requires="wps">
            <w:drawing>
              <wp:anchor distT="0" distB="0" distL="114300" distR="114300" simplePos="0" relativeHeight="251656704" behindDoc="0" locked="0" layoutInCell="0" allowOverlap="1">
                <wp:simplePos x="0" y="0"/>
                <wp:positionH relativeFrom="column">
                  <wp:posOffset>228600</wp:posOffset>
                </wp:positionH>
                <wp:positionV relativeFrom="paragraph">
                  <wp:posOffset>153035</wp:posOffset>
                </wp:positionV>
                <wp:extent cx="5029200" cy="0"/>
                <wp:effectExtent l="28575" t="29210" r="2857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05pt" to="414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" o:allowincell="f" strokeweight="4.5pt">
                <v:stroke linestyle="thinThick"/>
              </v:line>
            </w:pict>
          </mc:Fallback>
        </mc:AlternateContent>
      </w:r>
    </w:p>
    <w:p w:rsidR="004A2544" w:rsidRDefault="004A2544">
      <w:pPr>
        <w:jc w:val="center"/>
        <w:rPr>
          <w:rFonts w:ascii="Bookman Old Style" w:hAnsi="Bookman Old Style"/>
          <w:sz w:val="44"/>
        </w:rPr>
      </w:pPr>
    </w:p>
    <w:p w:rsidR="002F3DEC" w:rsidRDefault="004A2544">
      <w:pPr>
        <w:jc w:val="center"/>
        <w:outlineLvl w:val="0"/>
        <w:rPr>
          <w:rFonts w:ascii="Bookman Old Style" w:hAnsi="Bookman Old Style"/>
          <w:sz w:val="44"/>
        </w:rPr>
      </w:pPr>
      <w:r>
        <w:rPr>
          <w:rFonts w:ascii="Bookman Old Style" w:hAnsi="Bookman Old Style"/>
          <w:sz w:val="44"/>
        </w:rPr>
        <w:t>Appe</w:t>
      </w:r>
      <w:r w:rsidR="002F3DEC">
        <w:rPr>
          <w:rFonts w:ascii="Bookman Old Style" w:hAnsi="Bookman Old Style"/>
          <w:sz w:val="44"/>
        </w:rPr>
        <w:t xml:space="preserve">ndix A </w:t>
      </w:r>
    </w:p>
    <w:p w:rsidR="004A2544" w:rsidRDefault="00F95D2D">
      <w:pPr>
        <w:jc w:val="center"/>
        <w:outlineLvl w:val="0"/>
        <w:rPr>
          <w:rFonts w:ascii="Bookman Old Style" w:hAnsi="Bookman Old Style"/>
          <w:sz w:val="44"/>
        </w:rPr>
      </w:pPr>
      <w:r>
        <w:rPr>
          <w:rFonts w:ascii="Bookman Old Style" w:hAnsi="Bookman Old Style"/>
          <w:sz w:val="44"/>
        </w:rPr>
        <w:t>Anticipated Timing of IRP Advisory Group Meetings</w:t>
      </w:r>
    </w:p>
    <w:p w:rsidR="004A2544" w:rsidRDefault="004A2544"/>
    <w:p w:rsidR="004A2544" w:rsidRDefault="004A2544"/>
    <w:p w:rsidR="004A2544" w:rsidRDefault="004A2544"/>
    <w:p w:rsidR="004A2544" w:rsidRDefault="004A2544"/>
    <w:p w:rsidR="004A2544" w:rsidRDefault="004A2544">
      <w:pPr>
        <w:rPr>
          <w:rFonts w:ascii="Bookman Old Style" w:hAnsi="Bookman Old Style"/>
          <w:sz w:val="22"/>
        </w:rPr>
      </w:pPr>
    </w:p>
    <w:p w:rsidR="005533F5" w:rsidRDefault="005533F5">
      <w:pPr>
        <w:rPr>
          <w:rFonts w:ascii="Bookman Old Style" w:hAnsi="Bookman Old Style"/>
          <w:sz w:val="22"/>
        </w:rPr>
      </w:pPr>
      <w:r>
        <w:rPr>
          <w:rFonts w:ascii="Bookman Old Style" w:hAnsi="Bookman Old Style"/>
          <w:sz w:val="22"/>
        </w:rPr>
        <w:br w:type="page"/>
      </w:r>
    </w:p>
    <w:p w:rsidR="00F95D2D" w:rsidRDefault="00F95D2D">
      <w:pPr>
        <w:rPr>
          <w:rFonts w:ascii="Bookman Old Style" w:hAnsi="Bookman Old Style"/>
          <w:sz w:val="22"/>
        </w:rPr>
        <w:sectPr w:rsidR="00F95D2D" w:rsidSect="004905FF">
          <w:headerReference w:type="default" r:id="rId10"/>
          <w:footerReference w:type="default" r:id="rId11"/>
          <w:pgSz w:w="12240" w:h="15840" w:code="1"/>
          <w:pgMar w:top="1440" w:right="1800" w:bottom="1440" w:left="1800" w:header="720" w:footer="720" w:gutter="0"/>
          <w:pgNumType w:start="1"/>
          <w:cols w:space="720"/>
          <w:docGrid w:linePitch="360"/>
        </w:sectPr>
      </w:pPr>
    </w:p>
    <w:p w:rsidR="004A2544" w:rsidRPr="00DD09D1" w:rsidRDefault="004905FF" w:rsidP="00406AC1">
      <w:pPr>
        <w:jc w:val="center"/>
        <w:rPr>
          <w:rFonts w:ascii="Bookman Old Style" w:hAnsi="Bookman Old Style"/>
          <w:sz w:val="22"/>
        </w:rPr>
      </w:pPr>
      <w:r>
        <w:rPr>
          <w:rFonts w:ascii="Bookman Old Style" w:hAnsi="Bookman Old Style"/>
          <w:noProof/>
          <w:sz w:val="22"/>
        </w:rPr>
        <w:lastRenderedPageBreak/>
        <w:drawing>
          <wp:inline distT="0" distB="0" distL="0" distR="0" wp14:anchorId="0C5AABDE">
            <wp:extent cx="8162925" cy="5313234"/>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66447" cy="5315527"/>
                    </a:xfrm>
                    <a:prstGeom prst="rect">
                      <a:avLst/>
                    </a:prstGeom>
                    <a:noFill/>
                  </pic:spPr>
                </pic:pic>
              </a:graphicData>
            </a:graphic>
          </wp:inline>
        </w:drawing>
      </w:r>
    </w:p>
    <w:p w:rsidR="004A2544" w:rsidRDefault="004A2544">
      <w:pPr>
        <w:rPr>
          <w:rFonts w:ascii="Bookman Old Style" w:hAnsi="Bookman Old Style"/>
          <w:sz w:val="22"/>
        </w:rPr>
        <w:sectPr w:rsidR="004A2544" w:rsidSect="00CA1306">
          <w:type w:val="oddPage"/>
          <w:pgSz w:w="15840" w:h="12240" w:orient="landscape" w:code="1"/>
          <w:pgMar w:top="1800" w:right="1440" w:bottom="1800" w:left="1440" w:header="720" w:footer="720" w:gutter="0"/>
          <w:cols w:space="720"/>
          <w:docGrid w:linePitch="360"/>
        </w:sectPr>
      </w:pPr>
    </w:p>
    <w:p w:rsidR="004A2544" w:rsidRDefault="004A2544">
      <w:pPr>
        <w:rPr>
          <w:rFonts w:ascii="Bookman Old Style" w:hAnsi="Bookman Old Style"/>
          <w:sz w:val="22"/>
        </w:rPr>
      </w:pPr>
    </w:p>
    <w:p w:rsidR="004A2544" w:rsidRDefault="004A2544"/>
    <w:p w:rsidR="004A2544" w:rsidRDefault="004A2544"/>
    <w:p w:rsidR="004A2544" w:rsidRDefault="004A2544"/>
    <w:p w:rsidR="004A2544" w:rsidRDefault="004A2544"/>
    <w:p w:rsidR="004A2544" w:rsidRDefault="004A2544"/>
    <w:p w:rsidR="004A2544" w:rsidRDefault="004A2544"/>
    <w:p w:rsidR="004A2544" w:rsidRDefault="004A2544"/>
    <w:p w:rsidR="004A2544" w:rsidRDefault="004A2544"/>
    <w:p w:rsidR="004A2544" w:rsidRDefault="004A2544"/>
    <w:p w:rsidR="004A2544" w:rsidRDefault="004A2544">
      <w:pPr>
        <w:jc w:val="center"/>
        <w:outlineLvl w:val="0"/>
        <w:rPr>
          <w:rFonts w:ascii="Bookman Old Style" w:hAnsi="Bookman Old Style"/>
          <w:b/>
          <w:sz w:val="44"/>
        </w:rPr>
      </w:pPr>
      <w:r>
        <w:rPr>
          <w:rFonts w:ascii="Bookman Old Style" w:hAnsi="Bookman Old Style"/>
          <w:b/>
          <w:sz w:val="44"/>
        </w:rPr>
        <w:t>PUGET SOUND ENERGY</w:t>
      </w:r>
    </w:p>
    <w:p w:rsidR="004A2544" w:rsidRDefault="004A2544">
      <w:pPr>
        <w:jc w:val="center"/>
        <w:rPr>
          <w:rFonts w:ascii="Bookman Old Style" w:hAnsi="Bookman Old Style"/>
          <w:sz w:val="44"/>
        </w:rPr>
      </w:pPr>
    </w:p>
    <w:p w:rsidR="004A2544" w:rsidRDefault="004905FF">
      <w:pPr>
        <w:jc w:val="center"/>
        <w:outlineLvl w:val="0"/>
        <w:rPr>
          <w:rFonts w:ascii="Bookman Old Style" w:hAnsi="Bookman Old Style"/>
          <w:sz w:val="44"/>
        </w:rPr>
      </w:pPr>
      <w:r>
        <w:rPr>
          <w:rFonts w:ascii="Bookman Old Style" w:hAnsi="Bookman Old Style"/>
          <w:sz w:val="44"/>
        </w:rPr>
        <w:t xml:space="preserve">Updated </w:t>
      </w:r>
      <w:r w:rsidR="00586910">
        <w:rPr>
          <w:rFonts w:ascii="Bookman Old Style" w:hAnsi="Bookman Old Style"/>
          <w:sz w:val="44"/>
        </w:rPr>
        <w:t>201</w:t>
      </w:r>
      <w:r w:rsidR="00F95D2D">
        <w:rPr>
          <w:rFonts w:ascii="Bookman Old Style" w:hAnsi="Bookman Old Style"/>
          <w:sz w:val="44"/>
        </w:rPr>
        <w:t>5</w:t>
      </w:r>
      <w:r w:rsidR="00586910">
        <w:rPr>
          <w:rFonts w:ascii="Bookman Old Style" w:hAnsi="Bookman Old Style"/>
          <w:sz w:val="44"/>
        </w:rPr>
        <w:t xml:space="preserve"> </w:t>
      </w:r>
      <w:r w:rsidR="00A711B6">
        <w:rPr>
          <w:rFonts w:ascii="Bookman Old Style" w:hAnsi="Bookman Old Style"/>
          <w:sz w:val="44"/>
        </w:rPr>
        <w:t>IRP WORK PLAN</w:t>
      </w:r>
    </w:p>
    <w:p w:rsidR="004A2544" w:rsidRDefault="00512206">
      <w:pPr>
        <w:jc w:val="center"/>
        <w:rPr>
          <w:rFonts w:ascii="Bookman Old Style" w:hAnsi="Bookman Old Style"/>
          <w:sz w:val="44"/>
        </w:rPr>
      </w:pPr>
      <w:r>
        <w:rPr>
          <w:noProof/>
        </w:rPr>
        <mc:AlternateContent>
          <mc:Choice Requires="wps">
            <w:drawing>
              <wp:anchor distT="0" distB="0" distL="114300" distR="114300" simplePos="0" relativeHeight="251657728" behindDoc="0" locked="0" layoutInCell="0" allowOverlap="1">
                <wp:simplePos x="0" y="0"/>
                <wp:positionH relativeFrom="column">
                  <wp:posOffset>228600</wp:posOffset>
                </wp:positionH>
                <wp:positionV relativeFrom="paragraph">
                  <wp:posOffset>153035</wp:posOffset>
                </wp:positionV>
                <wp:extent cx="5029200" cy="0"/>
                <wp:effectExtent l="28575" t="29210" r="28575" b="3746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05pt" to="414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" o:allowincell="f" strokeweight="4.5pt">
                <v:stroke linestyle="thinThick"/>
              </v:line>
            </w:pict>
          </mc:Fallback>
        </mc:AlternateContent>
      </w:r>
    </w:p>
    <w:p w:rsidR="004A2544" w:rsidRDefault="004A2544">
      <w:pPr>
        <w:jc w:val="center"/>
        <w:rPr>
          <w:rFonts w:ascii="Bookman Old Style" w:hAnsi="Bookman Old Style"/>
          <w:sz w:val="44"/>
        </w:rPr>
      </w:pPr>
    </w:p>
    <w:p w:rsidR="004A2544" w:rsidRDefault="004A2544">
      <w:pPr>
        <w:jc w:val="center"/>
        <w:outlineLvl w:val="0"/>
        <w:rPr>
          <w:rFonts w:ascii="Bookman Old Style" w:hAnsi="Bookman Old Style"/>
          <w:sz w:val="44"/>
        </w:rPr>
      </w:pPr>
      <w:r>
        <w:rPr>
          <w:rFonts w:ascii="Bookman Old Style" w:hAnsi="Bookman Old Style"/>
          <w:sz w:val="44"/>
        </w:rPr>
        <w:t>Appendix B</w:t>
      </w:r>
    </w:p>
    <w:p w:rsidR="00F95D2D" w:rsidRDefault="00F95D2D" w:rsidP="00F95D2D">
      <w:pPr>
        <w:jc w:val="center"/>
        <w:outlineLvl w:val="0"/>
        <w:rPr>
          <w:rFonts w:ascii="Bookman Old Style" w:hAnsi="Bookman Old Style"/>
          <w:sz w:val="44"/>
        </w:rPr>
      </w:pPr>
      <w:r>
        <w:rPr>
          <w:rFonts w:ascii="Bookman Old Style" w:hAnsi="Bookman Old Style"/>
          <w:sz w:val="44"/>
        </w:rPr>
        <w:t>Initial Meeting Ground Rules</w:t>
      </w:r>
    </w:p>
    <w:p w:rsidR="004A2544" w:rsidRDefault="004A2544"/>
    <w:p w:rsidR="004A2544" w:rsidRDefault="004A2544"/>
    <w:p w:rsidR="004A2544" w:rsidRDefault="004A2544">
      <w:pPr>
        <w:rPr>
          <w:rFonts w:ascii="Bookman Old Style" w:hAnsi="Bookman Old Style"/>
          <w:sz w:val="22"/>
        </w:rPr>
      </w:pPr>
    </w:p>
    <w:p w:rsidR="00F95D2D" w:rsidRDefault="00F95D2D">
      <w:pPr>
        <w:rPr>
          <w:rFonts w:ascii="Bookman Old Style" w:hAnsi="Bookman Old Style"/>
          <w:sz w:val="22"/>
        </w:rPr>
      </w:pPr>
      <w:r>
        <w:rPr>
          <w:rFonts w:ascii="Bookman Old Style" w:hAnsi="Bookman Old Style"/>
          <w:sz w:val="22"/>
        </w:rPr>
        <w:br w:type="page"/>
      </w:r>
    </w:p>
    <w:p w:rsidR="00F95D2D" w:rsidRPr="007E277F" w:rsidRDefault="00F95D2D" w:rsidP="00F95D2D">
      <w:pPr>
        <w:rPr>
          <w:rFonts w:ascii="Arial" w:hAnsi="Arial" w:cs="Arial"/>
          <w:b/>
        </w:rPr>
      </w:pPr>
      <w:r w:rsidRPr="007E277F">
        <w:rPr>
          <w:rFonts w:ascii="Arial" w:hAnsi="Arial" w:cs="Arial"/>
          <w:b/>
        </w:rPr>
        <w:lastRenderedPageBreak/>
        <w:t>Meeting / Process Ground Rules</w:t>
      </w:r>
    </w:p>
    <w:p w:rsidR="00F95D2D" w:rsidRPr="007E277F" w:rsidRDefault="00F95D2D" w:rsidP="00F95D2D">
      <w:pPr>
        <w:rPr>
          <w:rFonts w:ascii="Arial" w:hAnsi="Arial" w:cs="Arial"/>
          <w:b/>
          <w:sz w:val="22"/>
          <w:szCs w:val="22"/>
        </w:rPr>
      </w:pPr>
    </w:p>
    <w:p w:rsidR="00F95D2D" w:rsidRPr="007E277F" w:rsidRDefault="00F95D2D" w:rsidP="00F95D2D">
      <w:pPr>
        <w:rPr>
          <w:rFonts w:ascii="Arial" w:hAnsi="Arial" w:cs="Arial"/>
          <w:sz w:val="22"/>
          <w:szCs w:val="22"/>
        </w:rPr>
      </w:pPr>
      <w:r w:rsidRPr="007E277F">
        <w:rPr>
          <w:rFonts w:ascii="Arial" w:hAnsi="Arial" w:cs="Arial"/>
          <w:sz w:val="22"/>
          <w:szCs w:val="22"/>
        </w:rPr>
        <w:t>This list started off as meeting-specific norms and quickly expanded to ground rules at the first IRP Advisory Group meeting for PSE’s 2015 IRP that was held March 18, 2014.  These represent the initial ground rules and may be revised as needed to enhance the overall efficiency of the process:</w:t>
      </w:r>
    </w:p>
    <w:p w:rsidR="00F95D2D" w:rsidRPr="007E277F" w:rsidRDefault="00F95D2D" w:rsidP="00F95D2D">
      <w:pPr>
        <w:pStyle w:val="ListParagraph"/>
        <w:numPr>
          <w:ilvl w:val="0"/>
          <w:numId w:val="9"/>
        </w:numPr>
        <w:rPr>
          <w:rFonts w:ascii="Arial" w:hAnsi="Arial" w:cs="Arial"/>
          <w:sz w:val="22"/>
          <w:szCs w:val="22"/>
        </w:rPr>
      </w:pPr>
      <w:r w:rsidRPr="007E277F">
        <w:rPr>
          <w:rFonts w:ascii="Arial" w:hAnsi="Arial" w:cs="Arial"/>
          <w:sz w:val="22"/>
          <w:szCs w:val="22"/>
        </w:rPr>
        <w:t>Start and end on time (9:00–3:00 Monday–Thursday and 9:00–2:00 on Fridays).</w:t>
      </w:r>
    </w:p>
    <w:p w:rsidR="00F95D2D" w:rsidRPr="007E277F" w:rsidRDefault="00F95D2D" w:rsidP="00F95D2D">
      <w:pPr>
        <w:pStyle w:val="ListParagraph"/>
        <w:numPr>
          <w:ilvl w:val="0"/>
          <w:numId w:val="9"/>
        </w:numPr>
        <w:rPr>
          <w:rFonts w:ascii="Arial" w:hAnsi="Arial" w:cs="Arial"/>
          <w:sz w:val="22"/>
          <w:szCs w:val="22"/>
        </w:rPr>
      </w:pPr>
      <w:r w:rsidRPr="007E277F">
        <w:rPr>
          <w:rFonts w:ascii="Arial" w:hAnsi="Arial" w:cs="Arial"/>
          <w:sz w:val="22"/>
          <w:szCs w:val="22"/>
        </w:rPr>
        <w:t>Be fully present.</w:t>
      </w:r>
    </w:p>
    <w:p w:rsidR="00F95D2D" w:rsidRPr="007E277F" w:rsidRDefault="00F95D2D" w:rsidP="00F95D2D">
      <w:pPr>
        <w:pStyle w:val="ListParagraph"/>
        <w:numPr>
          <w:ilvl w:val="0"/>
          <w:numId w:val="9"/>
        </w:numPr>
        <w:rPr>
          <w:rFonts w:ascii="Arial" w:hAnsi="Arial" w:cs="Arial"/>
          <w:sz w:val="22"/>
          <w:szCs w:val="22"/>
        </w:rPr>
      </w:pPr>
      <w:r w:rsidRPr="007E277F">
        <w:rPr>
          <w:rFonts w:ascii="Arial" w:hAnsi="Arial" w:cs="Arial"/>
          <w:sz w:val="22"/>
          <w:szCs w:val="22"/>
        </w:rPr>
        <w:t>Open and inclusive participation and information sharing.</w:t>
      </w:r>
    </w:p>
    <w:p w:rsidR="00F95D2D" w:rsidRPr="007E277F" w:rsidRDefault="00F95D2D" w:rsidP="00F95D2D">
      <w:pPr>
        <w:pStyle w:val="ListParagraph"/>
        <w:numPr>
          <w:ilvl w:val="0"/>
          <w:numId w:val="9"/>
        </w:numPr>
        <w:rPr>
          <w:rFonts w:ascii="Arial" w:hAnsi="Arial" w:cs="Arial"/>
          <w:sz w:val="22"/>
          <w:szCs w:val="22"/>
        </w:rPr>
      </w:pPr>
      <w:r w:rsidRPr="007E277F">
        <w:rPr>
          <w:rFonts w:ascii="Arial" w:hAnsi="Arial" w:cs="Arial"/>
          <w:sz w:val="22"/>
          <w:szCs w:val="22"/>
        </w:rPr>
        <w:t>Balance participation.</w:t>
      </w:r>
    </w:p>
    <w:p w:rsidR="00F95D2D" w:rsidRPr="007E277F" w:rsidRDefault="00F95D2D" w:rsidP="00F95D2D">
      <w:pPr>
        <w:pStyle w:val="ListParagraph"/>
        <w:numPr>
          <w:ilvl w:val="0"/>
          <w:numId w:val="9"/>
        </w:numPr>
        <w:rPr>
          <w:rFonts w:ascii="Arial" w:hAnsi="Arial" w:cs="Arial"/>
          <w:sz w:val="22"/>
          <w:szCs w:val="22"/>
        </w:rPr>
      </w:pPr>
      <w:r w:rsidRPr="007E277F">
        <w:rPr>
          <w:rFonts w:ascii="Arial" w:hAnsi="Arial" w:cs="Arial"/>
          <w:sz w:val="22"/>
          <w:szCs w:val="22"/>
        </w:rPr>
        <w:t>Ask questions and listen to increase understanding.</w:t>
      </w:r>
    </w:p>
    <w:p w:rsidR="00F95D2D" w:rsidRPr="007E277F" w:rsidRDefault="00F95D2D" w:rsidP="00F95D2D">
      <w:pPr>
        <w:pStyle w:val="ListParagraph"/>
        <w:numPr>
          <w:ilvl w:val="0"/>
          <w:numId w:val="9"/>
        </w:numPr>
        <w:rPr>
          <w:rFonts w:ascii="Arial" w:hAnsi="Arial" w:cs="Arial"/>
          <w:sz w:val="22"/>
          <w:szCs w:val="22"/>
        </w:rPr>
      </w:pPr>
      <w:r w:rsidRPr="007E277F">
        <w:rPr>
          <w:rFonts w:ascii="Arial" w:hAnsi="Arial" w:cs="Arial"/>
          <w:sz w:val="22"/>
          <w:szCs w:val="22"/>
        </w:rPr>
        <w:t>No side bars or interruptions.</w:t>
      </w:r>
    </w:p>
    <w:p w:rsidR="00F95D2D" w:rsidRPr="007E277F" w:rsidRDefault="00F95D2D" w:rsidP="00F95D2D">
      <w:pPr>
        <w:pStyle w:val="ListParagraph"/>
        <w:numPr>
          <w:ilvl w:val="0"/>
          <w:numId w:val="9"/>
        </w:numPr>
        <w:rPr>
          <w:rFonts w:ascii="Arial" w:hAnsi="Arial" w:cs="Arial"/>
          <w:sz w:val="22"/>
          <w:szCs w:val="22"/>
        </w:rPr>
      </w:pPr>
      <w:r w:rsidRPr="007E277F">
        <w:rPr>
          <w:rFonts w:ascii="Arial" w:hAnsi="Arial" w:cs="Arial"/>
          <w:sz w:val="22"/>
          <w:szCs w:val="22"/>
        </w:rPr>
        <w:t>Cell phones on “stun”.</w:t>
      </w:r>
    </w:p>
    <w:p w:rsidR="00F95D2D" w:rsidRPr="007E277F" w:rsidRDefault="00F95D2D" w:rsidP="00F95D2D">
      <w:pPr>
        <w:pStyle w:val="ListParagraph"/>
        <w:numPr>
          <w:ilvl w:val="0"/>
          <w:numId w:val="9"/>
        </w:numPr>
        <w:rPr>
          <w:rFonts w:ascii="Arial" w:hAnsi="Arial" w:cs="Arial"/>
          <w:sz w:val="22"/>
          <w:szCs w:val="22"/>
        </w:rPr>
      </w:pPr>
      <w:r w:rsidRPr="007E277F">
        <w:rPr>
          <w:rFonts w:ascii="Arial" w:hAnsi="Arial" w:cs="Arial"/>
          <w:sz w:val="22"/>
          <w:szCs w:val="22"/>
        </w:rPr>
        <w:t>Use Parking Lot to track issues to address at a later time.</w:t>
      </w:r>
    </w:p>
    <w:p w:rsidR="00F95D2D" w:rsidRPr="007E277F" w:rsidRDefault="00F95D2D" w:rsidP="00F95D2D">
      <w:pPr>
        <w:pStyle w:val="ListParagraph"/>
        <w:numPr>
          <w:ilvl w:val="0"/>
          <w:numId w:val="9"/>
        </w:numPr>
        <w:rPr>
          <w:rFonts w:ascii="Arial" w:hAnsi="Arial" w:cs="Arial"/>
          <w:sz w:val="22"/>
          <w:szCs w:val="22"/>
        </w:rPr>
      </w:pPr>
      <w:r w:rsidRPr="007E277F">
        <w:rPr>
          <w:rFonts w:ascii="Arial" w:hAnsi="Arial" w:cs="Arial"/>
          <w:sz w:val="22"/>
          <w:szCs w:val="22"/>
        </w:rPr>
        <w:t>Have fun.</w:t>
      </w:r>
    </w:p>
    <w:p w:rsidR="00F95D2D" w:rsidRPr="007E277F" w:rsidRDefault="00F95D2D" w:rsidP="00F95D2D">
      <w:pPr>
        <w:pStyle w:val="ListParagraph"/>
        <w:numPr>
          <w:ilvl w:val="0"/>
          <w:numId w:val="9"/>
        </w:numPr>
        <w:rPr>
          <w:rFonts w:ascii="Arial" w:hAnsi="Arial" w:cs="Arial"/>
          <w:sz w:val="22"/>
          <w:szCs w:val="22"/>
        </w:rPr>
      </w:pPr>
      <w:r w:rsidRPr="007E277F">
        <w:rPr>
          <w:rFonts w:ascii="Arial" w:hAnsi="Arial" w:cs="Arial"/>
          <w:sz w:val="22"/>
          <w:szCs w:val="22"/>
        </w:rPr>
        <w:t>Take a break approximately half way through the meeting (~15 min.).</w:t>
      </w:r>
    </w:p>
    <w:p w:rsidR="00F95D2D" w:rsidRPr="007E277F" w:rsidRDefault="00F95D2D" w:rsidP="00F95D2D">
      <w:pPr>
        <w:pStyle w:val="ListParagraph"/>
        <w:numPr>
          <w:ilvl w:val="0"/>
          <w:numId w:val="9"/>
        </w:numPr>
        <w:rPr>
          <w:rFonts w:ascii="Arial" w:hAnsi="Arial" w:cs="Arial"/>
          <w:sz w:val="22"/>
          <w:szCs w:val="22"/>
        </w:rPr>
      </w:pPr>
      <w:r w:rsidRPr="007E277F">
        <w:rPr>
          <w:rFonts w:ascii="Arial" w:hAnsi="Arial" w:cs="Arial"/>
          <w:sz w:val="22"/>
          <w:szCs w:val="22"/>
        </w:rPr>
        <w:t>Be clear about next steps (who is doing what by when).</w:t>
      </w:r>
    </w:p>
    <w:p w:rsidR="00F95D2D" w:rsidRPr="007E277F" w:rsidRDefault="00F95D2D" w:rsidP="00F95D2D">
      <w:pPr>
        <w:pStyle w:val="ListParagraph"/>
        <w:numPr>
          <w:ilvl w:val="1"/>
          <w:numId w:val="9"/>
        </w:numPr>
        <w:ind w:left="720"/>
        <w:rPr>
          <w:rFonts w:ascii="Arial" w:hAnsi="Arial" w:cs="Arial"/>
          <w:sz w:val="22"/>
          <w:szCs w:val="22"/>
        </w:rPr>
      </w:pPr>
      <w:r w:rsidRPr="007E277F">
        <w:rPr>
          <w:rFonts w:ascii="Arial" w:hAnsi="Arial" w:cs="Arial"/>
          <w:sz w:val="22"/>
          <w:szCs w:val="22"/>
        </w:rPr>
        <w:t xml:space="preserve">List Action Items at the top of the first page of the meeting notes. </w:t>
      </w:r>
    </w:p>
    <w:p w:rsidR="00F95D2D" w:rsidRPr="007E277F" w:rsidRDefault="00F95D2D" w:rsidP="00F95D2D">
      <w:pPr>
        <w:pStyle w:val="ListParagraph"/>
        <w:numPr>
          <w:ilvl w:val="0"/>
          <w:numId w:val="9"/>
        </w:numPr>
        <w:rPr>
          <w:rFonts w:ascii="Arial" w:hAnsi="Arial" w:cs="Arial"/>
          <w:sz w:val="22"/>
          <w:szCs w:val="22"/>
        </w:rPr>
      </w:pPr>
      <w:r w:rsidRPr="007E277F">
        <w:rPr>
          <w:rFonts w:ascii="Arial" w:hAnsi="Arial" w:cs="Arial"/>
          <w:sz w:val="22"/>
          <w:szCs w:val="22"/>
        </w:rPr>
        <w:t>Email slides of presentations two days in advance. Note any last minute edits or additions on the day of the meeting.</w:t>
      </w:r>
    </w:p>
    <w:p w:rsidR="00F95D2D" w:rsidRPr="007E277F" w:rsidRDefault="00F95D2D" w:rsidP="00F95D2D">
      <w:pPr>
        <w:pStyle w:val="ListParagraph"/>
        <w:numPr>
          <w:ilvl w:val="0"/>
          <w:numId w:val="9"/>
        </w:numPr>
        <w:rPr>
          <w:rFonts w:ascii="Arial" w:hAnsi="Arial" w:cs="Arial"/>
          <w:sz w:val="22"/>
          <w:szCs w:val="22"/>
        </w:rPr>
      </w:pPr>
      <w:r w:rsidRPr="007E277F">
        <w:rPr>
          <w:rFonts w:ascii="Arial" w:hAnsi="Arial" w:cs="Arial"/>
          <w:sz w:val="22"/>
          <w:szCs w:val="22"/>
        </w:rPr>
        <w:t>Use facilitator and provide “draft” meeting notes.</w:t>
      </w:r>
    </w:p>
    <w:p w:rsidR="00F95D2D" w:rsidRPr="007E277F" w:rsidRDefault="00F95D2D" w:rsidP="00F95D2D">
      <w:pPr>
        <w:pStyle w:val="ListParagraph"/>
        <w:numPr>
          <w:ilvl w:val="0"/>
          <w:numId w:val="9"/>
        </w:numPr>
        <w:rPr>
          <w:rFonts w:ascii="Arial" w:hAnsi="Arial" w:cs="Arial"/>
          <w:sz w:val="22"/>
          <w:szCs w:val="22"/>
        </w:rPr>
      </w:pPr>
      <w:r w:rsidRPr="007E277F">
        <w:rPr>
          <w:rFonts w:ascii="Arial" w:hAnsi="Arial" w:cs="Arial"/>
          <w:sz w:val="22"/>
          <w:szCs w:val="22"/>
        </w:rPr>
        <w:t>PSE to provide written responses to all written questions.</w:t>
      </w:r>
    </w:p>
    <w:p w:rsidR="00F95D2D" w:rsidRPr="007E277F" w:rsidRDefault="00F95D2D" w:rsidP="00F95D2D">
      <w:pPr>
        <w:pStyle w:val="ListParagraph"/>
        <w:numPr>
          <w:ilvl w:val="1"/>
          <w:numId w:val="9"/>
        </w:numPr>
        <w:ind w:left="720"/>
        <w:rPr>
          <w:rFonts w:ascii="Arial" w:hAnsi="Arial" w:cs="Arial"/>
          <w:sz w:val="22"/>
          <w:szCs w:val="22"/>
        </w:rPr>
      </w:pPr>
      <w:r w:rsidRPr="007E277F">
        <w:rPr>
          <w:rFonts w:ascii="Arial" w:hAnsi="Arial" w:cs="Arial"/>
          <w:sz w:val="22"/>
          <w:szCs w:val="22"/>
        </w:rPr>
        <w:t xml:space="preserve">Questions submitted need to be specifically related to the Integrated Resource Plan analytical process, assumptions, or conclusions, not broad policy questions or issues that require legal counsel.  This is intended to help provide clarity, not to create a new discovery process for a regulatory filing that is still in development.  </w:t>
      </w:r>
    </w:p>
    <w:p w:rsidR="00F95D2D" w:rsidRPr="007E277F" w:rsidRDefault="00F95D2D" w:rsidP="00F95D2D">
      <w:pPr>
        <w:pStyle w:val="ListParagraph"/>
        <w:numPr>
          <w:ilvl w:val="1"/>
          <w:numId w:val="9"/>
        </w:numPr>
        <w:ind w:left="720"/>
        <w:rPr>
          <w:rFonts w:ascii="Arial" w:hAnsi="Arial" w:cs="Arial"/>
          <w:sz w:val="22"/>
          <w:szCs w:val="22"/>
        </w:rPr>
      </w:pPr>
      <w:r w:rsidRPr="007E277F">
        <w:rPr>
          <w:rFonts w:ascii="Arial" w:hAnsi="Arial" w:cs="Arial"/>
          <w:sz w:val="22"/>
          <w:szCs w:val="22"/>
        </w:rPr>
        <w:t>PSE will respond within two days.  This may include a direct response, an estimate of when a direct response will be provided, or an explanation of why such response will not be forthcoming.</w:t>
      </w:r>
    </w:p>
    <w:p w:rsidR="00F95D2D" w:rsidRPr="007E277F" w:rsidRDefault="00F95D2D" w:rsidP="00F95D2D">
      <w:pPr>
        <w:pStyle w:val="ListParagraph"/>
        <w:numPr>
          <w:ilvl w:val="1"/>
          <w:numId w:val="9"/>
        </w:numPr>
        <w:ind w:left="720"/>
        <w:rPr>
          <w:rFonts w:ascii="Arial" w:hAnsi="Arial" w:cs="Arial"/>
          <w:sz w:val="22"/>
          <w:szCs w:val="22"/>
        </w:rPr>
      </w:pPr>
      <w:r w:rsidRPr="007E277F">
        <w:rPr>
          <w:rFonts w:ascii="Arial" w:hAnsi="Arial" w:cs="Arial"/>
          <w:sz w:val="22"/>
          <w:szCs w:val="22"/>
        </w:rPr>
        <w:t>PSE will use a separate document to track questions and answers.</w:t>
      </w:r>
    </w:p>
    <w:p w:rsidR="00F95D2D" w:rsidRPr="007E277F" w:rsidRDefault="00F95D2D" w:rsidP="00F95D2D">
      <w:pPr>
        <w:pStyle w:val="ListParagraph"/>
        <w:numPr>
          <w:ilvl w:val="1"/>
          <w:numId w:val="9"/>
        </w:numPr>
        <w:ind w:left="720"/>
        <w:rPr>
          <w:rFonts w:ascii="Arial" w:hAnsi="Arial" w:cs="Arial"/>
          <w:sz w:val="22"/>
          <w:szCs w:val="22"/>
        </w:rPr>
      </w:pPr>
      <w:r w:rsidRPr="007E277F">
        <w:rPr>
          <w:rFonts w:ascii="Arial" w:hAnsi="Arial" w:cs="Arial"/>
          <w:sz w:val="22"/>
          <w:szCs w:val="22"/>
        </w:rPr>
        <w:t>PSE will “make full use of existing provisions to manage confidential information” but that process is limited by the Commission’s statutory authority to protect information outside of a contested case. There is actually very little information that must be treated as confidential. If access to confidential information is necessary by some stakeholders for transparency, PSE will work with stakeholders to overcome the specific barriers, to the extent feasible.</w:t>
      </w:r>
    </w:p>
    <w:p w:rsidR="00F95D2D" w:rsidRPr="007E277F" w:rsidRDefault="00F95D2D" w:rsidP="00F95D2D">
      <w:pPr>
        <w:pStyle w:val="ListParagraph"/>
        <w:numPr>
          <w:ilvl w:val="1"/>
          <w:numId w:val="9"/>
        </w:numPr>
        <w:ind w:left="720"/>
        <w:rPr>
          <w:rFonts w:ascii="Arial" w:hAnsi="Arial" w:cs="Arial"/>
          <w:sz w:val="22"/>
          <w:szCs w:val="22"/>
        </w:rPr>
      </w:pPr>
      <w:r w:rsidRPr="007E277F">
        <w:rPr>
          <w:rFonts w:ascii="Arial" w:hAnsi="Arial" w:cs="Arial"/>
          <w:sz w:val="22"/>
          <w:szCs w:val="22"/>
        </w:rPr>
        <w:t>Update this document and share at each meeting (as some questions will arise outside of these meetings).</w:t>
      </w:r>
    </w:p>
    <w:p w:rsidR="00F95D2D" w:rsidRPr="007E277F" w:rsidRDefault="00F95D2D" w:rsidP="00F95D2D">
      <w:pPr>
        <w:pStyle w:val="ListParagraph"/>
        <w:numPr>
          <w:ilvl w:val="1"/>
          <w:numId w:val="9"/>
        </w:numPr>
        <w:ind w:left="720"/>
        <w:rPr>
          <w:rFonts w:ascii="Arial" w:hAnsi="Arial" w:cs="Arial"/>
          <w:sz w:val="22"/>
          <w:szCs w:val="22"/>
        </w:rPr>
      </w:pPr>
      <w:r w:rsidRPr="007E277F">
        <w:rPr>
          <w:rFonts w:ascii="Arial" w:hAnsi="Arial" w:cs="Arial"/>
          <w:sz w:val="22"/>
          <w:szCs w:val="22"/>
        </w:rPr>
        <w:t xml:space="preserve">We will all work with this process and modify it as we go.  </w:t>
      </w:r>
    </w:p>
    <w:p w:rsidR="00F95D2D" w:rsidRPr="007E277F" w:rsidRDefault="00F95D2D" w:rsidP="00F95D2D">
      <w:pPr>
        <w:pStyle w:val="ListParagraph"/>
        <w:numPr>
          <w:ilvl w:val="0"/>
          <w:numId w:val="9"/>
        </w:numPr>
        <w:rPr>
          <w:rFonts w:ascii="Arial" w:hAnsi="Arial" w:cs="Arial"/>
          <w:sz w:val="22"/>
          <w:szCs w:val="22"/>
        </w:rPr>
      </w:pPr>
      <w:r w:rsidRPr="007E277F">
        <w:rPr>
          <w:rFonts w:ascii="Arial" w:hAnsi="Arial" w:cs="Arial"/>
          <w:sz w:val="22"/>
          <w:szCs w:val="22"/>
        </w:rPr>
        <w:t>PSE to develop reasonable inputs and results.</w:t>
      </w:r>
    </w:p>
    <w:p w:rsidR="00F95D2D" w:rsidRPr="007E277F" w:rsidRDefault="00F95D2D" w:rsidP="00F95D2D">
      <w:pPr>
        <w:pStyle w:val="ListParagraph"/>
        <w:numPr>
          <w:ilvl w:val="0"/>
          <w:numId w:val="9"/>
        </w:numPr>
        <w:rPr>
          <w:rFonts w:ascii="Arial" w:hAnsi="Arial" w:cs="Arial"/>
          <w:sz w:val="22"/>
          <w:szCs w:val="22"/>
        </w:rPr>
      </w:pPr>
      <w:r w:rsidRPr="007E277F">
        <w:rPr>
          <w:rFonts w:ascii="Arial" w:hAnsi="Arial" w:cs="Arial"/>
          <w:sz w:val="22"/>
          <w:szCs w:val="22"/>
        </w:rPr>
        <w:t>Facilitator to provide high-level meeting notes (capture general discussion and use attribution only by exception or if requested).</w:t>
      </w:r>
    </w:p>
    <w:p w:rsidR="00F95D2D" w:rsidRPr="007E277F" w:rsidRDefault="00F95D2D" w:rsidP="00F95D2D">
      <w:pPr>
        <w:pStyle w:val="ListParagraph"/>
        <w:numPr>
          <w:ilvl w:val="0"/>
          <w:numId w:val="9"/>
        </w:numPr>
        <w:rPr>
          <w:rFonts w:ascii="Arial" w:hAnsi="Arial" w:cs="Arial"/>
          <w:sz w:val="22"/>
          <w:szCs w:val="22"/>
        </w:rPr>
      </w:pPr>
      <w:r w:rsidRPr="007E277F">
        <w:rPr>
          <w:rFonts w:ascii="Arial" w:hAnsi="Arial" w:cs="Arial"/>
          <w:sz w:val="22"/>
          <w:szCs w:val="22"/>
        </w:rPr>
        <w:t>Track requests that come up in the meeting through meeting notes.</w:t>
      </w:r>
    </w:p>
    <w:p w:rsidR="00F95D2D" w:rsidRPr="007E277F" w:rsidRDefault="00F95D2D" w:rsidP="00F95D2D">
      <w:pPr>
        <w:pStyle w:val="ListParagraph"/>
        <w:numPr>
          <w:ilvl w:val="0"/>
          <w:numId w:val="9"/>
        </w:numPr>
        <w:rPr>
          <w:rFonts w:ascii="Arial" w:hAnsi="Arial" w:cs="Arial"/>
          <w:sz w:val="22"/>
          <w:szCs w:val="22"/>
        </w:rPr>
      </w:pPr>
      <w:r w:rsidRPr="007E277F">
        <w:rPr>
          <w:rFonts w:ascii="Arial" w:hAnsi="Arial" w:cs="Arial"/>
          <w:sz w:val="22"/>
          <w:szCs w:val="22"/>
        </w:rPr>
        <w:t>PSE to note when, how, and if responding to suggestions in Appendix A and B.</w:t>
      </w:r>
    </w:p>
    <w:p w:rsidR="00F95D2D" w:rsidRPr="007E277F" w:rsidRDefault="00F95D2D" w:rsidP="00F95D2D">
      <w:pPr>
        <w:pStyle w:val="ListParagraph"/>
        <w:numPr>
          <w:ilvl w:val="0"/>
          <w:numId w:val="9"/>
        </w:numPr>
        <w:rPr>
          <w:rFonts w:ascii="Arial" w:hAnsi="Arial" w:cs="Arial"/>
          <w:sz w:val="22"/>
          <w:szCs w:val="22"/>
        </w:rPr>
      </w:pPr>
      <w:r w:rsidRPr="007E277F">
        <w:rPr>
          <w:rFonts w:ascii="Arial" w:hAnsi="Arial" w:cs="Arial"/>
          <w:sz w:val="22"/>
          <w:szCs w:val="22"/>
        </w:rPr>
        <w:t xml:space="preserve">Add Technical Groups to delve into complexities of analyses: </w:t>
      </w:r>
    </w:p>
    <w:p w:rsidR="00F95D2D" w:rsidRPr="007E277F" w:rsidRDefault="00F95D2D" w:rsidP="00F95D2D">
      <w:pPr>
        <w:pStyle w:val="ListParagraph"/>
        <w:numPr>
          <w:ilvl w:val="1"/>
          <w:numId w:val="9"/>
        </w:numPr>
        <w:ind w:left="720"/>
        <w:rPr>
          <w:rFonts w:ascii="Arial" w:hAnsi="Arial" w:cs="Arial"/>
          <w:sz w:val="22"/>
          <w:szCs w:val="22"/>
        </w:rPr>
      </w:pPr>
      <w:r w:rsidRPr="007E277F">
        <w:rPr>
          <w:rFonts w:ascii="Arial" w:hAnsi="Arial" w:cs="Arial"/>
          <w:sz w:val="22"/>
          <w:szCs w:val="22"/>
        </w:rPr>
        <w:t>Tech Groups to meet between IRP AG meeting and share highlights / notes from those meetings during IRP AG meetings</w:t>
      </w:r>
    </w:p>
    <w:p w:rsidR="00F95D2D" w:rsidRPr="00FF521F" w:rsidRDefault="00F95D2D" w:rsidP="00FF521F">
      <w:pPr>
        <w:pStyle w:val="ListParagraph"/>
        <w:numPr>
          <w:ilvl w:val="1"/>
          <w:numId w:val="9"/>
        </w:numPr>
        <w:ind w:left="720"/>
        <w:rPr>
          <w:rFonts w:ascii="Arial" w:hAnsi="Arial" w:cs="Arial"/>
          <w:sz w:val="22"/>
          <w:szCs w:val="22"/>
        </w:rPr>
      </w:pPr>
      <w:r w:rsidRPr="007E277F">
        <w:rPr>
          <w:rFonts w:ascii="Arial" w:hAnsi="Arial" w:cs="Arial"/>
          <w:sz w:val="22"/>
          <w:szCs w:val="22"/>
        </w:rPr>
        <w:t>Aim of Tech Groups is to get through detailed technical information with key people in an effective and efficient manner</w:t>
      </w:r>
    </w:p>
    <w:p w:rsidR="00FF521F" w:rsidRPr="00FF521F" w:rsidRDefault="00FF521F" w:rsidP="00FF521F">
      <w:pPr>
        <w:ind w:left="360"/>
        <w:jc w:val="center"/>
        <w:outlineLvl w:val="0"/>
        <w:rPr>
          <w:rFonts w:ascii="Bookman Old Style" w:hAnsi="Bookman Old Style"/>
          <w:b/>
          <w:sz w:val="44"/>
        </w:rPr>
      </w:pPr>
      <w:r w:rsidRPr="00FF521F">
        <w:rPr>
          <w:rFonts w:ascii="Bookman Old Style" w:hAnsi="Bookman Old Style"/>
          <w:b/>
          <w:sz w:val="44"/>
        </w:rPr>
        <w:lastRenderedPageBreak/>
        <w:t>PUGET SOUND ENERGY</w:t>
      </w:r>
    </w:p>
    <w:p w:rsidR="00FF521F" w:rsidRPr="00FF521F" w:rsidRDefault="00FF521F" w:rsidP="00FF521F">
      <w:pPr>
        <w:jc w:val="center"/>
        <w:rPr>
          <w:rFonts w:ascii="Bookman Old Style" w:hAnsi="Bookman Old Style"/>
          <w:sz w:val="44"/>
        </w:rPr>
      </w:pPr>
    </w:p>
    <w:p w:rsidR="00FF521F" w:rsidRPr="00FF521F" w:rsidRDefault="004905FF" w:rsidP="00FF521F">
      <w:pPr>
        <w:jc w:val="center"/>
        <w:outlineLvl w:val="0"/>
        <w:rPr>
          <w:rFonts w:ascii="Bookman Old Style" w:hAnsi="Bookman Old Style"/>
          <w:sz w:val="44"/>
        </w:rPr>
      </w:pPr>
      <w:r>
        <w:rPr>
          <w:rFonts w:ascii="Bookman Old Style" w:hAnsi="Bookman Old Style"/>
          <w:sz w:val="44"/>
        </w:rPr>
        <w:t xml:space="preserve">Updated </w:t>
      </w:r>
      <w:r w:rsidR="00FF521F" w:rsidRPr="00FF521F">
        <w:rPr>
          <w:rFonts w:ascii="Bookman Old Style" w:hAnsi="Bookman Old Style"/>
          <w:sz w:val="44"/>
        </w:rPr>
        <w:t>2015 IRP WORK PLAN</w:t>
      </w:r>
    </w:p>
    <w:p w:rsidR="00FF521F" w:rsidRPr="00FF521F" w:rsidRDefault="00FF521F" w:rsidP="00FF521F">
      <w:pPr>
        <w:jc w:val="center"/>
        <w:rPr>
          <w:rFonts w:ascii="Bookman Old Style" w:hAnsi="Bookman Old Style"/>
          <w:sz w:val="44"/>
        </w:rPr>
      </w:pPr>
      <w:r>
        <w:rPr>
          <w:noProof/>
        </w:rPr>
        <mc:AlternateContent>
          <mc:Choice Requires="wps">
            <w:drawing>
              <wp:anchor distT="0" distB="0" distL="114300" distR="114300" simplePos="0" relativeHeight="251659776" behindDoc="0" locked="0" layoutInCell="0" allowOverlap="1" wp14:anchorId="39B87CD8" wp14:editId="759A3A0A">
                <wp:simplePos x="0" y="0"/>
                <wp:positionH relativeFrom="column">
                  <wp:posOffset>228600</wp:posOffset>
                </wp:positionH>
                <wp:positionV relativeFrom="paragraph">
                  <wp:posOffset>153035</wp:posOffset>
                </wp:positionV>
                <wp:extent cx="5029200" cy="0"/>
                <wp:effectExtent l="28575" t="29210" r="2857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05pt" to="414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" o:allowincell="f" strokeweight="4.5pt">
                <v:stroke linestyle="thinThick"/>
              </v:line>
            </w:pict>
          </mc:Fallback>
        </mc:AlternateContent>
      </w:r>
    </w:p>
    <w:p w:rsidR="00FF521F" w:rsidRPr="00FF521F" w:rsidRDefault="00FF521F" w:rsidP="00FF521F">
      <w:pPr>
        <w:jc w:val="center"/>
        <w:rPr>
          <w:rFonts w:ascii="Bookman Old Style" w:hAnsi="Bookman Old Style"/>
          <w:sz w:val="44"/>
        </w:rPr>
      </w:pPr>
    </w:p>
    <w:p w:rsidR="00FF521F" w:rsidRPr="00FF521F" w:rsidRDefault="00FF521F" w:rsidP="00FF521F">
      <w:pPr>
        <w:jc w:val="center"/>
        <w:outlineLvl w:val="0"/>
        <w:rPr>
          <w:rFonts w:ascii="Bookman Old Style" w:hAnsi="Bookman Old Style"/>
          <w:sz w:val="44"/>
        </w:rPr>
      </w:pPr>
      <w:r w:rsidRPr="00FF521F">
        <w:rPr>
          <w:rFonts w:ascii="Bookman Old Style" w:hAnsi="Bookman Old Style"/>
          <w:sz w:val="44"/>
        </w:rPr>
        <w:t xml:space="preserve">Appendix </w:t>
      </w:r>
      <w:r w:rsidR="0056133E">
        <w:rPr>
          <w:rFonts w:ascii="Bookman Old Style" w:hAnsi="Bookman Old Style"/>
          <w:sz w:val="44"/>
        </w:rPr>
        <w:t>C</w:t>
      </w:r>
    </w:p>
    <w:p w:rsidR="00FF521F" w:rsidRDefault="0056133E" w:rsidP="00FF521F">
      <w:pPr>
        <w:jc w:val="center"/>
        <w:outlineLvl w:val="0"/>
        <w:rPr>
          <w:rFonts w:ascii="Bookman Old Style" w:hAnsi="Bookman Old Style"/>
          <w:sz w:val="44"/>
        </w:rPr>
      </w:pPr>
      <w:r>
        <w:rPr>
          <w:rFonts w:ascii="Bookman Old Style" w:hAnsi="Bookman Old Style"/>
          <w:sz w:val="44"/>
        </w:rPr>
        <w:t>Technical Advisory Groups</w:t>
      </w:r>
    </w:p>
    <w:p w:rsidR="0056133E" w:rsidRPr="00FF521F" w:rsidRDefault="0056133E" w:rsidP="00FF521F">
      <w:pPr>
        <w:jc w:val="center"/>
        <w:outlineLvl w:val="0"/>
        <w:rPr>
          <w:rFonts w:ascii="Bookman Old Style" w:hAnsi="Bookman Old Style"/>
          <w:sz w:val="44"/>
        </w:rPr>
      </w:pPr>
    </w:p>
    <w:p w:rsidR="004A2544" w:rsidRDefault="004A2544">
      <w:pPr>
        <w:rPr>
          <w:rFonts w:ascii="Bookman Old Style" w:hAnsi="Bookman Old Style"/>
          <w:sz w:val="22"/>
        </w:rPr>
      </w:pPr>
    </w:p>
    <w:p w:rsidR="0056133E" w:rsidRDefault="0056133E">
      <w:pPr>
        <w:rPr>
          <w:rFonts w:ascii="Bookman Old Style" w:hAnsi="Bookman Old Style"/>
          <w:sz w:val="22"/>
        </w:rPr>
      </w:pPr>
      <w:r>
        <w:rPr>
          <w:rFonts w:ascii="Bookman Old Style" w:hAnsi="Bookman Old Style"/>
          <w:sz w:val="22"/>
        </w:rPr>
        <w:br w:type="page"/>
      </w:r>
    </w:p>
    <w:p w:rsidR="00F74C01" w:rsidRPr="00F74C01" w:rsidRDefault="00F74C01" w:rsidP="0056133E">
      <w:pPr>
        <w:rPr>
          <w:rFonts w:ascii="Bookman Old Style" w:hAnsi="Bookman Old Style" w:cs="Arial"/>
          <w:b/>
          <w:bCs/>
          <w:sz w:val="32"/>
          <w:szCs w:val="32"/>
        </w:rPr>
      </w:pPr>
      <w:r w:rsidRPr="00F74C01">
        <w:rPr>
          <w:rFonts w:ascii="Bookman Old Style" w:hAnsi="Bookman Old Style" w:cs="Arial"/>
          <w:b/>
          <w:bCs/>
          <w:sz w:val="32"/>
          <w:szCs w:val="32"/>
        </w:rPr>
        <w:lastRenderedPageBreak/>
        <w:t>Parties Invited to Participate in TAG Process</w:t>
      </w:r>
    </w:p>
    <w:p w:rsidR="00F74C01" w:rsidRDefault="00F74C01" w:rsidP="0056133E">
      <w:pPr>
        <w:rPr>
          <w:rFonts w:ascii="Bookman Old Style" w:hAnsi="Bookman Old Style" w:cs="Arial"/>
          <w:b/>
          <w:bCs/>
          <w:u w:val="single"/>
        </w:rPr>
      </w:pPr>
    </w:p>
    <w:p w:rsidR="0056133E" w:rsidRPr="0056133E" w:rsidRDefault="0056133E" w:rsidP="0056133E">
      <w:pPr>
        <w:rPr>
          <w:rFonts w:ascii="Bookman Old Style" w:hAnsi="Bookman Old Style" w:cs="Arial"/>
          <w:b/>
          <w:bCs/>
          <w:u w:val="single"/>
        </w:rPr>
      </w:pPr>
      <w:r w:rsidRPr="0056133E">
        <w:rPr>
          <w:rFonts w:ascii="Bookman Old Style" w:hAnsi="Bookman Old Style" w:cs="Arial"/>
          <w:b/>
          <w:bCs/>
          <w:u w:val="single"/>
        </w:rPr>
        <w:t xml:space="preserve">RESOURCE NEEDS </w:t>
      </w:r>
    </w:p>
    <w:p w:rsidR="0056133E" w:rsidRPr="0056133E" w:rsidRDefault="0056133E" w:rsidP="0056133E">
      <w:pPr>
        <w:pStyle w:val="ListParagraph"/>
        <w:numPr>
          <w:ilvl w:val="0"/>
          <w:numId w:val="10"/>
        </w:numPr>
        <w:rPr>
          <w:rFonts w:ascii="Bookman Old Style" w:hAnsi="Bookman Old Style" w:cs="Arial"/>
        </w:rPr>
      </w:pPr>
      <w:r w:rsidRPr="0056133E">
        <w:rPr>
          <w:rFonts w:ascii="Bookman Old Style" w:hAnsi="Bookman Old Style" w:cs="Arial"/>
        </w:rPr>
        <w:t xml:space="preserve">WUTC Staff &amp; Policy Staff </w:t>
      </w:r>
    </w:p>
    <w:p w:rsidR="0056133E" w:rsidRPr="0056133E" w:rsidRDefault="0056133E" w:rsidP="0056133E">
      <w:pPr>
        <w:pStyle w:val="ListParagraph"/>
        <w:numPr>
          <w:ilvl w:val="0"/>
          <w:numId w:val="10"/>
        </w:numPr>
        <w:rPr>
          <w:rFonts w:ascii="Bookman Old Style" w:hAnsi="Bookman Old Style" w:cs="Arial"/>
        </w:rPr>
      </w:pPr>
      <w:r w:rsidRPr="0056133E">
        <w:rPr>
          <w:rFonts w:ascii="Bookman Old Style" w:hAnsi="Bookman Old Style" w:cs="Arial"/>
        </w:rPr>
        <w:t xml:space="preserve">Public Counsel </w:t>
      </w:r>
    </w:p>
    <w:p w:rsidR="0056133E" w:rsidRPr="0056133E" w:rsidRDefault="0056133E" w:rsidP="0056133E">
      <w:pPr>
        <w:pStyle w:val="ListParagraph"/>
        <w:numPr>
          <w:ilvl w:val="0"/>
          <w:numId w:val="10"/>
        </w:numPr>
        <w:rPr>
          <w:rFonts w:ascii="Bookman Old Style" w:hAnsi="Bookman Old Style" w:cs="Arial"/>
        </w:rPr>
      </w:pPr>
      <w:r w:rsidRPr="0056133E">
        <w:rPr>
          <w:rFonts w:ascii="Bookman Old Style" w:hAnsi="Bookman Old Style" w:cs="Arial"/>
        </w:rPr>
        <w:t>ICNU</w:t>
      </w:r>
    </w:p>
    <w:p w:rsidR="0056133E" w:rsidRPr="0056133E" w:rsidRDefault="0056133E" w:rsidP="0056133E">
      <w:pPr>
        <w:pStyle w:val="ListParagraph"/>
        <w:numPr>
          <w:ilvl w:val="0"/>
          <w:numId w:val="10"/>
        </w:numPr>
        <w:rPr>
          <w:rFonts w:ascii="Bookman Old Style" w:hAnsi="Bookman Old Style" w:cs="Arial"/>
        </w:rPr>
      </w:pPr>
      <w:r w:rsidRPr="0056133E">
        <w:rPr>
          <w:rFonts w:ascii="Bookman Old Style" w:hAnsi="Bookman Old Style" w:cs="Arial"/>
        </w:rPr>
        <w:t xml:space="preserve">NWIGU </w:t>
      </w:r>
    </w:p>
    <w:p w:rsidR="0056133E" w:rsidRPr="0056133E" w:rsidRDefault="0056133E" w:rsidP="0056133E">
      <w:pPr>
        <w:pStyle w:val="ListParagraph"/>
        <w:numPr>
          <w:ilvl w:val="0"/>
          <w:numId w:val="10"/>
        </w:numPr>
        <w:rPr>
          <w:rFonts w:ascii="Bookman Old Style" w:hAnsi="Bookman Old Style" w:cs="Arial"/>
        </w:rPr>
      </w:pPr>
      <w:r w:rsidRPr="0056133E">
        <w:rPr>
          <w:rFonts w:ascii="Bookman Old Style" w:hAnsi="Bookman Old Style" w:cs="Arial"/>
        </w:rPr>
        <w:t xml:space="preserve">NWPCC </w:t>
      </w:r>
    </w:p>
    <w:p w:rsidR="0056133E" w:rsidRPr="0056133E" w:rsidRDefault="0056133E" w:rsidP="0056133E">
      <w:pPr>
        <w:pStyle w:val="ListParagraph"/>
        <w:numPr>
          <w:ilvl w:val="0"/>
          <w:numId w:val="10"/>
        </w:numPr>
        <w:rPr>
          <w:rFonts w:ascii="Bookman Old Style" w:hAnsi="Bookman Old Style" w:cs="Arial"/>
        </w:rPr>
      </w:pPr>
      <w:r w:rsidRPr="0056133E">
        <w:rPr>
          <w:rFonts w:ascii="Bookman Old Style" w:hAnsi="Bookman Old Style" w:cs="Arial"/>
        </w:rPr>
        <w:t xml:space="preserve">NWEC </w:t>
      </w:r>
    </w:p>
    <w:p w:rsidR="0056133E" w:rsidRPr="0056133E" w:rsidRDefault="0056133E" w:rsidP="0056133E">
      <w:pPr>
        <w:pStyle w:val="ListParagraph"/>
        <w:numPr>
          <w:ilvl w:val="0"/>
          <w:numId w:val="10"/>
        </w:numPr>
        <w:rPr>
          <w:rFonts w:ascii="Bookman Old Style" w:hAnsi="Bookman Old Style" w:cs="Arial"/>
        </w:rPr>
      </w:pPr>
      <w:r w:rsidRPr="0056133E">
        <w:rPr>
          <w:rFonts w:ascii="Bookman Old Style" w:hAnsi="Bookman Old Style" w:cs="Arial"/>
        </w:rPr>
        <w:t xml:space="preserve">RNP </w:t>
      </w:r>
    </w:p>
    <w:p w:rsidR="0056133E" w:rsidRPr="0056133E" w:rsidRDefault="0056133E" w:rsidP="0056133E">
      <w:pPr>
        <w:pStyle w:val="ListParagraph"/>
        <w:numPr>
          <w:ilvl w:val="0"/>
          <w:numId w:val="10"/>
        </w:numPr>
        <w:rPr>
          <w:rFonts w:ascii="Bookman Old Style" w:hAnsi="Bookman Old Style" w:cs="Arial"/>
        </w:rPr>
      </w:pPr>
      <w:r w:rsidRPr="0056133E">
        <w:rPr>
          <w:rFonts w:ascii="Bookman Old Style" w:hAnsi="Bookman Old Style" w:cs="Arial"/>
        </w:rPr>
        <w:t xml:space="preserve">Sierra Club </w:t>
      </w:r>
    </w:p>
    <w:p w:rsidR="0056133E" w:rsidRPr="0056133E" w:rsidRDefault="0056133E" w:rsidP="0056133E">
      <w:pPr>
        <w:rPr>
          <w:rFonts w:ascii="Bookman Old Style" w:hAnsi="Bookman Old Style" w:cs="Arial"/>
        </w:rPr>
      </w:pPr>
    </w:p>
    <w:p w:rsidR="0056133E" w:rsidRPr="0056133E" w:rsidRDefault="0056133E" w:rsidP="0056133E">
      <w:pPr>
        <w:rPr>
          <w:rFonts w:ascii="Bookman Old Style" w:hAnsi="Bookman Old Style" w:cs="Arial"/>
          <w:b/>
          <w:bCs/>
          <w:u w:val="single"/>
        </w:rPr>
      </w:pPr>
      <w:r w:rsidRPr="0056133E">
        <w:rPr>
          <w:rFonts w:ascii="Bookman Old Style" w:hAnsi="Bookman Old Style" w:cs="Arial"/>
          <w:b/>
          <w:bCs/>
          <w:u w:val="single"/>
        </w:rPr>
        <w:t>RESOURCE ALTERNATIVES</w:t>
      </w:r>
    </w:p>
    <w:p w:rsidR="0056133E" w:rsidRPr="0056133E" w:rsidRDefault="0056133E" w:rsidP="0056133E">
      <w:pPr>
        <w:rPr>
          <w:rFonts w:ascii="Bookman Old Style" w:hAnsi="Bookman Old Style" w:cs="Arial"/>
          <w:sz w:val="22"/>
          <w:szCs w:val="22"/>
        </w:rPr>
      </w:pPr>
    </w:p>
    <w:p w:rsidR="0056133E" w:rsidRPr="0056133E" w:rsidRDefault="0056133E" w:rsidP="00F74C01">
      <w:pPr>
        <w:rPr>
          <w:rFonts w:ascii="Bookman Old Style" w:hAnsi="Bookman Old Style" w:cs="Arial"/>
        </w:rPr>
      </w:pPr>
      <w:r w:rsidRPr="0056133E">
        <w:rPr>
          <w:rFonts w:ascii="Bookman Old Style" w:hAnsi="Bookman Old Style" w:cs="Arial"/>
          <w:u w:val="single"/>
        </w:rPr>
        <w:t>Demand-Side Resources</w:t>
      </w:r>
      <w:r w:rsidR="00F74C01">
        <w:rPr>
          <w:rFonts w:ascii="Bookman Old Style" w:hAnsi="Bookman Old Style" w:cs="Arial"/>
          <w:u w:val="single"/>
        </w:rPr>
        <w:t>:</w:t>
      </w:r>
      <w:r w:rsidR="00F74C01" w:rsidRPr="00F74C01">
        <w:rPr>
          <w:rFonts w:ascii="Bookman Old Style" w:hAnsi="Bookman Old Style" w:cs="Arial"/>
        </w:rPr>
        <w:t xml:space="preserve">  </w:t>
      </w:r>
      <w:r w:rsidRPr="0056133E">
        <w:rPr>
          <w:rFonts w:ascii="Bookman Old Style" w:hAnsi="Bookman Old Style" w:cs="Arial"/>
        </w:rPr>
        <w:t>Subset of CRAG self-selected volunteers</w:t>
      </w:r>
    </w:p>
    <w:p w:rsidR="0056133E" w:rsidRPr="0056133E" w:rsidRDefault="0056133E" w:rsidP="0056133E">
      <w:pPr>
        <w:rPr>
          <w:rFonts w:ascii="Bookman Old Style" w:hAnsi="Bookman Old Style" w:cs="Arial"/>
        </w:rPr>
      </w:pPr>
    </w:p>
    <w:p w:rsidR="0056133E" w:rsidRPr="0056133E" w:rsidRDefault="0056133E" w:rsidP="0056133E">
      <w:pPr>
        <w:rPr>
          <w:rFonts w:ascii="Bookman Old Style" w:hAnsi="Bookman Old Style" w:cs="Arial"/>
          <w:u w:val="single"/>
        </w:rPr>
      </w:pPr>
      <w:r w:rsidRPr="0056133E">
        <w:rPr>
          <w:rFonts w:ascii="Bookman Old Style" w:hAnsi="Bookman Old Style" w:cs="Arial"/>
          <w:u w:val="single"/>
        </w:rPr>
        <w:t>Electric Supply-Side Resources</w:t>
      </w:r>
    </w:p>
    <w:p w:rsidR="0056133E" w:rsidRDefault="0056133E" w:rsidP="0056133E">
      <w:pPr>
        <w:rPr>
          <w:rFonts w:ascii="Bookman Old Style" w:hAnsi="Bookman Old Style" w:cs="Arial"/>
        </w:rPr>
      </w:pPr>
    </w:p>
    <w:tbl>
      <w:tblPr>
        <w:tblStyle w:val="TableGrid"/>
        <w:tblW w:w="0" w:type="auto"/>
        <w:tblLook w:val="04A0" w:firstRow="1" w:lastRow="0" w:firstColumn="1" w:lastColumn="0" w:noHBand="0" w:noVBand="1"/>
      </w:tblPr>
      <w:tblGrid>
        <w:gridCol w:w="4428"/>
        <w:gridCol w:w="4428"/>
      </w:tblGrid>
      <w:tr w:rsidR="0056133E" w:rsidTr="0056133E">
        <w:tc>
          <w:tcPr>
            <w:tcW w:w="4428" w:type="dxa"/>
          </w:tcPr>
          <w:p w:rsidR="0056133E" w:rsidRPr="0056133E" w:rsidRDefault="0056133E" w:rsidP="0056133E">
            <w:pPr>
              <w:pStyle w:val="ListParagraph"/>
              <w:numPr>
                <w:ilvl w:val="0"/>
                <w:numId w:val="11"/>
              </w:numPr>
              <w:rPr>
                <w:rFonts w:ascii="Bookman Old Style" w:hAnsi="Bookman Old Style" w:cs="Arial"/>
              </w:rPr>
            </w:pPr>
            <w:r w:rsidRPr="0056133E">
              <w:rPr>
                <w:rFonts w:ascii="Bookman Old Style" w:hAnsi="Bookman Old Style" w:cs="Arial"/>
              </w:rPr>
              <w:t xml:space="preserve">WUTC Staff &amp; Policy Staff </w:t>
            </w:r>
          </w:p>
        </w:tc>
        <w:tc>
          <w:tcPr>
            <w:tcW w:w="4428" w:type="dxa"/>
          </w:tcPr>
          <w:p w:rsidR="0056133E" w:rsidRPr="0056133E" w:rsidRDefault="0056133E" w:rsidP="0056133E">
            <w:pPr>
              <w:pStyle w:val="ListParagraph"/>
              <w:numPr>
                <w:ilvl w:val="0"/>
                <w:numId w:val="11"/>
              </w:numPr>
              <w:rPr>
                <w:rFonts w:ascii="Bookman Old Style" w:hAnsi="Bookman Old Style" w:cs="Arial"/>
              </w:rPr>
            </w:pPr>
            <w:r>
              <w:rPr>
                <w:rFonts w:ascii="Bookman Old Style" w:hAnsi="Bookman Old Style" w:cs="Arial"/>
              </w:rPr>
              <w:t xml:space="preserve">Public Council </w:t>
            </w:r>
          </w:p>
        </w:tc>
      </w:tr>
      <w:tr w:rsidR="0056133E" w:rsidTr="0056133E">
        <w:tc>
          <w:tcPr>
            <w:tcW w:w="4428" w:type="dxa"/>
          </w:tcPr>
          <w:p w:rsidR="0056133E" w:rsidRPr="0056133E" w:rsidRDefault="0056133E" w:rsidP="00F74C01">
            <w:pPr>
              <w:pStyle w:val="ListParagraph"/>
              <w:numPr>
                <w:ilvl w:val="0"/>
                <w:numId w:val="11"/>
              </w:numPr>
              <w:rPr>
                <w:rFonts w:ascii="Bookman Old Style" w:hAnsi="Bookman Old Style" w:cs="Arial"/>
              </w:rPr>
            </w:pPr>
            <w:r>
              <w:rPr>
                <w:rFonts w:ascii="Bookman Old Style" w:hAnsi="Bookman Old Style" w:cs="Arial"/>
              </w:rPr>
              <w:t>NW</w:t>
            </w:r>
            <w:r w:rsidR="00F74C01">
              <w:rPr>
                <w:rFonts w:ascii="Bookman Old Style" w:hAnsi="Bookman Old Style" w:cs="Arial"/>
              </w:rPr>
              <w:t xml:space="preserve"> Power &amp; Cons. Council</w:t>
            </w:r>
          </w:p>
        </w:tc>
        <w:tc>
          <w:tcPr>
            <w:tcW w:w="4428" w:type="dxa"/>
          </w:tcPr>
          <w:p w:rsidR="0056133E" w:rsidRPr="0056133E" w:rsidRDefault="0056133E" w:rsidP="0056133E">
            <w:pPr>
              <w:pStyle w:val="ListParagraph"/>
              <w:numPr>
                <w:ilvl w:val="0"/>
                <w:numId w:val="11"/>
              </w:numPr>
              <w:rPr>
                <w:rFonts w:ascii="Bookman Old Style" w:hAnsi="Bookman Old Style" w:cs="Arial"/>
              </w:rPr>
            </w:pPr>
            <w:r>
              <w:rPr>
                <w:rFonts w:ascii="Bookman Old Style" w:hAnsi="Bookman Old Style" w:cs="Arial"/>
              </w:rPr>
              <w:t xml:space="preserve">ICNU </w:t>
            </w:r>
          </w:p>
        </w:tc>
      </w:tr>
      <w:tr w:rsidR="0056133E" w:rsidTr="0056133E">
        <w:tc>
          <w:tcPr>
            <w:tcW w:w="4428" w:type="dxa"/>
          </w:tcPr>
          <w:p w:rsidR="0056133E" w:rsidRPr="0056133E" w:rsidRDefault="0056133E" w:rsidP="00F74C01">
            <w:pPr>
              <w:pStyle w:val="ListParagraph"/>
              <w:numPr>
                <w:ilvl w:val="0"/>
                <w:numId w:val="11"/>
              </w:numPr>
              <w:rPr>
                <w:rFonts w:ascii="Bookman Old Style" w:hAnsi="Bookman Old Style" w:cs="Arial"/>
              </w:rPr>
            </w:pPr>
            <w:r>
              <w:rPr>
                <w:rFonts w:ascii="Bookman Old Style" w:hAnsi="Bookman Old Style" w:cs="Arial"/>
              </w:rPr>
              <w:t>NW</w:t>
            </w:r>
            <w:r w:rsidR="00F74C01">
              <w:rPr>
                <w:rFonts w:ascii="Bookman Old Style" w:hAnsi="Bookman Old Style" w:cs="Arial"/>
              </w:rPr>
              <w:t xml:space="preserve"> Energy Coalition</w:t>
            </w:r>
          </w:p>
        </w:tc>
        <w:tc>
          <w:tcPr>
            <w:tcW w:w="4428" w:type="dxa"/>
          </w:tcPr>
          <w:p w:rsidR="0056133E" w:rsidRPr="0056133E" w:rsidRDefault="0056133E" w:rsidP="0056133E">
            <w:pPr>
              <w:pStyle w:val="ListParagraph"/>
              <w:numPr>
                <w:ilvl w:val="0"/>
                <w:numId w:val="11"/>
              </w:numPr>
              <w:rPr>
                <w:rFonts w:ascii="Bookman Old Style" w:hAnsi="Bookman Old Style" w:cs="Arial"/>
              </w:rPr>
            </w:pPr>
            <w:r>
              <w:rPr>
                <w:rFonts w:ascii="Bookman Old Style" w:hAnsi="Bookman Old Style" w:cs="Arial"/>
              </w:rPr>
              <w:t>Sierra Club</w:t>
            </w:r>
          </w:p>
        </w:tc>
      </w:tr>
      <w:tr w:rsidR="0056133E" w:rsidTr="0056133E">
        <w:tc>
          <w:tcPr>
            <w:tcW w:w="4428" w:type="dxa"/>
          </w:tcPr>
          <w:p w:rsidR="0056133E" w:rsidRPr="0056133E" w:rsidRDefault="0056133E" w:rsidP="0056133E">
            <w:pPr>
              <w:pStyle w:val="ListParagraph"/>
              <w:numPr>
                <w:ilvl w:val="0"/>
                <w:numId w:val="11"/>
              </w:numPr>
              <w:rPr>
                <w:rFonts w:ascii="Bookman Old Style" w:hAnsi="Bookman Old Style" w:cs="Arial"/>
              </w:rPr>
            </w:pPr>
            <w:r>
              <w:rPr>
                <w:rFonts w:ascii="Bookman Old Style" w:hAnsi="Bookman Old Style" w:cs="Arial"/>
              </w:rPr>
              <w:t>RNP</w:t>
            </w:r>
          </w:p>
        </w:tc>
        <w:tc>
          <w:tcPr>
            <w:tcW w:w="4428" w:type="dxa"/>
          </w:tcPr>
          <w:p w:rsidR="0056133E" w:rsidRPr="0056133E" w:rsidRDefault="0056133E" w:rsidP="0056133E">
            <w:pPr>
              <w:pStyle w:val="ListParagraph"/>
              <w:numPr>
                <w:ilvl w:val="0"/>
                <w:numId w:val="11"/>
              </w:numPr>
              <w:rPr>
                <w:rFonts w:ascii="Bookman Old Style" w:hAnsi="Bookman Old Style" w:cs="Arial"/>
              </w:rPr>
            </w:pPr>
            <w:r>
              <w:rPr>
                <w:rFonts w:ascii="Bookman Old Style" w:hAnsi="Bookman Old Style" w:cs="Arial"/>
              </w:rPr>
              <w:t>GE</w:t>
            </w:r>
          </w:p>
        </w:tc>
      </w:tr>
      <w:tr w:rsidR="0056133E" w:rsidTr="0056133E">
        <w:tc>
          <w:tcPr>
            <w:tcW w:w="4428" w:type="dxa"/>
          </w:tcPr>
          <w:p w:rsidR="0056133E" w:rsidRPr="0056133E" w:rsidRDefault="0056133E" w:rsidP="0056133E">
            <w:pPr>
              <w:pStyle w:val="ListParagraph"/>
              <w:numPr>
                <w:ilvl w:val="0"/>
                <w:numId w:val="11"/>
              </w:numPr>
              <w:rPr>
                <w:rFonts w:ascii="Bookman Old Style" w:hAnsi="Bookman Old Style" w:cs="Arial"/>
              </w:rPr>
            </w:pPr>
            <w:r>
              <w:rPr>
                <w:rFonts w:ascii="Bookman Old Style" w:hAnsi="Bookman Old Style" w:cs="Arial"/>
              </w:rPr>
              <w:t>Other Electric Utilities</w:t>
            </w:r>
          </w:p>
        </w:tc>
        <w:tc>
          <w:tcPr>
            <w:tcW w:w="4428" w:type="dxa"/>
          </w:tcPr>
          <w:p w:rsidR="0056133E" w:rsidRPr="0056133E" w:rsidRDefault="0056133E" w:rsidP="0056133E">
            <w:pPr>
              <w:pStyle w:val="ListParagraph"/>
              <w:numPr>
                <w:ilvl w:val="0"/>
                <w:numId w:val="11"/>
              </w:numPr>
              <w:rPr>
                <w:rFonts w:ascii="Bookman Old Style" w:hAnsi="Bookman Old Style" w:cs="Arial"/>
              </w:rPr>
            </w:pPr>
            <w:r>
              <w:rPr>
                <w:rFonts w:ascii="Bookman Old Style" w:hAnsi="Bookman Old Style" w:cs="Arial"/>
              </w:rPr>
              <w:t>Open to Others</w:t>
            </w:r>
          </w:p>
        </w:tc>
      </w:tr>
    </w:tbl>
    <w:p w:rsidR="0056133E" w:rsidRDefault="0056133E" w:rsidP="0056133E">
      <w:pPr>
        <w:rPr>
          <w:rFonts w:ascii="Bookman Old Style" w:hAnsi="Bookman Old Style" w:cs="Arial"/>
        </w:rPr>
      </w:pPr>
    </w:p>
    <w:p w:rsidR="0056133E" w:rsidRPr="0056133E" w:rsidRDefault="0056133E" w:rsidP="0056133E">
      <w:pPr>
        <w:rPr>
          <w:rFonts w:ascii="Bookman Old Style" w:hAnsi="Bookman Old Style" w:cs="Arial"/>
        </w:rPr>
      </w:pPr>
    </w:p>
    <w:p w:rsidR="0056133E" w:rsidRPr="0056133E" w:rsidRDefault="0056133E" w:rsidP="0056133E">
      <w:pPr>
        <w:rPr>
          <w:rFonts w:ascii="Bookman Old Style" w:hAnsi="Bookman Old Style" w:cs="Arial"/>
          <w:u w:val="single"/>
        </w:rPr>
      </w:pPr>
      <w:r w:rsidRPr="0056133E">
        <w:rPr>
          <w:rFonts w:ascii="Bookman Old Style" w:hAnsi="Bookman Old Style" w:cs="Arial"/>
          <w:u w:val="single"/>
        </w:rPr>
        <w:t>Gas Supply-Side Resources</w:t>
      </w:r>
    </w:p>
    <w:p w:rsidR="0056133E" w:rsidRDefault="0056133E" w:rsidP="0056133E">
      <w:pPr>
        <w:rPr>
          <w:rFonts w:ascii="Bookman Old Style" w:hAnsi="Bookman Old Style" w:cs="Arial"/>
        </w:rPr>
      </w:pPr>
    </w:p>
    <w:tbl>
      <w:tblPr>
        <w:tblStyle w:val="TableGrid"/>
        <w:tblW w:w="0" w:type="auto"/>
        <w:tblLook w:val="04A0" w:firstRow="1" w:lastRow="0" w:firstColumn="1" w:lastColumn="0" w:noHBand="0" w:noVBand="1"/>
      </w:tblPr>
      <w:tblGrid>
        <w:gridCol w:w="4428"/>
        <w:gridCol w:w="4428"/>
      </w:tblGrid>
      <w:tr w:rsidR="0056133E" w:rsidTr="00607A7A">
        <w:tc>
          <w:tcPr>
            <w:tcW w:w="4428" w:type="dxa"/>
          </w:tcPr>
          <w:p w:rsidR="0056133E" w:rsidRPr="0056133E" w:rsidRDefault="0056133E" w:rsidP="00607A7A">
            <w:pPr>
              <w:pStyle w:val="ListParagraph"/>
              <w:numPr>
                <w:ilvl w:val="0"/>
                <w:numId w:val="11"/>
              </w:numPr>
              <w:rPr>
                <w:rFonts w:ascii="Bookman Old Style" w:hAnsi="Bookman Old Style" w:cs="Arial"/>
              </w:rPr>
            </w:pPr>
            <w:r w:rsidRPr="0056133E">
              <w:rPr>
                <w:rFonts w:ascii="Bookman Old Style" w:hAnsi="Bookman Old Style" w:cs="Arial"/>
              </w:rPr>
              <w:t xml:space="preserve">WUTC Staff &amp; Policy Staff </w:t>
            </w:r>
          </w:p>
        </w:tc>
        <w:tc>
          <w:tcPr>
            <w:tcW w:w="4428" w:type="dxa"/>
          </w:tcPr>
          <w:p w:rsidR="0056133E" w:rsidRPr="0056133E" w:rsidRDefault="0056133E" w:rsidP="0056133E">
            <w:pPr>
              <w:pStyle w:val="ListParagraph"/>
              <w:numPr>
                <w:ilvl w:val="0"/>
                <w:numId w:val="11"/>
              </w:numPr>
              <w:rPr>
                <w:rFonts w:ascii="Bookman Old Style" w:hAnsi="Bookman Old Style" w:cs="Arial"/>
              </w:rPr>
            </w:pPr>
            <w:r>
              <w:rPr>
                <w:rFonts w:ascii="Bookman Old Style" w:hAnsi="Bookman Old Style" w:cs="Arial"/>
              </w:rPr>
              <w:t xml:space="preserve">Public Council </w:t>
            </w:r>
          </w:p>
        </w:tc>
      </w:tr>
      <w:tr w:rsidR="0056133E" w:rsidTr="00607A7A">
        <w:tc>
          <w:tcPr>
            <w:tcW w:w="4428" w:type="dxa"/>
          </w:tcPr>
          <w:p w:rsidR="0056133E" w:rsidRPr="0056133E" w:rsidRDefault="00F74C01" w:rsidP="00607A7A">
            <w:pPr>
              <w:pStyle w:val="ListParagraph"/>
              <w:numPr>
                <w:ilvl w:val="0"/>
                <w:numId w:val="11"/>
              </w:numPr>
              <w:rPr>
                <w:rFonts w:ascii="Bookman Old Style" w:hAnsi="Bookman Old Style" w:cs="Arial"/>
              </w:rPr>
            </w:pPr>
            <w:r>
              <w:rPr>
                <w:rFonts w:ascii="Bookman Old Style" w:hAnsi="Bookman Old Style" w:cs="Arial"/>
              </w:rPr>
              <w:t>NWIGU</w:t>
            </w:r>
          </w:p>
        </w:tc>
        <w:tc>
          <w:tcPr>
            <w:tcW w:w="4428" w:type="dxa"/>
          </w:tcPr>
          <w:p w:rsidR="0056133E" w:rsidRPr="0056133E" w:rsidRDefault="00F74C01" w:rsidP="00F74C01">
            <w:pPr>
              <w:pStyle w:val="ListParagraph"/>
              <w:numPr>
                <w:ilvl w:val="0"/>
                <w:numId w:val="11"/>
              </w:numPr>
              <w:rPr>
                <w:rFonts w:ascii="Bookman Old Style" w:hAnsi="Bookman Old Style" w:cs="Arial"/>
              </w:rPr>
            </w:pPr>
            <w:r>
              <w:rPr>
                <w:rFonts w:ascii="Bookman Old Style" w:hAnsi="Bookman Old Style" w:cs="Arial"/>
              </w:rPr>
              <w:t>NW Gas Association</w:t>
            </w:r>
          </w:p>
        </w:tc>
      </w:tr>
      <w:tr w:rsidR="0056133E" w:rsidTr="00607A7A">
        <w:tc>
          <w:tcPr>
            <w:tcW w:w="4428" w:type="dxa"/>
          </w:tcPr>
          <w:p w:rsidR="0056133E" w:rsidRPr="0056133E" w:rsidRDefault="00F74C01" w:rsidP="00F74C01">
            <w:pPr>
              <w:pStyle w:val="ListParagraph"/>
              <w:numPr>
                <w:ilvl w:val="0"/>
                <w:numId w:val="11"/>
              </w:numPr>
              <w:rPr>
                <w:rFonts w:ascii="Bookman Old Style" w:hAnsi="Bookman Old Style" w:cs="Arial"/>
              </w:rPr>
            </w:pPr>
            <w:r>
              <w:rPr>
                <w:rFonts w:ascii="Bookman Old Style" w:hAnsi="Bookman Old Style" w:cs="Arial"/>
              </w:rPr>
              <w:t>Northwest Pipeline</w:t>
            </w:r>
          </w:p>
        </w:tc>
        <w:tc>
          <w:tcPr>
            <w:tcW w:w="4428" w:type="dxa"/>
          </w:tcPr>
          <w:p w:rsidR="0056133E" w:rsidRPr="0056133E" w:rsidRDefault="00F74C01" w:rsidP="00F74C01">
            <w:pPr>
              <w:pStyle w:val="ListParagraph"/>
              <w:numPr>
                <w:ilvl w:val="0"/>
                <w:numId w:val="11"/>
              </w:numPr>
              <w:rPr>
                <w:rFonts w:ascii="Bookman Old Style" w:hAnsi="Bookman Old Style" w:cs="Arial"/>
              </w:rPr>
            </w:pPr>
            <w:r>
              <w:rPr>
                <w:rFonts w:ascii="Bookman Old Style" w:hAnsi="Bookman Old Style" w:cs="Arial"/>
              </w:rPr>
              <w:t>TransCanda Pipeline</w:t>
            </w:r>
          </w:p>
        </w:tc>
      </w:tr>
      <w:tr w:rsidR="0056133E" w:rsidTr="00607A7A">
        <w:tc>
          <w:tcPr>
            <w:tcW w:w="4428" w:type="dxa"/>
          </w:tcPr>
          <w:p w:rsidR="0056133E" w:rsidRPr="0056133E" w:rsidRDefault="00F74C01" w:rsidP="00607A7A">
            <w:pPr>
              <w:pStyle w:val="ListParagraph"/>
              <w:numPr>
                <w:ilvl w:val="0"/>
                <w:numId w:val="11"/>
              </w:numPr>
              <w:rPr>
                <w:rFonts w:ascii="Bookman Old Style" w:hAnsi="Bookman Old Style" w:cs="Arial"/>
              </w:rPr>
            </w:pPr>
            <w:r>
              <w:rPr>
                <w:rFonts w:ascii="Bookman Old Style" w:hAnsi="Bookman Old Style" w:cs="Arial"/>
              </w:rPr>
              <w:t>NW Energy Coalition</w:t>
            </w:r>
          </w:p>
        </w:tc>
        <w:tc>
          <w:tcPr>
            <w:tcW w:w="4428" w:type="dxa"/>
          </w:tcPr>
          <w:p w:rsidR="0056133E" w:rsidRPr="0056133E" w:rsidRDefault="00F74C01" w:rsidP="00607A7A">
            <w:pPr>
              <w:pStyle w:val="ListParagraph"/>
              <w:numPr>
                <w:ilvl w:val="0"/>
                <w:numId w:val="11"/>
              </w:numPr>
              <w:rPr>
                <w:rFonts w:ascii="Bookman Old Style" w:hAnsi="Bookman Old Style" w:cs="Arial"/>
              </w:rPr>
            </w:pPr>
            <w:r>
              <w:rPr>
                <w:rFonts w:ascii="Bookman Old Style" w:hAnsi="Bookman Old Style" w:cs="Arial"/>
              </w:rPr>
              <w:t>Other Gas Utilities</w:t>
            </w:r>
          </w:p>
        </w:tc>
      </w:tr>
      <w:tr w:rsidR="0056133E" w:rsidTr="00607A7A">
        <w:tc>
          <w:tcPr>
            <w:tcW w:w="4428" w:type="dxa"/>
          </w:tcPr>
          <w:p w:rsidR="0056133E" w:rsidRPr="0056133E" w:rsidRDefault="00F74C01" w:rsidP="00607A7A">
            <w:pPr>
              <w:pStyle w:val="ListParagraph"/>
              <w:numPr>
                <w:ilvl w:val="0"/>
                <w:numId w:val="11"/>
              </w:numPr>
              <w:rPr>
                <w:rFonts w:ascii="Bookman Old Style" w:hAnsi="Bookman Old Style" w:cs="Arial"/>
              </w:rPr>
            </w:pPr>
            <w:r>
              <w:rPr>
                <w:rFonts w:ascii="Bookman Old Style" w:hAnsi="Bookman Old Style" w:cs="Arial"/>
              </w:rPr>
              <w:t>Open to Others</w:t>
            </w:r>
          </w:p>
        </w:tc>
        <w:tc>
          <w:tcPr>
            <w:tcW w:w="4428" w:type="dxa"/>
          </w:tcPr>
          <w:p w:rsidR="0056133E" w:rsidRPr="0056133E" w:rsidRDefault="0056133E" w:rsidP="00F74C01">
            <w:pPr>
              <w:pStyle w:val="ListParagraph"/>
              <w:ind w:left="360"/>
              <w:rPr>
                <w:rFonts w:ascii="Bookman Old Style" w:hAnsi="Bookman Old Style" w:cs="Arial"/>
              </w:rPr>
            </w:pPr>
          </w:p>
        </w:tc>
      </w:tr>
    </w:tbl>
    <w:p w:rsidR="0056133E" w:rsidRDefault="0056133E" w:rsidP="0056133E">
      <w:pPr>
        <w:rPr>
          <w:rFonts w:ascii="Bookman Old Style" w:hAnsi="Bookman Old Style" w:cs="Arial"/>
        </w:rPr>
      </w:pPr>
    </w:p>
    <w:p w:rsidR="0056133E" w:rsidRPr="0056133E" w:rsidRDefault="00F74C01" w:rsidP="0056133E">
      <w:pPr>
        <w:rPr>
          <w:rFonts w:ascii="Bookman Old Style" w:hAnsi="Bookman Old Style" w:cs="Arial"/>
          <w:b/>
          <w:bCs/>
          <w:u w:val="single"/>
        </w:rPr>
      </w:pPr>
      <w:r>
        <w:rPr>
          <w:rFonts w:ascii="Bookman Old Style" w:hAnsi="Bookman Old Style" w:cs="Arial"/>
          <w:b/>
          <w:bCs/>
          <w:u w:val="single"/>
        </w:rPr>
        <w:t>ANALYSIS OF ALTERNATIVES</w:t>
      </w:r>
    </w:p>
    <w:p w:rsidR="0056133E" w:rsidRPr="0056133E" w:rsidRDefault="0056133E" w:rsidP="0056133E">
      <w:pPr>
        <w:rPr>
          <w:rFonts w:ascii="Bookman Old Style" w:hAnsi="Bookman Old Style" w:cs="Arial"/>
          <w:sz w:val="22"/>
          <w:szCs w:val="22"/>
        </w:rPr>
      </w:pPr>
    </w:p>
    <w:tbl>
      <w:tblPr>
        <w:tblW w:w="0" w:type="auto"/>
        <w:tblCellMar>
          <w:left w:w="0" w:type="dxa"/>
          <w:right w:w="0" w:type="dxa"/>
        </w:tblCellMar>
        <w:tblLook w:val="04A0" w:firstRow="1" w:lastRow="0" w:firstColumn="1" w:lastColumn="0" w:noHBand="0" w:noVBand="1"/>
      </w:tblPr>
      <w:tblGrid>
        <w:gridCol w:w="4338"/>
        <w:gridCol w:w="4320"/>
      </w:tblGrid>
      <w:tr w:rsidR="0056133E" w:rsidRPr="0056133E" w:rsidTr="00F74C01">
        <w:tc>
          <w:tcPr>
            <w:tcW w:w="43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133E" w:rsidRPr="0056133E" w:rsidRDefault="0056133E">
            <w:pPr>
              <w:jc w:val="center"/>
              <w:rPr>
                <w:rFonts w:ascii="Bookman Old Style" w:eastAsiaTheme="minorHAnsi" w:hAnsi="Bookman Old Style" w:cs="Arial"/>
                <w:sz w:val="22"/>
                <w:szCs w:val="22"/>
              </w:rPr>
            </w:pPr>
            <w:r w:rsidRPr="0056133E">
              <w:rPr>
                <w:rFonts w:ascii="Bookman Old Style" w:hAnsi="Bookman Old Style" w:cs="Arial"/>
              </w:rPr>
              <w:t>Electric</w:t>
            </w:r>
          </w:p>
        </w:tc>
        <w:tc>
          <w:tcPr>
            <w:tcW w:w="43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6133E" w:rsidRPr="0056133E" w:rsidRDefault="0056133E">
            <w:pPr>
              <w:jc w:val="center"/>
              <w:rPr>
                <w:rFonts w:ascii="Bookman Old Style" w:eastAsiaTheme="minorHAnsi" w:hAnsi="Bookman Old Style" w:cs="Arial"/>
                <w:sz w:val="22"/>
                <w:szCs w:val="22"/>
              </w:rPr>
            </w:pPr>
            <w:r w:rsidRPr="0056133E">
              <w:rPr>
                <w:rFonts w:ascii="Bookman Old Style" w:hAnsi="Bookman Old Style" w:cs="Arial"/>
              </w:rPr>
              <w:t>Gas</w:t>
            </w:r>
          </w:p>
        </w:tc>
      </w:tr>
      <w:tr w:rsidR="0056133E" w:rsidRPr="0056133E" w:rsidTr="00F74C01">
        <w:tc>
          <w:tcPr>
            <w:tcW w:w="4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133E" w:rsidRPr="0056133E" w:rsidRDefault="0056133E" w:rsidP="0056133E">
            <w:pPr>
              <w:pStyle w:val="ListParagraph"/>
              <w:numPr>
                <w:ilvl w:val="0"/>
                <w:numId w:val="13"/>
              </w:numPr>
              <w:rPr>
                <w:rFonts w:ascii="Bookman Old Style" w:eastAsiaTheme="minorHAnsi" w:hAnsi="Bookman Old Style" w:cs="Arial"/>
                <w:sz w:val="22"/>
                <w:szCs w:val="22"/>
              </w:rPr>
            </w:pPr>
            <w:r w:rsidRPr="0056133E">
              <w:rPr>
                <w:rFonts w:ascii="Bookman Old Style" w:hAnsi="Bookman Old Style" w:cs="Arial"/>
              </w:rPr>
              <w:t xml:space="preserve">WUTC Staff &amp; Policy Staff </w:t>
            </w:r>
          </w:p>
          <w:p w:rsidR="0056133E" w:rsidRPr="0056133E" w:rsidRDefault="0056133E" w:rsidP="0056133E">
            <w:pPr>
              <w:pStyle w:val="ListParagraph"/>
              <w:numPr>
                <w:ilvl w:val="0"/>
                <w:numId w:val="13"/>
              </w:numPr>
              <w:rPr>
                <w:rFonts w:ascii="Bookman Old Style" w:hAnsi="Bookman Old Style" w:cs="Arial"/>
              </w:rPr>
            </w:pPr>
            <w:r w:rsidRPr="0056133E">
              <w:rPr>
                <w:rFonts w:ascii="Bookman Old Style" w:hAnsi="Bookman Old Style" w:cs="Arial"/>
              </w:rPr>
              <w:t>Public Counsel</w:t>
            </w:r>
          </w:p>
          <w:p w:rsidR="0056133E" w:rsidRPr="0056133E" w:rsidRDefault="0056133E" w:rsidP="0056133E">
            <w:pPr>
              <w:pStyle w:val="ListParagraph"/>
              <w:numPr>
                <w:ilvl w:val="0"/>
                <w:numId w:val="13"/>
              </w:numPr>
              <w:rPr>
                <w:rFonts w:ascii="Bookman Old Style" w:hAnsi="Bookman Old Style" w:cs="Arial"/>
              </w:rPr>
            </w:pPr>
            <w:r w:rsidRPr="0056133E">
              <w:rPr>
                <w:rFonts w:ascii="Bookman Old Style" w:hAnsi="Bookman Old Style" w:cs="Arial"/>
              </w:rPr>
              <w:t xml:space="preserve">ICNU </w:t>
            </w:r>
          </w:p>
          <w:p w:rsidR="00F74C01" w:rsidRDefault="00F74C01" w:rsidP="0056133E">
            <w:pPr>
              <w:pStyle w:val="ListParagraph"/>
              <w:numPr>
                <w:ilvl w:val="0"/>
                <w:numId w:val="13"/>
              </w:numPr>
              <w:rPr>
                <w:rFonts w:ascii="Bookman Old Style" w:hAnsi="Bookman Old Style" w:cs="Arial"/>
              </w:rPr>
            </w:pPr>
            <w:r>
              <w:rPr>
                <w:rFonts w:ascii="Bookman Old Style" w:hAnsi="Bookman Old Style" w:cs="Arial"/>
              </w:rPr>
              <w:t>NW Power &amp; Cons. Council</w:t>
            </w:r>
          </w:p>
          <w:p w:rsidR="0056133E" w:rsidRPr="0056133E" w:rsidRDefault="0056133E" w:rsidP="0056133E">
            <w:pPr>
              <w:pStyle w:val="ListParagraph"/>
              <w:numPr>
                <w:ilvl w:val="0"/>
                <w:numId w:val="13"/>
              </w:numPr>
              <w:rPr>
                <w:rFonts w:ascii="Bookman Old Style" w:hAnsi="Bookman Old Style" w:cs="Arial"/>
              </w:rPr>
            </w:pPr>
            <w:r w:rsidRPr="0056133E">
              <w:rPr>
                <w:rFonts w:ascii="Bookman Old Style" w:hAnsi="Bookman Old Style" w:cs="Arial"/>
              </w:rPr>
              <w:t>NW</w:t>
            </w:r>
            <w:r w:rsidR="00F74C01">
              <w:rPr>
                <w:rFonts w:ascii="Bookman Old Style" w:hAnsi="Bookman Old Style" w:cs="Arial"/>
              </w:rPr>
              <w:t xml:space="preserve"> </w:t>
            </w:r>
            <w:r w:rsidRPr="0056133E">
              <w:rPr>
                <w:rFonts w:ascii="Bookman Old Style" w:hAnsi="Bookman Old Style" w:cs="Arial"/>
              </w:rPr>
              <w:t>E</w:t>
            </w:r>
            <w:r w:rsidR="00F74C01">
              <w:rPr>
                <w:rFonts w:ascii="Bookman Old Style" w:hAnsi="Bookman Old Style" w:cs="Arial"/>
              </w:rPr>
              <w:t xml:space="preserve">nergy </w:t>
            </w:r>
            <w:r w:rsidRPr="0056133E">
              <w:rPr>
                <w:rFonts w:ascii="Bookman Old Style" w:hAnsi="Bookman Old Style" w:cs="Arial"/>
              </w:rPr>
              <w:t>C</w:t>
            </w:r>
            <w:r w:rsidR="00F74C01">
              <w:rPr>
                <w:rFonts w:ascii="Bookman Old Style" w:hAnsi="Bookman Old Style" w:cs="Arial"/>
              </w:rPr>
              <w:t>oalition</w:t>
            </w:r>
            <w:r w:rsidRPr="0056133E">
              <w:rPr>
                <w:rFonts w:ascii="Bookman Old Style" w:hAnsi="Bookman Old Style" w:cs="Arial"/>
              </w:rPr>
              <w:t xml:space="preserve"> </w:t>
            </w:r>
          </w:p>
          <w:p w:rsidR="0056133E" w:rsidRPr="0056133E" w:rsidRDefault="0056133E" w:rsidP="0056133E">
            <w:pPr>
              <w:pStyle w:val="ListParagraph"/>
              <w:numPr>
                <w:ilvl w:val="0"/>
                <w:numId w:val="13"/>
              </w:numPr>
              <w:rPr>
                <w:rFonts w:ascii="Bookman Old Style" w:hAnsi="Bookman Old Style" w:cs="Arial"/>
              </w:rPr>
            </w:pPr>
            <w:r w:rsidRPr="0056133E">
              <w:rPr>
                <w:rFonts w:ascii="Bookman Old Style" w:hAnsi="Bookman Old Style" w:cs="Arial"/>
              </w:rPr>
              <w:t xml:space="preserve">RNP </w:t>
            </w:r>
          </w:p>
          <w:p w:rsidR="0056133E" w:rsidRPr="00F74C01" w:rsidRDefault="0056133E" w:rsidP="00F74C01">
            <w:pPr>
              <w:pStyle w:val="ListParagraph"/>
              <w:numPr>
                <w:ilvl w:val="0"/>
                <w:numId w:val="13"/>
              </w:numPr>
              <w:rPr>
                <w:rFonts w:ascii="Bookman Old Style" w:hAnsi="Bookman Old Style" w:cs="Arial"/>
              </w:rPr>
            </w:pPr>
            <w:r w:rsidRPr="0056133E">
              <w:rPr>
                <w:rFonts w:ascii="Bookman Old Style" w:hAnsi="Bookman Old Style" w:cs="Arial"/>
              </w:rPr>
              <w:t xml:space="preserve">Sierra Club </w:t>
            </w:r>
          </w:p>
        </w:tc>
        <w:tc>
          <w:tcPr>
            <w:tcW w:w="4320" w:type="dxa"/>
            <w:tcBorders>
              <w:top w:val="nil"/>
              <w:left w:val="nil"/>
              <w:bottom w:val="single" w:sz="8" w:space="0" w:color="auto"/>
              <w:right w:val="single" w:sz="8" w:space="0" w:color="auto"/>
            </w:tcBorders>
            <w:tcMar>
              <w:top w:w="0" w:type="dxa"/>
              <w:left w:w="108" w:type="dxa"/>
              <w:bottom w:w="0" w:type="dxa"/>
              <w:right w:w="108" w:type="dxa"/>
            </w:tcMar>
            <w:hideMark/>
          </w:tcPr>
          <w:p w:rsidR="0056133E" w:rsidRPr="0056133E" w:rsidRDefault="0056133E" w:rsidP="0056133E">
            <w:pPr>
              <w:pStyle w:val="ListParagraph"/>
              <w:numPr>
                <w:ilvl w:val="0"/>
                <w:numId w:val="13"/>
              </w:numPr>
              <w:rPr>
                <w:rFonts w:ascii="Bookman Old Style" w:eastAsiaTheme="minorHAnsi" w:hAnsi="Bookman Old Style" w:cs="Arial"/>
                <w:sz w:val="22"/>
                <w:szCs w:val="22"/>
              </w:rPr>
            </w:pPr>
            <w:r w:rsidRPr="0056133E">
              <w:rPr>
                <w:rFonts w:ascii="Bookman Old Style" w:hAnsi="Bookman Old Style" w:cs="Arial"/>
              </w:rPr>
              <w:t xml:space="preserve">WUTC Staff &amp; Policy Staff </w:t>
            </w:r>
          </w:p>
          <w:p w:rsidR="0056133E" w:rsidRPr="0056133E" w:rsidRDefault="0056133E" w:rsidP="0056133E">
            <w:pPr>
              <w:pStyle w:val="ListParagraph"/>
              <w:numPr>
                <w:ilvl w:val="0"/>
                <w:numId w:val="13"/>
              </w:numPr>
              <w:rPr>
                <w:rFonts w:ascii="Bookman Old Style" w:hAnsi="Bookman Old Style" w:cs="Arial"/>
              </w:rPr>
            </w:pPr>
            <w:r w:rsidRPr="0056133E">
              <w:rPr>
                <w:rFonts w:ascii="Bookman Old Style" w:hAnsi="Bookman Old Style" w:cs="Arial"/>
              </w:rPr>
              <w:t>Public Counsel</w:t>
            </w:r>
          </w:p>
          <w:p w:rsidR="0056133E" w:rsidRPr="0056133E" w:rsidRDefault="0056133E" w:rsidP="0056133E">
            <w:pPr>
              <w:pStyle w:val="ListParagraph"/>
              <w:numPr>
                <w:ilvl w:val="0"/>
                <w:numId w:val="13"/>
              </w:numPr>
              <w:rPr>
                <w:rFonts w:ascii="Bookman Old Style" w:hAnsi="Bookman Old Style" w:cs="Arial"/>
              </w:rPr>
            </w:pPr>
            <w:r w:rsidRPr="0056133E">
              <w:rPr>
                <w:rFonts w:ascii="Bookman Old Style" w:hAnsi="Bookman Old Style" w:cs="Arial"/>
              </w:rPr>
              <w:t xml:space="preserve">NWIGU </w:t>
            </w:r>
          </w:p>
          <w:p w:rsidR="0056133E" w:rsidRPr="0056133E" w:rsidRDefault="0056133E" w:rsidP="00F74C01">
            <w:pPr>
              <w:pStyle w:val="ListParagraph"/>
              <w:numPr>
                <w:ilvl w:val="0"/>
                <w:numId w:val="13"/>
              </w:numPr>
              <w:rPr>
                <w:rFonts w:ascii="Bookman Old Style" w:hAnsi="Bookman Old Style" w:cs="Arial"/>
              </w:rPr>
            </w:pPr>
            <w:r w:rsidRPr="0056133E">
              <w:rPr>
                <w:rFonts w:ascii="Bookman Old Style" w:hAnsi="Bookman Old Style" w:cs="Arial"/>
              </w:rPr>
              <w:t>NW</w:t>
            </w:r>
            <w:r w:rsidR="00F74C01">
              <w:rPr>
                <w:rFonts w:ascii="Bookman Old Style" w:hAnsi="Bookman Old Style" w:cs="Arial"/>
              </w:rPr>
              <w:t xml:space="preserve"> </w:t>
            </w:r>
            <w:r w:rsidRPr="0056133E">
              <w:rPr>
                <w:rFonts w:ascii="Bookman Old Style" w:hAnsi="Bookman Old Style" w:cs="Arial"/>
              </w:rPr>
              <w:t>E</w:t>
            </w:r>
            <w:r w:rsidR="00F74C01">
              <w:rPr>
                <w:rFonts w:ascii="Bookman Old Style" w:hAnsi="Bookman Old Style" w:cs="Arial"/>
              </w:rPr>
              <w:t>nergy Coalition</w:t>
            </w:r>
          </w:p>
        </w:tc>
      </w:tr>
    </w:tbl>
    <w:p w:rsidR="0056133E" w:rsidRDefault="0056133E" w:rsidP="0056133E">
      <w:pPr>
        <w:rPr>
          <w:rFonts w:ascii="Arial" w:eastAsiaTheme="minorHAnsi" w:hAnsi="Arial" w:cs="Arial"/>
          <w:sz w:val="22"/>
          <w:szCs w:val="22"/>
        </w:rPr>
      </w:pPr>
    </w:p>
    <w:p w:rsidR="0056133E" w:rsidRPr="00FF521F" w:rsidRDefault="0056133E" w:rsidP="00F74C01">
      <w:pPr>
        <w:jc w:val="center"/>
        <w:rPr>
          <w:rFonts w:ascii="Bookman Old Style" w:hAnsi="Bookman Old Style"/>
          <w:b/>
          <w:sz w:val="44"/>
        </w:rPr>
      </w:pPr>
      <w:r>
        <w:rPr>
          <w:rFonts w:ascii="Bookman Old Style" w:hAnsi="Bookman Old Style"/>
          <w:sz w:val="22"/>
        </w:rPr>
        <w:br w:type="page"/>
      </w:r>
      <w:r w:rsidRPr="00FF521F">
        <w:rPr>
          <w:rFonts w:ascii="Bookman Old Style" w:hAnsi="Bookman Old Style"/>
          <w:b/>
          <w:sz w:val="44"/>
        </w:rPr>
        <w:lastRenderedPageBreak/>
        <w:t>PUGET SOUND ENERGY</w:t>
      </w:r>
    </w:p>
    <w:p w:rsidR="0056133E" w:rsidRPr="00FF521F" w:rsidRDefault="0056133E" w:rsidP="0056133E">
      <w:pPr>
        <w:jc w:val="center"/>
        <w:rPr>
          <w:rFonts w:ascii="Bookman Old Style" w:hAnsi="Bookman Old Style"/>
          <w:sz w:val="44"/>
        </w:rPr>
      </w:pPr>
    </w:p>
    <w:p w:rsidR="0056133E" w:rsidRPr="00FF521F" w:rsidRDefault="004905FF" w:rsidP="0056133E">
      <w:pPr>
        <w:jc w:val="center"/>
        <w:outlineLvl w:val="0"/>
        <w:rPr>
          <w:rFonts w:ascii="Bookman Old Style" w:hAnsi="Bookman Old Style"/>
          <w:sz w:val="44"/>
        </w:rPr>
      </w:pPr>
      <w:r>
        <w:rPr>
          <w:rFonts w:ascii="Bookman Old Style" w:hAnsi="Bookman Old Style"/>
          <w:sz w:val="44"/>
        </w:rPr>
        <w:t xml:space="preserve">Updated </w:t>
      </w:r>
      <w:r w:rsidR="0056133E" w:rsidRPr="00FF521F">
        <w:rPr>
          <w:rFonts w:ascii="Bookman Old Style" w:hAnsi="Bookman Old Style"/>
          <w:sz w:val="44"/>
        </w:rPr>
        <w:t>2015 IRP WORK PLAN</w:t>
      </w:r>
    </w:p>
    <w:p w:rsidR="0056133E" w:rsidRPr="00FF521F" w:rsidRDefault="0056133E" w:rsidP="0056133E">
      <w:pPr>
        <w:jc w:val="center"/>
        <w:rPr>
          <w:rFonts w:ascii="Bookman Old Style" w:hAnsi="Bookman Old Style"/>
          <w:sz w:val="44"/>
        </w:rPr>
      </w:pPr>
      <w:r>
        <w:rPr>
          <w:noProof/>
        </w:rPr>
        <mc:AlternateContent>
          <mc:Choice Requires="wps">
            <w:drawing>
              <wp:anchor distT="0" distB="0" distL="114300" distR="114300" simplePos="0" relativeHeight="251661824" behindDoc="0" locked="0" layoutInCell="0" allowOverlap="1" wp14:anchorId="402A7425" wp14:editId="37B69678">
                <wp:simplePos x="0" y="0"/>
                <wp:positionH relativeFrom="column">
                  <wp:posOffset>228600</wp:posOffset>
                </wp:positionH>
                <wp:positionV relativeFrom="paragraph">
                  <wp:posOffset>153035</wp:posOffset>
                </wp:positionV>
                <wp:extent cx="5029200" cy="0"/>
                <wp:effectExtent l="28575" t="29210" r="28575" b="3746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05pt" to="414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" o:allowincell="f" strokeweight="4.5pt">
                <v:stroke linestyle="thinThick"/>
              </v:line>
            </w:pict>
          </mc:Fallback>
        </mc:AlternateContent>
      </w:r>
    </w:p>
    <w:p w:rsidR="0056133E" w:rsidRPr="00FF521F" w:rsidRDefault="0056133E" w:rsidP="0056133E">
      <w:pPr>
        <w:jc w:val="center"/>
        <w:rPr>
          <w:rFonts w:ascii="Bookman Old Style" w:hAnsi="Bookman Old Style"/>
          <w:sz w:val="44"/>
        </w:rPr>
      </w:pPr>
    </w:p>
    <w:p w:rsidR="0056133E" w:rsidRPr="00FF521F" w:rsidRDefault="0056133E" w:rsidP="0056133E">
      <w:pPr>
        <w:jc w:val="center"/>
        <w:outlineLvl w:val="0"/>
        <w:rPr>
          <w:rFonts w:ascii="Bookman Old Style" w:hAnsi="Bookman Old Style"/>
          <w:sz w:val="44"/>
        </w:rPr>
      </w:pPr>
      <w:r w:rsidRPr="00FF521F">
        <w:rPr>
          <w:rFonts w:ascii="Bookman Old Style" w:hAnsi="Bookman Old Style"/>
          <w:sz w:val="44"/>
        </w:rPr>
        <w:t xml:space="preserve">Appendix </w:t>
      </w:r>
      <w:r>
        <w:rPr>
          <w:rFonts w:ascii="Bookman Old Style" w:hAnsi="Bookman Old Style"/>
          <w:sz w:val="44"/>
        </w:rPr>
        <w:t>D</w:t>
      </w:r>
    </w:p>
    <w:p w:rsidR="0056133E" w:rsidRPr="00FF521F" w:rsidRDefault="0056133E" w:rsidP="0056133E">
      <w:pPr>
        <w:jc w:val="center"/>
        <w:outlineLvl w:val="0"/>
        <w:rPr>
          <w:rFonts w:ascii="Bookman Old Style" w:hAnsi="Bookman Old Style"/>
          <w:sz w:val="44"/>
        </w:rPr>
      </w:pPr>
      <w:r>
        <w:rPr>
          <w:rFonts w:ascii="Bookman Old Style" w:hAnsi="Bookman Old Style"/>
          <w:sz w:val="44"/>
        </w:rPr>
        <w:t>Resource Plann</w:t>
      </w:r>
      <w:bookmarkStart w:id="0" w:name="_GoBack"/>
      <w:bookmarkEnd w:id="0"/>
      <w:r>
        <w:rPr>
          <w:rFonts w:ascii="Bookman Old Style" w:hAnsi="Bookman Old Style"/>
          <w:sz w:val="44"/>
        </w:rPr>
        <w:t>ing Process</w:t>
      </w:r>
    </w:p>
    <w:p w:rsidR="0056133E" w:rsidRDefault="0056133E">
      <w:pPr>
        <w:rPr>
          <w:rFonts w:ascii="Bookman Old Style" w:hAnsi="Bookman Old Style"/>
          <w:sz w:val="22"/>
        </w:rPr>
        <w:sectPr w:rsidR="0056133E" w:rsidSect="00CA1306">
          <w:pgSz w:w="12240" w:h="15840" w:code="1"/>
          <w:pgMar w:top="1440" w:right="1800" w:bottom="1440" w:left="1800" w:header="720" w:footer="720" w:gutter="0"/>
          <w:cols w:space="720"/>
          <w:docGrid w:linePitch="360"/>
        </w:sectPr>
      </w:pPr>
    </w:p>
    <w:p w:rsidR="000E1D5E" w:rsidRDefault="00C265C5" w:rsidP="002F3DEC">
      <w:r>
        <w:rPr>
          <w:noProof/>
        </w:rPr>
        <w:lastRenderedPageBreak/>
        <w:drawing>
          <wp:inline distT="0" distB="0" distL="0" distR="0">
            <wp:extent cx="5928360" cy="5365115"/>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cstate="print"/>
                    <a:srcRect/>
                    <a:stretch>
                      <a:fillRect/>
                    </a:stretch>
                  </pic:blipFill>
                  <pic:spPr bwMode="auto">
                    <a:xfrm>
                      <a:off x="0" y="0"/>
                      <a:ext cx="5928360" cy="5365115"/>
                    </a:xfrm>
                    <a:prstGeom prst="rect">
                      <a:avLst/>
                    </a:prstGeom>
                    <a:noFill/>
                    <a:ln w="9525">
                      <a:noFill/>
                      <a:miter lim="800000"/>
                      <a:headEnd/>
                      <a:tailEnd/>
                    </a:ln>
                    <a:effectLst/>
                  </pic:spPr>
                </pic:pic>
              </a:graphicData>
            </a:graphic>
          </wp:inline>
        </w:drawing>
      </w:r>
    </w:p>
    <w:p w:rsidR="000E1D5E" w:rsidRDefault="000E1D5E"/>
    <w:p w:rsidR="000E1D5E" w:rsidRDefault="000E1D5E"/>
    <w:p w:rsidR="000E1D5E" w:rsidRDefault="000E1D5E">
      <w:r>
        <w:br w:type="page"/>
      </w:r>
    </w:p>
    <w:p w:rsidR="000E1D5E" w:rsidRPr="003433EB" w:rsidRDefault="000E1D5E">
      <w:pPr>
        <w:rPr>
          <w:rFonts w:ascii="Bookman Old Style" w:hAnsi="Bookman Old Style"/>
          <w:b/>
          <w:sz w:val="28"/>
          <w:szCs w:val="28"/>
        </w:rPr>
      </w:pPr>
      <w:r w:rsidRPr="003433EB">
        <w:rPr>
          <w:rFonts w:ascii="Bookman Old Style" w:hAnsi="Bookman Old Style"/>
          <w:b/>
          <w:sz w:val="28"/>
          <w:szCs w:val="28"/>
        </w:rPr>
        <w:lastRenderedPageBreak/>
        <w:t>Work Groups Contributing to the Integrated Resource Plan</w:t>
      </w:r>
    </w:p>
    <w:p w:rsidR="000E1D5E" w:rsidRDefault="000E1D5E"/>
    <w:tbl>
      <w:tblPr>
        <w:tblStyle w:val="TableGrid"/>
        <w:tblW w:w="0" w:type="auto"/>
        <w:tblLook w:val="04A0" w:firstRow="1" w:lastRow="0" w:firstColumn="1" w:lastColumn="0" w:noHBand="0" w:noVBand="1"/>
      </w:tblPr>
      <w:tblGrid>
        <w:gridCol w:w="3258"/>
        <w:gridCol w:w="5598"/>
      </w:tblGrid>
      <w:tr w:rsidR="000E1D5E" w:rsidTr="003433EB">
        <w:tc>
          <w:tcPr>
            <w:tcW w:w="3258" w:type="dxa"/>
          </w:tcPr>
          <w:p w:rsidR="000E1D5E" w:rsidRPr="003433EB" w:rsidRDefault="000E1D5E" w:rsidP="003433EB">
            <w:pPr>
              <w:jc w:val="center"/>
              <w:rPr>
                <w:rFonts w:ascii="Bookman Old Style" w:hAnsi="Bookman Old Style"/>
                <w:b/>
              </w:rPr>
            </w:pPr>
            <w:r w:rsidRPr="003433EB">
              <w:rPr>
                <w:rFonts w:ascii="Bookman Old Style" w:hAnsi="Bookman Old Style"/>
                <w:b/>
              </w:rPr>
              <w:t>Work</w:t>
            </w:r>
            <w:r w:rsidR="003433EB" w:rsidRPr="003433EB">
              <w:rPr>
                <w:rFonts w:ascii="Bookman Old Style" w:hAnsi="Bookman Old Style"/>
                <w:b/>
              </w:rPr>
              <w:t xml:space="preserve"> Group</w:t>
            </w:r>
          </w:p>
        </w:tc>
        <w:tc>
          <w:tcPr>
            <w:tcW w:w="5598" w:type="dxa"/>
          </w:tcPr>
          <w:p w:rsidR="000E1D5E" w:rsidRPr="003433EB" w:rsidRDefault="003433EB" w:rsidP="003433EB">
            <w:pPr>
              <w:jc w:val="center"/>
              <w:rPr>
                <w:rFonts w:ascii="Bookman Old Style" w:hAnsi="Bookman Old Style"/>
                <w:b/>
              </w:rPr>
            </w:pPr>
            <w:r w:rsidRPr="003433EB">
              <w:rPr>
                <w:rFonts w:ascii="Bookman Old Style" w:hAnsi="Bookman Old Style"/>
                <w:b/>
              </w:rPr>
              <w:t>Information Provided</w:t>
            </w:r>
          </w:p>
        </w:tc>
      </w:tr>
      <w:tr w:rsidR="000E1D5E" w:rsidTr="003433EB">
        <w:tc>
          <w:tcPr>
            <w:tcW w:w="3258" w:type="dxa"/>
          </w:tcPr>
          <w:p w:rsidR="000E1D5E" w:rsidRPr="003433EB" w:rsidRDefault="003433EB" w:rsidP="002F3DEC">
            <w:pPr>
              <w:rPr>
                <w:rFonts w:ascii="Bookman Old Style" w:hAnsi="Bookman Old Style"/>
              </w:rPr>
            </w:pPr>
            <w:r>
              <w:rPr>
                <w:rFonts w:ascii="Bookman Old Style" w:hAnsi="Bookman Old Style"/>
              </w:rPr>
              <w:t>Resource Planning &amp; Analysis</w:t>
            </w:r>
          </w:p>
        </w:tc>
        <w:tc>
          <w:tcPr>
            <w:tcW w:w="5598" w:type="dxa"/>
          </w:tcPr>
          <w:p w:rsidR="000E1D5E" w:rsidRPr="003433EB" w:rsidRDefault="003433EB" w:rsidP="003433EB">
            <w:pPr>
              <w:rPr>
                <w:rFonts w:ascii="Bookman Old Style" w:hAnsi="Bookman Old Style"/>
              </w:rPr>
            </w:pPr>
            <w:r>
              <w:rPr>
                <w:rFonts w:ascii="Bookman Old Style" w:hAnsi="Bookman Old Style"/>
              </w:rPr>
              <w:t xml:space="preserve">Resource needs and portfolio analysis to assess costs, cost risks, and least-cost combinations of resources.  </w:t>
            </w:r>
          </w:p>
        </w:tc>
      </w:tr>
      <w:tr w:rsidR="000E1D5E" w:rsidTr="003433EB">
        <w:tc>
          <w:tcPr>
            <w:tcW w:w="3258" w:type="dxa"/>
          </w:tcPr>
          <w:p w:rsidR="000E1D5E" w:rsidRPr="003433EB" w:rsidRDefault="003433EB" w:rsidP="002F3DEC">
            <w:pPr>
              <w:rPr>
                <w:rFonts w:ascii="Bookman Old Style" w:hAnsi="Bookman Old Style"/>
              </w:rPr>
            </w:pPr>
            <w:r>
              <w:rPr>
                <w:rFonts w:ascii="Bookman Old Style" w:hAnsi="Bookman Old Style"/>
              </w:rPr>
              <w:t>Load Forecasting</w:t>
            </w:r>
          </w:p>
        </w:tc>
        <w:tc>
          <w:tcPr>
            <w:tcW w:w="5598" w:type="dxa"/>
          </w:tcPr>
          <w:p w:rsidR="000E1D5E" w:rsidRPr="003433EB" w:rsidRDefault="003433EB" w:rsidP="002F3DEC">
            <w:pPr>
              <w:rPr>
                <w:rFonts w:ascii="Bookman Old Style" w:hAnsi="Bookman Old Style"/>
              </w:rPr>
            </w:pPr>
            <w:r>
              <w:rPr>
                <w:rFonts w:ascii="Bookman Old Style" w:hAnsi="Bookman Old Style"/>
              </w:rPr>
              <w:t>Long-term customer, energy, and peak load forecasts for electric and gas retail customers.</w:t>
            </w:r>
          </w:p>
        </w:tc>
      </w:tr>
      <w:tr w:rsidR="00DC0969" w:rsidTr="003433EB">
        <w:tc>
          <w:tcPr>
            <w:tcW w:w="3258" w:type="dxa"/>
          </w:tcPr>
          <w:p w:rsidR="00DC0969" w:rsidRDefault="00DC0969" w:rsidP="002F3DEC">
            <w:pPr>
              <w:rPr>
                <w:rFonts w:ascii="Bookman Old Style" w:hAnsi="Bookman Old Style"/>
              </w:rPr>
            </w:pPr>
            <w:r>
              <w:rPr>
                <w:rFonts w:ascii="Bookman Old Style" w:hAnsi="Bookman Old Style"/>
              </w:rPr>
              <w:t>Energy Efficiency</w:t>
            </w:r>
          </w:p>
        </w:tc>
        <w:tc>
          <w:tcPr>
            <w:tcW w:w="5598" w:type="dxa"/>
          </w:tcPr>
          <w:p w:rsidR="00DC0969" w:rsidRDefault="00DC0969" w:rsidP="00DC0969">
            <w:pPr>
              <w:rPr>
                <w:rFonts w:ascii="Bookman Old Style" w:hAnsi="Bookman Old Style"/>
              </w:rPr>
            </w:pPr>
            <w:r>
              <w:rPr>
                <w:rFonts w:ascii="Bookman Old Style" w:hAnsi="Bookman Old Style"/>
              </w:rPr>
              <w:t>Review and feedback on electric and gas conservation supply curves, including costs, feasibility, and timing</w:t>
            </w:r>
            <w:r w:rsidR="001B4A06">
              <w:rPr>
                <w:rFonts w:ascii="Bookman Old Style" w:hAnsi="Bookman Old Style"/>
              </w:rPr>
              <w:t xml:space="preserve"> and review and feedback on results</w:t>
            </w:r>
            <w:r>
              <w:rPr>
                <w:rFonts w:ascii="Bookman Old Style" w:hAnsi="Bookman Old Style"/>
              </w:rPr>
              <w:t>.</w:t>
            </w:r>
          </w:p>
        </w:tc>
      </w:tr>
      <w:tr w:rsidR="00DC0969" w:rsidTr="003433EB">
        <w:tc>
          <w:tcPr>
            <w:tcW w:w="3258" w:type="dxa"/>
          </w:tcPr>
          <w:p w:rsidR="00DC0969" w:rsidRPr="003433EB" w:rsidRDefault="00DC0969" w:rsidP="00607A7A">
            <w:pPr>
              <w:rPr>
                <w:rFonts w:ascii="Bookman Old Style" w:hAnsi="Bookman Old Style"/>
              </w:rPr>
            </w:pPr>
            <w:r>
              <w:rPr>
                <w:rFonts w:ascii="Bookman Old Style" w:hAnsi="Bookman Old Style"/>
              </w:rPr>
              <w:t>Resource Acquisitions and Emerging Resources</w:t>
            </w:r>
          </w:p>
        </w:tc>
        <w:tc>
          <w:tcPr>
            <w:tcW w:w="5598" w:type="dxa"/>
          </w:tcPr>
          <w:p w:rsidR="00DC0969" w:rsidRPr="003433EB" w:rsidRDefault="00DC0969" w:rsidP="001B4A06">
            <w:pPr>
              <w:rPr>
                <w:rFonts w:ascii="Bookman Old Style" w:hAnsi="Bookman Old Style"/>
              </w:rPr>
            </w:pPr>
            <w:r>
              <w:rPr>
                <w:rFonts w:ascii="Bookman Old Style" w:hAnsi="Bookman Old Style"/>
              </w:rPr>
              <w:t>Costs, operational characteristics, and commercial availability of supply-side electric resources</w:t>
            </w:r>
            <w:r w:rsidR="001B4A06">
              <w:rPr>
                <w:rFonts w:ascii="Bookman Old Style" w:hAnsi="Bookman Old Style"/>
              </w:rPr>
              <w:t xml:space="preserve"> and review of inputs, outputs, and conclusions</w:t>
            </w:r>
            <w:r>
              <w:rPr>
                <w:rFonts w:ascii="Bookman Old Style" w:hAnsi="Bookman Old Style"/>
              </w:rPr>
              <w:t>.</w:t>
            </w:r>
          </w:p>
        </w:tc>
      </w:tr>
      <w:tr w:rsidR="00DC0969" w:rsidTr="003433EB">
        <w:tc>
          <w:tcPr>
            <w:tcW w:w="3258" w:type="dxa"/>
          </w:tcPr>
          <w:p w:rsidR="00DC0969" w:rsidRPr="003433EB" w:rsidRDefault="00DC0969" w:rsidP="002F3DEC">
            <w:pPr>
              <w:rPr>
                <w:rFonts w:ascii="Bookman Old Style" w:hAnsi="Bookman Old Style"/>
              </w:rPr>
            </w:pPr>
            <w:r>
              <w:rPr>
                <w:rFonts w:ascii="Bookman Old Style" w:hAnsi="Bookman Old Style"/>
              </w:rPr>
              <w:t>Customer Renewable Energy Programs</w:t>
            </w:r>
          </w:p>
        </w:tc>
        <w:tc>
          <w:tcPr>
            <w:tcW w:w="5598" w:type="dxa"/>
          </w:tcPr>
          <w:p w:rsidR="00DC0969" w:rsidRPr="003433EB" w:rsidRDefault="00DC0969" w:rsidP="002F3DEC">
            <w:pPr>
              <w:rPr>
                <w:rFonts w:ascii="Bookman Old Style" w:hAnsi="Bookman Old Style"/>
              </w:rPr>
            </w:pPr>
            <w:r>
              <w:rPr>
                <w:rFonts w:ascii="Bookman Old Style" w:hAnsi="Bookman Old Style"/>
              </w:rPr>
              <w:t>Cost forecasts for customer-owned generation, market penetration forecasts, and green power program information.</w:t>
            </w:r>
          </w:p>
        </w:tc>
      </w:tr>
      <w:tr w:rsidR="00DC0969" w:rsidTr="003433EB">
        <w:tc>
          <w:tcPr>
            <w:tcW w:w="3258" w:type="dxa"/>
          </w:tcPr>
          <w:p w:rsidR="00DC0969" w:rsidRPr="003433EB" w:rsidRDefault="00DC0969" w:rsidP="002F3DEC">
            <w:pPr>
              <w:rPr>
                <w:rFonts w:ascii="Bookman Old Style" w:hAnsi="Bookman Old Style"/>
              </w:rPr>
            </w:pPr>
            <w:r>
              <w:rPr>
                <w:rFonts w:ascii="Bookman Old Style" w:hAnsi="Bookman Old Style"/>
              </w:rPr>
              <w:t>Natural Gas Resources</w:t>
            </w:r>
          </w:p>
        </w:tc>
        <w:tc>
          <w:tcPr>
            <w:tcW w:w="5598" w:type="dxa"/>
          </w:tcPr>
          <w:p w:rsidR="00DC0969" w:rsidRPr="003433EB" w:rsidRDefault="00DC0969" w:rsidP="00DC0969">
            <w:pPr>
              <w:rPr>
                <w:rFonts w:ascii="Bookman Old Style" w:hAnsi="Bookman Old Style"/>
              </w:rPr>
            </w:pPr>
            <w:r>
              <w:rPr>
                <w:rFonts w:ascii="Bookman Old Style" w:hAnsi="Bookman Old Style"/>
              </w:rPr>
              <w:t>Costs, operational characteristics, and commercial availability of supply-side gas resources.</w:t>
            </w:r>
          </w:p>
        </w:tc>
      </w:tr>
      <w:tr w:rsidR="00DC0969" w:rsidTr="003433EB">
        <w:tc>
          <w:tcPr>
            <w:tcW w:w="3258" w:type="dxa"/>
          </w:tcPr>
          <w:p w:rsidR="00DC0969" w:rsidRPr="003433EB" w:rsidRDefault="00DC0969" w:rsidP="002F3DEC">
            <w:pPr>
              <w:rPr>
                <w:rFonts w:ascii="Bookman Old Style" w:hAnsi="Bookman Old Style"/>
              </w:rPr>
            </w:pPr>
            <w:r>
              <w:rPr>
                <w:rFonts w:ascii="Bookman Old Style" w:hAnsi="Bookman Old Style"/>
              </w:rPr>
              <w:t>System Planning</w:t>
            </w:r>
          </w:p>
        </w:tc>
        <w:tc>
          <w:tcPr>
            <w:tcW w:w="5598" w:type="dxa"/>
          </w:tcPr>
          <w:p w:rsidR="00DC0969" w:rsidRPr="003433EB" w:rsidRDefault="00DC0969" w:rsidP="00DC0969">
            <w:pPr>
              <w:rPr>
                <w:rFonts w:ascii="Bookman Old Style" w:hAnsi="Bookman Old Style"/>
              </w:rPr>
            </w:pPr>
            <w:r>
              <w:rPr>
                <w:rFonts w:ascii="Bookman Old Style" w:hAnsi="Bookman Old Style"/>
              </w:rPr>
              <w:t>Specific information on electric transmission and gas and electric distribution planning issues.</w:t>
            </w:r>
          </w:p>
        </w:tc>
      </w:tr>
      <w:tr w:rsidR="00DC0969" w:rsidTr="003433EB">
        <w:tc>
          <w:tcPr>
            <w:tcW w:w="3258" w:type="dxa"/>
          </w:tcPr>
          <w:p w:rsidR="00DC0969" w:rsidRPr="003433EB" w:rsidRDefault="00C90798" w:rsidP="002F3DEC">
            <w:pPr>
              <w:rPr>
                <w:rFonts w:ascii="Bookman Old Style" w:hAnsi="Bookman Old Style"/>
              </w:rPr>
            </w:pPr>
            <w:r>
              <w:rPr>
                <w:rFonts w:ascii="Bookman Old Style" w:hAnsi="Bookman Old Style"/>
              </w:rPr>
              <w:t>Energy Delivery</w:t>
            </w:r>
          </w:p>
        </w:tc>
        <w:tc>
          <w:tcPr>
            <w:tcW w:w="5598" w:type="dxa"/>
          </w:tcPr>
          <w:p w:rsidR="00DC0969" w:rsidRPr="003433EB" w:rsidRDefault="00C90798" w:rsidP="002F3DEC">
            <w:pPr>
              <w:rPr>
                <w:rFonts w:ascii="Bookman Old Style" w:hAnsi="Bookman Old Style"/>
              </w:rPr>
            </w:pPr>
            <w:r>
              <w:rPr>
                <w:rFonts w:ascii="Bookman Old Style" w:hAnsi="Bookman Old Style"/>
              </w:rPr>
              <w:t>BPA transmission contract information and intra-hour resource flexibility analysis.</w:t>
            </w:r>
          </w:p>
        </w:tc>
      </w:tr>
      <w:tr w:rsidR="00DC0969" w:rsidTr="003433EB">
        <w:tc>
          <w:tcPr>
            <w:tcW w:w="3258" w:type="dxa"/>
          </w:tcPr>
          <w:p w:rsidR="00DC0969" w:rsidRPr="003433EB" w:rsidRDefault="00C90798" w:rsidP="002F3DEC">
            <w:pPr>
              <w:rPr>
                <w:rFonts w:ascii="Bookman Old Style" w:hAnsi="Bookman Old Style"/>
              </w:rPr>
            </w:pPr>
            <w:r>
              <w:rPr>
                <w:rFonts w:ascii="Bookman Old Style" w:hAnsi="Bookman Old Style"/>
              </w:rPr>
              <w:t>Transmission Contracts</w:t>
            </w:r>
          </w:p>
        </w:tc>
        <w:tc>
          <w:tcPr>
            <w:tcW w:w="5598" w:type="dxa"/>
          </w:tcPr>
          <w:p w:rsidR="00DC0969" w:rsidRPr="003433EB" w:rsidRDefault="00C90798" w:rsidP="002F3DEC">
            <w:pPr>
              <w:rPr>
                <w:rFonts w:ascii="Bookman Old Style" w:hAnsi="Bookman Old Style"/>
              </w:rPr>
            </w:pPr>
            <w:r>
              <w:rPr>
                <w:rFonts w:ascii="Bookman Old Style" w:hAnsi="Bookman Old Style"/>
              </w:rPr>
              <w:t>PSE transmission capacities and constraints and regional transmission issues.</w:t>
            </w:r>
          </w:p>
        </w:tc>
      </w:tr>
      <w:tr w:rsidR="00C90798" w:rsidTr="003433EB">
        <w:tc>
          <w:tcPr>
            <w:tcW w:w="3258" w:type="dxa"/>
          </w:tcPr>
          <w:p w:rsidR="00C90798" w:rsidRPr="003433EB" w:rsidRDefault="00C90798" w:rsidP="00607A7A">
            <w:pPr>
              <w:rPr>
                <w:rFonts w:ascii="Bookman Old Style" w:hAnsi="Bookman Old Style"/>
              </w:rPr>
            </w:pPr>
            <w:r>
              <w:rPr>
                <w:rFonts w:ascii="Bookman Old Style" w:hAnsi="Bookman Old Style"/>
              </w:rPr>
              <w:t>Power and Gas Supply Operations</w:t>
            </w:r>
          </w:p>
        </w:tc>
        <w:tc>
          <w:tcPr>
            <w:tcW w:w="5598" w:type="dxa"/>
          </w:tcPr>
          <w:p w:rsidR="00C90798" w:rsidRPr="003433EB" w:rsidRDefault="00C90798" w:rsidP="00607A7A">
            <w:pPr>
              <w:rPr>
                <w:rFonts w:ascii="Bookman Old Style" w:hAnsi="Bookman Old Style"/>
              </w:rPr>
            </w:pPr>
            <w:r>
              <w:rPr>
                <w:rFonts w:ascii="Bookman Old Style" w:hAnsi="Bookman Old Style"/>
              </w:rPr>
              <w:t>Input on market issues and review of assumptions and results.</w:t>
            </w:r>
          </w:p>
        </w:tc>
      </w:tr>
      <w:tr w:rsidR="00C90798" w:rsidTr="003433EB">
        <w:tc>
          <w:tcPr>
            <w:tcW w:w="3258" w:type="dxa"/>
          </w:tcPr>
          <w:p w:rsidR="00C90798" w:rsidRPr="003433EB" w:rsidRDefault="00031B3D" w:rsidP="002F3DEC">
            <w:pPr>
              <w:rPr>
                <w:rFonts w:ascii="Bookman Old Style" w:hAnsi="Bookman Old Style"/>
              </w:rPr>
            </w:pPr>
            <w:r>
              <w:rPr>
                <w:rFonts w:ascii="Bookman Old Style" w:hAnsi="Bookman Old Style"/>
              </w:rPr>
              <w:t>Thermal Resources</w:t>
            </w:r>
          </w:p>
        </w:tc>
        <w:tc>
          <w:tcPr>
            <w:tcW w:w="5598" w:type="dxa"/>
          </w:tcPr>
          <w:p w:rsidR="00C90798" w:rsidRPr="003433EB" w:rsidRDefault="00031B3D" w:rsidP="002F3DEC">
            <w:pPr>
              <w:rPr>
                <w:rFonts w:ascii="Bookman Old Style" w:hAnsi="Bookman Old Style"/>
              </w:rPr>
            </w:pPr>
            <w:r>
              <w:rPr>
                <w:rFonts w:ascii="Bookman Old Style" w:hAnsi="Bookman Old Style"/>
              </w:rPr>
              <w:t>Operational and performance information on PSE’s existing thermal generation.</w:t>
            </w:r>
          </w:p>
        </w:tc>
      </w:tr>
      <w:tr w:rsidR="00C90798" w:rsidTr="003433EB">
        <w:tc>
          <w:tcPr>
            <w:tcW w:w="3258" w:type="dxa"/>
          </w:tcPr>
          <w:p w:rsidR="00C90798" w:rsidRPr="00031B3D" w:rsidRDefault="00031B3D" w:rsidP="002F3DEC">
            <w:pPr>
              <w:rPr>
                <w:rFonts w:ascii="Bookman Old Style" w:hAnsi="Bookman Old Style"/>
              </w:rPr>
            </w:pPr>
            <w:r w:rsidRPr="00031B3D">
              <w:rPr>
                <w:rFonts w:ascii="Bookman Old Style" w:hAnsi="Bookman Old Style"/>
              </w:rPr>
              <w:t>Hydro and Win</w:t>
            </w:r>
            <w:r>
              <w:rPr>
                <w:rFonts w:ascii="Bookman Old Style" w:hAnsi="Bookman Old Style"/>
              </w:rPr>
              <w:t>d Resources</w:t>
            </w:r>
          </w:p>
        </w:tc>
        <w:tc>
          <w:tcPr>
            <w:tcW w:w="5598" w:type="dxa"/>
          </w:tcPr>
          <w:p w:rsidR="00C90798" w:rsidRPr="00031B3D" w:rsidRDefault="00031B3D" w:rsidP="00031B3D">
            <w:pPr>
              <w:rPr>
                <w:rFonts w:ascii="Bookman Old Style" w:hAnsi="Bookman Old Style"/>
              </w:rPr>
            </w:pPr>
            <w:r>
              <w:rPr>
                <w:rFonts w:ascii="Bookman Old Style" w:hAnsi="Bookman Old Style"/>
              </w:rPr>
              <w:t>Operational and performance information on PSE’s existing hydro and wind generation.</w:t>
            </w:r>
          </w:p>
        </w:tc>
      </w:tr>
      <w:tr w:rsidR="00031B3D" w:rsidTr="003433EB">
        <w:tc>
          <w:tcPr>
            <w:tcW w:w="3258" w:type="dxa"/>
          </w:tcPr>
          <w:p w:rsidR="00031B3D" w:rsidRPr="00031B3D" w:rsidRDefault="001B4A06" w:rsidP="002F3DEC">
            <w:pPr>
              <w:rPr>
                <w:rFonts w:ascii="Bookman Old Style" w:hAnsi="Bookman Old Style"/>
              </w:rPr>
            </w:pPr>
            <w:r>
              <w:rPr>
                <w:rFonts w:ascii="Bookman Old Style" w:hAnsi="Bookman Old Style"/>
              </w:rPr>
              <w:t>Government Affairs</w:t>
            </w:r>
          </w:p>
        </w:tc>
        <w:tc>
          <w:tcPr>
            <w:tcW w:w="5598" w:type="dxa"/>
          </w:tcPr>
          <w:p w:rsidR="00031B3D" w:rsidRPr="00031B3D" w:rsidRDefault="001B4A06" w:rsidP="001B4A06">
            <w:pPr>
              <w:rPr>
                <w:rFonts w:ascii="Bookman Old Style" w:hAnsi="Bookman Old Style"/>
              </w:rPr>
            </w:pPr>
            <w:r>
              <w:rPr>
                <w:rFonts w:ascii="Bookman Old Style" w:hAnsi="Bookman Old Style"/>
              </w:rPr>
              <w:t>State and federal energy policy activity at legislative and executive branches.</w:t>
            </w:r>
          </w:p>
        </w:tc>
      </w:tr>
      <w:tr w:rsidR="00031B3D" w:rsidTr="003433EB">
        <w:tc>
          <w:tcPr>
            <w:tcW w:w="3258" w:type="dxa"/>
          </w:tcPr>
          <w:p w:rsidR="00031B3D" w:rsidRPr="00031B3D" w:rsidRDefault="001B4A06" w:rsidP="002F3DEC">
            <w:pPr>
              <w:rPr>
                <w:rFonts w:ascii="Bookman Old Style" w:hAnsi="Bookman Old Style"/>
              </w:rPr>
            </w:pPr>
            <w:r>
              <w:rPr>
                <w:rFonts w:ascii="Bookman Old Style" w:hAnsi="Bookman Old Style"/>
              </w:rPr>
              <w:t>Energy Resource Compliance</w:t>
            </w:r>
          </w:p>
        </w:tc>
        <w:tc>
          <w:tcPr>
            <w:tcW w:w="5598" w:type="dxa"/>
          </w:tcPr>
          <w:p w:rsidR="00031B3D" w:rsidRPr="00031B3D" w:rsidRDefault="001B4A06" w:rsidP="002F3DEC">
            <w:pPr>
              <w:rPr>
                <w:rFonts w:ascii="Bookman Old Style" w:hAnsi="Bookman Old Style"/>
              </w:rPr>
            </w:pPr>
            <w:r>
              <w:rPr>
                <w:rFonts w:ascii="Bookman Old Style" w:hAnsi="Bookman Old Style"/>
              </w:rPr>
              <w:t>Emission information, emission accounting, and emission related policy trends.</w:t>
            </w:r>
          </w:p>
        </w:tc>
      </w:tr>
      <w:tr w:rsidR="001127CA" w:rsidTr="003433EB">
        <w:tc>
          <w:tcPr>
            <w:tcW w:w="3258" w:type="dxa"/>
          </w:tcPr>
          <w:p w:rsidR="001127CA" w:rsidRPr="003433EB" w:rsidRDefault="001127CA" w:rsidP="00607A7A">
            <w:pPr>
              <w:rPr>
                <w:rFonts w:ascii="Bookman Old Style" w:hAnsi="Bookman Old Style"/>
              </w:rPr>
            </w:pPr>
            <w:r>
              <w:rPr>
                <w:rFonts w:ascii="Bookman Old Style" w:hAnsi="Bookman Old Style"/>
              </w:rPr>
              <w:t>State Regulatory Affairs</w:t>
            </w:r>
          </w:p>
        </w:tc>
        <w:tc>
          <w:tcPr>
            <w:tcW w:w="5598" w:type="dxa"/>
          </w:tcPr>
          <w:p w:rsidR="001127CA" w:rsidRPr="003433EB" w:rsidRDefault="001127CA" w:rsidP="00607A7A">
            <w:pPr>
              <w:rPr>
                <w:rFonts w:ascii="Bookman Old Style" w:hAnsi="Bookman Old Style"/>
              </w:rPr>
            </w:pPr>
            <w:r>
              <w:rPr>
                <w:rFonts w:ascii="Bookman Old Style" w:hAnsi="Bookman Old Style"/>
              </w:rPr>
              <w:t>Regulatory compliance guidance.</w:t>
            </w:r>
          </w:p>
        </w:tc>
      </w:tr>
      <w:tr w:rsidR="001127CA" w:rsidTr="003433EB">
        <w:tc>
          <w:tcPr>
            <w:tcW w:w="3258" w:type="dxa"/>
          </w:tcPr>
          <w:p w:rsidR="001127CA" w:rsidRPr="00031B3D" w:rsidRDefault="001127CA" w:rsidP="00607A7A">
            <w:pPr>
              <w:rPr>
                <w:rFonts w:ascii="Bookman Old Style" w:hAnsi="Bookman Old Style"/>
              </w:rPr>
            </w:pPr>
            <w:r>
              <w:rPr>
                <w:rFonts w:ascii="Bookman Old Style" w:hAnsi="Bookman Old Style"/>
              </w:rPr>
              <w:t>Government Affairs</w:t>
            </w:r>
          </w:p>
        </w:tc>
        <w:tc>
          <w:tcPr>
            <w:tcW w:w="5598" w:type="dxa"/>
          </w:tcPr>
          <w:p w:rsidR="001127CA" w:rsidRPr="00031B3D" w:rsidRDefault="001127CA" w:rsidP="00607A7A">
            <w:pPr>
              <w:rPr>
                <w:rFonts w:ascii="Bookman Old Style" w:hAnsi="Bookman Old Style"/>
              </w:rPr>
            </w:pPr>
            <w:r>
              <w:rPr>
                <w:rFonts w:ascii="Bookman Old Style" w:hAnsi="Bookman Old Style"/>
              </w:rPr>
              <w:t>State and federal energy policy activity at legislative and executive branches.</w:t>
            </w:r>
          </w:p>
        </w:tc>
      </w:tr>
    </w:tbl>
    <w:p w:rsidR="004A2544" w:rsidRDefault="004A2544" w:rsidP="002F3DEC"/>
    <w:sectPr w:rsidR="004A2544" w:rsidSect="002F3DEC">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66B" w:rsidRDefault="0058266B">
      <w:r>
        <w:separator/>
      </w:r>
    </w:p>
  </w:endnote>
  <w:endnote w:type="continuationSeparator" w:id="0">
    <w:p w:rsidR="0058266B" w:rsidRDefault="00582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305" w:rsidRDefault="00E8630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FF640C" w:rsidRPr="00FF640C">
      <w:rPr>
        <w:rFonts w:asciiTheme="majorHAnsi" w:eastAsiaTheme="majorEastAsia" w:hAnsiTheme="majorHAnsi" w:cstheme="majorBidi"/>
        <w:noProof/>
      </w:rPr>
      <w:t>14</w:t>
    </w:r>
    <w:r>
      <w:rPr>
        <w:rFonts w:asciiTheme="majorHAnsi" w:eastAsiaTheme="majorEastAsia" w:hAnsiTheme="majorHAnsi" w:cstheme="majorBidi"/>
        <w:noProof/>
      </w:rPr>
      <w:fldChar w:fldCharType="end"/>
    </w:r>
  </w:p>
  <w:p w:rsidR="0058266B" w:rsidRPr="00093C6E" w:rsidRDefault="0058266B" w:rsidP="00093C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66B" w:rsidRDefault="0058266B">
      <w:r>
        <w:separator/>
      </w:r>
    </w:p>
  </w:footnote>
  <w:footnote w:type="continuationSeparator" w:id="0">
    <w:p w:rsidR="0058266B" w:rsidRDefault="005826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66B" w:rsidRDefault="0058266B">
    <w:pPr>
      <w:pStyle w:val="Header"/>
      <w:rPr>
        <w:b/>
        <w:i/>
      </w:rPr>
    </w:pPr>
    <w:r>
      <w:rPr>
        <w:b/>
        <w:i/>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66B" w:rsidRDefault="0058266B">
    <w:pPr>
      <w:pStyle w:val="Header"/>
      <w:rPr>
        <w:b/>
        <w:i/>
      </w:rPr>
    </w:pPr>
    <w:r>
      <w:rPr>
        <w:b/>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22C3"/>
    <w:multiLevelType w:val="hybridMultilevel"/>
    <w:tmpl w:val="5E02D0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8DA50D3"/>
    <w:multiLevelType w:val="hybridMultilevel"/>
    <w:tmpl w:val="06CC09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C635E24"/>
    <w:multiLevelType w:val="multilevel"/>
    <w:tmpl w:val="5D96CC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13C63B12"/>
    <w:multiLevelType w:val="hybridMultilevel"/>
    <w:tmpl w:val="0EECF9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3A24718"/>
    <w:multiLevelType w:val="hybridMultilevel"/>
    <w:tmpl w:val="28FA77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78F45F3"/>
    <w:multiLevelType w:val="hybridMultilevel"/>
    <w:tmpl w:val="5D96CCC4"/>
    <w:lvl w:ilvl="0" w:tplc="0409000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nsid w:val="3B445C2A"/>
    <w:multiLevelType w:val="hybridMultilevel"/>
    <w:tmpl w:val="0E622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36C13AB"/>
    <w:multiLevelType w:val="multilevel"/>
    <w:tmpl w:val="12D6F358"/>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591C596E"/>
    <w:multiLevelType w:val="hybridMultilevel"/>
    <w:tmpl w:val="B62434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5A006CA4"/>
    <w:multiLevelType w:val="hybridMultilevel"/>
    <w:tmpl w:val="1D28C6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63ED3AEA"/>
    <w:multiLevelType w:val="hybridMultilevel"/>
    <w:tmpl w:val="CDDADD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64542915"/>
    <w:multiLevelType w:val="hybridMultilevel"/>
    <w:tmpl w:val="976C7BF8"/>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725B50C1"/>
    <w:multiLevelType w:val="hybridMultilevel"/>
    <w:tmpl w:val="D59674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2"/>
  </w:num>
  <w:num w:numId="4">
    <w:abstractNumId w:val="11"/>
  </w:num>
  <w:num w:numId="5">
    <w:abstractNumId w:val="4"/>
  </w:num>
  <w:num w:numId="6">
    <w:abstractNumId w:val="3"/>
  </w:num>
  <w:num w:numId="7">
    <w:abstractNumId w:val="9"/>
  </w:num>
  <w:num w:numId="8">
    <w:abstractNumId w:val="6"/>
  </w:num>
  <w:num w:numId="9">
    <w:abstractNumId w:val="10"/>
  </w:num>
  <w:num w:numId="10">
    <w:abstractNumId w:val="8"/>
  </w:num>
  <w:num w:numId="11">
    <w:abstractNumId w:val="12"/>
  </w:num>
  <w:num w:numId="12">
    <w:abstractNumId w:val="1"/>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701"/>
    <w:rsid w:val="00031B3D"/>
    <w:rsid w:val="00033078"/>
    <w:rsid w:val="000658C5"/>
    <w:rsid w:val="00093C6E"/>
    <w:rsid w:val="000D08D5"/>
    <w:rsid w:val="000D7C86"/>
    <w:rsid w:val="000E1D5E"/>
    <w:rsid w:val="001127CA"/>
    <w:rsid w:val="001174ED"/>
    <w:rsid w:val="0013161E"/>
    <w:rsid w:val="00157701"/>
    <w:rsid w:val="00175454"/>
    <w:rsid w:val="00191B0F"/>
    <w:rsid w:val="001B4A06"/>
    <w:rsid w:val="001C6AC7"/>
    <w:rsid w:val="0021558C"/>
    <w:rsid w:val="00224150"/>
    <w:rsid w:val="00230F5F"/>
    <w:rsid w:val="0023151C"/>
    <w:rsid w:val="002317EA"/>
    <w:rsid w:val="00232784"/>
    <w:rsid w:val="002A5832"/>
    <w:rsid w:val="002C110C"/>
    <w:rsid w:val="002C17CF"/>
    <w:rsid w:val="002E6BB1"/>
    <w:rsid w:val="002F2B20"/>
    <w:rsid w:val="002F3DEC"/>
    <w:rsid w:val="002F7236"/>
    <w:rsid w:val="003202AB"/>
    <w:rsid w:val="003321E7"/>
    <w:rsid w:val="003433EB"/>
    <w:rsid w:val="00346D03"/>
    <w:rsid w:val="003568AE"/>
    <w:rsid w:val="003836FB"/>
    <w:rsid w:val="00395B54"/>
    <w:rsid w:val="003A0790"/>
    <w:rsid w:val="003B5137"/>
    <w:rsid w:val="003D0F7F"/>
    <w:rsid w:val="003E092B"/>
    <w:rsid w:val="00406AC1"/>
    <w:rsid w:val="004208EC"/>
    <w:rsid w:val="004250D9"/>
    <w:rsid w:val="00466595"/>
    <w:rsid w:val="0048194C"/>
    <w:rsid w:val="004905FF"/>
    <w:rsid w:val="004A2544"/>
    <w:rsid w:val="004E22E6"/>
    <w:rsid w:val="004E7E8B"/>
    <w:rsid w:val="00503889"/>
    <w:rsid w:val="00512206"/>
    <w:rsid w:val="005145E1"/>
    <w:rsid w:val="00534D59"/>
    <w:rsid w:val="005406D2"/>
    <w:rsid w:val="0054483A"/>
    <w:rsid w:val="005533F5"/>
    <w:rsid w:val="0056133E"/>
    <w:rsid w:val="00576108"/>
    <w:rsid w:val="0058266B"/>
    <w:rsid w:val="0058648D"/>
    <w:rsid w:val="00586910"/>
    <w:rsid w:val="005B2503"/>
    <w:rsid w:val="005D79A8"/>
    <w:rsid w:val="0061230A"/>
    <w:rsid w:val="006326B5"/>
    <w:rsid w:val="0067388B"/>
    <w:rsid w:val="006878C8"/>
    <w:rsid w:val="006B4886"/>
    <w:rsid w:val="006C749B"/>
    <w:rsid w:val="006E07A1"/>
    <w:rsid w:val="007561CC"/>
    <w:rsid w:val="00777276"/>
    <w:rsid w:val="007C1B9A"/>
    <w:rsid w:val="007D07D1"/>
    <w:rsid w:val="007E277F"/>
    <w:rsid w:val="00802AF2"/>
    <w:rsid w:val="0080691E"/>
    <w:rsid w:val="00861B37"/>
    <w:rsid w:val="0088220E"/>
    <w:rsid w:val="008837FE"/>
    <w:rsid w:val="008A0624"/>
    <w:rsid w:val="008A0F02"/>
    <w:rsid w:val="008A28EF"/>
    <w:rsid w:val="008C0FAB"/>
    <w:rsid w:val="008F40CF"/>
    <w:rsid w:val="008F5E96"/>
    <w:rsid w:val="009216A3"/>
    <w:rsid w:val="00935178"/>
    <w:rsid w:val="00950CF6"/>
    <w:rsid w:val="0096093B"/>
    <w:rsid w:val="0097226D"/>
    <w:rsid w:val="00985E3C"/>
    <w:rsid w:val="009A6EC2"/>
    <w:rsid w:val="009F3E84"/>
    <w:rsid w:val="00A20D38"/>
    <w:rsid w:val="00A279E3"/>
    <w:rsid w:val="00A5656E"/>
    <w:rsid w:val="00A70851"/>
    <w:rsid w:val="00A711B6"/>
    <w:rsid w:val="00A71F77"/>
    <w:rsid w:val="00AB3CA8"/>
    <w:rsid w:val="00AE22FF"/>
    <w:rsid w:val="00AE5DBF"/>
    <w:rsid w:val="00AF6FE3"/>
    <w:rsid w:val="00AF7BFF"/>
    <w:rsid w:val="00B40BA8"/>
    <w:rsid w:val="00B4309C"/>
    <w:rsid w:val="00B93550"/>
    <w:rsid w:val="00C14326"/>
    <w:rsid w:val="00C265C5"/>
    <w:rsid w:val="00C27E75"/>
    <w:rsid w:val="00C50D15"/>
    <w:rsid w:val="00C655F5"/>
    <w:rsid w:val="00C90798"/>
    <w:rsid w:val="00CA1306"/>
    <w:rsid w:val="00CF4EDC"/>
    <w:rsid w:val="00D25DAE"/>
    <w:rsid w:val="00D52C9F"/>
    <w:rsid w:val="00D87187"/>
    <w:rsid w:val="00D90719"/>
    <w:rsid w:val="00DB08A2"/>
    <w:rsid w:val="00DB6706"/>
    <w:rsid w:val="00DC0969"/>
    <w:rsid w:val="00DD09D1"/>
    <w:rsid w:val="00DF0337"/>
    <w:rsid w:val="00DF59C6"/>
    <w:rsid w:val="00E00ECB"/>
    <w:rsid w:val="00E62F22"/>
    <w:rsid w:val="00E86305"/>
    <w:rsid w:val="00E92115"/>
    <w:rsid w:val="00EB352C"/>
    <w:rsid w:val="00EB3A79"/>
    <w:rsid w:val="00EE3C3E"/>
    <w:rsid w:val="00F12A03"/>
    <w:rsid w:val="00F22A67"/>
    <w:rsid w:val="00F25AFB"/>
    <w:rsid w:val="00F2719A"/>
    <w:rsid w:val="00F54618"/>
    <w:rsid w:val="00F5656A"/>
    <w:rsid w:val="00F56F67"/>
    <w:rsid w:val="00F74C01"/>
    <w:rsid w:val="00F95D2D"/>
    <w:rsid w:val="00FB101B"/>
    <w:rsid w:val="00FC067D"/>
    <w:rsid w:val="00FD342F"/>
    <w:rsid w:val="00FE169D"/>
    <w:rsid w:val="00FE2399"/>
    <w:rsid w:val="00FF4E4B"/>
    <w:rsid w:val="00FF521F"/>
    <w:rsid w:val="00FF6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2C9F"/>
    <w:rPr>
      <w:sz w:val="24"/>
      <w:szCs w:val="24"/>
    </w:rPr>
  </w:style>
  <w:style w:type="paragraph" w:styleId="Heading1">
    <w:name w:val="heading 1"/>
    <w:basedOn w:val="Normal"/>
    <w:next w:val="Normal"/>
    <w:qFormat/>
    <w:rsid w:val="00D52C9F"/>
    <w:pPr>
      <w:keepNext/>
      <w:outlineLvl w:val="0"/>
    </w:pPr>
    <w:rPr>
      <w:rFonts w:ascii="Bookman Old Style" w:hAnsi="Bookman Old Style"/>
      <w:b/>
      <w:sz w:val="22"/>
    </w:rPr>
  </w:style>
  <w:style w:type="paragraph" w:styleId="Heading2">
    <w:name w:val="heading 2"/>
    <w:basedOn w:val="Normal"/>
    <w:next w:val="Normal"/>
    <w:qFormat/>
    <w:rsid w:val="00D52C9F"/>
    <w:pPr>
      <w:keepNext/>
      <w:outlineLvl w:val="1"/>
    </w:pPr>
    <w:rPr>
      <w:rFonts w:ascii="Bookman Old Style" w:hAnsi="Bookman Old Style"/>
      <w:sz w:val="22"/>
      <w:u w:val="single"/>
    </w:rPr>
  </w:style>
  <w:style w:type="paragraph" w:styleId="Heading3">
    <w:name w:val="heading 3"/>
    <w:basedOn w:val="Normal"/>
    <w:next w:val="Normal"/>
    <w:qFormat/>
    <w:rsid w:val="00D52C9F"/>
    <w:pPr>
      <w:keepNext/>
      <w:jc w:val="center"/>
      <w:outlineLvl w:val="2"/>
    </w:pPr>
    <w:rPr>
      <w:rFonts w:ascii="Bookman Old Style" w:hAnsi="Bookman Old Style"/>
      <w:i/>
      <w:sz w:val="22"/>
    </w:rPr>
  </w:style>
  <w:style w:type="paragraph" w:styleId="Heading4">
    <w:name w:val="heading 4"/>
    <w:basedOn w:val="Normal"/>
    <w:next w:val="Normal"/>
    <w:qFormat/>
    <w:rsid w:val="00D52C9F"/>
    <w:pPr>
      <w:keepNext/>
      <w:outlineLvl w:val="3"/>
    </w:pPr>
    <w:rPr>
      <w:rFonts w:ascii="Bookman Old Style" w:hAnsi="Bookman Old Style"/>
      <w:b/>
      <w:i/>
    </w:rPr>
  </w:style>
  <w:style w:type="paragraph" w:styleId="Heading5">
    <w:name w:val="heading 5"/>
    <w:basedOn w:val="Normal"/>
    <w:next w:val="Normal"/>
    <w:qFormat/>
    <w:rsid w:val="00D52C9F"/>
    <w:pPr>
      <w:keepNext/>
      <w:outlineLvl w:val="4"/>
    </w:pPr>
    <w:rPr>
      <w:rFonts w:ascii="Bookman Old Style" w:hAnsi="Bookman Old Style"/>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52C9F"/>
    <w:rPr>
      <w:sz w:val="20"/>
      <w:szCs w:val="20"/>
    </w:rPr>
  </w:style>
  <w:style w:type="character" w:styleId="FootnoteReference">
    <w:name w:val="footnote reference"/>
    <w:basedOn w:val="DefaultParagraphFont"/>
    <w:semiHidden/>
    <w:rsid w:val="00D52C9F"/>
    <w:rPr>
      <w:vertAlign w:val="superscript"/>
    </w:rPr>
  </w:style>
  <w:style w:type="paragraph" w:styleId="Header">
    <w:name w:val="header"/>
    <w:basedOn w:val="Normal"/>
    <w:rsid w:val="00D52C9F"/>
    <w:pPr>
      <w:tabs>
        <w:tab w:val="center" w:pos="4320"/>
        <w:tab w:val="right" w:pos="8640"/>
      </w:tabs>
    </w:pPr>
  </w:style>
  <w:style w:type="paragraph" w:styleId="Footer">
    <w:name w:val="footer"/>
    <w:basedOn w:val="Normal"/>
    <w:link w:val="FooterChar"/>
    <w:uiPriority w:val="99"/>
    <w:rsid w:val="00D52C9F"/>
    <w:pPr>
      <w:tabs>
        <w:tab w:val="center" w:pos="4320"/>
        <w:tab w:val="right" w:pos="8640"/>
      </w:tabs>
    </w:pPr>
  </w:style>
  <w:style w:type="paragraph" w:styleId="BodyTextIndent">
    <w:name w:val="Body Text Indent"/>
    <w:basedOn w:val="Normal"/>
    <w:rsid w:val="00D52C9F"/>
    <w:pPr>
      <w:ind w:left="360"/>
    </w:pPr>
    <w:rPr>
      <w:rFonts w:ascii="Bookman Old Style" w:hAnsi="Bookman Old Style"/>
      <w:sz w:val="22"/>
    </w:rPr>
  </w:style>
  <w:style w:type="paragraph" w:styleId="DocumentMap">
    <w:name w:val="Document Map"/>
    <w:basedOn w:val="Normal"/>
    <w:semiHidden/>
    <w:rsid w:val="00D52C9F"/>
    <w:pPr>
      <w:shd w:val="clear" w:color="auto" w:fill="000080"/>
    </w:pPr>
    <w:rPr>
      <w:rFonts w:ascii="Tahoma" w:hAnsi="Tahoma"/>
    </w:rPr>
  </w:style>
  <w:style w:type="character" w:styleId="PageNumber">
    <w:name w:val="page number"/>
    <w:basedOn w:val="DefaultParagraphFont"/>
    <w:rsid w:val="00D52C9F"/>
  </w:style>
  <w:style w:type="paragraph" w:styleId="BalloonText">
    <w:name w:val="Balloon Text"/>
    <w:basedOn w:val="Normal"/>
    <w:semiHidden/>
    <w:rsid w:val="00D52C9F"/>
    <w:rPr>
      <w:rFonts w:ascii="Tahoma" w:hAnsi="Tahoma" w:cs="Tahoma"/>
      <w:sz w:val="16"/>
      <w:szCs w:val="16"/>
    </w:rPr>
  </w:style>
  <w:style w:type="table" w:styleId="TableGrid">
    <w:name w:val="Table Grid"/>
    <w:basedOn w:val="TableNormal"/>
    <w:rsid w:val="00A711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5DAE"/>
    <w:pPr>
      <w:ind w:left="720"/>
      <w:contextualSpacing/>
    </w:pPr>
  </w:style>
  <w:style w:type="character" w:customStyle="1" w:styleId="FooterChar">
    <w:name w:val="Footer Char"/>
    <w:basedOn w:val="DefaultParagraphFont"/>
    <w:link w:val="Footer"/>
    <w:uiPriority w:val="99"/>
    <w:rsid w:val="00E8630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2C9F"/>
    <w:rPr>
      <w:sz w:val="24"/>
      <w:szCs w:val="24"/>
    </w:rPr>
  </w:style>
  <w:style w:type="paragraph" w:styleId="Heading1">
    <w:name w:val="heading 1"/>
    <w:basedOn w:val="Normal"/>
    <w:next w:val="Normal"/>
    <w:qFormat/>
    <w:rsid w:val="00D52C9F"/>
    <w:pPr>
      <w:keepNext/>
      <w:outlineLvl w:val="0"/>
    </w:pPr>
    <w:rPr>
      <w:rFonts w:ascii="Bookman Old Style" w:hAnsi="Bookman Old Style"/>
      <w:b/>
      <w:sz w:val="22"/>
    </w:rPr>
  </w:style>
  <w:style w:type="paragraph" w:styleId="Heading2">
    <w:name w:val="heading 2"/>
    <w:basedOn w:val="Normal"/>
    <w:next w:val="Normal"/>
    <w:qFormat/>
    <w:rsid w:val="00D52C9F"/>
    <w:pPr>
      <w:keepNext/>
      <w:outlineLvl w:val="1"/>
    </w:pPr>
    <w:rPr>
      <w:rFonts w:ascii="Bookman Old Style" w:hAnsi="Bookman Old Style"/>
      <w:sz w:val="22"/>
      <w:u w:val="single"/>
    </w:rPr>
  </w:style>
  <w:style w:type="paragraph" w:styleId="Heading3">
    <w:name w:val="heading 3"/>
    <w:basedOn w:val="Normal"/>
    <w:next w:val="Normal"/>
    <w:qFormat/>
    <w:rsid w:val="00D52C9F"/>
    <w:pPr>
      <w:keepNext/>
      <w:jc w:val="center"/>
      <w:outlineLvl w:val="2"/>
    </w:pPr>
    <w:rPr>
      <w:rFonts w:ascii="Bookman Old Style" w:hAnsi="Bookman Old Style"/>
      <w:i/>
      <w:sz w:val="22"/>
    </w:rPr>
  </w:style>
  <w:style w:type="paragraph" w:styleId="Heading4">
    <w:name w:val="heading 4"/>
    <w:basedOn w:val="Normal"/>
    <w:next w:val="Normal"/>
    <w:qFormat/>
    <w:rsid w:val="00D52C9F"/>
    <w:pPr>
      <w:keepNext/>
      <w:outlineLvl w:val="3"/>
    </w:pPr>
    <w:rPr>
      <w:rFonts w:ascii="Bookman Old Style" w:hAnsi="Bookman Old Style"/>
      <w:b/>
      <w:i/>
    </w:rPr>
  </w:style>
  <w:style w:type="paragraph" w:styleId="Heading5">
    <w:name w:val="heading 5"/>
    <w:basedOn w:val="Normal"/>
    <w:next w:val="Normal"/>
    <w:qFormat/>
    <w:rsid w:val="00D52C9F"/>
    <w:pPr>
      <w:keepNext/>
      <w:outlineLvl w:val="4"/>
    </w:pPr>
    <w:rPr>
      <w:rFonts w:ascii="Bookman Old Style" w:hAnsi="Bookman Old Style"/>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52C9F"/>
    <w:rPr>
      <w:sz w:val="20"/>
      <w:szCs w:val="20"/>
    </w:rPr>
  </w:style>
  <w:style w:type="character" w:styleId="FootnoteReference">
    <w:name w:val="footnote reference"/>
    <w:basedOn w:val="DefaultParagraphFont"/>
    <w:semiHidden/>
    <w:rsid w:val="00D52C9F"/>
    <w:rPr>
      <w:vertAlign w:val="superscript"/>
    </w:rPr>
  </w:style>
  <w:style w:type="paragraph" w:styleId="Header">
    <w:name w:val="header"/>
    <w:basedOn w:val="Normal"/>
    <w:rsid w:val="00D52C9F"/>
    <w:pPr>
      <w:tabs>
        <w:tab w:val="center" w:pos="4320"/>
        <w:tab w:val="right" w:pos="8640"/>
      </w:tabs>
    </w:pPr>
  </w:style>
  <w:style w:type="paragraph" w:styleId="Footer">
    <w:name w:val="footer"/>
    <w:basedOn w:val="Normal"/>
    <w:link w:val="FooterChar"/>
    <w:uiPriority w:val="99"/>
    <w:rsid w:val="00D52C9F"/>
    <w:pPr>
      <w:tabs>
        <w:tab w:val="center" w:pos="4320"/>
        <w:tab w:val="right" w:pos="8640"/>
      </w:tabs>
    </w:pPr>
  </w:style>
  <w:style w:type="paragraph" w:styleId="BodyTextIndent">
    <w:name w:val="Body Text Indent"/>
    <w:basedOn w:val="Normal"/>
    <w:rsid w:val="00D52C9F"/>
    <w:pPr>
      <w:ind w:left="360"/>
    </w:pPr>
    <w:rPr>
      <w:rFonts w:ascii="Bookman Old Style" w:hAnsi="Bookman Old Style"/>
      <w:sz w:val="22"/>
    </w:rPr>
  </w:style>
  <w:style w:type="paragraph" w:styleId="DocumentMap">
    <w:name w:val="Document Map"/>
    <w:basedOn w:val="Normal"/>
    <w:semiHidden/>
    <w:rsid w:val="00D52C9F"/>
    <w:pPr>
      <w:shd w:val="clear" w:color="auto" w:fill="000080"/>
    </w:pPr>
    <w:rPr>
      <w:rFonts w:ascii="Tahoma" w:hAnsi="Tahoma"/>
    </w:rPr>
  </w:style>
  <w:style w:type="character" w:styleId="PageNumber">
    <w:name w:val="page number"/>
    <w:basedOn w:val="DefaultParagraphFont"/>
    <w:rsid w:val="00D52C9F"/>
  </w:style>
  <w:style w:type="paragraph" w:styleId="BalloonText">
    <w:name w:val="Balloon Text"/>
    <w:basedOn w:val="Normal"/>
    <w:semiHidden/>
    <w:rsid w:val="00D52C9F"/>
    <w:rPr>
      <w:rFonts w:ascii="Tahoma" w:hAnsi="Tahoma" w:cs="Tahoma"/>
      <w:sz w:val="16"/>
      <w:szCs w:val="16"/>
    </w:rPr>
  </w:style>
  <w:style w:type="table" w:styleId="TableGrid">
    <w:name w:val="Table Grid"/>
    <w:basedOn w:val="TableNormal"/>
    <w:rsid w:val="00A711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5DAE"/>
    <w:pPr>
      <w:ind w:left="720"/>
      <w:contextualSpacing/>
    </w:pPr>
  </w:style>
  <w:style w:type="character" w:customStyle="1" w:styleId="FooterChar">
    <w:name w:val="Footer Char"/>
    <w:basedOn w:val="DefaultParagraphFont"/>
    <w:link w:val="Footer"/>
    <w:uiPriority w:val="99"/>
    <w:rsid w:val="00E863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2902">
      <w:bodyDiv w:val="1"/>
      <w:marLeft w:val="0"/>
      <w:marRight w:val="0"/>
      <w:marTop w:val="0"/>
      <w:marBottom w:val="0"/>
      <w:divBdr>
        <w:top w:val="none" w:sz="0" w:space="0" w:color="auto"/>
        <w:left w:val="none" w:sz="0" w:space="0" w:color="auto"/>
        <w:bottom w:val="none" w:sz="0" w:space="0" w:color="auto"/>
        <w:right w:val="none" w:sz="0" w:space="0" w:color="auto"/>
      </w:divBdr>
    </w:div>
    <w:div w:id="63302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D7830C01A199B4B9669B9266D9E57D0" ma:contentTypeVersion="175" ma:contentTypeDescription="" ma:contentTypeScope="" ma:versionID="267235b268ef2103aa72b6bb0c12b36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2014-05-29T07:00:00+00:00</OpenedDate>
    <Date1 xmlns="dc463f71-b30c-4ab2-9473-d307f9d35888">2014-08-29T07:00:00+00:00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141169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0E0E475-7BDA-441A-AA38-7DEF9DA1B033}"/>
</file>

<file path=customXml/itemProps2.xml><?xml version="1.0" encoding="utf-8"?>
<ds:datastoreItem xmlns:ds="http://schemas.openxmlformats.org/officeDocument/2006/customXml" ds:itemID="{F635908B-DD06-436C-967F-FBC84F9E472D}"/>
</file>

<file path=customXml/itemProps3.xml><?xml version="1.0" encoding="utf-8"?>
<ds:datastoreItem xmlns:ds="http://schemas.openxmlformats.org/officeDocument/2006/customXml" ds:itemID="{AFFFB1F1-1DED-46F7-B779-4DDE0F12DCD8}"/>
</file>

<file path=customXml/itemProps4.xml><?xml version="1.0" encoding="utf-8"?>
<ds:datastoreItem xmlns:ds="http://schemas.openxmlformats.org/officeDocument/2006/customXml" ds:itemID="{39853A4A-3E90-4879-9576-19696E78B20E}"/>
</file>

<file path=customXml/itemProps5.xml><?xml version="1.0" encoding="utf-8"?>
<ds:datastoreItem xmlns:ds="http://schemas.openxmlformats.org/officeDocument/2006/customXml" ds:itemID="{D5CE3F08-4C64-4DA7-89C2-7DEC03373AD9}"/>
</file>

<file path=docProps/app.xml><?xml version="1.0" encoding="utf-8"?>
<Properties xmlns="http://schemas.openxmlformats.org/officeDocument/2006/extended-properties" xmlns:vt="http://schemas.openxmlformats.org/officeDocument/2006/docPropsVTypes">
  <Template>Normal.dotm</Template>
  <TotalTime>1</TotalTime>
  <Pages>17</Pages>
  <Words>2693</Words>
  <Characters>15303</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Not later than twelve months prior to the due date of a plan, the utility must provide a work plan for informal commission rev</vt:lpstr>
    </vt:vector>
  </TitlesOfParts>
  <Company>Puget Sound Energy</Company>
  <LinksUpToDate>false</LinksUpToDate>
  <CharactersWithSpaces>17961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 later than twelve months prior to the due date of a plan, the utility must provide a work plan for informal commission rev</dc:title>
  <dc:creator>Phillip</dc:creator>
  <cp:lastModifiedBy>Puget Sound Energy</cp:lastModifiedBy>
  <cp:revision>2</cp:revision>
  <cp:lastPrinted>2014-08-29T16:14:00Z</cp:lastPrinted>
  <dcterms:created xsi:type="dcterms:W3CDTF">2014-08-29T16:31:00Z</dcterms:created>
  <dcterms:modified xsi:type="dcterms:W3CDTF">2014-08-29T16:31:00Z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0x0101006E56B4D1795A2E4DB2F0B01679ED314A00CD7830C01A199B4B9669B9266D9E57D0</vt:lpwstr>
  </property>
  <property fmtid="{D5CDD505-2E9C-101B-9397-08002B2CF9AE}" pid="3" name="_docset_NoMedatataSyncRequired">
    <vt:lpwstr>False</vt:lpwstr>
  </property>
</Properties>
</file>