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ADD9" w14:textId="77777777" w:rsidR="00C011AB" w:rsidRPr="003A7B35" w:rsidRDefault="00C011AB" w:rsidP="00F637C2">
      <w:pPr>
        <w:pStyle w:val="BodyText"/>
        <w:spacing w:line="288" w:lineRule="auto"/>
        <w:rPr>
          <w:b/>
          <w:bCs/>
          <w:sz w:val="25"/>
          <w:szCs w:val="25"/>
        </w:rPr>
      </w:pPr>
      <w:bookmarkStart w:id="0" w:name="_GoBack"/>
      <w:bookmarkEnd w:id="0"/>
      <w:r w:rsidRPr="003A7B35">
        <w:rPr>
          <w:b/>
          <w:bCs/>
          <w:sz w:val="25"/>
          <w:szCs w:val="25"/>
        </w:rPr>
        <w:t>BEFORE THE WASHINGTON</w:t>
      </w:r>
    </w:p>
    <w:p w14:paraId="28C85040"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27BB68D0"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347054" w14:paraId="3CEEF893" w14:textId="77777777" w:rsidTr="0050746F">
        <w:trPr>
          <w:trHeight w:val="2232"/>
        </w:trPr>
        <w:tc>
          <w:tcPr>
            <w:tcW w:w="4372" w:type="dxa"/>
          </w:tcPr>
          <w:p w14:paraId="5BB0CAED"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2865DE5C" w14:textId="77777777" w:rsidR="00DB78B7" w:rsidRPr="00347054" w:rsidRDefault="00DB78B7" w:rsidP="00347054">
            <w:pPr>
              <w:spacing w:line="288" w:lineRule="auto"/>
              <w:rPr>
                <w:bCs/>
                <w:sz w:val="25"/>
                <w:szCs w:val="25"/>
              </w:rPr>
            </w:pPr>
          </w:p>
          <w:p w14:paraId="6710375A" w14:textId="77777777" w:rsidR="00005893" w:rsidRPr="00347054" w:rsidRDefault="00E20733" w:rsidP="00347054">
            <w:pPr>
              <w:spacing w:line="288" w:lineRule="auto"/>
              <w:rPr>
                <w:bCs/>
                <w:sz w:val="25"/>
                <w:szCs w:val="25"/>
              </w:rPr>
            </w:pPr>
            <w:r>
              <w:rPr>
                <w:bCs/>
                <w:sz w:val="25"/>
                <w:szCs w:val="25"/>
              </w:rPr>
              <w:t>CRISTALINA, LLC</w:t>
            </w:r>
          </w:p>
          <w:p w14:paraId="74285FEB" w14:textId="77777777" w:rsidR="00F13566" w:rsidRPr="00347054" w:rsidRDefault="00F13566" w:rsidP="00347054">
            <w:pPr>
              <w:spacing w:line="288" w:lineRule="auto"/>
              <w:rPr>
                <w:bCs/>
                <w:sz w:val="25"/>
                <w:szCs w:val="25"/>
              </w:rPr>
            </w:pPr>
          </w:p>
          <w:p w14:paraId="4BF4AD9C" w14:textId="77777777" w:rsidR="00A01D98" w:rsidRPr="00347054" w:rsidRDefault="00A01D98" w:rsidP="00347054">
            <w:pPr>
              <w:spacing w:line="288" w:lineRule="auto"/>
              <w:rPr>
                <w:sz w:val="25"/>
                <w:szCs w:val="25"/>
              </w:rPr>
            </w:pPr>
            <w:r w:rsidRPr="00347054">
              <w:rPr>
                <w:bCs/>
                <w:sz w:val="25"/>
                <w:szCs w:val="25"/>
              </w:rPr>
              <w:t>in the amount of $</w:t>
            </w:r>
            <w:r w:rsidR="00B60347" w:rsidRPr="00347054">
              <w:rPr>
                <w:bCs/>
                <w:sz w:val="25"/>
                <w:szCs w:val="25"/>
              </w:rPr>
              <w:t>1</w:t>
            </w:r>
            <w:r w:rsidR="00703594">
              <w:rPr>
                <w:bCs/>
                <w:sz w:val="25"/>
                <w:szCs w:val="25"/>
              </w:rPr>
              <w:t>,000</w:t>
            </w:r>
          </w:p>
          <w:p w14:paraId="04B5219A"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6" w:type="dxa"/>
          </w:tcPr>
          <w:p w14:paraId="33D6C1F3" w14:textId="77777777" w:rsidR="00C011AB" w:rsidRPr="00347054" w:rsidRDefault="00C011AB" w:rsidP="0050746F">
            <w:pPr>
              <w:rPr>
                <w:sz w:val="25"/>
                <w:szCs w:val="25"/>
              </w:rPr>
            </w:pPr>
            <w:r w:rsidRPr="00347054">
              <w:rPr>
                <w:sz w:val="25"/>
                <w:szCs w:val="25"/>
              </w:rPr>
              <w:t>)</w:t>
            </w:r>
          </w:p>
          <w:p w14:paraId="50DB592C" w14:textId="77777777" w:rsidR="00C011AB" w:rsidRPr="00347054" w:rsidRDefault="00C011AB" w:rsidP="0050746F">
            <w:pPr>
              <w:rPr>
                <w:sz w:val="25"/>
                <w:szCs w:val="25"/>
              </w:rPr>
            </w:pPr>
            <w:r w:rsidRPr="00347054">
              <w:rPr>
                <w:sz w:val="25"/>
                <w:szCs w:val="25"/>
              </w:rPr>
              <w:t>)</w:t>
            </w:r>
          </w:p>
          <w:p w14:paraId="09F8DB48" w14:textId="77777777" w:rsidR="00C011AB" w:rsidRPr="00347054" w:rsidRDefault="00C011AB" w:rsidP="0050746F">
            <w:pPr>
              <w:rPr>
                <w:sz w:val="25"/>
                <w:szCs w:val="25"/>
              </w:rPr>
            </w:pPr>
            <w:r w:rsidRPr="00347054">
              <w:rPr>
                <w:sz w:val="25"/>
                <w:szCs w:val="25"/>
              </w:rPr>
              <w:t>)</w:t>
            </w:r>
          </w:p>
          <w:p w14:paraId="2B011B05" w14:textId="77777777" w:rsidR="00C011AB" w:rsidRPr="00347054" w:rsidRDefault="00C011AB" w:rsidP="0050746F">
            <w:pPr>
              <w:rPr>
                <w:sz w:val="25"/>
                <w:szCs w:val="25"/>
              </w:rPr>
            </w:pPr>
            <w:r w:rsidRPr="00347054">
              <w:rPr>
                <w:sz w:val="25"/>
                <w:szCs w:val="25"/>
              </w:rPr>
              <w:t>)</w:t>
            </w:r>
          </w:p>
          <w:p w14:paraId="64765BB1" w14:textId="77777777" w:rsidR="00C011AB" w:rsidRPr="00347054" w:rsidRDefault="00C011AB" w:rsidP="0050746F">
            <w:pPr>
              <w:rPr>
                <w:sz w:val="25"/>
                <w:szCs w:val="25"/>
              </w:rPr>
            </w:pPr>
            <w:r w:rsidRPr="00347054">
              <w:rPr>
                <w:sz w:val="25"/>
                <w:szCs w:val="25"/>
              </w:rPr>
              <w:t>)</w:t>
            </w:r>
          </w:p>
          <w:p w14:paraId="2BA87D14" w14:textId="77777777" w:rsidR="00C011AB" w:rsidRPr="00347054" w:rsidRDefault="00C011AB" w:rsidP="0050746F">
            <w:pPr>
              <w:rPr>
                <w:sz w:val="25"/>
                <w:szCs w:val="25"/>
              </w:rPr>
            </w:pPr>
            <w:r w:rsidRPr="00347054">
              <w:rPr>
                <w:sz w:val="25"/>
                <w:szCs w:val="25"/>
              </w:rPr>
              <w:t>)</w:t>
            </w:r>
          </w:p>
          <w:p w14:paraId="79D331B1" w14:textId="77777777" w:rsidR="006C5AA6" w:rsidRPr="00347054" w:rsidRDefault="000E4BC7" w:rsidP="0050746F">
            <w:pPr>
              <w:rPr>
                <w:sz w:val="25"/>
                <w:szCs w:val="25"/>
              </w:rPr>
            </w:pPr>
            <w:r w:rsidRPr="00347054">
              <w:rPr>
                <w:sz w:val="25"/>
                <w:szCs w:val="25"/>
              </w:rPr>
              <w:t>)</w:t>
            </w:r>
            <w:r w:rsidR="0050746F">
              <w:rPr>
                <w:sz w:val="25"/>
                <w:szCs w:val="25"/>
              </w:rPr>
              <w:t>)</w:t>
            </w:r>
          </w:p>
        </w:tc>
        <w:tc>
          <w:tcPr>
            <w:tcW w:w="3888" w:type="dxa"/>
          </w:tcPr>
          <w:p w14:paraId="362653CE" w14:textId="77777777" w:rsidR="00C011AB" w:rsidRPr="00347054" w:rsidRDefault="00C011AB" w:rsidP="00347054">
            <w:pPr>
              <w:spacing w:line="288" w:lineRule="auto"/>
              <w:rPr>
                <w:sz w:val="25"/>
                <w:szCs w:val="25"/>
              </w:rPr>
            </w:pPr>
            <w:r w:rsidRPr="00347054">
              <w:rPr>
                <w:sz w:val="25"/>
                <w:szCs w:val="25"/>
              </w:rPr>
              <w:t xml:space="preserve">DOCKET </w:t>
            </w:r>
            <w:r w:rsidR="00676323">
              <w:rPr>
                <w:bCs/>
                <w:sz w:val="25"/>
                <w:szCs w:val="25"/>
              </w:rPr>
              <w:t>UW-14084</w:t>
            </w:r>
            <w:r w:rsidR="00E20733">
              <w:rPr>
                <w:bCs/>
                <w:sz w:val="25"/>
                <w:szCs w:val="25"/>
              </w:rPr>
              <w:t>0</w:t>
            </w:r>
          </w:p>
          <w:p w14:paraId="7769CD17" w14:textId="77777777" w:rsidR="00C011AB" w:rsidRPr="00347054" w:rsidRDefault="00C011AB" w:rsidP="00347054">
            <w:pPr>
              <w:spacing w:line="288" w:lineRule="auto"/>
              <w:rPr>
                <w:sz w:val="25"/>
                <w:szCs w:val="25"/>
              </w:rPr>
            </w:pPr>
          </w:p>
          <w:p w14:paraId="30EDE198" w14:textId="0961AE00" w:rsidR="00C011AB" w:rsidRPr="00347054" w:rsidRDefault="00C011AB" w:rsidP="00347054">
            <w:pPr>
              <w:spacing w:line="288" w:lineRule="auto"/>
              <w:rPr>
                <w:sz w:val="25"/>
                <w:szCs w:val="25"/>
              </w:rPr>
            </w:pPr>
            <w:r w:rsidRPr="00347054">
              <w:rPr>
                <w:sz w:val="25"/>
                <w:szCs w:val="25"/>
              </w:rPr>
              <w:t>ORDER 0</w:t>
            </w:r>
            <w:r w:rsidR="0063309B">
              <w:rPr>
                <w:sz w:val="25"/>
                <w:szCs w:val="25"/>
              </w:rPr>
              <w:t>2</w:t>
            </w:r>
          </w:p>
          <w:p w14:paraId="30F44FF9" w14:textId="77777777" w:rsidR="00C011AB" w:rsidRPr="00347054" w:rsidRDefault="00C011AB" w:rsidP="00347054">
            <w:pPr>
              <w:spacing w:line="288" w:lineRule="auto"/>
              <w:rPr>
                <w:sz w:val="25"/>
                <w:szCs w:val="25"/>
              </w:rPr>
            </w:pPr>
          </w:p>
          <w:p w14:paraId="27ACCF70" w14:textId="01861F53" w:rsidR="000E4BC7" w:rsidRPr="00347054" w:rsidRDefault="00F13566" w:rsidP="00347054">
            <w:pPr>
              <w:spacing w:line="288" w:lineRule="auto"/>
              <w:rPr>
                <w:sz w:val="25"/>
                <w:szCs w:val="25"/>
              </w:rPr>
            </w:pPr>
            <w:r w:rsidRPr="00347054">
              <w:rPr>
                <w:sz w:val="25"/>
                <w:szCs w:val="25"/>
              </w:rPr>
              <w:t xml:space="preserve">ORDER </w:t>
            </w:r>
            <w:r w:rsidR="0063309B">
              <w:rPr>
                <w:sz w:val="25"/>
                <w:szCs w:val="25"/>
              </w:rPr>
              <w:t>RESCINDING PENALTY</w:t>
            </w:r>
          </w:p>
          <w:p w14:paraId="2B9EB635" w14:textId="77777777" w:rsidR="00117299" w:rsidRDefault="00117299" w:rsidP="00347054">
            <w:pPr>
              <w:pStyle w:val="Header"/>
              <w:tabs>
                <w:tab w:val="clear" w:pos="4320"/>
                <w:tab w:val="clear" w:pos="8640"/>
              </w:tabs>
              <w:spacing w:line="288" w:lineRule="auto"/>
              <w:rPr>
                <w:sz w:val="25"/>
                <w:szCs w:val="25"/>
              </w:rPr>
            </w:pPr>
          </w:p>
          <w:p w14:paraId="02C0E3C7" w14:textId="77777777" w:rsidR="00A84893" w:rsidRPr="00347054" w:rsidRDefault="00A84893" w:rsidP="00347054">
            <w:pPr>
              <w:pStyle w:val="Header"/>
              <w:tabs>
                <w:tab w:val="clear" w:pos="4320"/>
                <w:tab w:val="clear" w:pos="8640"/>
              </w:tabs>
              <w:spacing w:line="288" w:lineRule="auto"/>
              <w:rPr>
                <w:sz w:val="25"/>
                <w:szCs w:val="25"/>
              </w:rPr>
            </w:pPr>
          </w:p>
        </w:tc>
      </w:tr>
    </w:tbl>
    <w:p w14:paraId="36C2EA7C" w14:textId="77777777" w:rsidR="0050746F" w:rsidRDefault="0050746F" w:rsidP="00347054">
      <w:pPr>
        <w:spacing w:line="288" w:lineRule="auto"/>
        <w:jc w:val="center"/>
        <w:rPr>
          <w:b/>
          <w:sz w:val="25"/>
          <w:szCs w:val="25"/>
        </w:rPr>
      </w:pPr>
    </w:p>
    <w:p w14:paraId="6EAA61AC" w14:textId="77777777" w:rsidR="002E3C80" w:rsidRPr="00347054" w:rsidRDefault="00F32856" w:rsidP="00347054">
      <w:pPr>
        <w:spacing w:line="288" w:lineRule="auto"/>
        <w:jc w:val="center"/>
        <w:rPr>
          <w:b/>
          <w:sz w:val="25"/>
          <w:szCs w:val="25"/>
        </w:rPr>
      </w:pPr>
      <w:r w:rsidRPr="00347054">
        <w:rPr>
          <w:b/>
          <w:sz w:val="25"/>
          <w:szCs w:val="25"/>
        </w:rPr>
        <w:t>BACKGROUND</w:t>
      </w:r>
    </w:p>
    <w:p w14:paraId="19720064" w14:textId="77777777" w:rsidR="00841996" w:rsidRPr="00347054" w:rsidRDefault="00841996" w:rsidP="00347054">
      <w:pPr>
        <w:spacing w:line="288" w:lineRule="auto"/>
        <w:rPr>
          <w:sz w:val="25"/>
          <w:szCs w:val="25"/>
        </w:rPr>
      </w:pPr>
    </w:p>
    <w:p w14:paraId="4585CE60" w14:textId="20E19FF3" w:rsidR="005F24F9" w:rsidRPr="00347054" w:rsidRDefault="0063309B" w:rsidP="00347054">
      <w:pPr>
        <w:numPr>
          <w:ilvl w:val="0"/>
          <w:numId w:val="1"/>
        </w:numPr>
        <w:tabs>
          <w:tab w:val="clear" w:pos="1080"/>
          <w:tab w:val="left" w:pos="0"/>
        </w:tabs>
        <w:spacing w:line="288" w:lineRule="auto"/>
        <w:ind w:left="0" w:hanging="720"/>
        <w:rPr>
          <w:sz w:val="25"/>
          <w:szCs w:val="25"/>
        </w:rPr>
      </w:pPr>
      <w:r>
        <w:rPr>
          <w:sz w:val="25"/>
          <w:szCs w:val="25"/>
        </w:rPr>
        <w:t>On May 28, 2014, the Washington Utilities and Transportation Commission (Commission) issued a penalty assessment against Cristalina, LLC (Cristalina or Company), in the amount of $1,000 for failing to file its 2013 Annual Report by May 1, 2014, as required under WAC 480-110-505.</w:t>
      </w:r>
    </w:p>
    <w:p w14:paraId="394B0EBE" w14:textId="77777777" w:rsidR="005F24F9" w:rsidRPr="00347054" w:rsidRDefault="005F24F9" w:rsidP="0063309B">
      <w:pPr>
        <w:spacing w:line="288" w:lineRule="auto"/>
        <w:rPr>
          <w:sz w:val="25"/>
          <w:szCs w:val="25"/>
        </w:rPr>
      </w:pPr>
    </w:p>
    <w:p w14:paraId="6D4BF66D" w14:textId="0924371E" w:rsidR="0079303C" w:rsidRDefault="00264C0F" w:rsidP="004F5E53">
      <w:pPr>
        <w:numPr>
          <w:ilvl w:val="0"/>
          <w:numId w:val="1"/>
        </w:numPr>
        <w:tabs>
          <w:tab w:val="clear" w:pos="1080"/>
          <w:tab w:val="left" w:pos="0"/>
        </w:tabs>
        <w:spacing w:line="288" w:lineRule="auto"/>
        <w:ind w:left="0" w:hanging="720"/>
        <w:rPr>
          <w:sz w:val="25"/>
          <w:szCs w:val="25"/>
        </w:rPr>
      </w:pPr>
      <w:r w:rsidRPr="00347054">
        <w:rPr>
          <w:sz w:val="25"/>
          <w:szCs w:val="25"/>
        </w:rPr>
        <w:t>On</w:t>
      </w:r>
      <w:r w:rsidR="00426C92" w:rsidRPr="00347054">
        <w:rPr>
          <w:sz w:val="25"/>
          <w:szCs w:val="25"/>
        </w:rPr>
        <w:t xml:space="preserve"> </w:t>
      </w:r>
      <w:r w:rsidR="008A54E8">
        <w:rPr>
          <w:sz w:val="25"/>
          <w:szCs w:val="25"/>
        </w:rPr>
        <w:t xml:space="preserve">June </w:t>
      </w:r>
      <w:r w:rsidR="00E20733">
        <w:rPr>
          <w:sz w:val="25"/>
          <w:szCs w:val="25"/>
        </w:rPr>
        <w:t>13</w:t>
      </w:r>
      <w:r w:rsidR="008A54E8">
        <w:rPr>
          <w:sz w:val="25"/>
          <w:szCs w:val="25"/>
        </w:rPr>
        <w:t>, 2014</w:t>
      </w:r>
      <w:r w:rsidR="005B60F9" w:rsidRPr="00347054">
        <w:rPr>
          <w:sz w:val="25"/>
          <w:szCs w:val="25"/>
        </w:rPr>
        <w:t xml:space="preserve">, </w:t>
      </w:r>
      <w:r w:rsidR="00E20733">
        <w:rPr>
          <w:bCs/>
          <w:sz w:val="25"/>
          <w:szCs w:val="25"/>
        </w:rPr>
        <w:t>Cristalina</w:t>
      </w:r>
      <w:r w:rsidR="00E20733" w:rsidRPr="00307182">
        <w:rPr>
          <w:bCs/>
          <w:sz w:val="25"/>
          <w:szCs w:val="25"/>
        </w:rPr>
        <w:t xml:space="preserve"> </w:t>
      </w:r>
      <w:r w:rsidR="008A54E8">
        <w:rPr>
          <w:sz w:val="25"/>
          <w:szCs w:val="25"/>
        </w:rPr>
        <w:t>r</w:t>
      </w:r>
      <w:r w:rsidR="00371E20" w:rsidRPr="00347054">
        <w:rPr>
          <w:sz w:val="25"/>
          <w:szCs w:val="25"/>
        </w:rPr>
        <w:t>esponded</w:t>
      </w:r>
      <w:r w:rsidRPr="00347054">
        <w:rPr>
          <w:sz w:val="25"/>
          <w:szCs w:val="25"/>
        </w:rPr>
        <w:t xml:space="preserve"> to the Commission</w:t>
      </w:r>
      <w:r w:rsidR="00B77835" w:rsidRPr="00347054">
        <w:rPr>
          <w:sz w:val="25"/>
          <w:szCs w:val="25"/>
        </w:rPr>
        <w:t xml:space="preserve">’s penalty </w:t>
      </w:r>
      <w:r w:rsidR="0014354E" w:rsidRPr="00347054">
        <w:rPr>
          <w:sz w:val="25"/>
          <w:szCs w:val="25"/>
        </w:rPr>
        <w:t>assessment</w:t>
      </w:r>
      <w:r w:rsidR="00B77835" w:rsidRPr="00347054">
        <w:rPr>
          <w:sz w:val="25"/>
          <w:szCs w:val="25"/>
        </w:rPr>
        <w:t xml:space="preserve"> </w:t>
      </w:r>
      <w:r w:rsidR="00304560">
        <w:rPr>
          <w:sz w:val="25"/>
          <w:szCs w:val="25"/>
        </w:rPr>
        <w:t>admitting the violations and requesting</w:t>
      </w:r>
      <w:r w:rsidR="00B77835" w:rsidRPr="00347054">
        <w:rPr>
          <w:sz w:val="25"/>
          <w:szCs w:val="25"/>
        </w:rPr>
        <w:t xml:space="preserve"> </w:t>
      </w:r>
      <w:r w:rsidR="008A54E8">
        <w:rPr>
          <w:sz w:val="25"/>
          <w:szCs w:val="25"/>
        </w:rPr>
        <w:t xml:space="preserve">mitigation </w:t>
      </w:r>
      <w:r w:rsidR="00304560">
        <w:rPr>
          <w:sz w:val="25"/>
          <w:szCs w:val="25"/>
        </w:rPr>
        <w:t xml:space="preserve">of the penalty </w:t>
      </w:r>
      <w:r w:rsidR="008A54E8">
        <w:rPr>
          <w:sz w:val="25"/>
          <w:szCs w:val="25"/>
        </w:rPr>
        <w:t xml:space="preserve">based on the written information </w:t>
      </w:r>
      <w:r w:rsidR="006005E9">
        <w:rPr>
          <w:sz w:val="25"/>
          <w:szCs w:val="25"/>
        </w:rPr>
        <w:t xml:space="preserve">it </w:t>
      </w:r>
      <w:r w:rsidR="008A54E8">
        <w:rPr>
          <w:sz w:val="25"/>
          <w:szCs w:val="25"/>
        </w:rPr>
        <w:t>provided</w:t>
      </w:r>
      <w:r w:rsidR="00B77835" w:rsidRPr="00347054">
        <w:rPr>
          <w:sz w:val="25"/>
          <w:szCs w:val="25"/>
        </w:rPr>
        <w:t xml:space="preserve">.  </w:t>
      </w:r>
      <w:r w:rsidR="008A54E8">
        <w:rPr>
          <w:sz w:val="25"/>
          <w:szCs w:val="25"/>
        </w:rPr>
        <w:t xml:space="preserve">The </w:t>
      </w:r>
      <w:r w:rsidR="00F0357E">
        <w:rPr>
          <w:sz w:val="25"/>
          <w:szCs w:val="25"/>
        </w:rPr>
        <w:t>C</w:t>
      </w:r>
      <w:r w:rsidR="00D11175">
        <w:rPr>
          <w:sz w:val="25"/>
          <w:szCs w:val="25"/>
        </w:rPr>
        <w:t>ompany</w:t>
      </w:r>
      <w:r w:rsidR="00307182">
        <w:rPr>
          <w:sz w:val="25"/>
          <w:szCs w:val="25"/>
        </w:rPr>
        <w:t xml:space="preserve"> explained that </w:t>
      </w:r>
      <w:r w:rsidR="00E20733">
        <w:rPr>
          <w:sz w:val="25"/>
          <w:szCs w:val="25"/>
        </w:rPr>
        <w:t xml:space="preserve">it has been working on transferring ownership of </w:t>
      </w:r>
      <w:r w:rsidR="006152E1">
        <w:rPr>
          <w:sz w:val="25"/>
          <w:szCs w:val="25"/>
        </w:rPr>
        <w:t>its water</w:t>
      </w:r>
      <w:r w:rsidR="00E20733">
        <w:rPr>
          <w:sz w:val="25"/>
          <w:szCs w:val="25"/>
        </w:rPr>
        <w:t xml:space="preserve"> system since late 2013, and requested that the Commission forgive the fine and “concentrate o</w:t>
      </w:r>
      <w:r w:rsidR="006152E1">
        <w:rPr>
          <w:sz w:val="25"/>
          <w:szCs w:val="25"/>
        </w:rPr>
        <w:t>n approving the transfer</w:t>
      </w:r>
      <w:r w:rsidR="00E20733">
        <w:rPr>
          <w:sz w:val="25"/>
          <w:szCs w:val="25"/>
        </w:rPr>
        <w:t>.</w:t>
      </w:r>
      <w:r w:rsidR="006152E1">
        <w:rPr>
          <w:sz w:val="25"/>
          <w:szCs w:val="25"/>
        </w:rPr>
        <w:t>”</w:t>
      </w:r>
    </w:p>
    <w:p w14:paraId="10B4E205" w14:textId="77777777" w:rsidR="00D700CC" w:rsidRDefault="00D700CC" w:rsidP="003304F5">
      <w:pPr>
        <w:pStyle w:val="ListParagraph"/>
        <w:ind w:left="0"/>
        <w:rPr>
          <w:sz w:val="25"/>
          <w:szCs w:val="25"/>
        </w:rPr>
      </w:pPr>
    </w:p>
    <w:p w14:paraId="099D6645" w14:textId="77777777" w:rsidR="003304F5" w:rsidRPr="004F5E53" w:rsidRDefault="003304F5" w:rsidP="003304F5">
      <w:pPr>
        <w:numPr>
          <w:ilvl w:val="0"/>
          <w:numId w:val="1"/>
        </w:numPr>
        <w:tabs>
          <w:tab w:val="clear" w:pos="1080"/>
          <w:tab w:val="left" w:pos="0"/>
        </w:tabs>
        <w:spacing w:line="288" w:lineRule="auto"/>
        <w:ind w:left="0" w:hanging="720"/>
        <w:rPr>
          <w:rStyle w:val="CommentReference"/>
          <w:sz w:val="25"/>
          <w:szCs w:val="25"/>
        </w:rPr>
      </w:pPr>
      <w:r>
        <w:rPr>
          <w:bCs/>
          <w:sz w:val="25"/>
          <w:szCs w:val="25"/>
        </w:rPr>
        <w:t>On June 13, 2014, Cristalina, LLC</w:t>
      </w:r>
      <w:r w:rsidRPr="00307182">
        <w:rPr>
          <w:bCs/>
          <w:sz w:val="25"/>
          <w:szCs w:val="25"/>
        </w:rPr>
        <w:t xml:space="preserve"> </w:t>
      </w:r>
      <w:r>
        <w:rPr>
          <w:bCs/>
          <w:sz w:val="25"/>
          <w:szCs w:val="25"/>
        </w:rPr>
        <w:t>filed its annual report and paid its regulatory and late payment fees.</w:t>
      </w:r>
    </w:p>
    <w:p w14:paraId="0748D8E1" w14:textId="77777777" w:rsidR="00D700CC" w:rsidRDefault="00D700CC" w:rsidP="00D700CC">
      <w:pPr>
        <w:tabs>
          <w:tab w:val="left" w:pos="0"/>
        </w:tabs>
        <w:spacing w:line="288" w:lineRule="auto"/>
        <w:rPr>
          <w:sz w:val="25"/>
          <w:szCs w:val="25"/>
        </w:rPr>
      </w:pPr>
    </w:p>
    <w:p w14:paraId="176667D5" w14:textId="77777777" w:rsidR="003304F5" w:rsidRPr="00347054" w:rsidRDefault="003304F5" w:rsidP="003304F5">
      <w:pPr>
        <w:numPr>
          <w:ilvl w:val="0"/>
          <w:numId w:val="1"/>
        </w:numPr>
        <w:tabs>
          <w:tab w:val="clear" w:pos="1080"/>
          <w:tab w:val="left" w:pos="0"/>
        </w:tabs>
        <w:spacing w:line="288" w:lineRule="auto"/>
        <w:ind w:left="0" w:hanging="720"/>
        <w:rPr>
          <w:sz w:val="25"/>
          <w:szCs w:val="25"/>
        </w:rPr>
      </w:pPr>
      <w:r>
        <w:rPr>
          <w:sz w:val="25"/>
          <w:szCs w:val="25"/>
        </w:rPr>
        <w:t>On June 27, 2014, Commission Staff (Staff) filed a response recommending the Commission deny the Company’s request for mitigation because the Company was delinquent in both 2006 and 2012.  Staff also noted that the Company filed documents related to its transfer of assets on June 17, 2014, in Docket UW-141301.</w:t>
      </w:r>
      <w:r>
        <w:rPr>
          <w:sz w:val="25"/>
          <w:szCs w:val="25"/>
        </w:rPr>
        <w:br/>
      </w:r>
    </w:p>
    <w:p w14:paraId="064F88BA" w14:textId="5F1EE625" w:rsidR="00D700CC" w:rsidRDefault="003304F5" w:rsidP="003304F5">
      <w:pPr>
        <w:numPr>
          <w:ilvl w:val="0"/>
          <w:numId w:val="1"/>
        </w:numPr>
        <w:tabs>
          <w:tab w:val="clear" w:pos="1080"/>
          <w:tab w:val="left" w:pos="0"/>
        </w:tabs>
        <w:spacing w:line="288" w:lineRule="auto"/>
        <w:ind w:left="0" w:hanging="720"/>
        <w:rPr>
          <w:sz w:val="25"/>
          <w:szCs w:val="25"/>
        </w:rPr>
      </w:pPr>
      <w:r>
        <w:rPr>
          <w:sz w:val="25"/>
          <w:szCs w:val="25"/>
        </w:rPr>
        <w:t>On July 18, 2014, the Commission entered Order 01, Order Denying Mitigation.</w:t>
      </w:r>
    </w:p>
    <w:p w14:paraId="4EAA1C23" w14:textId="34526FAC" w:rsidR="003304F5" w:rsidRDefault="003304F5">
      <w:pPr>
        <w:rPr>
          <w:sz w:val="25"/>
          <w:szCs w:val="25"/>
        </w:rPr>
      </w:pPr>
    </w:p>
    <w:p w14:paraId="7112C8C9" w14:textId="36F7CB06" w:rsidR="00DE0FC7" w:rsidRPr="00F66AEB" w:rsidRDefault="003304F5" w:rsidP="006005E9">
      <w:pPr>
        <w:numPr>
          <w:ilvl w:val="0"/>
          <w:numId w:val="1"/>
        </w:numPr>
        <w:tabs>
          <w:tab w:val="clear" w:pos="1080"/>
          <w:tab w:val="left" w:pos="0"/>
        </w:tabs>
        <w:spacing w:line="288" w:lineRule="auto"/>
        <w:ind w:left="0" w:hanging="720"/>
        <w:rPr>
          <w:sz w:val="25"/>
          <w:szCs w:val="25"/>
        </w:rPr>
      </w:pPr>
      <w:r w:rsidRPr="003304F5">
        <w:rPr>
          <w:bCs/>
          <w:sz w:val="25"/>
          <w:szCs w:val="25"/>
        </w:rPr>
        <w:t>On September 23, 2014, the Commission entered its Final Order - Order 01/02, Order</w:t>
      </w:r>
      <w:r>
        <w:rPr>
          <w:sz w:val="25"/>
          <w:szCs w:val="25"/>
        </w:rPr>
        <w:t xml:space="preserve"> on Consolidation Approving Transfer of Assets, Dismissing Complaint, </w:t>
      </w:r>
      <w:proofErr w:type="gramStart"/>
      <w:r>
        <w:rPr>
          <w:sz w:val="25"/>
          <w:szCs w:val="25"/>
        </w:rPr>
        <w:t>Denying</w:t>
      </w:r>
      <w:proofErr w:type="gramEnd"/>
      <w:r>
        <w:rPr>
          <w:sz w:val="25"/>
          <w:szCs w:val="25"/>
        </w:rPr>
        <w:t xml:space="preserve"> Motions &amp; Waiving Penalty </w:t>
      </w:r>
      <w:r w:rsidR="00983F26">
        <w:rPr>
          <w:sz w:val="25"/>
          <w:szCs w:val="25"/>
        </w:rPr>
        <w:t>w</w:t>
      </w:r>
      <w:r>
        <w:rPr>
          <w:sz w:val="25"/>
          <w:szCs w:val="25"/>
        </w:rPr>
        <w:t>ith Conditions in Dockets UW-141301, UW-140820, UW-132013, and UW-090516.</w:t>
      </w:r>
      <w:r w:rsidR="00DE0FC7">
        <w:rPr>
          <w:sz w:val="25"/>
          <w:szCs w:val="25"/>
        </w:rPr>
        <w:t xml:space="preserve">  Order 01/02 </w:t>
      </w:r>
      <w:r w:rsidR="00DE0FC7" w:rsidRPr="00F66AEB">
        <w:rPr>
          <w:sz w:val="25"/>
          <w:szCs w:val="25"/>
        </w:rPr>
        <w:t>approve</w:t>
      </w:r>
      <w:r w:rsidR="00DE0FC7">
        <w:rPr>
          <w:sz w:val="25"/>
          <w:szCs w:val="25"/>
        </w:rPr>
        <w:t>s</w:t>
      </w:r>
      <w:r w:rsidR="00DE0FC7" w:rsidRPr="00F66AEB">
        <w:rPr>
          <w:sz w:val="25"/>
          <w:szCs w:val="25"/>
        </w:rPr>
        <w:t xml:space="preserve"> the transfer of assets of </w:t>
      </w:r>
      <w:r w:rsidR="00DE0FC7" w:rsidRPr="00F66AEB">
        <w:rPr>
          <w:sz w:val="25"/>
          <w:szCs w:val="25"/>
        </w:rPr>
        <w:lastRenderedPageBreak/>
        <w:t>Cristalina LLC to Washington Water Service Company under the terms and conditions set forth in the Asset Acquisition Agreem</w:t>
      </w:r>
      <w:r w:rsidR="00DE0FC7">
        <w:rPr>
          <w:sz w:val="25"/>
          <w:szCs w:val="25"/>
        </w:rPr>
        <w:t>ent dated June 9, 2014, and filed with the Commission in Docket UW-141301</w:t>
      </w:r>
      <w:r w:rsidR="006005E9">
        <w:rPr>
          <w:sz w:val="25"/>
          <w:szCs w:val="25"/>
        </w:rPr>
        <w:t>.</w:t>
      </w:r>
    </w:p>
    <w:p w14:paraId="60E99F22" w14:textId="0A04B14F" w:rsidR="003304F5" w:rsidRDefault="003304F5" w:rsidP="006005E9">
      <w:pPr>
        <w:tabs>
          <w:tab w:val="left" w:pos="0"/>
        </w:tabs>
        <w:spacing w:line="288" w:lineRule="auto"/>
        <w:rPr>
          <w:sz w:val="25"/>
          <w:szCs w:val="25"/>
        </w:rPr>
      </w:pPr>
    </w:p>
    <w:p w14:paraId="3F209B11" w14:textId="5B34773A" w:rsidR="003304F5" w:rsidRDefault="003304F5" w:rsidP="001039D9">
      <w:pPr>
        <w:numPr>
          <w:ilvl w:val="0"/>
          <w:numId w:val="1"/>
        </w:numPr>
        <w:tabs>
          <w:tab w:val="clear" w:pos="1080"/>
          <w:tab w:val="left" w:pos="0"/>
        </w:tabs>
        <w:spacing w:line="288" w:lineRule="auto"/>
        <w:ind w:left="0" w:hanging="720"/>
        <w:rPr>
          <w:sz w:val="25"/>
          <w:szCs w:val="25"/>
        </w:rPr>
      </w:pPr>
      <w:r w:rsidRPr="006005E9">
        <w:rPr>
          <w:sz w:val="25"/>
          <w:szCs w:val="25"/>
        </w:rPr>
        <w:t>On November 13, 201</w:t>
      </w:r>
      <w:r w:rsidR="00DE0FC7" w:rsidRPr="006005E9">
        <w:rPr>
          <w:sz w:val="25"/>
          <w:szCs w:val="25"/>
        </w:rPr>
        <w:t>4</w:t>
      </w:r>
      <w:r w:rsidRPr="006005E9">
        <w:rPr>
          <w:sz w:val="25"/>
          <w:szCs w:val="25"/>
        </w:rPr>
        <w:t xml:space="preserve">, Staff filed a letter with the Commission </w:t>
      </w:r>
      <w:r w:rsidR="006005E9" w:rsidRPr="006005E9">
        <w:rPr>
          <w:sz w:val="25"/>
          <w:szCs w:val="25"/>
        </w:rPr>
        <w:t xml:space="preserve">stating </w:t>
      </w:r>
      <w:r w:rsidRPr="006005E9">
        <w:rPr>
          <w:sz w:val="25"/>
          <w:szCs w:val="25"/>
        </w:rPr>
        <w:t xml:space="preserve">that because the Commission approved the transfer of </w:t>
      </w:r>
      <w:r w:rsidR="00DE0FC7" w:rsidRPr="006005E9">
        <w:rPr>
          <w:sz w:val="25"/>
          <w:szCs w:val="25"/>
        </w:rPr>
        <w:t xml:space="preserve">Cristalina’s </w:t>
      </w:r>
      <w:r w:rsidRPr="006005E9">
        <w:rPr>
          <w:sz w:val="25"/>
          <w:szCs w:val="25"/>
        </w:rPr>
        <w:t xml:space="preserve">assets </w:t>
      </w:r>
      <w:r w:rsidR="00DE0FC7" w:rsidRPr="006005E9">
        <w:rPr>
          <w:sz w:val="25"/>
          <w:szCs w:val="25"/>
        </w:rPr>
        <w:t xml:space="preserve">to Washington Water Service Company </w:t>
      </w:r>
      <w:r w:rsidRPr="006005E9">
        <w:rPr>
          <w:sz w:val="25"/>
          <w:szCs w:val="25"/>
        </w:rPr>
        <w:t>in Docket UW-141301</w:t>
      </w:r>
      <w:r w:rsidR="0078092E">
        <w:rPr>
          <w:sz w:val="25"/>
          <w:szCs w:val="25"/>
        </w:rPr>
        <w:t xml:space="preserve">, and Cristalina will no longer be </w:t>
      </w:r>
      <w:r w:rsidR="00D4695D">
        <w:rPr>
          <w:sz w:val="25"/>
          <w:szCs w:val="25"/>
        </w:rPr>
        <w:t xml:space="preserve">providing </w:t>
      </w:r>
      <w:r w:rsidR="0078092E">
        <w:rPr>
          <w:sz w:val="25"/>
          <w:szCs w:val="25"/>
        </w:rPr>
        <w:t xml:space="preserve">regulated </w:t>
      </w:r>
      <w:r w:rsidR="00D4695D">
        <w:rPr>
          <w:sz w:val="25"/>
          <w:szCs w:val="25"/>
        </w:rPr>
        <w:t xml:space="preserve">water service </w:t>
      </w:r>
      <w:r w:rsidR="0078092E">
        <w:rPr>
          <w:sz w:val="25"/>
          <w:szCs w:val="25"/>
        </w:rPr>
        <w:t>upon the closing of the transfer of assets</w:t>
      </w:r>
      <w:r w:rsidR="006005E9" w:rsidRPr="006005E9">
        <w:rPr>
          <w:sz w:val="25"/>
          <w:szCs w:val="25"/>
        </w:rPr>
        <w:t xml:space="preserve">, </w:t>
      </w:r>
      <w:r w:rsidR="00D4695D">
        <w:rPr>
          <w:sz w:val="25"/>
          <w:szCs w:val="25"/>
        </w:rPr>
        <w:t>Staff</w:t>
      </w:r>
      <w:r w:rsidR="00DE0FC7" w:rsidRPr="006005E9">
        <w:rPr>
          <w:sz w:val="25"/>
          <w:szCs w:val="25"/>
        </w:rPr>
        <w:t xml:space="preserve"> </w:t>
      </w:r>
      <w:r w:rsidR="006005E9" w:rsidRPr="006005E9">
        <w:rPr>
          <w:sz w:val="25"/>
          <w:szCs w:val="25"/>
        </w:rPr>
        <w:t xml:space="preserve">recommends the assessed penalty </w:t>
      </w:r>
      <w:r w:rsidR="0078092E">
        <w:rPr>
          <w:sz w:val="25"/>
          <w:szCs w:val="25"/>
        </w:rPr>
        <w:t xml:space="preserve">against Cristalina </w:t>
      </w:r>
      <w:r w:rsidR="006005E9" w:rsidRPr="006005E9">
        <w:rPr>
          <w:sz w:val="25"/>
          <w:szCs w:val="25"/>
        </w:rPr>
        <w:t>be withdrawn and the docket closed.</w:t>
      </w:r>
    </w:p>
    <w:p w14:paraId="5DE2025A" w14:textId="77777777" w:rsidR="006005E9" w:rsidRDefault="006005E9" w:rsidP="006005E9">
      <w:pPr>
        <w:tabs>
          <w:tab w:val="left" w:pos="0"/>
        </w:tabs>
        <w:spacing w:line="288" w:lineRule="auto"/>
        <w:rPr>
          <w:sz w:val="25"/>
          <w:szCs w:val="25"/>
        </w:rPr>
      </w:pPr>
    </w:p>
    <w:p w14:paraId="338C604A" w14:textId="3AC34FB3" w:rsidR="00D4695D" w:rsidRPr="00072C42" w:rsidRDefault="00D4695D" w:rsidP="00072C42">
      <w:pPr>
        <w:tabs>
          <w:tab w:val="left" w:pos="0"/>
        </w:tabs>
        <w:spacing w:line="288" w:lineRule="auto"/>
        <w:jc w:val="center"/>
        <w:rPr>
          <w:b/>
          <w:sz w:val="25"/>
          <w:szCs w:val="25"/>
        </w:rPr>
      </w:pPr>
      <w:r>
        <w:rPr>
          <w:b/>
          <w:sz w:val="25"/>
          <w:szCs w:val="25"/>
        </w:rPr>
        <w:t>DISCUSSION</w:t>
      </w:r>
    </w:p>
    <w:p w14:paraId="2B56C4A9" w14:textId="77777777" w:rsidR="00D4695D" w:rsidRPr="006005E9" w:rsidRDefault="00D4695D" w:rsidP="006005E9">
      <w:pPr>
        <w:tabs>
          <w:tab w:val="left" w:pos="0"/>
        </w:tabs>
        <w:spacing w:line="288" w:lineRule="auto"/>
        <w:rPr>
          <w:sz w:val="25"/>
          <w:szCs w:val="25"/>
        </w:rPr>
      </w:pPr>
    </w:p>
    <w:p w14:paraId="1BD87DAB" w14:textId="5F138667" w:rsidR="003304F5" w:rsidRDefault="00E20733" w:rsidP="00E20733">
      <w:pPr>
        <w:numPr>
          <w:ilvl w:val="0"/>
          <w:numId w:val="1"/>
        </w:numPr>
        <w:tabs>
          <w:tab w:val="clear" w:pos="1080"/>
          <w:tab w:val="left" w:pos="0"/>
        </w:tabs>
        <w:spacing w:line="288" w:lineRule="auto"/>
        <w:ind w:left="0" w:hanging="720"/>
        <w:rPr>
          <w:sz w:val="25"/>
          <w:szCs w:val="25"/>
        </w:rPr>
      </w:pPr>
      <w:r w:rsidRPr="000326F7">
        <w:rPr>
          <w:sz w:val="25"/>
          <w:szCs w:val="25"/>
        </w:rPr>
        <w:t>The Commission a</w:t>
      </w:r>
      <w:r w:rsidR="0078092E">
        <w:rPr>
          <w:sz w:val="25"/>
          <w:szCs w:val="25"/>
        </w:rPr>
        <w:t>ccepts</w:t>
      </w:r>
      <w:r w:rsidRPr="000326F7">
        <w:rPr>
          <w:sz w:val="25"/>
          <w:szCs w:val="25"/>
        </w:rPr>
        <w:t xml:space="preserve"> Staff’s recommendation</w:t>
      </w:r>
      <w:r w:rsidR="00D4695D">
        <w:rPr>
          <w:sz w:val="25"/>
          <w:szCs w:val="25"/>
        </w:rPr>
        <w:t>.  The primary purpose of penalties the Commission assesses is to ensure future compliance with applicable statutes, rules, and regulations.  Cristalina has transferred the assets it used to provide regulated water service to another company and as a result, will no longer be providing such service or obligated to file annual reports and pay regulatory fees.  T</w:t>
      </w:r>
      <w:r w:rsidR="003304F5">
        <w:rPr>
          <w:sz w:val="25"/>
          <w:szCs w:val="25"/>
        </w:rPr>
        <w:t xml:space="preserve">he penalty of $1,000 </w:t>
      </w:r>
      <w:r w:rsidR="00D4695D">
        <w:rPr>
          <w:sz w:val="25"/>
          <w:szCs w:val="25"/>
        </w:rPr>
        <w:t xml:space="preserve">the Commission </w:t>
      </w:r>
      <w:r w:rsidR="003304F5">
        <w:rPr>
          <w:sz w:val="25"/>
          <w:szCs w:val="25"/>
        </w:rPr>
        <w:t>assessed against Cristalina</w:t>
      </w:r>
      <w:r w:rsidR="00D4695D">
        <w:rPr>
          <w:sz w:val="25"/>
          <w:szCs w:val="25"/>
        </w:rPr>
        <w:t>, therefore, will not serve its intended purpose and should be rescinded</w:t>
      </w:r>
      <w:r w:rsidRPr="000326F7">
        <w:rPr>
          <w:sz w:val="25"/>
          <w:szCs w:val="25"/>
        </w:rPr>
        <w:t xml:space="preserve">.  </w:t>
      </w:r>
    </w:p>
    <w:p w14:paraId="43789412" w14:textId="28A126D5" w:rsidR="0050746F" w:rsidRDefault="0050746F">
      <w:pPr>
        <w:rPr>
          <w:b/>
          <w:sz w:val="25"/>
          <w:szCs w:val="25"/>
        </w:rPr>
      </w:pPr>
    </w:p>
    <w:p w14:paraId="03D54332" w14:textId="77777777" w:rsidR="00F32856" w:rsidRPr="00347054" w:rsidRDefault="00F32856" w:rsidP="0050746F">
      <w:pPr>
        <w:spacing w:line="288" w:lineRule="auto"/>
        <w:jc w:val="center"/>
        <w:rPr>
          <w:b/>
          <w:sz w:val="25"/>
          <w:szCs w:val="25"/>
        </w:rPr>
      </w:pPr>
      <w:r w:rsidRPr="00347054">
        <w:rPr>
          <w:b/>
          <w:sz w:val="25"/>
          <w:szCs w:val="25"/>
        </w:rPr>
        <w:t>ORDER</w:t>
      </w:r>
    </w:p>
    <w:p w14:paraId="277F81AC" w14:textId="77777777" w:rsidR="00892232" w:rsidRPr="00347054" w:rsidRDefault="00892232" w:rsidP="00347054">
      <w:pPr>
        <w:pStyle w:val="ListParagraph"/>
        <w:spacing w:line="288" w:lineRule="auto"/>
        <w:ind w:left="0"/>
        <w:rPr>
          <w:sz w:val="25"/>
          <w:szCs w:val="25"/>
        </w:rPr>
      </w:pPr>
    </w:p>
    <w:p w14:paraId="4D179689" w14:textId="3597DCDC" w:rsidR="00D10DF0" w:rsidRPr="00347054" w:rsidRDefault="00F32856" w:rsidP="006005E9">
      <w:pPr>
        <w:numPr>
          <w:ilvl w:val="0"/>
          <w:numId w:val="1"/>
        </w:numPr>
        <w:tabs>
          <w:tab w:val="clear" w:pos="1080"/>
          <w:tab w:val="left" w:pos="0"/>
        </w:tabs>
        <w:spacing w:line="288" w:lineRule="auto"/>
        <w:ind w:left="0" w:hanging="720"/>
        <w:rPr>
          <w:sz w:val="25"/>
          <w:szCs w:val="25"/>
        </w:rPr>
      </w:pPr>
      <w:r w:rsidRPr="00347054">
        <w:rPr>
          <w:sz w:val="25"/>
          <w:szCs w:val="25"/>
        </w:rPr>
        <w:t>T</w:t>
      </w:r>
      <w:r w:rsidR="005E3095" w:rsidRPr="00347054">
        <w:rPr>
          <w:sz w:val="25"/>
          <w:szCs w:val="25"/>
        </w:rPr>
        <w:t>HE COMMISSION ORDERS</w:t>
      </w:r>
      <w:r w:rsidR="0063309B">
        <w:rPr>
          <w:sz w:val="25"/>
          <w:szCs w:val="25"/>
        </w:rPr>
        <w:t xml:space="preserve"> </w:t>
      </w:r>
      <w:r w:rsidR="0078092E">
        <w:rPr>
          <w:sz w:val="25"/>
          <w:szCs w:val="25"/>
        </w:rPr>
        <w:t>that</w:t>
      </w:r>
      <w:r w:rsidR="006005E9">
        <w:rPr>
          <w:sz w:val="25"/>
          <w:szCs w:val="25"/>
        </w:rPr>
        <w:t xml:space="preserve"> t</w:t>
      </w:r>
      <w:r w:rsidR="00D10DF0" w:rsidRPr="00347054">
        <w:rPr>
          <w:sz w:val="25"/>
          <w:szCs w:val="25"/>
        </w:rPr>
        <w:t xml:space="preserve">he </w:t>
      </w:r>
      <w:r w:rsidR="0063309B">
        <w:rPr>
          <w:sz w:val="25"/>
          <w:szCs w:val="25"/>
        </w:rPr>
        <w:t xml:space="preserve">$1,000 penalty assessed against </w:t>
      </w:r>
      <w:r w:rsidR="00FD49F4">
        <w:rPr>
          <w:bCs/>
          <w:sz w:val="25"/>
          <w:szCs w:val="25"/>
        </w:rPr>
        <w:t>Cristalina, LLC</w:t>
      </w:r>
      <w:r w:rsidR="009E7E11" w:rsidRPr="00307182">
        <w:rPr>
          <w:bCs/>
          <w:sz w:val="25"/>
          <w:szCs w:val="25"/>
        </w:rPr>
        <w:t xml:space="preserve"> </w:t>
      </w:r>
      <w:r w:rsidR="0063309B">
        <w:rPr>
          <w:bCs/>
          <w:sz w:val="25"/>
          <w:szCs w:val="25"/>
        </w:rPr>
        <w:t>is rescinded</w:t>
      </w:r>
      <w:r w:rsidR="00E0789C" w:rsidRPr="00347054">
        <w:rPr>
          <w:sz w:val="25"/>
          <w:szCs w:val="25"/>
        </w:rPr>
        <w:t>.</w:t>
      </w:r>
      <w:r w:rsidR="006005E9">
        <w:rPr>
          <w:sz w:val="25"/>
          <w:szCs w:val="25"/>
        </w:rPr>
        <w:t xml:space="preserve">  </w:t>
      </w:r>
      <w:r w:rsidR="0078092E">
        <w:rPr>
          <w:sz w:val="25"/>
          <w:szCs w:val="25"/>
        </w:rPr>
        <w:t>Accordingly, t</w:t>
      </w:r>
      <w:r w:rsidR="0063309B">
        <w:rPr>
          <w:sz w:val="25"/>
          <w:szCs w:val="25"/>
        </w:rPr>
        <w:t>his docket is closed.</w:t>
      </w:r>
    </w:p>
    <w:p w14:paraId="1CF6D1E6" w14:textId="77777777" w:rsidR="00AA6988" w:rsidRPr="00347054" w:rsidRDefault="00AA6988" w:rsidP="00347054">
      <w:pPr>
        <w:pStyle w:val="ListParagraph"/>
        <w:spacing w:line="288" w:lineRule="auto"/>
        <w:rPr>
          <w:sz w:val="25"/>
          <w:szCs w:val="25"/>
        </w:rPr>
      </w:pPr>
    </w:p>
    <w:p w14:paraId="07B8248B" w14:textId="51E9E410" w:rsidR="00C011AB" w:rsidRPr="00347054" w:rsidRDefault="00BD11E4" w:rsidP="00347054">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6005E9">
        <w:rPr>
          <w:sz w:val="25"/>
          <w:szCs w:val="25"/>
        </w:rPr>
        <w:t>November 18</w:t>
      </w:r>
      <w:r w:rsidR="008A54E8">
        <w:rPr>
          <w:sz w:val="25"/>
          <w:szCs w:val="25"/>
        </w:rPr>
        <w:t>, 2014</w:t>
      </w:r>
      <w:r w:rsidR="00C011AB" w:rsidRPr="00347054">
        <w:rPr>
          <w:sz w:val="25"/>
          <w:szCs w:val="25"/>
        </w:rPr>
        <w:t>.</w:t>
      </w:r>
    </w:p>
    <w:p w14:paraId="3E5EAC88" w14:textId="77777777" w:rsidR="00C011AB" w:rsidRPr="00347054" w:rsidRDefault="00C011AB" w:rsidP="00347054">
      <w:pPr>
        <w:pStyle w:val="Header"/>
        <w:tabs>
          <w:tab w:val="clear" w:pos="4320"/>
          <w:tab w:val="clear" w:pos="8640"/>
        </w:tabs>
        <w:spacing w:line="288" w:lineRule="auto"/>
        <w:rPr>
          <w:sz w:val="25"/>
          <w:szCs w:val="25"/>
        </w:rPr>
      </w:pPr>
    </w:p>
    <w:p w14:paraId="510DB48C" w14:textId="77777777" w:rsidR="00C011AB" w:rsidRPr="00347054" w:rsidRDefault="00C011AB" w:rsidP="00347054">
      <w:pPr>
        <w:spacing w:line="288" w:lineRule="auto"/>
        <w:jc w:val="center"/>
        <w:rPr>
          <w:sz w:val="25"/>
          <w:szCs w:val="25"/>
        </w:rPr>
      </w:pPr>
      <w:r w:rsidRPr="00347054">
        <w:rPr>
          <w:sz w:val="25"/>
          <w:szCs w:val="25"/>
        </w:rPr>
        <w:t>WASHINGTON UTILITIES AND TRANSPORTATION COMMISSION</w:t>
      </w:r>
    </w:p>
    <w:p w14:paraId="0AFD0C47" w14:textId="77777777" w:rsidR="00293EC2" w:rsidRDefault="00293EC2" w:rsidP="00347054">
      <w:pPr>
        <w:spacing w:line="288" w:lineRule="auto"/>
        <w:ind w:left="2880" w:firstLine="720"/>
        <w:jc w:val="center"/>
        <w:rPr>
          <w:sz w:val="25"/>
          <w:szCs w:val="25"/>
        </w:rPr>
      </w:pPr>
    </w:p>
    <w:p w14:paraId="5992E3D0" w14:textId="77777777" w:rsidR="00072C42" w:rsidRPr="00347054" w:rsidRDefault="00072C42" w:rsidP="00347054">
      <w:pPr>
        <w:spacing w:line="288" w:lineRule="auto"/>
        <w:ind w:left="2880" w:firstLine="720"/>
        <w:jc w:val="center"/>
        <w:rPr>
          <w:sz w:val="25"/>
          <w:szCs w:val="25"/>
        </w:rPr>
      </w:pPr>
    </w:p>
    <w:p w14:paraId="28CCC088" w14:textId="77777777" w:rsidR="00293EC2" w:rsidRPr="00347054" w:rsidRDefault="00293EC2" w:rsidP="00347054">
      <w:pPr>
        <w:spacing w:line="288" w:lineRule="auto"/>
        <w:ind w:left="2880" w:firstLine="720"/>
        <w:jc w:val="center"/>
        <w:rPr>
          <w:sz w:val="25"/>
          <w:szCs w:val="25"/>
        </w:rPr>
      </w:pPr>
    </w:p>
    <w:p w14:paraId="5202F8D9" w14:textId="77777777" w:rsidR="00C011AB" w:rsidRPr="00347054" w:rsidRDefault="008A37A3" w:rsidP="00347054">
      <w:pPr>
        <w:spacing w:line="288" w:lineRule="auto"/>
        <w:ind w:left="3600" w:firstLine="720"/>
        <w:rPr>
          <w:sz w:val="25"/>
          <w:szCs w:val="25"/>
        </w:rPr>
      </w:pPr>
      <w:r w:rsidRPr="00347054">
        <w:rPr>
          <w:sz w:val="25"/>
          <w:szCs w:val="25"/>
        </w:rPr>
        <w:t>STEVEN V. KING</w:t>
      </w:r>
    </w:p>
    <w:p w14:paraId="571175B2" w14:textId="77777777" w:rsidR="00C011AB" w:rsidRPr="00347054" w:rsidRDefault="00C011AB" w:rsidP="00347054">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53DD17D6" w14:textId="77777777" w:rsidR="006972FB" w:rsidRPr="00347054" w:rsidRDefault="006972FB" w:rsidP="00347054">
      <w:pPr>
        <w:spacing w:line="288" w:lineRule="auto"/>
        <w:rPr>
          <w:sz w:val="25"/>
          <w:szCs w:val="25"/>
        </w:rPr>
      </w:pPr>
    </w:p>
    <w:p w14:paraId="63E85557" w14:textId="77777777" w:rsidR="00F637C2" w:rsidRPr="00347054" w:rsidRDefault="00F637C2" w:rsidP="00347054">
      <w:pPr>
        <w:spacing w:line="288" w:lineRule="auto"/>
        <w:rPr>
          <w:sz w:val="25"/>
          <w:szCs w:val="25"/>
        </w:rPr>
      </w:pPr>
    </w:p>
    <w:sectPr w:rsidR="00F637C2" w:rsidRPr="00347054" w:rsidSect="00667D1F">
      <w:headerReference w:type="default" r:id="rId11"/>
      <w:headerReference w:type="first" r:id="rId12"/>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EACC" w14:textId="77777777" w:rsidR="0017759A" w:rsidRDefault="0017759A">
      <w:r>
        <w:separator/>
      </w:r>
    </w:p>
  </w:endnote>
  <w:endnote w:type="continuationSeparator" w:id="0">
    <w:p w14:paraId="630A1777" w14:textId="77777777" w:rsidR="0017759A" w:rsidRDefault="0017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E921A" w14:textId="77777777" w:rsidR="0017759A" w:rsidRDefault="0017759A">
      <w:r>
        <w:separator/>
      </w:r>
    </w:p>
  </w:footnote>
  <w:footnote w:type="continuationSeparator" w:id="0">
    <w:p w14:paraId="6016A2FA" w14:textId="77777777" w:rsidR="0017759A" w:rsidRDefault="00177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7688"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4D6088">
      <w:rPr>
        <w:b/>
        <w:bCs/>
        <w:sz w:val="20"/>
        <w:szCs w:val="20"/>
      </w:rPr>
      <w:t>UW-14084</w:t>
    </w:r>
    <w:r w:rsidR="00E20733">
      <w:rPr>
        <w:b/>
        <w:bCs/>
        <w:sz w:val="20"/>
        <w:szCs w:val="20"/>
      </w:rPr>
      <w:t>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7E4E3C">
      <w:rPr>
        <w:rStyle w:val="PageNumber"/>
        <w:b/>
        <w:bCs/>
        <w:noProof/>
        <w:sz w:val="20"/>
        <w:szCs w:val="20"/>
      </w:rPr>
      <w:t>2</w:t>
    </w:r>
    <w:r w:rsidRPr="00B85B2D">
      <w:rPr>
        <w:rStyle w:val="PageNumber"/>
        <w:b/>
        <w:bCs/>
        <w:sz w:val="20"/>
        <w:szCs w:val="20"/>
      </w:rPr>
      <w:fldChar w:fldCharType="end"/>
    </w:r>
  </w:p>
  <w:p w14:paraId="76830B88" w14:textId="4251BDB9"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w:t>
    </w:r>
    <w:r w:rsidR="0063309B">
      <w:rPr>
        <w:rStyle w:val="PageNumber"/>
        <w:b/>
        <w:bCs/>
        <w:sz w:val="20"/>
        <w:szCs w:val="20"/>
      </w:rPr>
      <w:t>2</w:t>
    </w:r>
  </w:p>
  <w:p w14:paraId="1C5E4F3A"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0A2C2" w14:textId="0276C065" w:rsidR="00667D1F" w:rsidRPr="00667D1F" w:rsidRDefault="00667D1F" w:rsidP="00667D1F">
    <w:pPr>
      <w:pStyle w:val="Header"/>
      <w:tabs>
        <w:tab w:val="clear" w:pos="4320"/>
      </w:tabs>
      <w:rPr>
        <w:b/>
        <w:sz w:val="20"/>
        <w:szCs w:val="20"/>
      </w:rPr>
    </w:pPr>
    <w:r>
      <w:tab/>
    </w:r>
    <w:r w:rsidRPr="00667D1F">
      <w:rPr>
        <w:b/>
        <w:sz w:val="20"/>
        <w:szCs w:val="20"/>
      </w:rPr>
      <w:t>[Service Date November 18,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5D2A5789"/>
    <w:multiLevelType w:val="hybridMultilevel"/>
    <w:tmpl w:val="E7346A10"/>
    <w:lvl w:ilvl="0" w:tplc="AD58B2C2">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53E7"/>
    <w:rsid w:val="000164A8"/>
    <w:rsid w:val="000210D8"/>
    <w:rsid w:val="0002339B"/>
    <w:rsid w:val="00023460"/>
    <w:rsid w:val="00033213"/>
    <w:rsid w:val="00040C1A"/>
    <w:rsid w:val="000425D2"/>
    <w:rsid w:val="000426C0"/>
    <w:rsid w:val="00046349"/>
    <w:rsid w:val="00064277"/>
    <w:rsid w:val="00064471"/>
    <w:rsid w:val="000677EC"/>
    <w:rsid w:val="00072C42"/>
    <w:rsid w:val="00074469"/>
    <w:rsid w:val="00084377"/>
    <w:rsid w:val="000A14A5"/>
    <w:rsid w:val="000A424F"/>
    <w:rsid w:val="000A5612"/>
    <w:rsid w:val="000A60F5"/>
    <w:rsid w:val="000A6806"/>
    <w:rsid w:val="000B10D9"/>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06D"/>
    <w:rsid w:val="00135751"/>
    <w:rsid w:val="00136247"/>
    <w:rsid w:val="00136868"/>
    <w:rsid w:val="0014054F"/>
    <w:rsid w:val="0014354E"/>
    <w:rsid w:val="00152F28"/>
    <w:rsid w:val="001537A6"/>
    <w:rsid w:val="0015682A"/>
    <w:rsid w:val="00160AF2"/>
    <w:rsid w:val="0016160B"/>
    <w:rsid w:val="001664DB"/>
    <w:rsid w:val="0017431C"/>
    <w:rsid w:val="00176046"/>
    <w:rsid w:val="0017759A"/>
    <w:rsid w:val="00177D68"/>
    <w:rsid w:val="00182298"/>
    <w:rsid w:val="00186814"/>
    <w:rsid w:val="00190A10"/>
    <w:rsid w:val="00190E92"/>
    <w:rsid w:val="001A0000"/>
    <w:rsid w:val="001A220D"/>
    <w:rsid w:val="001C10D0"/>
    <w:rsid w:val="001C1DAE"/>
    <w:rsid w:val="001D0DC8"/>
    <w:rsid w:val="001D1073"/>
    <w:rsid w:val="001D765C"/>
    <w:rsid w:val="001E64D7"/>
    <w:rsid w:val="001F6CA6"/>
    <w:rsid w:val="00203697"/>
    <w:rsid w:val="00212C4A"/>
    <w:rsid w:val="00217765"/>
    <w:rsid w:val="00223687"/>
    <w:rsid w:val="00226090"/>
    <w:rsid w:val="002260E1"/>
    <w:rsid w:val="00230FD0"/>
    <w:rsid w:val="00233D02"/>
    <w:rsid w:val="0023553E"/>
    <w:rsid w:val="0024097E"/>
    <w:rsid w:val="00241EFB"/>
    <w:rsid w:val="002443C1"/>
    <w:rsid w:val="00244A75"/>
    <w:rsid w:val="00251255"/>
    <w:rsid w:val="0025542C"/>
    <w:rsid w:val="002558D0"/>
    <w:rsid w:val="0025776E"/>
    <w:rsid w:val="002601B6"/>
    <w:rsid w:val="00264C0F"/>
    <w:rsid w:val="002656EB"/>
    <w:rsid w:val="0026688A"/>
    <w:rsid w:val="002728F6"/>
    <w:rsid w:val="00273073"/>
    <w:rsid w:val="00281ABD"/>
    <w:rsid w:val="002834B4"/>
    <w:rsid w:val="00285B43"/>
    <w:rsid w:val="0028697C"/>
    <w:rsid w:val="00287672"/>
    <w:rsid w:val="00291C3E"/>
    <w:rsid w:val="00293EC2"/>
    <w:rsid w:val="002969C0"/>
    <w:rsid w:val="002A44FE"/>
    <w:rsid w:val="002A547A"/>
    <w:rsid w:val="002B0F91"/>
    <w:rsid w:val="002C03F6"/>
    <w:rsid w:val="002C1C05"/>
    <w:rsid w:val="002C5131"/>
    <w:rsid w:val="002E1E12"/>
    <w:rsid w:val="002E3C80"/>
    <w:rsid w:val="002E59AC"/>
    <w:rsid w:val="002F169B"/>
    <w:rsid w:val="002F698C"/>
    <w:rsid w:val="00301107"/>
    <w:rsid w:val="00304560"/>
    <w:rsid w:val="0030487D"/>
    <w:rsid w:val="00304888"/>
    <w:rsid w:val="00306BC3"/>
    <w:rsid w:val="00307182"/>
    <w:rsid w:val="003072AB"/>
    <w:rsid w:val="00311EBF"/>
    <w:rsid w:val="0031607C"/>
    <w:rsid w:val="00316961"/>
    <w:rsid w:val="00320A02"/>
    <w:rsid w:val="003221C8"/>
    <w:rsid w:val="00325033"/>
    <w:rsid w:val="003268D5"/>
    <w:rsid w:val="003304F5"/>
    <w:rsid w:val="00343FAD"/>
    <w:rsid w:val="00347054"/>
    <w:rsid w:val="003470BB"/>
    <w:rsid w:val="00353DB5"/>
    <w:rsid w:val="00361888"/>
    <w:rsid w:val="00362AC7"/>
    <w:rsid w:val="00363B2A"/>
    <w:rsid w:val="00365BFF"/>
    <w:rsid w:val="003717D9"/>
    <w:rsid w:val="00371E20"/>
    <w:rsid w:val="00372516"/>
    <w:rsid w:val="003815A3"/>
    <w:rsid w:val="00383B52"/>
    <w:rsid w:val="00386898"/>
    <w:rsid w:val="00397A87"/>
    <w:rsid w:val="003A38E3"/>
    <w:rsid w:val="003A7B35"/>
    <w:rsid w:val="003B10D2"/>
    <w:rsid w:val="003B7D37"/>
    <w:rsid w:val="003C5E47"/>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D2214"/>
    <w:rsid w:val="004D23D2"/>
    <w:rsid w:val="004D24E3"/>
    <w:rsid w:val="004D2B76"/>
    <w:rsid w:val="004D6088"/>
    <w:rsid w:val="004E14C5"/>
    <w:rsid w:val="004E42C9"/>
    <w:rsid w:val="004F19C5"/>
    <w:rsid w:val="004F5A39"/>
    <w:rsid w:val="004F5E53"/>
    <w:rsid w:val="00503A76"/>
    <w:rsid w:val="00506F82"/>
    <w:rsid w:val="0050746F"/>
    <w:rsid w:val="00516019"/>
    <w:rsid w:val="00521A82"/>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05E9"/>
    <w:rsid w:val="0060406D"/>
    <w:rsid w:val="006060EF"/>
    <w:rsid w:val="00606C8D"/>
    <w:rsid w:val="006140A4"/>
    <w:rsid w:val="006152E1"/>
    <w:rsid w:val="00622F11"/>
    <w:rsid w:val="00623107"/>
    <w:rsid w:val="00630B45"/>
    <w:rsid w:val="0063197C"/>
    <w:rsid w:val="0063309B"/>
    <w:rsid w:val="0064785C"/>
    <w:rsid w:val="006552B9"/>
    <w:rsid w:val="00664F6A"/>
    <w:rsid w:val="00667D1F"/>
    <w:rsid w:val="00667F91"/>
    <w:rsid w:val="006704C8"/>
    <w:rsid w:val="00672F09"/>
    <w:rsid w:val="006736DC"/>
    <w:rsid w:val="00675C9A"/>
    <w:rsid w:val="00676323"/>
    <w:rsid w:val="00683BD2"/>
    <w:rsid w:val="00684895"/>
    <w:rsid w:val="006972FB"/>
    <w:rsid w:val="006A0236"/>
    <w:rsid w:val="006A2DCA"/>
    <w:rsid w:val="006B2972"/>
    <w:rsid w:val="006B41C6"/>
    <w:rsid w:val="006B619B"/>
    <w:rsid w:val="006B6EDA"/>
    <w:rsid w:val="006C5AA6"/>
    <w:rsid w:val="006C67EE"/>
    <w:rsid w:val="006D1F48"/>
    <w:rsid w:val="006D3BA8"/>
    <w:rsid w:val="006E06FD"/>
    <w:rsid w:val="006F0806"/>
    <w:rsid w:val="006F2E4D"/>
    <w:rsid w:val="006F5053"/>
    <w:rsid w:val="006F7C3C"/>
    <w:rsid w:val="00703594"/>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092E"/>
    <w:rsid w:val="00781CE1"/>
    <w:rsid w:val="00790390"/>
    <w:rsid w:val="0079303C"/>
    <w:rsid w:val="007977BC"/>
    <w:rsid w:val="007A0EF6"/>
    <w:rsid w:val="007A3293"/>
    <w:rsid w:val="007B74DA"/>
    <w:rsid w:val="007C1AF6"/>
    <w:rsid w:val="007D1ED9"/>
    <w:rsid w:val="007E43FB"/>
    <w:rsid w:val="007E4E3C"/>
    <w:rsid w:val="007E6EE7"/>
    <w:rsid w:val="007E70A0"/>
    <w:rsid w:val="007F2B40"/>
    <w:rsid w:val="008002A6"/>
    <w:rsid w:val="00801D54"/>
    <w:rsid w:val="0080504E"/>
    <w:rsid w:val="00805912"/>
    <w:rsid w:val="00807A37"/>
    <w:rsid w:val="00811797"/>
    <w:rsid w:val="0081220C"/>
    <w:rsid w:val="0082073A"/>
    <w:rsid w:val="00820BD5"/>
    <w:rsid w:val="008215F8"/>
    <w:rsid w:val="00824020"/>
    <w:rsid w:val="008263FC"/>
    <w:rsid w:val="0082755E"/>
    <w:rsid w:val="00827DA2"/>
    <w:rsid w:val="00830040"/>
    <w:rsid w:val="00834160"/>
    <w:rsid w:val="0084064A"/>
    <w:rsid w:val="00840E3F"/>
    <w:rsid w:val="00841996"/>
    <w:rsid w:val="00845187"/>
    <w:rsid w:val="00845C37"/>
    <w:rsid w:val="00852803"/>
    <w:rsid w:val="008554A7"/>
    <w:rsid w:val="008567AB"/>
    <w:rsid w:val="00860038"/>
    <w:rsid w:val="00872122"/>
    <w:rsid w:val="0087222E"/>
    <w:rsid w:val="008741D9"/>
    <w:rsid w:val="008767DF"/>
    <w:rsid w:val="00880E68"/>
    <w:rsid w:val="00885B06"/>
    <w:rsid w:val="0088624A"/>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83F26"/>
    <w:rsid w:val="00992ED9"/>
    <w:rsid w:val="009946AD"/>
    <w:rsid w:val="0099595F"/>
    <w:rsid w:val="00996773"/>
    <w:rsid w:val="0099740E"/>
    <w:rsid w:val="009A1B9B"/>
    <w:rsid w:val="009B1AB0"/>
    <w:rsid w:val="009B4C93"/>
    <w:rsid w:val="009D1F5D"/>
    <w:rsid w:val="009D5079"/>
    <w:rsid w:val="009E7E11"/>
    <w:rsid w:val="009F7B0E"/>
    <w:rsid w:val="00A01D98"/>
    <w:rsid w:val="00A02940"/>
    <w:rsid w:val="00A05D98"/>
    <w:rsid w:val="00A110DA"/>
    <w:rsid w:val="00A127E7"/>
    <w:rsid w:val="00A13825"/>
    <w:rsid w:val="00A14614"/>
    <w:rsid w:val="00A14D36"/>
    <w:rsid w:val="00A25153"/>
    <w:rsid w:val="00A26A46"/>
    <w:rsid w:val="00A27867"/>
    <w:rsid w:val="00A33E7C"/>
    <w:rsid w:val="00A353E9"/>
    <w:rsid w:val="00A40ACE"/>
    <w:rsid w:val="00A423ED"/>
    <w:rsid w:val="00A445FF"/>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C77DA"/>
    <w:rsid w:val="00AD0555"/>
    <w:rsid w:val="00AD202F"/>
    <w:rsid w:val="00AD56F0"/>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595A"/>
    <w:rsid w:val="00CD6B55"/>
    <w:rsid w:val="00CE1A4D"/>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4695D"/>
    <w:rsid w:val="00D526A9"/>
    <w:rsid w:val="00D5334A"/>
    <w:rsid w:val="00D600A4"/>
    <w:rsid w:val="00D61A89"/>
    <w:rsid w:val="00D660CB"/>
    <w:rsid w:val="00D700CC"/>
    <w:rsid w:val="00D72076"/>
    <w:rsid w:val="00D74337"/>
    <w:rsid w:val="00D74382"/>
    <w:rsid w:val="00D81C73"/>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0FC7"/>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0733"/>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B3307"/>
    <w:rsid w:val="00ED0C7E"/>
    <w:rsid w:val="00EE49DE"/>
    <w:rsid w:val="00EE7F1C"/>
    <w:rsid w:val="00EF2565"/>
    <w:rsid w:val="00EF588F"/>
    <w:rsid w:val="00F02433"/>
    <w:rsid w:val="00F02CEA"/>
    <w:rsid w:val="00F0357E"/>
    <w:rsid w:val="00F12E35"/>
    <w:rsid w:val="00F13566"/>
    <w:rsid w:val="00F207F0"/>
    <w:rsid w:val="00F228D5"/>
    <w:rsid w:val="00F230DF"/>
    <w:rsid w:val="00F24170"/>
    <w:rsid w:val="00F24AE8"/>
    <w:rsid w:val="00F32856"/>
    <w:rsid w:val="00F42087"/>
    <w:rsid w:val="00F4370E"/>
    <w:rsid w:val="00F51228"/>
    <w:rsid w:val="00F5374F"/>
    <w:rsid w:val="00F57FC6"/>
    <w:rsid w:val="00F637C2"/>
    <w:rsid w:val="00F65A70"/>
    <w:rsid w:val="00F663D9"/>
    <w:rsid w:val="00F66A79"/>
    <w:rsid w:val="00F867EE"/>
    <w:rsid w:val="00F929AB"/>
    <w:rsid w:val="00FA063E"/>
    <w:rsid w:val="00FA0DB5"/>
    <w:rsid w:val="00FA27CA"/>
    <w:rsid w:val="00FA48E9"/>
    <w:rsid w:val="00FB01DD"/>
    <w:rsid w:val="00FB0242"/>
    <w:rsid w:val="00FB7781"/>
    <w:rsid w:val="00FC65C6"/>
    <w:rsid w:val="00FD186A"/>
    <w:rsid w:val="00FD45FC"/>
    <w:rsid w:val="00FD49F4"/>
    <w:rsid w:val="00FD6A33"/>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BAB3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uiPriority w:val="99"/>
    <w:rsid w:val="004D23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2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2014-11-18T23:17:08+00:00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140840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25C70AFD1ED4D945AC2B68397FBBE" ma:contentTypeVersion="175" ma:contentTypeDescription="" ma:contentTypeScope="" ma:versionID="bc3ecaac6f92d80b9a698edaa86780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0D9BF-1BE9-4CF6-91B4-6C089C35B004}"/>
</file>

<file path=customXml/itemProps2.xml><?xml version="1.0" encoding="utf-8"?>
<ds:datastoreItem xmlns:ds="http://schemas.openxmlformats.org/officeDocument/2006/customXml" ds:itemID="{3B1BF470-D2C3-4E95-A634-236D949D7437}"/>
</file>

<file path=customXml/itemProps3.xml><?xml version="1.0" encoding="utf-8"?>
<ds:datastoreItem xmlns:ds="http://schemas.openxmlformats.org/officeDocument/2006/customXml" ds:itemID="{14DC659D-D1B8-464E-98A8-27EC19487C9D}"/>
</file>

<file path=customXml/itemProps4.xml><?xml version="1.0" encoding="utf-8"?>
<ds:datastoreItem xmlns:ds="http://schemas.openxmlformats.org/officeDocument/2006/customXml" ds:itemID="{666B7322-5CCE-49D1-8DEE-F2FCC2301A7F}"/>
</file>

<file path=customXml/itemProps5.xml><?xml version="1.0" encoding="utf-8"?>
<ds:datastoreItem xmlns:ds="http://schemas.openxmlformats.org/officeDocument/2006/customXml" ds:itemID="{9B0B6A59-C8D6-412C-9350-62FCCEF852EA}"/>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2014-11-18T22:35:00Z</dcterms:created>
  <dcterms:modified xsi:type="dcterms:W3CDTF">2014-11-18T22:35:00Z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0x0101006E56B4D1795A2E4DB2F0B01679ED314A0094725C70AFD1ED4D945AC2B68397FBBE</vt:lpwstr>
  </property>
  <property fmtid="{D5CDD505-2E9C-101B-9397-08002B2CF9AE}" pid="3" name="_docset_NoMedatataSyncRequired">
    <vt:lpwstr>False</vt:lpwstr>
  </property>
</Properties>
</file>