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01961F04" w:rsidR="006E3B58" w:rsidRDefault="00154718" w:rsidP="00BE5610">
      <w:bookmarkStart w:id="0" w:name="_GoBack"/>
      <w:bookmarkEnd w:id="0"/>
      <w:r w:rsidRPr="00EB4CE3">
        <w:t xml:space="preserve">Agenda Date: </w:t>
      </w:r>
      <w:r w:rsidRPr="00EB4CE3">
        <w:tab/>
      </w:r>
      <w:r w:rsidRPr="00EB4CE3">
        <w:tab/>
      </w:r>
      <w:r w:rsidR="00837044">
        <w:t>June 26</w:t>
      </w:r>
      <w:r w:rsidRPr="00EB4CE3">
        <w:t xml:space="preserve">, </w:t>
      </w:r>
      <w:r w:rsidR="00103755">
        <w:t>201</w:t>
      </w:r>
      <w:r w:rsidR="007A59D5">
        <w:t>4</w:t>
      </w:r>
      <w:r w:rsidR="004456FB">
        <w:tab/>
      </w:r>
      <w:r w:rsidR="004456FB">
        <w:tab/>
      </w:r>
    </w:p>
    <w:p w14:paraId="1F03FD72" w14:textId="0B7EC2A1" w:rsidR="00154718" w:rsidRDefault="00154718" w:rsidP="00BE5610">
      <w:r w:rsidRPr="00EB4CE3">
        <w:t>Item Number:</w:t>
      </w:r>
      <w:r w:rsidRPr="00EB4CE3">
        <w:tab/>
      </w:r>
      <w:r w:rsidR="0031742A">
        <w:tab/>
      </w:r>
      <w:r w:rsidR="00C04B51" w:rsidRPr="00C04B51">
        <w:t>A</w:t>
      </w:r>
      <w:r w:rsidR="00955897">
        <w:t>2</w:t>
      </w:r>
      <w:r w:rsidR="00E06470">
        <w:tab/>
      </w:r>
      <w:r w:rsidR="00E06470">
        <w:tab/>
      </w:r>
      <w:r w:rsidR="00E06470">
        <w:tab/>
      </w:r>
    </w:p>
    <w:p w14:paraId="1F03FD73" w14:textId="77777777" w:rsidR="006E3B58" w:rsidRPr="00EB4CE3" w:rsidRDefault="006E3B58" w:rsidP="00BE5610"/>
    <w:p w14:paraId="1F03FD74" w14:textId="17A18BBA" w:rsidR="00154718" w:rsidRPr="00EB4CE3" w:rsidRDefault="00154718" w:rsidP="00BE5610">
      <w:r w:rsidRPr="00EB4CE3">
        <w:t xml:space="preserve">Docket: </w:t>
      </w:r>
      <w:r w:rsidRPr="00EB4CE3">
        <w:tab/>
      </w:r>
      <w:r w:rsidRPr="00EB4CE3">
        <w:tab/>
        <w:t>UW-</w:t>
      </w:r>
      <w:r w:rsidR="00705164">
        <w:t>1</w:t>
      </w:r>
      <w:r w:rsidR="003C73AC">
        <w:t>4</w:t>
      </w:r>
      <w:r w:rsidR="00E03B5E">
        <w:t>0549</w:t>
      </w:r>
    </w:p>
    <w:p w14:paraId="1F03FD75" w14:textId="2545F0FA" w:rsidR="00154718" w:rsidRPr="00EB4CE3" w:rsidRDefault="00A41C23" w:rsidP="00BE5610">
      <w:r w:rsidRPr="00EB4CE3">
        <w:t>Company Name:</w:t>
      </w:r>
      <w:r w:rsidRPr="00EB4CE3">
        <w:tab/>
      </w:r>
      <w:r w:rsidR="0059675D">
        <w:t xml:space="preserve">Gold Beach Water </w:t>
      </w:r>
      <w:r w:rsidR="00DC599B">
        <w:t>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5B5DE98F" w:rsidR="00154718" w:rsidRPr="00935AF2" w:rsidRDefault="00154718" w:rsidP="00BE5610">
      <w:pPr>
        <w:rPr>
          <w:b/>
          <w:u w:val="single"/>
        </w:rPr>
      </w:pPr>
      <w:r w:rsidRPr="00935AF2">
        <w:rPr>
          <w:b/>
          <w:u w:val="single"/>
        </w:rPr>
        <w:t>Recommendation</w:t>
      </w:r>
      <w:r w:rsidR="00344CA7">
        <w:rPr>
          <w:b/>
          <w:u w:val="single"/>
        </w:rPr>
        <w:t>s</w:t>
      </w:r>
    </w:p>
    <w:p w14:paraId="3B8FABFF" w14:textId="77777777" w:rsidR="004C73F1" w:rsidRDefault="004C73F1" w:rsidP="004C73F1">
      <w:pPr>
        <w:widowControl w:val="0"/>
        <w:autoSpaceDE w:val="0"/>
        <w:autoSpaceDN w:val="0"/>
        <w:adjustRightInd w:val="0"/>
        <w:rPr>
          <w:rFonts w:eastAsia="Times New Roman"/>
          <w:color w:val="000000"/>
          <w:lang w:bidi="ar-SA"/>
        </w:rPr>
      </w:pPr>
    </w:p>
    <w:p w14:paraId="11C616D4" w14:textId="77777777" w:rsidR="004C73F1" w:rsidRDefault="004C73F1" w:rsidP="004C73F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Revisions filed by Gold Beach Water Company, Inc., </w:t>
      </w:r>
      <w:r>
        <w:t>in Docket UW-140549 dated April 24</w:t>
      </w:r>
      <w:r w:rsidRPr="006D62FC">
        <w:t>, 2014.</w:t>
      </w:r>
      <w:r w:rsidRPr="004C73F1">
        <w:t xml:space="preserve"> </w:t>
      </w:r>
    </w:p>
    <w:p w14:paraId="77668E8A"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347747EF" w14:textId="3C866715" w:rsidR="004C73F1" w:rsidRDefault="004C73F1" w:rsidP="004C73F1">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Allow the revised rates and tariff revision</w:t>
      </w:r>
      <w:r w:rsidR="008573FC">
        <w:t>s</w:t>
      </w:r>
      <w:r w:rsidRPr="00AA4488">
        <w:t xml:space="preserve"> filed by </w:t>
      </w:r>
      <w:r>
        <w:t>Gold Beach Water Company, Inc.,</w:t>
      </w:r>
      <w:r w:rsidRPr="00AA4488">
        <w:t xml:space="preserve"> on </w:t>
      </w:r>
      <w:r w:rsidR="00AA188B">
        <w:t xml:space="preserve">June </w:t>
      </w:r>
      <w:r w:rsidR="00344CA7">
        <w:t>19</w:t>
      </w:r>
      <w:r>
        <w:t xml:space="preserve">, 2014, </w:t>
      </w:r>
      <w:r w:rsidRPr="00AA4488">
        <w:t xml:space="preserve">to become effective </w:t>
      </w:r>
      <w:r w:rsidR="00AA188B">
        <w:t>July</w:t>
      </w:r>
      <w:r>
        <w:t xml:space="preserve"> 1</w:t>
      </w:r>
      <w:r w:rsidRPr="00AA4488">
        <w:t>, 201</w:t>
      </w:r>
      <w:r>
        <w:t>4</w:t>
      </w:r>
      <w:r w:rsidRPr="00AA4488">
        <w:t>.</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5A767441" w14:textId="4A9AC7BF" w:rsidR="0059675D" w:rsidRDefault="00DD65A6" w:rsidP="0059675D">
      <w:pPr>
        <w:rPr>
          <w:color w:val="000000"/>
        </w:rPr>
      </w:pPr>
      <w:r w:rsidRPr="007A59D5">
        <w:rPr>
          <w:szCs w:val="32"/>
        </w:rPr>
        <w:t xml:space="preserve">On </w:t>
      </w:r>
      <w:r w:rsidR="00344CA7">
        <w:rPr>
          <w:szCs w:val="32"/>
        </w:rPr>
        <w:t>April 2</w:t>
      </w:r>
      <w:r w:rsidRPr="007A59D5">
        <w:rPr>
          <w:szCs w:val="32"/>
        </w:rPr>
        <w:t xml:space="preserve">, </w:t>
      </w:r>
      <w:r w:rsidR="00705164" w:rsidRPr="007A59D5">
        <w:rPr>
          <w:szCs w:val="32"/>
        </w:rPr>
        <w:t>201</w:t>
      </w:r>
      <w:r w:rsidR="007A59D5">
        <w:rPr>
          <w:szCs w:val="32"/>
        </w:rPr>
        <w:t>4</w:t>
      </w:r>
      <w:r w:rsidRPr="007A59D5">
        <w:rPr>
          <w:szCs w:val="32"/>
        </w:rPr>
        <w:t xml:space="preserve">, </w:t>
      </w:r>
      <w:r w:rsidR="0059675D">
        <w:rPr>
          <w:szCs w:val="32"/>
        </w:rPr>
        <w:t xml:space="preserve">Gold Beach Water </w:t>
      </w:r>
      <w:r w:rsidR="00DC599B">
        <w:rPr>
          <w:szCs w:val="32"/>
        </w:rPr>
        <w:t>Company, Inc.</w:t>
      </w:r>
      <w:r w:rsidR="006F6487" w:rsidRPr="007A59D5">
        <w:rPr>
          <w:szCs w:val="32"/>
        </w:rPr>
        <w:t xml:space="preserve"> </w:t>
      </w:r>
      <w:r w:rsidRPr="007A59D5">
        <w:rPr>
          <w:szCs w:val="32"/>
        </w:rPr>
        <w:t>(</w:t>
      </w:r>
      <w:r w:rsidR="0059675D">
        <w:rPr>
          <w:szCs w:val="32"/>
        </w:rPr>
        <w:t>Gold Beach</w:t>
      </w:r>
      <w:r w:rsidR="00187E0D" w:rsidRPr="007A59D5">
        <w:rPr>
          <w:szCs w:val="32"/>
        </w:rPr>
        <w:t xml:space="preserve"> </w:t>
      </w:r>
      <w:r w:rsidRPr="007A59D5">
        <w:rPr>
          <w:szCs w:val="32"/>
        </w:rPr>
        <w:t>or company</w:t>
      </w:r>
      <w:r w:rsidR="00A201C0" w:rsidRPr="007A59D5">
        <w:rPr>
          <w:szCs w:val="32"/>
        </w:rPr>
        <w:t>)</w:t>
      </w:r>
      <w:r w:rsidR="006073C4">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roposed</w:t>
      </w:r>
      <w:r w:rsidR="0059675D">
        <w:rPr>
          <w:szCs w:val="32"/>
        </w:rPr>
        <w:t xml:space="preserve"> </w:t>
      </w:r>
      <w:r w:rsidR="0059675D" w:rsidRPr="006C090B">
        <w:rPr>
          <w:color w:val="000000"/>
        </w:rPr>
        <w:t>general rate increase that would generate $</w:t>
      </w:r>
      <w:r w:rsidR="0059675D">
        <w:rPr>
          <w:color w:val="000000"/>
        </w:rPr>
        <w:t>14,112</w:t>
      </w:r>
      <w:r w:rsidR="0059675D" w:rsidRPr="006C090B">
        <w:rPr>
          <w:color w:val="000000"/>
        </w:rPr>
        <w:t xml:space="preserve"> (</w:t>
      </w:r>
      <w:r w:rsidR="00153CFA">
        <w:rPr>
          <w:color w:val="000000"/>
        </w:rPr>
        <w:t>20</w:t>
      </w:r>
      <w:r w:rsidR="0059675D" w:rsidRPr="006C090B">
        <w:rPr>
          <w:color w:val="000000"/>
        </w:rPr>
        <w:t>.</w:t>
      </w:r>
      <w:r w:rsidR="00153CFA">
        <w:rPr>
          <w:color w:val="000000"/>
        </w:rPr>
        <w:t>7</w:t>
      </w:r>
      <w:r w:rsidR="0059675D" w:rsidRPr="006C090B">
        <w:rPr>
          <w:color w:val="000000"/>
        </w:rPr>
        <w:t xml:space="preserve"> percent) additional annual revenue. </w:t>
      </w:r>
      <w:r w:rsidR="0059675D">
        <w:t xml:space="preserve">The proposed general rate increase was prompted by </w:t>
      </w:r>
      <w:r w:rsidR="00B44073">
        <w:t>increased operational costs,</w:t>
      </w:r>
      <w:r w:rsidR="00837044">
        <w:t xml:space="preserve"> additional capital investment and </w:t>
      </w:r>
      <w:r w:rsidR="0059675D">
        <w:t xml:space="preserve">reduced </w:t>
      </w:r>
      <w:r w:rsidR="00B44073">
        <w:t xml:space="preserve">customer </w:t>
      </w:r>
      <w:r w:rsidR="0059675D">
        <w:t>water usage</w:t>
      </w:r>
      <w:r w:rsidR="002C16DF">
        <w:t>, which decreased revenue</w:t>
      </w:r>
      <w:r w:rsidR="0059675D">
        <w:t xml:space="preserve">. </w:t>
      </w:r>
      <w:r w:rsidR="0059675D" w:rsidRPr="006C090B">
        <w:rPr>
          <w:color w:val="000000"/>
        </w:rPr>
        <w:t xml:space="preserve">The proposed </w:t>
      </w:r>
      <w:r w:rsidR="0059675D">
        <w:rPr>
          <w:color w:val="000000"/>
        </w:rPr>
        <w:t>effective date is May 1, 2014.</w:t>
      </w:r>
      <w:r w:rsidR="0059675D" w:rsidRPr="006C090B">
        <w:rPr>
          <w:color w:val="000000"/>
        </w:rPr>
        <w:t xml:space="preserve"> The company provides water service to 1</w:t>
      </w:r>
      <w:r w:rsidR="0059675D">
        <w:rPr>
          <w:color w:val="000000"/>
        </w:rPr>
        <w:t>96 residential</w:t>
      </w:r>
      <w:r w:rsidR="0059675D" w:rsidRPr="006C090B">
        <w:rPr>
          <w:color w:val="000000"/>
        </w:rPr>
        <w:t xml:space="preserve"> customers </w:t>
      </w:r>
      <w:r w:rsidR="0059675D">
        <w:rPr>
          <w:color w:val="000000"/>
        </w:rPr>
        <w:t>on Vashon Island</w:t>
      </w:r>
      <w:r w:rsidR="0059675D" w:rsidRPr="006C090B">
        <w:rPr>
          <w:color w:val="000000"/>
        </w:rPr>
        <w:t xml:space="preserve"> in </w:t>
      </w:r>
      <w:r w:rsidR="0059675D">
        <w:rPr>
          <w:color w:val="000000"/>
        </w:rPr>
        <w:t>King</w:t>
      </w:r>
      <w:r w:rsidR="0059675D" w:rsidRPr="006C090B">
        <w:rPr>
          <w:color w:val="000000"/>
        </w:rPr>
        <w:t xml:space="preserve"> County. The company's last rate change was effective </w:t>
      </w:r>
      <w:r w:rsidR="0059675D">
        <w:rPr>
          <w:color w:val="000000"/>
        </w:rPr>
        <w:t>July 1</w:t>
      </w:r>
      <w:r w:rsidR="0059675D" w:rsidRPr="006C090B">
        <w:rPr>
          <w:color w:val="000000"/>
        </w:rPr>
        <w:t>, 200</w:t>
      </w:r>
      <w:r w:rsidR="0059675D">
        <w:rPr>
          <w:color w:val="000000"/>
        </w:rPr>
        <w:t>6</w:t>
      </w:r>
      <w:r w:rsidR="0059675D" w:rsidRPr="006C090B">
        <w:rPr>
          <w:color w:val="000000"/>
        </w:rPr>
        <w:t>.</w:t>
      </w:r>
    </w:p>
    <w:p w14:paraId="719DFC62" w14:textId="77777777" w:rsidR="00C17ED8" w:rsidRDefault="00C17ED8" w:rsidP="0059675D">
      <w:pPr>
        <w:rPr>
          <w:color w:val="000000"/>
        </w:rPr>
      </w:pPr>
    </w:p>
    <w:p w14:paraId="715C34E7" w14:textId="7B227B56" w:rsidR="004C73F1" w:rsidRPr="00E04176" w:rsidRDefault="004C73F1" w:rsidP="004C73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r w:rsidRPr="00E04176">
        <w:rPr>
          <w:rFonts w:eastAsia="Times New Roman"/>
        </w:rPr>
        <w:t xml:space="preserve">On </w:t>
      </w:r>
      <w:r>
        <w:rPr>
          <w:rFonts w:eastAsia="Times New Roman"/>
        </w:rPr>
        <w:t>April 24</w:t>
      </w:r>
      <w:r w:rsidRPr="00E04176">
        <w:rPr>
          <w:rFonts w:eastAsia="Times New Roman"/>
        </w:rPr>
        <w:t>, 201</w:t>
      </w:r>
      <w:r>
        <w:rPr>
          <w:rFonts w:eastAsia="Times New Roman"/>
        </w:rPr>
        <w:t>4</w:t>
      </w:r>
      <w:r w:rsidRPr="00E04176">
        <w:rPr>
          <w:rFonts w:eastAsia="Times New Roman"/>
        </w:rPr>
        <w:t>, the commission issued an order suspending this filing for further review.</w:t>
      </w:r>
      <w:r>
        <w:rPr>
          <w:rFonts w:eastAsia="Times New Roman"/>
        </w:rPr>
        <w:t xml:space="preserve"> </w:t>
      </w:r>
      <w:r w:rsidRPr="00E04176">
        <w:rPr>
          <w:rFonts w:eastAsia="Times New Roman"/>
        </w:rPr>
        <w:t>After review, staff found the proposed rates would generate excessive revenue. Staff determined that the company’s books and records supported a lower revenue requirement of $</w:t>
      </w:r>
      <w:r>
        <w:rPr>
          <w:rFonts w:eastAsia="Times New Roman"/>
        </w:rPr>
        <w:t>8,882 (13</w:t>
      </w:r>
      <w:r w:rsidRPr="00E04176">
        <w:rPr>
          <w:rFonts w:eastAsia="Times New Roman"/>
        </w:rPr>
        <w:t xml:space="preserve"> percent) additional annual revenue. Staff and the company have agreed to a revised rate design that would generate the </w:t>
      </w:r>
      <w:r w:rsidRPr="000839F3">
        <w:rPr>
          <w:rFonts w:eastAsia="Times New Roman"/>
        </w:rPr>
        <w:t>additional $8</w:t>
      </w:r>
      <w:r>
        <w:rPr>
          <w:rFonts w:eastAsia="Times New Roman"/>
        </w:rPr>
        <w:t>,882</w:t>
      </w:r>
      <w:r w:rsidRPr="00E04176">
        <w:rPr>
          <w:rFonts w:eastAsia="Times New Roman"/>
        </w:rPr>
        <w:t xml:space="preserve"> revenue.</w:t>
      </w:r>
      <w:r w:rsidR="00D96549" w:rsidRPr="00E04176" w:rsidDel="00D96549">
        <w:rPr>
          <w:rFonts w:eastAsia="Times New Roman"/>
        </w:rPr>
        <w:t xml:space="preserve"> </w:t>
      </w:r>
    </w:p>
    <w:p w14:paraId="0FB7F411" w14:textId="77777777" w:rsidR="00432E27" w:rsidRDefault="00432E27" w:rsidP="00E400A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24C0B3A1" w14:textId="49878B7B" w:rsidR="00432E27" w:rsidRPr="0059675D" w:rsidRDefault="00432E27" w:rsidP="00432E27">
      <w:pPr>
        <w:rPr>
          <w:szCs w:val="32"/>
        </w:rPr>
      </w:pPr>
      <w:r>
        <w:rPr>
          <w:color w:val="000000"/>
        </w:rPr>
        <w:t xml:space="preserve">Staff </w:t>
      </w:r>
      <w:r w:rsidR="00F563E3">
        <w:rPr>
          <w:color w:val="000000"/>
        </w:rPr>
        <w:t>ha</w:t>
      </w:r>
      <w:r>
        <w:rPr>
          <w:color w:val="000000"/>
        </w:rPr>
        <w:t>s review</w:t>
      </w:r>
      <w:r w:rsidR="00F563E3">
        <w:rPr>
          <w:color w:val="000000"/>
        </w:rPr>
        <w:t>ed</w:t>
      </w:r>
      <w:r>
        <w:rPr>
          <w:color w:val="000000"/>
        </w:rPr>
        <w:t xml:space="preserve"> the proposed rate design which includes an allowance of </w:t>
      </w:r>
      <w:r w:rsidR="008573FC" w:rsidRPr="008573FC">
        <w:rPr>
          <w:color w:val="000000"/>
        </w:rPr>
        <w:t xml:space="preserve">500 cubic feet </w:t>
      </w:r>
      <w:r w:rsidR="008573FC">
        <w:rPr>
          <w:color w:val="000000"/>
        </w:rPr>
        <w:t xml:space="preserve">of </w:t>
      </w:r>
      <w:r>
        <w:rPr>
          <w:color w:val="000000"/>
        </w:rPr>
        <w:t>water in the base charge</w:t>
      </w:r>
      <w:r w:rsidR="00F563E3">
        <w:rPr>
          <w:color w:val="000000"/>
        </w:rPr>
        <w:t xml:space="preserve"> and </w:t>
      </w:r>
      <w:r>
        <w:rPr>
          <w:color w:val="000000"/>
        </w:rPr>
        <w:t>propose</w:t>
      </w:r>
      <w:r w:rsidR="00F563E3">
        <w:rPr>
          <w:color w:val="000000"/>
        </w:rPr>
        <w:t>d</w:t>
      </w:r>
      <w:r>
        <w:rPr>
          <w:color w:val="000000"/>
        </w:rPr>
        <w:t xml:space="preserve"> </w:t>
      </w:r>
      <w:r w:rsidR="00933C7A">
        <w:rPr>
          <w:color w:val="000000"/>
        </w:rPr>
        <w:t xml:space="preserve">to apply the entire </w:t>
      </w:r>
      <w:r>
        <w:rPr>
          <w:color w:val="000000"/>
        </w:rPr>
        <w:t xml:space="preserve">rate increase to the base charge. Staff </w:t>
      </w:r>
      <w:r w:rsidR="00F563E3">
        <w:rPr>
          <w:color w:val="000000"/>
        </w:rPr>
        <w:t xml:space="preserve">and the company have </w:t>
      </w:r>
      <w:r w:rsidR="00837044">
        <w:rPr>
          <w:color w:val="000000"/>
        </w:rPr>
        <w:t xml:space="preserve">agreed to the </w:t>
      </w:r>
      <w:r w:rsidR="00D96549">
        <w:rPr>
          <w:color w:val="000000"/>
        </w:rPr>
        <w:t xml:space="preserve">revised </w:t>
      </w:r>
      <w:r>
        <w:rPr>
          <w:color w:val="000000"/>
        </w:rPr>
        <w:t>rate design</w:t>
      </w:r>
      <w:r w:rsidR="00AA188B">
        <w:rPr>
          <w:color w:val="000000"/>
        </w:rPr>
        <w:t>.</w:t>
      </w:r>
      <w:r w:rsidR="00153CFA">
        <w:rPr>
          <w:color w:val="000000"/>
        </w:rPr>
        <w:t xml:space="preserve"> </w:t>
      </w:r>
      <w:r w:rsidR="00AA188B" w:rsidRPr="00754FFA">
        <w:rPr>
          <w:color w:val="000000"/>
        </w:rPr>
        <w:t xml:space="preserve">The company </w:t>
      </w:r>
      <w:r w:rsidR="00837044">
        <w:rPr>
          <w:color w:val="000000"/>
        </w:rPr>
        <w:t>provided usage information that shows the average per customer water usage has declined and conservation efforts are working.</w:t>
      </w:r>
      <w:r w:rsidR="00AA188B">
        <w:rPr>
          <w:color w:val="000000"/>
        </w:rPr>
        <w:t xml:space="preserve"> </w:t>
      </w:r>
      <w:r w:rsidR="00837044">
        <w:rPr>
          <w:color w:val="000000"/>
        </w:rPr>
        <w:t xml:space="preserve">Staff agrees that in this rate case the amount of additional revenue will be applied to </w:t>
      </w:r>
      <w:r w:rsidR="008573FC">
        <w:rPr>
          <w:color w:val="000000"/>
        </w:rPr>
        <w:t xml:space="preserve">only </w:t>
      </w:r>
      <w:r w:rsidR="00837044">
        <w:rPr>
          <w:color w:val="000000"/>
        </w:rPr>
        <w:t>the base charge</w:t>
      </w:r>
      <w:r w:rsidR="008573FC">
        <w:rPr>
          <w:color w:val="000000"/>
        </w:rPr>
        <w:t>, t</w:t>
      </w:r>
      <w:r w:rsidR="00153CFA">
        <w:rPr>
          <w:color w:val="000000"/>
        </w:rPr>
        <w:t xml:space="preserve">he base charge allowance </w:t>
      </w:r>
      <w:r w:rsidR="00837044">
        <w:rPr>
          <w:color w:val="000000"/>
        </w:rPr>
        <w:t>w</w:t>
      </w:r>
      <w:r w:rsidR="00153CFA">
        <w:rPr>
          <w:color w:val="000000"/>
        </w:rPr>
        <w:t>ill remain</w:t>
      </w:r>
      <w:r w:rsidR="003233D6">
        <w:rPr>
          <w:color w:val="000000"/>
        </w:rPr>
        <w:t xml:space="preserve"> </w:t>
      </w:r>
      <w:r w:rsidR="00153CFA">
        <w:rPr>
          <w:color w:val="000000"/>
        </w:rPr>
        <w:t>at 500 cubic feet</w:t>
      </w:r>
      <w:r w:rsidR="008573FC">
        <w:rPr>
          <w:color w:val="000000"/>
        </w:rPr>
        <w:t xml:space="preserve">, and </w:t>
      </w:r>
      <w:r w:rsidR="00837044">
        <w:rPr>
          <w:color w:val="000000"/>
        </w:rPr>
        <w:t xml:space="preserve">the </w:t>
      </w:r>
      <w:r w:rsidR="008573FC">
        <w:rPr>
          <w:color w:val="000000"/>
        </w:rPr>
        <w:t xml:space="preserve">current </w:t>
      </w:r>
      <w:r w:rsidR="00837044">
        <w:rPr>
          <w:color w:val="000000"/>
        </w:rPr>
        <w:t xml:space="preserve">usage rates </w:t>
      </w:r>
      <w:r w:rsidR="00344CA7">
        <w:rPr>
          <w:color w:val="000000"/>
        </w:rPr>
        <w:t>and</w:t>
      </w:r>
      <w:r w:rsidR="00837044">
        <w:rPr>
          <w:color w:val="000000"/>
        </w:rPr>
        <w:t xml:space="preserve"> blocks</w:t>
      </w:r>
      <w:r w:rsidR="008573FC">
        <w:rPr>
          <w:color w:val="000000"/>
        </w:rPr>
        <w:t xml:space="preserve"> will not change</w:t>
      </w:r>
      <w:r w:rsidR="00837044">
        <w:rPr>
          <w:color w:val="000000"/>
        </w:rPr>
        <w:t>.</w:t>
      </w:r>
    </w:p>
    <w:p w14:paraId="1F03FDA4" w14:textId="77777777"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7A5446C" w14:textId="05A59A61" w:rsidR="004870F5" w:rsidRDefault="0010556E" w:rsidP="004870F5">
      <w:pPr>
        <w:rPr>
          <w:color w:val="000000"/>
        </w:rPr>
      </w:pPr>
      <w:r>
        <w:rPr>
          <w:color w:val="000000"/>
        </w:rPr>
        <w:t xml:space="preserve">On </w:t>
      </w:r>
      <w:r w:rsidR="004870F5">
        <w:rPr>
          <w:color w:val="000000"/>
        </w:rPr>
        <w:t>March 28, 2014, the company notified its customers of the proposed rate increase by mail. Staff received one comment in opposition to the proposed rate increase. The customer was told how to access documents about this rate increase on the commission’s website, and that he could contact John Cupp at 1-888-333-9882 or jcupp@utc.wa.gov with questions or concerns.</w:t>
      </w:r>
    </w:p>
    <w:p w14:paraId="2EEDB9BD" w14:textId="77777777" w:rsidR="00344CA7" w:rsidRDefault="00344CA7" w:rsidP="004870F5"/>
    <w:p w14:paraId="01225386" w14:textId="77777777" w:rsidR="004870F5" w:rsidRDefault="004870F5" w:rsidP="004870F5">
      <w:pPr>
        <w:rPr>
          <w:b/>
          <w:color w:val="000000"/>
        </w:rPr>
      </w:pPr>
      <w:r>
        <w:rPr>
          <w:b/>
          <w:color w:val="000000"/>
        </w:rPr>
        <w:lastRenderedPageBreak/>
        <w:t>Business Practices</w:t>
      </w:r>
    </w:p>
    <w:p w14:paraId="17A0B2A0" w14:textId="77777777" w:rsidR="004870F5" w:rsidRDefault="004870F5" w:rsidP="004870F5"/>
    <w:p w14:paraId="1CEADCCD" w14:textId="77777777" w:rsidR="004870F5" w:rsidRPr="00DF264E" w:rsidRDefault="004870F5" w:rsidP="004870F5">
      <w:pPr>
        <w:numPr>
          <w:ilvl w:val="0"/>
          <w:numId w:val="28"/>
        </w:numPr>
        <w:ind w:left="720" w:hanging="360"/>
      </w:pPr>
      <w:r>
        <w:rPr>
          <w:color w:val="000000"/>
        </w:rPr>
        <w:t>The customer believes the company should not have waited eight years to increase its rates. He believes the company should be allowed to raise its rates 4-5 percent, and then seek another increase in a few years.</w:t>
      </w:r>
    </w:p>
    <w:p w14:paraId="792562E3" w14:textId="77777777" w:rsidR="004870F5" w:rsidRDefault="004870F5" w:rsidP="004870F5">
      <w:pPr>
        <w:ind w:left="360"/>
      </w:pPr>
    </w:p>
    <w:p w14:paraId="2A4F8F92" w14:textId="77777777" w:rsidR="004870F5" w:rsidRDefault="004870F5" w:rsidP="004870F5">
      <w:pPr>
        <w:ind w:left="719"/>
      </w:pPr>
      <w:r>
        <w:rPr>
          <w:b/>
          <w:color w:val="000000"/>
        </w:rPr>
        <w:t>Staff Response</w:t>
      </w:r>
    </w:p>
    <w:p w14:paraId="4943A1E4" w14:textId="77777777" w:rsidR="004870F5" w:rsidRPr="00E64C62" w:rsidRDefault="004870F5" w:rsidP="004870F5">
      <w:pPr>
        <w:ind w:left="720"/>
      </w:pPr>
      <w:r w:rsidRPr="00E64C62">
        <w:t>The customer w</w:t>
      </w:r>
      <w:r>
        <w:t>as</w:t>
      </w:r>
      <w:r w:rsidRPr="00E64C62">
        <w:t xml:space="preserve"> advised that state law requires rates to be fair, just, reasonable</w:t>
      </w:r>
      <w:r>
        <w:t>,</w:t>
      </w:r>
      <w:r w:rsidRPr="00E64C62">
        <w:t xml:space="preserve"> and sufficient to allow the company to recover reasonable operating expenses and the opportunity to earn a reasonable return on </w:t>
      </w:r>
      <w:r>
        <w:t xml:space="preserve">its </w:t>
      </w:r>
      <w:r w:rsidRPr="00E64C62">
        <w:t>investment. Regulatory staff review</w:t>
      </w:r>
      <w:r>
        <w:t>s</w:t>
      </w:r>
      <w:r w:rsidRPr="00E64C62">
        <w:t xml:space="preserve"> filings to ensure that all rates and fees are appropriate.</w:t>
      </w:r>
      <w:r>
        <w:t xml:space="preserve"> There are no rules or statutes that address the frequency at which companies must file for rate increases.</w:t>
      </w:r>
    </w:p>
    <w:p w14:paraId="22B0BCFC" w14:textId="77777777" w:rsidR="000F0070" w:rsidRDefault="000F0070" w:rsidP="00C17ED8">
      <w:pPr>
        <w:jc w:val="center"/>
        <w:rPr>
          <w:b/>
          <w:u w:val="single"/>
        </w:rPr>
      </w:pPr>
    </w:p>
    <w:p w14:paraId="031AC93C" w14:textId="48D807D1" w:rsidR="00BB227B" w:rsidRDefault="00BB227B" w:rsidP="00C17ED8">
      <w:pPr>
        <w:jc w:val="center"/>
        <w:rPr>
          <w:b/>
          <w:u w:val="single"/>
        </w:rPr>
      </w:pPr>
      <w:r w:rsidRPr="00ED617B">
        <w:rPr>
          <w:b/>
          <w:u w:val="single"/>
        </w:rPr>
        <w:t>Rate Comparison</w:t>
      </w:r>
    </w:p>
    <w:p w14:paraId="51694C58" w14:textId="77777777" w:rsidR="00C17ED8" w:rsidRDefault="00C17ED8" w:rsidP="00C17ED8">
      <w:pPr>
        <w:jc w:val="center"/>
        <w:rPr>
          <w:b/>
          <w:u w:val="single"/>
        </w:rPr>
      </w:pPr>
    </w:p>
    <w:tbl>
      <w:tblPr>
        <w:tblStyle w:val="TableGrid"/>
        <w:tblW w:w="9108" w:type="dxa"/>
        <w:tblInd w:w="216" w:type="dxa"/>
        <w:tblLook w:val="04A0" w:firstRow="1" w:lastRow="0" w:firstColumn="1" w:lastColumn="0" w:noHBand="0" w:noVBand="1"/>
      </w:tblPr>
      <w:tblGrid>
        <w:gridCol w:w="3883"/>
        <w:gridCol w:w="1676"/>
        <w:gridCol w:w="1851"/>
        <w:gridCol w:w="1698"/>
      </w:tblGrid>
      <w:tr w:rsidR="00A116CE" w:rsidRPr="006B166F" w14:paraId="1C345AEF" w14:textId="0B22AE63" w:rsidTr="006878A8">
        <w:tc>
          <w:tcPr>
            <w:tcW w:w="3883" w:type="dxa"/>
            <w:tcBorders>
              <w:bottom w:val="single" w:sz="4" w:space="0" w:color="auto"/>
            </w:tcBorders>
            <w:vAlign w:val="center"/>
          </w:tcPr>
          <w:p w14:paraId="35A6AD48" w14:textId="77777777" w:rsidR="00A116CE" w:rsidRPr="006B166F" w:rsidRDefault="00A116CE" w:rsidP="00C97719">
            <w:pPr>
              <w:jc w:val="center"/>
              <w:rPr>
                <w:b/>
              </w:rPr>
            </w:pPr>
            <w:r w:rsidRPr="006B166F">
              <w:rPr>
                <w:b/>
              </w:rPr>
              <w:t>Monthly Rate</w:t>
            </w:r>
          </w:p>
        </w:tc>
        <w:tc>
          <w:tcPr>
            <w:tcW w:w="1676" w:type="dxa"/>
            <w:shd w:val="pct10" w:color="auto" w:fill="auto"/>
            <w:vAlign w:val="center"/>
          </w:tcPr>
          <w:p w14:paraId="56527C9F" w14:textId="77777777" w:rsidR="00A116CE" w:rsidRPr="006B166F" w:rsidRDefault="00A116CE" w:rsidP="00C97719">
            <w:pPr>
              <w:jc w:val="center"/>
              <w:rPr>
                <w:b/>
              </w:rPr>
            </w:pPr>
            <w:r w:rsidRPr="006B166F">
              <w:rPr>
                <w:b/>
              </w:rPr>
              <w:t>Current Rate</w:t>
            </w:r>
          </w:p>
        </w:tc>
        <w:tc>
          <w:tcPr>
            <w:tcW w:w="1851" w:type="dxa"/>
            <w:shd w:val="pct10" w:color="auto" w:fill="auto"/>
          </w:tcPr>
          <w:p w14:paraId="3583CBF6" w14:textId="77777777" w:rsidR="00A116CE" w:rsidRPr="006B166F" w:rsidRDefault="00A116CE" w:rsidP="00C97719">
            <w:pPr>
              <w:jc w:val="center"/>
              <w:rPr>
                <w:b/>
              </w:rPr>
            </w:pPr>
            <w:r w:rsidRPr="006B166F">
              <w:rPr>
                <w:b/>
              </w:rPr>
              <w:t>Proposed</w:t>
            </w:r>
            <w:r>
              <w:rPr>
                <w:b/>
              </w:rPr>
              <w:t xml:space="preserve"> Rate</w:t>
            </w:r>
          </w:p>
        </w:tc>
        <w:tc>
          <w:tcPr>
            <w:tcW w:w="1698" w:type="dxa"/>
            <w:shd w:val="pct10" w:color="auto" w:fill="auto"/>
          </w:tcPr>
          <w:p w14:paraId="2A66B2B2" w14:textId="0C8B86D3" w:rsidR="00A116CE" w:rsidRPr="006B166F" w:rsidRDefault="00A116CE" w:rsidP="00C97719">
            <w:pPr>
              <w:jc w:val="center"/>
              <w:rPr>
                <w:b/>
              </w:rPr>
            </w:pPr>
            <w:r>
              <w:rPr>
                <w:b/>
              </w:rPr>
              <w:t>Revi</w:t>
            </w:r>
            <w:r w:rsidRPr="006B166F">
              <w:rPr>
                <w:b/>
              </w:rPr>
              <w:t>sed</w:t>
            </w:r>
            <w:r>
              <w:rPr>
                <w:b/>
              </w:rPr>
              <w:t xml:space="preserve"> Rate</w:t>
            </w:r>
          </w:p>
        </w:tc>
      </w:tr>
      <w:tr w:rsidR="00A116CE" w:rsidRPr="006B166F" w14:paraId="2F25E8A7" w14:textId="378C480C" w:rsidTr="006878A8">
        <w:tc>
          <w:tcPr>
            <w:tcW w:w="3883" w:type="dxa"/>
            <w:shd w:val="clear" w:color="auto" w:fill="auto"/>
          </w:tcPr>
          <w:p w14:paraId="1F915001" w14:textId="77777777" w:rsidR="00A116CE" w:rsidRPr="006B166F" w:rsidRDefault="00A116CE" w:rsidP="00C97719">
            <w:r>
              <w:t>Base Rate, 3/4–Inch Meter</w:t>
            </w:r>
          </w:p>
        </w:tc>
        <w:tc>
          <w:tcPr>
            <w:tcW w:w="1676" w:type="dxa"/>
          </w:tcPr>
          <w:p w14:paraId="24B6ED4A" w14:textId="113477C1" w:rsidR="00A116CE" w:rsidRPr="006B166F" w:rsidRDefault="00A116CE" w:rsidP="00BB227B">
            <w:pPr>
              <w:jc w:val="center"/>
            </w:pPr>
            <w:r>
              <w:t>$29.00</w:t>
            </w:r>
          </w:p>
        </w:tc>
        <w:tc>
          <w:tcPr>
            <w:tcW w:w="1851" w:type="dxa"/>
          </w:tcPr>
          <w:p w14:paraId="18B9E8D5" w14:textId="064887DF" w:rsidR="00A116CE" w:rsidRPr="006B166F" w:rsidRDefault="00A116CE" w:rsidP="00BB227B">
            <w:pPr>
              <w:jc w:val="center"/>
            </w:pPr>
            <w:r w:rsidRPr="00362D86">
              <w:t>$</w:t>
            </w:r>
            <w:r>
              <w:t>35</w:t>
            </w:r>
            <w:r w:rsidRPr="00362D86">
              <w:t>.00</w:t>
            </w:r>
          </w:p>
        </w:tc>
        <w:tc>
          <w:tcPr>
            <w:tcW w:w="1698" w:type="dxa"/>
          </w:tcPr>
          <w:p w14:paraId="3C2747AE" w14:textId="29648EFB" w:rsidR="00A116CE" w:rsidRPr="00362D86" w:rsidRDefault="00A116CE" w:rsidP="006C5837">
            <w:pPr>
              <w:jc w:val="center"/>
            </w:pPr>
            <w:r w:rsidRPr="00362D86">
              <w:t>$</w:t>
            </w:r>
            <w:r>
              <w:t>32</w:t>
            </w:r>
            <w:r w:rsidR="006C5837">
              <w:t>.7</w:t>
            </w:r>
            <w:r>
              <w:t>5</w:t>
            </w:r>
          </w:p>
        </w:tc>
      </w:tr>
      <w:tr w:rsidR="00A116CE" w:rsidRPr="006B166F" w14:paraId="4E1C1559" w14:textId="02574C34" w:rsidTr="006878A8">
        <w:tc>
          <w:tcPr>
            <w:tcW w:w="3883" w:type="dxa"/>
          </w:tcPr>
          <w:p w14:paraId="5C5B2E20" w14:textId="2433833A" w:rsidR="00A116CE" w:rsidRPr="006B166F" w:rsidRDefault="00A116CE" w:rsidP="00C97719">
            <w:r>
              <w:t xml:space="preserve">500 CF* </w:t>
            </w:r>
            <w:r w:rsidRPr="006B166F">
              <w:t>Allowance With Base Charge</w:t>
            </w:r>
            <w:r>
              <w:t xml:space="preserve"> </w:t>
            </w:r>
          </w:p>
        </w:tc>
        <w:tc>
          <w:tcPr>
            <w:tcW w:w="1676" w:type="dxa"/>
          </w:tcPr>
          <w:p w14:paraId="31056B33" w14:textId="74E4B6E4" w:rsidR="00A116CE" w:rsidRPr="006B166F" w:rsidRDefault="00A116CE" w:rsidP="00C97719">
            <w:pPr>
              <w:jc w:val="center"/>
            </w:pPr>
            <w:r>
              <w:t>NA</w:t>
            </w:r>
          </w:p>
        </w:tc>
        <w:tc>
          <w:tcPr>
            <w:tcW w:w="1851" w:type="dxa"/>
          </w:tcPr>
          <w:p w14:paraId="37EE5ABF" w14:textId="652504DD" w:rsidR="00A116CE" w:rsidRPr="006B166F" w:rsidRDefault="00A116CE" w:rsidP="00BB227B">
            <w:pPr>
              <w:jc w:val="center"/>
            </w:pPr>
            <w:r>
              <w:t>NA</w:t>
            </w:r>
          </w:p>
        </w:tc>
        <w:tc>
          <w:tcPr>
            <w:tcW w:w="1698" w:type="dxa"/>
          </w:tcPr>
          <w:p w14:paraId="7188E911" w14:textId="20886BEB" w:rsidR="00A116CE" w:rsidRDefault="00A116CE" w:rsidP="00BB227B">
            <w:pPr>
              <w:jc w:val="center"/>
            </w:pPr>
            <w:r>
              <w:t>NA</w:t>
            </w:r>
          </w:p>
        </w:tc>
      </w:tr>
      <w:tr w:rsidR="00A116CE" w:rsidRPr="006B166F" w14:paraId="1F82474E" w14:textId="79D61A98" w:rsidTr="006878A8">
        <w:tc>
          <w:tcPr>
            <w:tcW w:w="3883" w:type="dxa"/>
          </w:tcPr>
          <w:p w14:paraId="266BC782" w14:textId="5FE02860" w:rsidR="00A116CE" w:rsidRPr="006B166F" w:rsidRDefault="00A116CE" w:rsidP="00C97719">
            <w:r>
              <w:t>501</w:t>
            </w:r>
            <w:r w:rsidRPr="006B166F">
              <w:t xml:space="preserve"> </w:t>
            </w:r>
            <w:r>
              <w:t>–</w:t>
            </w:r>
            <w:r w:rsidRPr="006B166F">
              <w:t xml:space="preserve"> </w:t>
            </w:r>
            <w:r>
              <w:t>2,5</w:t>
            </w:r>
            <w:r w:rsidRPr="006B166F">
              <w:t>00 CF, Per CCF</w:t>
            </w:r>
            <w:r>
              <w:t>**</w:t>
            </w:r>
          </w:p>
        </w:tc>
        <w:tc>
          <w:tcPr>
            <w:tcW w:w="1676" w:type="dxa"/>
          </w:tcPr>
          <w:p w14:paraId="0FD18758" w14:textId="0B5BCDFA" w:rsidR="00A116CE" w:rsidRPr="006B166F" w:rsidRDefault="00A116CE" w:rsidP="00BB227B">
            <w:pPr>
              <w:jc w:val="center"/>
            </w:pPr>
            <w:r>
              <w:t>$.50</w:t>
            </w:r>
          </w:p>
        </w:tc>
        <w:tc>
          <w:tcPr>
            <w:tcW w:w="1851" w:type="dxa"/>
          </w:tcPr>
          <w:p w14:paraId="7441E886" w14:textId="77777777" w:rsidR="00A116CE" w:rsidRPr="006B166F" w:rsidRDefault="00A116CE" w:rsidP="00C97719">
            <w:pPr>
              <w:jc w:val="center"/>
            </w:pPr>
            <w:r w:rsidRPr="006B166F">
              <w:t>$</w:t>
            </w:r>
            <w:r>
              <w:t>.50</w:t>
            </w:r>
          </w:p>
        </w:tc>
        <w:tc>
          <w:tcPr>
            <w:tcW w:w="1698" w:type="dxa"/>
          </w:tcPr>
          <w:p w14:paraId="4B44480F" w14:textId="2701E5EF" w:rsidR="00A116CE" w:rsidRPr="006B166F" w:rsidRDefault="00A116CE" w:rsidP="006C5837">
            <w:pPr>
              <w:jc w:val="center"/>
            </w:pPr>
            <w:r w:rsidRPr="006B166F">
              <w:t>$</w:t>
            </w:r>
            <w:r w:rsidR="00A54105">
              <w:t>.</w:t>
            </w:r>
            <w:r w:rsidR="006C5837">
              <w:t>5</w:t>
            </w:r>
            <w:r>
              <w:t>0</w:t>
            </w:r>
          </w:p>
        </w:tc>
      </w:tr>
      <w:tr w:rsidR="00A116CE" w:rsidRPr="006B166F" w14:paraId="18BB1737" w14:textId="6848C6AA" w:rsidTr="006878A8">
        <w:tc>
          <w:tcPr>
            <w:tcW w:w="3883" w:type="dxa"/>
          </w:tcPr>
          <w:p w14:paraId="63F64118" w14:textId="671B867F" w:rsidR="00A116CE" w:rsidRPr="006B166F" w:rsidRDefault="00A116CE" w:rsidP="00C97719">
            <w:r>
              <w:t>2,5</w:t>
            </w:r>
            <w:r w:rsidRPr="006B166F">
              <w:t xml:space="preserve">01 CF </w:t>
            </w:r>
            <w:r>
              <w:t>a</w:t>
            </w:r>
            <w:r w:rsidRPr="006B166F">
              <w:t xml:space="preserve">nd Above, Per CCF </w:t>
            </w:r>
          </w:p>
        </w:tc>
        <w:tc>
          <w:tcPr>
            <w:tcW w:w="1676" w:type="dxa"/>
          </w:tcPr>
          <w:p w14:paraId="792C13AD" w14:textId="54911C49" w:rsidR="00A116CE" w:rsidRPr="006B166F" w:rsidRDefault="00A116CE" w:rsidP="00BB227B">
            <w:pPr>
              <w:jc w:val="center"/>
            </w:pPr>
            <w:r w:rsidRPr="006B166F">
              <w:t>$</w:t>
            </w:r>
            <w:r>
              <w:t>1.00</w:t>
            </w:r>
          </w:p>
        </w:tc>
        <w:tc>
          <w:tcPr>
            <w:tcW w:w="1851" w:type="dxa"/>
          </w:tcPr>
          <w:p w14:paraId="2AFBCB82" w14:textId="5D727AD2" w:rsidR="00A116CE" w:rsidRPr="006B166F" w:rsidRDefault="00A116CE" w:rsidP="00BB227B">
            <w:pPr>
              <w:jc w:val="center"/>
            </w:pPr>
            <w:r>
              <w:t>$1.00</w:t>
            </w:r>
          </w:p>
        </w:tc>
        <w:tc>
          <w:tcPr>
            <w:tcW w:w="1698" w:type="dxa"/>
          </w:tcPr>
          <w:p w14:paraId="65F7B219" w14:textId="0C213974" w:rsidR="00A116CE" w:rsidRDefault="00A116CE" w:rsidP="006C5837">
            <w:pPr>
              <w:jc w:val="center"/>
            </w:pPr>
            <w:r>
              <w:t>$1.</w:t>
            </w:r>
            <w:r w:rsidR="006C5837">
              <w:t>00</w:t>
            </w:r>
          </w:p>
        </w:tc>
      </w:tr>
      <w:tr w:rsidR="00A116CE" w:rsidRPr="006B166F" w14:paraId="4F25DD13" w14:textId="00F7D6A0" w:rsidTr="006878A8">
        <w:tc>
          <w:tcPr>
            <w:tcW w:w="3883" w:type="dxa"/>
            <w:tcBorders>
              <w:bottom w:val="single" w:sz="4" w:space="0" w:color="auto"/>
            </w:tcBorders>
          </w:tcPr>
          <w:p w14:paraId="5C765C6A" w14:textId="77777777" w:rsidR="00A116CE" w:rsidRPr="006B166F" w:rsidRDefault="00A116CE" w:rsidP="00C97719"/>
        </w:tc>
        <w:tc>
          <w:tcPr>
            <w:tcW w:w="1676" w:type="dxa"/>
          </w:tcPr>
          <w:p w14:paraId="43C43AA1" w14:textId="77777777" w:rsidR="00A116CE" w:rsidRPr="006B166F" w:rsidRDefault="00A116CE" w:rsidP="00C97719">
            <w:pPr>
              <w:jc w:val="center"/>
            </w:pPr>
          </w:p>
        </w:tc>
        <w:tc>
          <w:tcPr>
            <w:tcW w:w="1851" w:type="dxa"/>
          </w:tcPr>
          <w:p w14:paraId="5A0A1072" w14:textId="77777777" w:rsidR="00A116CE" w:rsidRPr="006B166F" w:rsidRDefault="00A116CE" w:rsidP="00C97719">
            <w:pPr>
              <w:jc w:val="center"/>
            </w:pPr>
          </w:p>
        </w:tc>
        <w:tc>
          <w:tcPr>
            <w:tcW w:w="1698" w:type="dxa"/>
          </w:tcPr>
          <w:p w14:paraId="2504EE61" w14:textId="77777777" w:rsidR="00A116CE" w:rsidRPr="006B166F" w:rsidRDefault="00A116CE" w:rsidP="00C97719">
            <w:pPr>
              <w:jc w:val="center"/>
            </w:pPr>
          </w:p>
        </w:tc>
      </w:tr>
      <w:tr w:rsidR="00A116CE" w:rsidRPr="006B166F" w14:paraId="5CCA4E7E" w14:textId="4D2A3698" w:rsidTr="006878A8">
        <w:tc>
          <w:tcPr>
            <w:tcW w:w="3883" w:type="dxa"/>
            <w:tcBorders>
              <w:bottom w:val="single" w:sz="4" w:space="0" w:color="auto"/>
            </w:tcBorders>
            <w:shd w:val="clear" w:color="auto" w:fill="auto"/>
          </w:tcPr>
          <w:p w14:paraId="7A9EFECF" w14:textId="7FD02C02" w:rsidR="00A116CE" w:rsidRPr="006A20BD" w:rsidRDefault="00A116CE" w:rsidP="00C97719">
            <w:r>
              <w:t>SRF Surcharge</w:t>
            </w:r>
            <w:r w:rsidRPr="006A20BD">
              <w:t xml:space="preserve"> Rate</w:t>
            </w:r>
            <w:r>
              <w:t>***</w:t>
            </w:r>
          </w:p>
        </w:tc>
        <w:tc>
          <w:tcPr>
            <w:tcW w:w="1676" w:type="dxa"/>
          </w:tcPr>
          <w:p w14:paraId="40A25465" w14:textId="2A8C946B" w:rsidR="00A116CE" w:rsidRPr="006A20BD" w:rsidRDefault="00A116CE" w:rsidP="00BB227B">
            <w:pPr>
              <w:jc w:val="center"/>
            </w:pPr>
            <w:r w:rsidRPr="006A20BD">
              <w:t>$5.00</w:t>
            </w:r>
          </w:p>
        </w:tc>
        <w:tc>
          <w:tcPr>
            <w:tcW w:w="1851" w:type="dxa"/>
          </w:tcPr>
          <w:p w14:paraId="2E8C70A6" w14:textId="730772E8" w:rsidR="00A116CE" w:rsidRPr="006A20BD" w:rsidRDefault="00A116CE" w:rsidP="00BB227B">
            <w:pPr>
              <w:jc w:val="center"/>
            </w:pPr>
            <w:r>
              <w:t>$5.0</w:t>
            </w:r>
            <w:r w:rsidRPr="006A20BD">
              <w:t>0</w:t>
            </w:r>
          </w:p>
        </w:tc>
        <w:tc>
          <w:tcPr>
            <w:tcW w:w="1698" w:type="dxa"/>
          </w:tcPr>
          <w:p w14:paraId="48A06496" w14:textId="0DB7BAD5" w:rsidR="00A116CE" w:rsidRDefault="00A116CE" w:rsidP="00BB227B">
            <w:pPr>
              <w:jc w:val="center"/>
            </w:pPr>
            <w:r>
              <w:t>$5.0</w:t>
            </w:r>
            <w:r w:rsidRPr="006A20BD">
              <w:t>0</w:t>
            </w:r>
          </w:p>
        </w:tc>
      </w:tr>
    </w:tbl>
    <w:p w14:paraId="4610B1A8" w14:textId="03A44CED" w:rsidR="00BB227B" w:rsidRDefault="00BB227B" w:rsidP="00BB22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20"/>
          <w:szCs w:val="20"/>
        </w:rPr>
      </w:pPr>
      <w:r w:rsidRPr="00BA64CD">
        <w:rPr>
          <w:rFonts w:eastAsia="Times New Roman"/>
          <w:sz w:val="20"/>
          <w:szCs w:val="20"/>
        </w:rPr>
        <w:t xml:space="preserve">* </w:t>
      </w:r>
      <w:r>
        <w:rPr>
          <w:rFonts w:eastAsia="Times New Roman"/>
          <w:sz w:val="20"/>
          <w:szCs w:val="20"/>
        </w:rPr>
        <w:t xml:space="preserve">CF – Cubic Feet, </w:t>
      </w:r>
      <w:r>
        <w:rPr>
          <w:rFonts w:eastAsia="Times New Roman"/>
          <w:sz w:val="20"/>
          <w:szCs w:val="20"/>
        </w:rPr>
        <w:tab/>
      </w:r>
      <w:r>
        <w:rPr>
          <w:rFonts w:eastAsia="Times New Roman"/>
          <w:sz w:val="20"/>
          <w:szCs w:val="20"/>
        </w:rPr>
        <w:tab/>
        <w:t>** CCF - 100 Cubic Feet,</w:t>
      </w:r>
    </w:p>
    <w:p w14:paraId="58322ED5" w14:textId="097C6110" w:rsidR="00BB227B" w:rsidRDefault="00BB227B" w:rsidP="00BB22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20"/>
          <w:szCs w:val="20"/>
        </w:rPr>
      </w:pPr>
      <w:r>
        <w:rPr>
          <w:rFonts w:eastAsia="Times New Roman"/>
          <w:sz w:val="20"/>
          <w:szCs w:val="20"/>
        </w:rPr>
        <w:t xml:space="preserve"> ***Expires upon collect of $192,607 or on March 1, 2028 whichever occurs first</w:t>
      </w:r>
    </w:p>
    <w:p w14:paraId="183B9346" w14:textId="77777777" w:rsidR="00BB227B" w:rsidRPr="00F13BA9" w:rsidRDefault="00BB227B" w:rsidP="00BB227B"/>
    <w:p w14:paraId="408D9B81" w14:textId="77777777" w:rsidR="00BB227B" w:rsidRPr="00F13BA9" w:rsidRDefault="00BB227B" w:rsidP="00BB227B">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13936AC0" w14:textId="77777777" w:rsidR="00BB227B" w:rsidRPr="00F13BA9" w:rsidRDefault="00BB227B" w:rsidP="00BB227B">
      <w:pPr>
        <w:jc w:val="center"/>
      </w:pPr>
    </w:p>
    <w:tbl>
      <w:tblPr>
        <w:tblStyle w:val="TableGrid"/>
        <w:tblW w:w="9163" w:type="dxa"/>
        <w:jc w:val="center"/>
        <w:tblInd w:w="2864" w:type="dxa"/>
        <w:tblLook w:val="04A0" w:firstRow="1" w:lastRow="0" w:firstColumn="1" w:lastColumn="0" w:noHBand="0" w:noVBand="1"/>
      </w:tblPr>
      <w:tblGrid>
        <w:gridCol w:w="3772"/>
        <w:gridCol w:w="1620"/>
        <w:gridCol w:w="1980"/>
        <w:gridCol w:w="1791"/>
      </w:tblGrid>
      <w:tr w:rsidR="00A116CE" w:rsidRPr="00F13BA9" w14:paraId="56DC824B" w14:textId="7E8D9F69" w:rsidTr="00837044">
        <w:trPr>
          <w:jc w:val="center"/>
        </w:trPr>
        <w:tc>
          <w:tcPr>
            <w:tcW w:w="3772" w:type="dxa"/>
            <w:tcBorders>
              <w:bottom w:val="single" w:sz="4" w:space="0" w:color="auto"/>
            </w:tcBorders>
            <w:shd w:val="pct10" w:color="auto" w:fill="D9D9D9" w:themeFill="background1" w:themeFillShade="D9"/>
          </w:tcPr>
          <w:p w14:paraId="1546AF1A" w14:textId="77777777" w:rsidR="00A116CE" w:rsidRDefault="00A116CE" w:rsidP="00715FAB">
            <w:pPr>
              <w:rPr>
                <w:b/>
              </w:rPr>
            </w:pPr>
            <w:r w:rsidRPr="00F13BA9">
              <w:rPr>
                <w:b/>
              </w:rPr>
              <w:t xml:space="preserve">Monthly </w:t>
            </w:r>
            <w:r>
              <w:rPr>
                <w:b/>
              </w:rPr>
              <w:t xml:space="preserve">Average </w:t>
            </w:r>
          </w:p>
          <w:p w14:paraId="1972F4C9" w14:textId="470B1AE7" w:rsidR="00A116CE" w:rsidRPr="00F13BA9" w:rsidRDefault="00B90659" w:rsidP="00715FAB">
            <w:pPr>
              <w:rPr>
                <w:b/>
              </w:rPr>
            </w:pPr>
            <w:r>
              <w:rPr>
                <w:b/>
              </w:rPr>
              <w:t>743</w:t>
            </w:r>
            <w:r w:rsidR="00A116CE">
              <w:rPr>
                <w:b/>
              </w:rPr>
              <w:t xml:space="preserve"> Cubic Feet</w:t>
            </w:r>
          </w:p>
        </w:tc>
        <w:tc>
          <w:tcPr>
            <w:tcW w:w="1620" w:type="dxa"/>
            <w:shd w:val="pct10" w:color="auto" w:fill="auto"/>
            <w:vAlign w:val="bottom"/>
          </w:tcPr>
          <w:p w14:paraId="6A257CDD" w14:textId="77777777" w:rsidR="00A116CE" w:rsidRPr="00F13BA9" w:rsidRDefault="00A116CE" w:rsidP="00A116CE">
            <w:pPr>
              <w:jc w:val="center"/>
              <w:rPr>
                <w:b/>
              </w:rPr>
            </w:pPr>
            <w:r w:rsidRPr="00F13BA9">
              <w:rPr>
                <w:b/>
              </w:rPr>
              <w:t>Current Rate</w:t>
            </w:r>
          </w:p>
        </w:tc>
        <w:tc>
          <w:tcPr>
            <w:tcW w:w="1980" w:type="dxa"/>
            <w:shd w:val="pct10" w:color="auto" w:fill="auto"/>
            <w:vAlign w:val="bottom"/>
          </w:tcPr>
          <w:p w14:paraId="3B340CD1" w14:textId="77777777" w:rsidR="00A116CE" w:rsidRPr="00F13BA9" w:rsidRDefault="00A116CE" w:rsidP="00A116CE">
            <w:pPr>
              <w:jc w:val="center"/>
              <w:rPr>
                <w:b/>
              </w:rPr>
            </w:pPr>
            <w:r w:rsidRPr="00F13BA9">
              <w:rPr>
                <w:b/>
              </w:rPr>
              <w:t>Proposed</w:t>
            </w:r>
            <w:r>
              <w:rPr>
                <w:b/>
              </w:rPr>
              <w:t xml:space="preserve"> Rate</w:t>
            </w:r>
          </w:p>
        </w:tc>
        <w:tc>
          <w:tcPr>
            <w:tcW w:w="1791" w:type="dxa"/>
            <w:shd w:val="pct10" w:color="auto" w:fill="auto"/>
            <w:vAlign w:val="bottom"/>
          </w:tcPr>
          <w:p w14:paraId="68921395" w14:textId="74AC690B" w:rsidR="00A116CE" w:rsidRPr="00F13BA9" w:rsidRDefault="00A116CE" w:rsidP="00A116CE">
            <w:pPr>
              <w:jc w:val="center"/>
              <w:rPr>
                <w:b/>
              </w:rPr>
            </w:pPr>
            <w:r>
              <w:rPr>
                <w:b/>
              </w:rPr>
              <w:t>Revi</w:t>
            </w:r>
            <w:r w:rsidRPr="00F13BA9">
              <w:rPr>
                <w:b/>
              </w:rPr>
              <w:t>sed</w:t>
            </w:r>
            <w:r>
              <w:rPr>
                <w:b/>
              </w:rPr>
              <w:t xml:space="preserve"> Rate</w:t>
            </w:r>
          </w:p>
        </w:tc>
      </w:tr>
      <w:tr w:rsidR="00A116CE" w:rsidRPr="00F13BA9" w14:paraId="1BA197C8" w14:textId="4307A219" w:rsidTr="00837044">
        <w:trPr>
          <w:jc w:val="center"/>
        </w:trPr>
        <w:tc>
          <w:tcPr>
            <w:tcW w:w="3772" w:type="dxa"/>
          </w:tcPr>
          <w:p w14:paraId="647F6550" w14:textId="69078E86" w:rsidR="00A116CE" w:rsidRPr="00F13BA9" w:rsidRDefault="00A116CE" w:rsidP="00BB227B">
            <w:r>
              <w:t>3/4-Inch Metered Base w/ 500 CF</w:t>
            </w:r>
          </w:p>
        </w:tc>
        <w:tc>
          <w:tcPr>
            <w:tcW w:w="1620" w:type="dxa"/>
          </w:tcPr>
          <w:p w14:paraId="065EA7C0" w14:textId="5A96814B" w:rsidR="00A116CE" w:rsidRPr="00F13BA9" w:rsidRDefault="00A116CE" w:rsidP="00BB227B">
            <w:pPr>
              <w:jc w:val="center"/>
            </w:pPr>
            <w:r w:rsidRPr="00F13BA9">
              <w:t>$</w:t>
            </w:r>
            <w:r>
              <w:t>29.00</w:t>
            </w:r>
          </w:p>
        </w:tc>
        <w:tc>
          <w:tcPr>
            <w:tcW w:w="1980" w:type="dxa"/>
          </w:tcPr>
          <w:p w14:paraId="785623A0" w14:textId="03DECAEE" w:rsidR="00A116CE" w:rsidRPr="00F13BA9" w:rsidRDefault="00A116CE" w:rsidP="00BB227B">
            <w:pPr>
              <w:jc w:val="center"/>
            </w:pPr>
            <w:r w:rsidRPr="00362D86">
              <w:t>$</w:t>
            </w:r>
            <w:r>
              <w:t>35</w:t>
            </w:r>
            <w:r w:rsidRPr="00362D86">
              <w:t>.00</w:t>
            </w:r>
          </w:p>
        </w:tc>
        <w:tc>
          <w:tcPr>
            <w:tcW w:w="1791" w:type="dxa"/>
          </w:tcPr>
          <w:p w14:paraId="51C943F6" w14:textId="79FDDD64" w:rsidR="00A116CE" w:rsidRPr="00362D86" w:rsidRDefault="00A116CE" w:rsidP="00A116CE">
            <w:pPr>
              <w:jc w:val="center"/>
            </w:pPr>
            <w:r w:rsidRPr="00362D86">
              <w:t>$</w:t>
            </w:r>
            <w:r w:rsidR="006C5837">
              <w:t>32.7</w:t>
            </w:r>
            <w:r>
              <w:t>5</w:t>
            </w:r>
          </w:p>
        </w:tc>
      </w:tr>
      <w:tr w:rsidR="00A116CE" w:rsidRPr="00F13BA9" w14:paraId="24889FEE" w14:textId="0A0BE624" w:rsidTr="00837044">
        <w:trPr>
          <w:jc w:val="center"/>
        </w:trPr>
        <w:tc>
          <w:tcPr>
            <w:tcW w:w="3772" w:type="dxa"/>
          </w:tcPr>
          <w:p w14:paraId="21488171" w14:textId="65019FE8" w:rsidR="00A116CE" w:rsidRDefault="00A116CE" w:rsidP="00B90659">
            <w:r>
              <w:t>2</w:t>
            </w:r>
            <w:r w:rsidR="00B90659">
              <w:t>4</w:t>
            </w:r>
            <w:r>
              <w:t>3 Cubic Feet</w:t>
            </w:r>
          </w:p>
        </w:tc>
        <w:tc>
          <w:tcPr>
            <w:tcW w:w="1620" w:type="dxa"/>
          </w:tcPr>
          <w:p w14:paraId="759A7ED9" w14:textId="7E4F2322" w:rsidR="00A116CE" w:rsidRDefault="00A116CE" w:rsidP="00B90659">
            <w:pPr>
              <w:jc w:val="center"/>
            </w:pPr>
            <w:r>
              <w:t>$1.</w:t>
            </w:r>
            <w:r w:rsidR="00B90659">
              <w:t>22</w:t>
            </w:r>
          </w:p>
        </w:tc>
        <w:tc>
          <w:tcPr>
            <w:tcW w:w="1980" w:type="dxa"/>
          </w:tcPr>
          <w:p w14:paraId="430150E1" w14:textId="28F41599" w:rsidR="00A116CE" w:rsidRDefault="00A116CE" w:rsidP="00B90659">
            <w:pPr>
              <w:jc w:val="center"/>
            </w:pPr>
            <w:r>
              <w:t>$1.</w:t>
            </w:r>
            <w:r w:rsidR="00B90659">
              <w:t>22</w:t>
            </w:r>
          </w:p>
        </w:tc>
        <w:tc>
          <w:tcPr>
            <w:tcW w:w="1791" w:type="dxa"/>
          </w:tcPr>
          <w:p w14:paraId="272CC00A" w14:textId="4A73B8C5" w:rsidR="00A116CE" w:rsidRDefault="006C5837" w:rsidP="00B90659">
            <w:pPr>
              <w:jc w:val="center"/>
            </w:pPr>
            <w:r>
              <w:t>$1.22</w:t>
            </w:r>
          </w:p>
        </w:tc>
      </w:tr>
      <w:tr w:rsidR="00A116CE" w:rsidRPr="00F13BA9" w14:paraId="37904269" w14:textId="6650886B" w:rsidTr="00837044">
        <w:trPr>
          <w:jc w:val="center"/>
        </w:trPr>
        <w:tc>
          <w:tcPr>
            <w:tcW w:w="3772" w:type="dxa"/>
          </w:tcPr>
          <w:p w14:paraId="286C3F49" w14:textId="1BA7C17C" w:rsidR="00A116CE" w:rsidRPr="00F13BA9" w:rsidRDefault="00A116CE" w:rsidP="00C97719">
            <w:r>
              <w:t xml:space="preserve">SRF Surcharge </w:t>
            </w:r>
          </w:p>
        </w:tc>
        <w:tc>
          <w:tcPr>
            <w:tcW w:w="1620" w:type="dxa"/>
          </w:tcPr>
          <w:p w14:paraId="5BC4947B" w14:textId="18246803" w:rsidR="00A116CE" w:rsidRPr="00F13BA9" w:rsidRDefault="00A116CE" w:rsidP="00BB227B">
            <w:pPr>
              <w:jc w:val="center"/>
            </w:pPr>
            <w:r>
              <w:t>$5.00</w:t>
            </w:r>
          </w:p>
        </w:tc>
        <w:tc>
          <w:tcPr>
            <w:tcW w:w="1980" w:type="dxa"/>
          </w:tcPr>
          <w:p w14:paraId="1F811F08" w14:textId="55C85ADC" w:rsidR="00A116CE" w:rsidRPr="00F13BA9" w:rsidRDefault="00A116CE" w:rsidP="00BB227B">
            <w:pPr>
              <w:jc w:val="center"/>
            </w:pPr>
            <w:r>
              <w:t>$5.00</w:t>
            </w:r>
          </w:p>
        </w:tc>
        <w:tc>
          <w:tcPr>
            <w:tcW w:w="1791" w:type="dxa"/>
          </w:tcPr>
          <w:p w14:paraId="1BD5AF7C" w14:textId="6AD57B4C" w:rsidR="00A116CE" w:rsidRDefault="00A116CE" w:rsidP="00BB227B">
            <w:pPr>
              <w:jc w:val="center"/>
            </w:pPr>
            <w:r>
              <w:t>$5.00</w:t>
            </w:r>
          </w:p>
        </w:tc>
      </w:tr>
      <w:tr w:rsidR="00A116CE" w:rsidRPr="00F13BA9" w14:paraId="30C582F4" w14:textId="05529A8D" w:rsidTr="00837044">
        <w:trPr>
          <w:jc w:val="center"/>
        </w:trPr>
        <w:tc>
          <w:tcPr>
            <w:tcW w:w="3772" w:type="dxa"/>
          </w:tcPr>
          <w:p w14:paraId="34507B14" w14:textId="77777777" w:rsidR="00A116CE" w:rsidRPr="00F13BA9" w:rsidRDefault="00A116CE" w:rsidP="00C97719">
            <w:r w:rsidRPr="00F13BA9">
              <w:t xml:space="preserve"> </w:t>
            </w:r>
          </w:p>
        </w:tc>
        <w:tc>
          <w:tcPr>
            <w:tcW w:w="1620" w:type="dxa"/>
          </w:tcPr>
          <w:p w14:paraId="0E8E8C4E" w14:textId="77777777" w:rsidR="00A116CE" w:rsidRPr="00F13BA9" w:rsidRDefault="00A116CE" w:rsidP="00C97719">
            <w:pPr>
              <w:jc w:val="center"/>
            </w:pPr>
          </w:p>
        </w:tc>
        <w:tc>
          <w:tcPr>
            <w:tcW w:w="1980" w:type="dxa"/>
          </w:tcPr>
          <w:p w14:paraId="0DA93E3E" w14:textId="77777777" w:rsidR="00A116CE" w:rsidRPr="00F13BA9" w:rsidRDefault="00A116CE" w:rsidP="00C97719">
            <w:pPr>
              <w:jc w:val="center"/>
            </w:pPr>
          </w:p>
        </w:tc>
        <w:tc>
          <w:tcPr>
            <w:tcW w:w="1791" w:type="dxa"/>
          </w:tcPr>
          <w:p w14:paraId="4C158816" w14:textId="77777777" w:rsidR="00A116CE" w:rsidRPr="00F13BA9" w:rsidRDefault="00A116CE" w:rsidP="00C97719">
            <w:pPr>
              <w:jc w:val="center"/>
            </w:pPr>
          </w:p>
        </w:tc>
      </w:tr>
      <w:tr w:rsidR="00A116CE" w:rsidRPr="00F13BA9" w14:paraId="0CE54B89" w14:textId="0E1A1450" w:rsidTr="00837044">
        <w:trPr>
          <w:jc w:val="center"/>
        </w:trPr>
        <w:tc>
          <w:tcPr>
            <w:tcW w:w="3772" w:type="dxa"/>
          </w:tcPr>
          <w:p w14:paraId="243D877C" w14:textId="77777777" w:rsidR="00A116CE" w:rsidRPr="00F13BA9" w:rsidRDefault="00A116CE" w:rsidP="00C97719">
            <w:r w:rsidRPr="00F13BA9">
              <w:t xml:space="preserve">Water Bill Total </w:t>
            </w:r>
          </w:p>
        </w:tc>
        <w:tc>
          <w:tcPr>
            <w:tcW w:w="1620" w:type="dxa"/>
            <w:tcBorders>
              <w:bottom w:val="single" w:sz="18" w:space="0" w:color="auto"/>
            </w:tcBorders>
          </w:tcPr>
          <w:p w14:paraId="67836667" w14:textId="613B6660" w:rsidR="00A116CE" w:rsidRPr="00F13BA9" w:rsidRDefault="00B90659" w:rsidP="00715FAB">
            <w:pPr>
              <w:jc w:val="center"/>
            </w:pPr>
            <w:r>
              <w:t>$35.22</w:t>
            </w:r>
          </w:p>
        </w:tc>
        <w:tc>
          <w:tcPr>
            <w:tcW w:w="1980" w:type="dxa"/>
            <w:tcBorders>
              <w:bottom w:val="single" w:sz="18" w:space="0" w:color="auto"/>
            </w:tcBorders>
          </w:tcPr>
          <w:p w14:paraId="36FC6CC3" w14:textId="2CCA19C0" w:rsidR="00A116CE" w:rsidRPr="00F13BA9" w:rsidRDefault="00B90659" w:rsidP="00715FAB">
            <w:pPr>
              <w:jc w:val="center"/>
            </w:pPr>
            <w:r>
              <w:t>$41.22</w:t>
            </w:r>
          </w:p>
        </w:tc>
        <w:tc>
          <w:tcPr>
            <w:tcW w:w="1791" w:type="dxa"/>
            <w:tcBorders>
              <w:bottom w:val="single" w:sz="18" w:space="0" w:color="auto"/>
            </w:tcBorders>
          </w:tcPr>
          <w:p w14:paraId="7216DC2F" w14:textId="52F2AD20" w:rsidR="00A116CE" w:rsidRDefault="00837044" w:rsidP="00715FAB">
            <w:pPr>
              <w:jc w:val="center"/>
            </w:pPr>
            <w:r>
              <w:t>$38.97</w:t>
            </w:r>
          </w:p>
        </w:tc>
      </w:tr>
      <w:tr w:rsidR="00A116CE" w:rsidRPr="00F13BA9" w14:paraId="508E3741" w14:textId="5AFE94BF" w:rsidTr="00837044">
        <w:trPr>
          <w:jc w:val="center"/>
        </w:trPr>
        <w:tc>
          <w:tcPr>
            <w:tcW w:w="3772" w:type="dxa"/>
          </w:tcPr>
          <w:p w14:paraId="538F8050" w14:textId="40EDD4BC" w:rsidR="00A116CE" w:rsidRPr="00F13BA9" w:rsidRDefault="00A116CE" w:rsidP="00436257">
            <w:pPr>
              <w:jc w:val="center"/>
            </w:pPr>
            <w:r>
              <w:t xml:space="preserve">Increase From Current Rates </w:t>
            </w:r>
            <w:r w:rsidRPr="00F13BA9">
              <w:t xml:space="preserve"> </w:t>
            </w:r>
          </w:p>
        </w:tc>
        <w:tc>
          <w:tcPr>
            <w:tcW w:w="1620" w:type="dxa"/>
            <w:tcBorders>
              <w:top w:val="single" w:sz="18" w:space="0" w:color="auto"/>
              <w:bottom w:val="single" w:sz="4" w:space="0" w:color="auto"/>
            </w:tcBorders>
          </w:tcPr>
          <w:p w14:paraId="433A6A15" w14:textId="77777777" w:rsidR="00A116CE" w:rsidRPr="00F13BA9" w:rsidRDefault="00A116CE" w:rsidP="00C97719">
            <w:pPr>
              <w:jc w:val="center"/>
            </w:pPr>
          </w:p>
        </w:tc>
        <w:tc>
          <w:tcPr>
            <w:tcW w:w="1980" w:type="dxa"/>
            <w:tcBorders>
              <w:top w:val="single" w:sz="18" w:space="0" w:color="auto"/>
              <w:bottom w:val="single" w:sz="4" w:space="0" w:color="auto"/>
            </w:tcBorders>
          </w:tcPr>
          <w:p w14:paraId="33048C7C" w14:textId="71115BB5" w:rsidR="00A116CE" w:rsidRPr="00F13BA9" w:rsidRDefault="00837044" w:rsidP="00AC7FFA">
            <w:pPr>
              <w:jc w:val="center"/>
            </w:pPr>
            <w:r>
              <w:t xml:space="preserve">$6.00        </w:t>
            </w:r>
            <w:r w:rsidR="00A116CE">
              <w:t>1</w:t>
            </w:r>
            <w:r w:rsidR="00AC7FFA">
              <w:t>7</w:t>
            </w:r>
            <w:r w:rsidR="00A116CE" w:rsidRPr="00F13BA9">
              <w:t xml:space="preserve">% </w:t>
            </w:r>
          </w:p>
        </w:tc>
        <w:tc>
          <w:tcPr>
            <w:tcW w:w="1791" w:type="dxa"/>
            <w:tcBorders>
              <w:top w:val="single" w:sz="18" w:space="0" w:color="auto"/>
              <w:bottom w:val="single" w:sz="4" w:space="0" w:color="auto"/>
            </w:tcBorders>
          </w:tcPr>
          <w:p w14:paraId="008BD122" w14:textId="41F829DC" w:rsidR="00A116CE" w:rsidRDefault="00837044" w:rsidP="00837044">
            <w:pPr>
              <w:jc w:val="center"/>
            </w:pPr>
            <w:r>
              <w:t xml:space="preserve">  $3.75      9.6</w:t>
            </w:r>
            <w:r w:rsidR="00A116CE" w:rsidRPr="00F13BA9">
              <w:t xml:space="preserve">% </w:t>
            </w:r>
          </w:p>
        </w:tc>
      </w:tr>
    </w:tbl>
    <w:p w14:paraId="26C73A8B" w14:textId="77777777" w:rsidR="00BB227B" w:rsidRDefault="00BB227B" w:rsidP="00BB227B">
      <w:pPr>
        <w:jc w:val="center"/>
      </w:pPr>
    </w:p>
    <w:p w14:paraId="3AE307B7" w14:textId="77777777" w:rsidR="004C73F1" w:rsidRDefault="004C73F1" w:rsidP="004C73F1">
      <w:pPr>
        <w:spacing w:after="200" w:line="276" w:lineRule="auto"/>
        <w:rPr>
          <w:b/>
          <w:u w:val="single"/>
        </w:rPr>
      </w:pPr>
      <w:r w:rsidRPr="00935AF2">
        <w:rPr>
          <w:b/>
          <w:u w:val="single"/>
        </w:rPr>
        <w:t xml:space="preserve">Conclusion </w:t>
      </w:r>
    </w:p>
    <w:p w14:paraId="32ABC33C" w14:textId="4495ECF6" w:rsidR="004C73F1" w:rsidRPr="00AA4488" w:rsidRDefault="004C73F1" w:rsidP="004C73F1">
      <w:r w:rsidRPr="00AA4488">
        <w:t>Commission staff has completed its review of the company’s supporting financial documents, books and records. Staff’s review shows that the expenses are reasonable and required as part of the company’s operation. The customers</w:t>
      </w:r>
      <w:r>
        <w:t>’</w:t>
      </w:r>
      <w:r w:rsidRPr="00AA4488">
        <w:t xml:space="preserve"> comment</w:t>
      </w:r>
      <w:r>
        <w:t>s</w:t>
      </w:r>
      <w:r w:rsidRPr="00AA4488">
        <w:t xml:space="preserve"> do not change staff’s opinion that the company’s financial information supports the revised revenue requirement and </w:t>
      </w:r>
      <w:r w:rsidR="008573FC">
        <w:t xml:space="preserve">the </w:t>
      </w:r>
      <w:r w:rsidRPr="00AA4488">
        <w:t>revised rates and charges are fair, just, reasonable, and sufficient.</w:t>
      </w:r>
    </w:p>
    <w:p w14:paraId="026DA0C7"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B7" w14:textId="0EB1F057" w:rsidR="00B402B4" w:rsidRDefault="00B402B4" w:rsidP="00B402B4">
      <w:pPr>
        <w:rPr>
          <w:b/>
          <w:u w:val="single"/>
        </w:rPr>
      </w:pPr>
      <w:r>
        <w:rPr>
          <w:b/>
          <w:u w:val="single"/>
        </w:rPr>
        <w:lastRenderedPageBreak/>
        <w:t>Recommendat</w:t>
      </w:r>
      <w:r w:rsidRPr="00935AF2">
        <w:rPr>
          <w:b/>
          <w:u w:val="single"/>
        </w:rPr>
        <w:t>ion</w:t>
      </w:r>
      <w:r w:rsidR="00344CA7">
        <w:rPr>
          <w:b/>
          <w:u w:val="single"/>
        </w:rPr>
        <w:t>s</w:t>
      </w:r>
      <w:r w:rsidRPr="00935AF2">
        <w:rPr>
          <w:b/>
          <w:u w:val="single"/>
        </w:rPr>
        <w:t xml:space="preserve">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2144D9C2" w14:textId="77777777" w:rsidR="004C73F1" w:rsidRDefault="00A116CE" w:rsidP="004C73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006073C4" w:rsidRPr="006073C4">
        <w:t xml:space="preserve">Complaint and Order Suspending the Tariff Revisions filed by Gold Beach Water Company, Inc., </w:t>
      </w:r>
      <w:r w:rsidR="00F43ECA">
        <w:t>in Docket UW-140549 dated April 24</w:t>
      </w:r>
      <w:r w:rsidR="00F43ECA" w:rsidRPr="006D62FC">
        <w:t>, 2014.</w:t>
      </w:r>
      <w:r w:rsidR="004C73F1" w:rsidRPr="004C73F1">
        <w:t xml:space="preserve"> </w:t>
      </w:r>
    </w:p>
    <w:p w14:paraId="09F01103" w14:textId="77777777" w:rsidR="004C73F1" w:rsidRDefault="004C73F1" w:rsidP="004C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2B3E4406" w14:textId="2831846C" w:rsidR="004C73F1" w:rsidRDefault="004C73F1" w:rsidP="004C73F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t>Gold Beach Water Company, Inc.,</w:t>
      </w:r>
      <w:r w:rsidRPr="00AA4488">
        <w:t xml:space="preserve"> on </w:t>
      </w:r>
      <w:r w:rsidR="00AA188B">
        <w:t xml:space="preserve">June </w:t>
      </w:r>
      <w:r w:rsidR="00344CA7">
        <w:t>19</w:t>
      </w:r>
      <w:r>
        <w:t xml:space="preserve">, 2014, </w:t>
      </w:r>
      <w:r w:rsidRPr="00AA4488">
        <w:t xml:space="preserve">to become effective </w:t>
      </w:r>
      <w:r w:rsidR="00153CFA">
        <w:t>Ju</w:t>
      </w:r>
      <w:r w:rsidR="00AA188B">
        <w:t>ly</w:t>
      </w:r>
      <w:r>
        <w:t xml:space="preserve"> 1</w:t>
      </w:r>
      <w:r w:rsidRPr="00AA4488">
        <w:t>, 201</w:t>
      </w:r>
      <w:r>
        <w:t>4</w:t>
      </w:r>
      <w:r w:rsidRPr="00AA4488">
        <w:t>.</w:t>
      </w:r>
    </w:p>
    <w:p w14:paraId="3841C088" w14:textId="35FC9F2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D15D" w14:textId="77777777" w:rsidR="00D96549" w:rsidRDefault="00D96549" w:rsidP="00BE5610">
      <w:r>
        <w:separator/>
      </w:r>
    </w:p>
  </w:endnote>
  <w:endnote w:type="continuationSeparator" w:id="0">
    <w:p w14:paraId="7C4D2C1F" w14:textId="77777777" w:rsidR="00D96549" w:rsidRDefault="00D96549"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96185" w14:textId="77777777" w:rsidR="00D96549" w:rsidRDefault="00D96549" w:rsidP="00BE5610">
      <w:r>
        <w:separator/>
      </w:r>
    </w:p>
  </w:footnote>
  <w:footnote w:type="continuationSeparator" w:id="0">
    <w:p w14:paraId="52C24F5B" w14:textId="77777777" w:rsidR="00D96549" w:rsidRDefault="00D96549"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4C8E9348" w:rsidR="00D96549" w:rsidRPr="00296F3B" w:rsidRDefault="00D96549" w:rsidP="00BE5610">
    <w:pPr>
      <w:pStyle w:val="Header"/>
      <w:rPr>
        <w:sz w:val="20"/>
        <w:szCs w:val="20"/>
      </w:rPr>
    </w:pPr>
    <w:r w:rsidRPr="00296F3B">
      <w:rPr>
        <w:sz w:val="20"/>
        <w:szCs w:val="20"/>
      </w:rPr>
      <w:t>Docket</w:t>
    </w:r>
    <w:r>
      <w:rPr>
        <w:sz w:val="20"/>
        <w:szCs w:val="20"/>
      </w:rPr>
      <w:t xml:space="preserve"> UW-140549</w:t>
    </w:r>
  </w:p>
  <w:p w14:paraId="1F03FDC3" w14:textId="3B970659" w:rsidR="00D96549" w:rsidRPr="00296F3B" w:rsidRDefault="00D96549" w:rsidP="00BE5610">
    <w:pPr>
      <w:pStyle w:val="Header"/>
      <w:rPr>
        <w:sz w:val="20"/>
        <w:szCs w:val="20"/>
      </w:rPr>
    </w:pPr>
    <w:r>
      <w:rPr>
        <w:sz w:val="20"/>
        <w:szCs w:val="20"/>
      </w:rPr>
      <w:t>June 26</w:t>
    </w:r>
    <w:r w:rsidRPr="00296F3B">
      <w:rPr>
        <w:sz w:val="20"/>
        <w:szCs w:val="20"/>
      </w:rPr>
      <w:t>, 201</w:t>
    </w:r>
    <w:r>
      <w:rPr>
        <w:sz w:val="20"/>
        <w:szCs w:val="20"/>
      </w:rPr>
      <w:t>4</w:t>
    </w:r>
  </w:p>
  <w:p w14:paraId="1F03FDC4" w14:textId="77777777" w:rsidR="00D96549" w:rsidRDefault="00D96549"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203A0F">
      <w:rPr>
        <w:noProof/>
        <w:sz w:val="20"/>
        <w:szCs w:val="20"/>
      </w:rPr>
      <w:t>3</w:t>
    </w:r>
    <w:r w:rsidRPr="00296F3B">
      <w:rPr>
        <w:sz w:val="20"/>
        <w:szCs w:val="20"/>
      </w:rPr>
      <w:fldChar w:fldCharType="end"/>
    </w:r>
  </w:p>
  <w:p w14:paraId="1F03FDC5" w14:textId="77777777" w:rsidR="00D96549" w:rsidRPr="00296F3B" w:rsidRDefault="00D96549" w:rsidP="00BE5610">
    <w:pPr>
      <w:pStyle w:val="Header"/>
      <w:rPr>
        <w:sz w:val="20"/>
        <w:szCs w:val="20"/>
      </w:rPr>
    </w:pPr>
  </w:p>
  <w:p w14:paraId="1F03FDC6" w14:textId="77777777" w:rsidR="00D96549" w:rsidRDefault="00D96549"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0E2765"/>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0"/>
  </w:num>
  <w:num w:numId="4">
    <w:abstractNumId w:val="22"/>
  </w:num>
  <w:num w:numId="5">
    <w:abstractNumId w:val="2"/>
  </w:num>
  <w:num w:numId="6">
    <w:abstractNumId w:val="4"/>
  </w:num>
  <w:num w:numId="7">
    <w:abstractNumId w:val="14"/>
  </w:num>
  <w:num w:numId="8">
    <w:abstractNumId w:val="2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7"/>
  </w:num>
  <w:num w:numId="20">
    <w:abstractNumId w:val="9"/>
  </w:num>
  <w:num w:numId="21">
    <w:abstractNumId w:val="2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3"/>
  </w:num>
  <w:num w:numId="26">
    <w:abstractNumId w:val="11"/>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DateAndTime/>
  <w:hideSpellingErrors/>
  <w:hideGrammaticalErrors/>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11AE"/>
    <w:rsid w:val="00034C5B"/>
    <w:rsid w:val="0003714D"/>
    <w:rsid w:val="00043899"/>
    <w:rsid w:val="000458AC"/>
    <w:rsid w:val="0005270D"/>
    <w:rsid w:val="00053628"/>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52BB"/>
    <w:rsid w:val="000D6DAF"/>
    <w:rsid w:val="000D706D"/>
    <w:rsid w:val="000E1DFC"/>
    <w:rsid w:val="000E50DD"/>
    <w:rsid w:val="000E640C"/>
    <w:rsid w:val="000E714E"/>
    <w:rsid w:val="000F0070"/>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40589"/>
    <w:rsid w:val="00141434"/>
    <w:rsid w:val="001423FE"/>
    <w:rsid w:val="00142B36"/>
    <w:rsid w:val="00143CDB"/>
    <w:rsid w:val="0014659D"/>
    <w:rsid w:val="00153CFA"/>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95F7D"/>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3A0F"/>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1664"/>
    <w:rsid w:val="002B5724"/>
    <w:rsid w:val="002C039A"/>
    <w:rsid w:val="002C16DF"/>
    <w:rsid w:val="002C20B0"/>
    <w:rsid w:val="002C23B9"/>
    <w:rsid w:val="002C6110"/>
    <w:rsid w:val="002C786B"/>
    <w:rsid w:val="002D33FC"/>
    <w:rsid w:val="002E50C7"/>
    <w:rsid w:val="002F0BC8"/>
    <w:rsid w:val="002F3890"/>
    <w:rsid w:val="002F70BE"/>
    <w:rsid w:val="00300789"/>
    <w:rsid w:val="00300D92"/>
    <w:rsid w:val="00301106"/>
    <w:rsid w:val="00305DB3"/>
    <w:rsid w:val="00316358"/>
    <w:rsid w:val="0031742A"/>
    <w:rsid w:val="003219B9"/>
    <w:rsid w:val="00323034"/>
    <w:rsid w:val="003233D6"/>
    <w:rsid w:val="00324289"/>
    <w:rsid w:val="00330C32"/>
    <w:rsid w:val="00333221"/>
    <w:rsid w:val="00334A7C"/>
    <w:rsid w:val="00337C05"/>
    <w:rsid w:val="00340C02"/>
    <w:rsid w:val="00344CA7"/>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20BE"/>
    <w:rsid w:val="003E6D45"/>
    <w:rsid w:val="003F0972"/>
    <w:rsid w:val="00405F3D"/>
    <w:rsid w:val="00411F64"/>
    <w:rsid w:val="00424794"/>
    <w:rsid w:val="00426C82"/>
    <w:rsid w:val="00431384"/>
    <w:rsid w:val="00432E27"/>
    <w:rsid w:val="00433FDC"/>
    <w:rsid w:val="004342A5"/>
    <w:rsid w:val="00436257"/>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2DF2"/>
    <w:rsid w:val="00473F57"/>
    <w:rsid w:val="00482338"/>
    <w:rsid w:val="004838E1"/>
    <w:rsid w:val="004870F5"/>
    <w:rsid w:val="00487BA4"/>
    <w:rsid w:val="004944F2"/>
    <w:rsid w:val="00495000"/>
    <w:rsid w:val="00495B71"/>
    <w:rsid w:val="00496744"/>
    <w:rsid w:val="00497530"/>
    <w:rsid w:val="004A5C6A"/>
    <w:rsid w:val="004A691E"/>
    <w:rsid w:val="004B1AA8"/>
    <w:rsid w:val="004B7D5F"/>
    <w:rsid w:val="004C36DF"/>
    <w:rsid w:val="004C5605"/>
    <w:rsid w:val="004C73F1"/>
    <w:rsid w:val="004D4EF6"/>
    <w:rsid w:val="004D5E19"/>
    <w:rsid w:val="004D736E"/>
    <w:rsid w:val="004D7E01"/>
    <w:rsid w:val="004E0141"/>
    <w:rsid w:val="004F009E"/>
    <w:rsid w:val="004F127E"/>
    <w:rsid w:val="004F25D5"/>
    <w:rsid w:val="00500B0C"/>
    <w:rsid w:val="00504DB9"/>
    <w:rsid w:val="005123FF"/>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87079"/>
    <w:rsid w:val="00587CD3"/>
    <w:rsid w:val="005912C3"/>
    <w:rsid w:val="00591D1D"/>
    <w:rsid w:val="00595023"/>
    <w:rsid w:val="0059540A"/>
    <w:rsid w:val="0059675D"/>
    <w:rsid w:val="00596D05"/>
    <w:rsid w:val="00597882"/>
    <w:rsid w:val="005A6C74"/>
    <w:rsid w:val="005A71C6"/>
    <w:rsid w:val="005B4C72"/>
    <w:rsid w:val="005B6246"/>
    <w:rsid w:val="005C15D1"/>
    <w:rsid w:val="005C4415"/>
    <w:rsid w:val="005D4CA4"/>
    <w:rsid w:val="005D7925"/>
    <w:rsid w:val="005F059A"/>
    <w:rsid w:val="005F136C"/>
    <w:rsid w:val="005F51F2"/>
    <w:rsid w:val="00603AF9"/>
    <w:rsid w:val="006070AC"/>
    <w:rsid w:val="006073C4"/>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1F4F"/>
    <w:rsid w:val="00666EDE"/>
    <w:rsid w:val="006700B0"/>
    <w:rsid w:val="00671E46"/>
    <w:rsid w:val="00672F7B"/>
    <w:rsid w:val="00673B06"/>
    <w:rsid w:val="00683780"/>
    <w:rsid w:val="0068432F"/>
    <w:rsid w:val="00684C49"/>
    <w:rsid w:val="006878A8"/>
    <w:rsid w:val="00695625"/>
    <w:rsid w:val="006A021F"/>
    <w:rsid w:val="006A41EE"/>
    <w:rsid w:val="006A4895"/>
    <w:rsid w:val="006B4513"/>
    <w:rsid w:val="006B495A"/>
    <w:rsid w:val="006B51B8"/>
    <w:rsid w:val="006B6D42"/>
    <w:rsid w:val="006B795B"/>
    <w:rsid w:val="006C013C"/>
    <w:rsid w:val="006C3712"/>
    <w:rsid w:val="006C5837"/>
    <w:rsid w:val="006C714F"/>
    <w:rsid w:val="006D0B53"/>
    <w:rsid w:val="006D15C2"/>
    <w:rsid w:val="006D22CE"/>
    <w:rsid w:val="006D52E1"/>
    <w:rsid w:val="006D799A"/>
    <w:rsid w:val="006E0F8C"/>
    <w:rsid w:val="006E1B69"/>
    <w:rsid w:val="006E3B58"/>
    <w:rsid w:val="006E60BA"/>
    <w:rsid w:val="006F113F"/>
    <w:rsid w:val="006F6487"/>
    <w:rsid w:val="006F6EE1"/>
    <w:rsid w:val="00704124"/>
    <w:rsid w:val="00704631"/>
    <w:rsid w:val="00705164"/>
    <w:rsid w:val="0071402F"/>
    <w:rsid w:val="00715204"/>
    <w:rsid w:val="00715FAB"/>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664"/>
    <w:rsid w:val="00772F17"/>
    <w:rsid w:val="00773CAD"/>
    <w:rsid w:val="00774275"/>
    <w:rsid w:val="00774540"/>
    <w:rsid w:val="00776D6C"/>
    <w:rsid w:val="00776E58"/>
    <w:rsid w:val="00790302"/>
    <w:rsid w:val="007913E9"/>
    <w:rsid w:val="0079709F"/>
    <w:rsid w:val="007A0BDB"/>
    <w:rsid w:val="007A1DFE"/>
    <w:rsid w:val="007A59D5"/>
    <w:rsid w:val="007B0BE0"/>
    <w:rsid w:val="007B29CE"/>
    <w:rsid w:val="007D55AE"/>
    <w:rsid w:val="007E489C"/>
    <w:rsid w:val="007E5B2C"/>
    <w:rsid w:val="007E71A3"/>
    <w:rsid w:val="007E7E90"/>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37044"/>
    <w:rsid w:val="00853B63"/>
    <w:rsid w:val="0085598E"/>
    <w:rsid w:val="008573FC"/>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E2364"/>
    <w:rsid w:val="008E5A4E"/>
    <w:rsid w:val="008F5A2E"/>
    <w:rsid w:val="00901675"/>
    <w:rsid w:val="00901E60"/>
    <w:rsid w:val="00906E63"/>
    <w:rsid w:val="00915BD4"/>
    <w:rsid w:val="009206A2"/>
    <w:rsid w:val="00924E13"/>
    <w:rsid w:val="0092593B"/>
    <w:rsid w:val="00926924"/>
    <w:rsid w:val="009270B9"/>
    <w:rsid w:val="0093048B"/>
    <w:rsid w:val="00933C7A"/>
    <w:rsid w:val="00935AF2"/>
    <w:rsid w:val="0094358B"/>
    <w:rsid w:val="009506B9"/>
    <w:rsid w:val="00951306"/>
    <w:rsid w:val="00952AA0"/>
    <w:rsid w:val="00955897"/>
    <w:rsid w:val="00960675"/>
    <w:rsid w:val="00962F41"/>
    <w:rsid w:val="00967F91"/>
    <w:rsid w:val="009768A1"/>
    <w:rsid w:val="00983416"/>
    <w:rsid w:val="00983543"/>
    <w:rsid w:val="00984AEE"/>
    <w:rsid w:val="00992790"/>
    <w:rsid w:val="009A01B8"/>
    <w:rsid w:val="009B2F83"/>
    <w:rsid w:val="009B5DCE"/>
    <w:rsid w:val="009B696D"/>
    <w:rsid w:val="009D109C"/>
    <w:rsid w:val="009D2A93"/>
    <w:rsid w:val="009D6766"/>
    <w:rsid w:val="009E0D5C"/>
    <w:rsid w:val="009E4F48"/>
    <w:rsid w:val="00A01C65"/>
    <w:rsid w:val="00A0210E"/>
    <w:rsid w:val="00A04699"/>
    <w:rsid w:val="00A06A46"/>
    <w:rsid w:val="00A10E54"/>
    <w:rsid w:val="00A116CE"/>
    <w:rsid w:val="00A201C0"/>
    <w:rsid w:val="00A26FD3"/>
    <w:rsid w:val="00A271A6"/>
    <w:rsid w:val="00A274A1"/>
    <w:rsid w:val="00A2758F"/>
    <w:rsid w:val="00A32222"/>
    <w:rsid w:val="00A33CC3"/>
    <w:rsid w:val="00A33CED"/>
    <w:rsid w:val="00A41C23"/>
    <w:rsid w:val="00A42E8D"/>
    <w:rsid w:val="00A5145E"/>
    <w:rsid w:val="00A52858"/>
    <w:rsid w:val="00A54105"/>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188B"/>
    <w:rsid w:val="00AA2503"/>
    <w:rsid w:val="00AC6F3A"/>
    <w:rsid w:val="00AC7FF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4073"/>
    <w:rsid w:val="00B451F0"/>
    <w:rsid w:val="00B45CF2"/>
    <w:rsid w:val="00B51910"/>
    <w:rsid w:val="00B5220D"/>
    <w:rsid w:val="00B5241C"/>
    <w:rsid w:val="00B55CD3"/>
    <w:rsid w:val="00B56E98"/>
    <w:rsid w:val="00B603AA"/>
    <w:rsid w:val="00B639FC"/>
    <w:rsid w:val="00B71DC1"/>
    <w:rsid w:val="00B726EF"/>
    <w:rsid w:val="00B7757B"/>
    <w:rsid w:val="00B84E56"/>
    <w:rsid w:val="00B90659"/>
    <w:rsid w:val="00B93044"/>
    <w:rsid w:val="00B96622"/>
    <w:rsid w:val="00B97113"/>
    <w:rsid w:val="00BA0EB0"/>
    <w:rsid w:val="00BA3D1B"/>
    <w:rsid w:val="00BB227B"/>
    <w:rsid w:val="00BB2331"/>
    <w:rsid w:val="00BC03F3"/>
    <w:rsid w:val="00BD138F"/>
    <w:rsid w:val="00BD39EF"/>
    <w:rsid w:val="00BE5610"/>
    <w:rsid w:val="00BF2510"/>
    <w:rsid w:val="00C011D5"/>
    <w:rsid w:val="00C02F07"/>
    <w:rsid w:val="00C03AA9"/>
    <w:rsid w:val="00C04668"/>
    <w:rsid w:val="00C04B51"/>
    <w:rsid w:val="00C04FF5"/>
    <w:rsid w:val="00C0624C"/>
    <w:rsid w:val="00C062C0"/>
    <w:rsid w:val="00C07C24"/>
    <w:rsid w:val="00C17ED8"/>
    <w:rsid w:val="00C250F7"/>
    <w:rsid w:val="00C36001"/>
    <w:rsid w:val="00C36D30"/>
    <w:rsid w:val="00C41982"/>
    <w:rsid w:val="00C41B31"/>
    <w:rsid w:val="00C4224C"/>
    <w:rsid w:val="00C42A41"/>
    <w:rsid w:val="00C45EB9"/>
    <w:rsid w:val="00C62DC4"/>
    <w:rsid w:val="00C647EB"/>
    <w:rsid w:val="00C71EF8"/>
    <w:rsid w:val="00C92705"/>
    <w:rsid w:val="00C9274A"/>
    <w:rsid w:val="00C97719"/>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96246"/>
    <w:rsid w:val="00D96549"/>
    <w:rsid w:val="00D96F9A"/>
    <w:rsid w:val="00DA1B86"/>
    <w:rsid w:val="00DA64A1"/>
    <w:rsid w:val="00DB145D"/>
    <w:rsid w:val="00DB3767"/>
    <w:rsid w:val="00DB46DB"/>
    <w:rsid w:val="00DC0639"/>
    <w:rsid w:val="00DC12EE"/>
    <w:rsid w:val="00DC599B"/>
    <w:rsid w:val="00DD2A47"/>
    <w:rsid w:val="00DD65A6"/>
    <w:rsid w:val="00DD6714"/>
    <w:rsid w:val="00DE29E0"/>
    <w:rsid w:val="00DF2E8D"/>
    <w:rsid w:val="00E001DD"/>
    <w:rsid w:val="00E01425"/>
    <w:rsid w:val="00E02017"/>
    <w:rsid w:val="00E028F2"/>
    <w:rsid w:val="00E03B5E"/>
    <w:rsid w:val="00E06470"/>
    <w:rsid w:val="00E16AEF"/>
    <w:rsid w:val="00E21E65"/>
    <w:rsid w:val="00E24838"/>
    <w:rsid w:val="00E256DF"/>
    <w:rsid w:val="00E26DE6"/>
    <w:rsid w:val="00E273D7"/>
    <w:rsid w:val="00E3025E"/>
    <w:rsid w:val="00E3132D"/>
    <w:rsid w:val="00E35D9D"/>
    <w:rsid w:val="00E37996"/>
    <w:rsid w:val="00E400A4"/>
    <w:rsid w:val="00E4351B"/>
    <w:rsid w:val="00E50A27"/>
    <w:rsid w:val="00E50D5F"/>
    <w:rsid w:val="00E53B48"/>
    <w:rsid w:val="00E60353"/>
    <w:rsid w:val="00E62E77"/>
    <w:rsid w:val="00E7669C"/>
    <w:rsid w:val="00E76CBF"/>
    <w:rsid w:val="00E8562C"/>
    <w:rsid w:val="00E864B6"/>
    <w:rsid w:val="00E941B2"/>
    <w:rsid w:val="00E96BCC"/>
    <w:rsid w:val="00EA52A5"/>
    <w:rsid w:val="00EA635D"/>
    <w:rsid w:val="00EB024F"/>
    <w:rsid w:val="00EB2048"/>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0FF2"/>
    <w:rsid w:val="00F121C0"/>
    <w:rsid w:val="00F12D5F"/>
    <w:rsid w:val="00F148CB"/>
    <w:rsid w:val="00F167E4"/>
    <w:rsid w:val="00F21B68"/>
    <w:rsid w:val="00F23F28"/>
    <w:rsid w:val="00F27C98"/>
    <w:rsid w:val="00F3018E"/>
    <w:rsid w:val="00F330AF"/>
    <w:rsid w:val="00F35DB6"/>
    <w:rsid w:val="00F40EE9"/>
    <w:rsid w:val="00F435A5"/>
    <w:rsid w:val="00F43ECA"/>
    <w:rsid w:val="00F469E5"/>
    <w:rsid w:val="00F541D0"/>
    <w:rsid w:val="00F56219"/>
    <w:rsid w:val="00F563E3"/>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C239F"/>
    <w:rsid w:val="00FC797F"/>
    <w:rsid w:val="00FE2453"/>
    <w:rsid w:val="00FE5608"/>
    <w:rsid w:val="00FE6FED"/>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A5309780200545BE8A14F43D97C644" ma:contentTypeVersion="175" ma:contentTypeDescription="" ma:contentTypeScope="" ma:versionID="48e1fe1a084e2385d61b6a39c42b3c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2014-03-26T07:00:00+00:00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Gold Beach Water Company, Inc.</CaseCompanyNames>
    <DocketNumber xmlns="dc463f71-b30c-4ab2-9473-d307f9d35888">140549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7F7FFB-1406-4CFF-B361-D36D065BAA48}"/>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3E292418-3788-48BC-B4CF-FFC816736FFC}"/>
</file>

<file path=customXml/itemProps5.xml><?xml version="1.0" encoding="utf-8"?>
<ds:datastoreItem xmlns:ds="http://schemas.openxmlformats.org/officeDocument/2006/customXml" ds:itemID="{181506B8-BE54-4A5E-93C4-D333A3890A75}"/>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Gold Beach Water Memo to dismiss</vt:lpstr>
    </vt:vector>
  </TitlesOfParts>
  <Company>Washington Utilities and Transportation Commission</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Beach Water Memo to dismiss</dc:title>
  <dc:creator>JWard</dc:creator>
  <cp:lastModifiedBy>Lisa Wyse</cp:lastModifiedBy>
  <cp:revision>2</cp:revision>
  <cp:lastPrinted>2014-06-17T23:17:00Z</cp:lastPrinted>
  <dcterms:created xsi:type="dcterms:W3CDTF">2014-06-24T15:54:00Z</dcterms:created>
  <dcterms:modified xsi:type="dcterms:W3CDTF">2014-06-24T15:54:00Z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0x0101006E56B4D1795A2E4DB2F0B01679ED314A0025A5309780200545BE8A14F43D97C644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