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C2764" w14:textId="77777777" w:rsidR="002C039A" w:rsidRPr="0038621A" w:rsidRDefault="003A34EA" w:rsidP="00AD3312">
      <w:pPr>
        <w:rPr>
          <w:rFonts w:ascii="Times New Roman" w:hAnsi="Times New Roman" w:cs="Times New Roman"/>
          <w:sz w:val="24"/>
          <w:szCs w:val="24"/>
        </w:rPr>
      </w:pPr>
      <w:bookmarkStart w:id="0" w:name="_GoBack"/>
      <w:bookmarkEnd w:id="0"/>
      <w:r w:rsidRPr="0038621A">
        <w:rPr>
          <w:rFonts w:ascii="Times New Roman" w:hAnsi="Times New Roman" w:cs="Times New Roman"/>
          <w:sz w:val="24"/>
          <w:szCs w:val="24"/>
        </w:rPr>
        <w:t xml:space="preserve">Agenda Date: </w:t>
      </w:r>
      <w:r w:rsidRPr="0038621A">
        <w:rPr>
          <w:rFonts w:ascii="Times New Roman" w:hAnsi="Times New Roman" w:cs="Times New Roman"/>
          <w:sz w:val="24"/>
          <w:szCs w:val="24"/>
        </w:rPr>
        <w:tab/>
      </w:r>
      <w:r w:rsidRPr="0038621A">
        <w:rPr>
          <w:rFonts w:ascii="Times New Roman" w:hAnsi="Times New Roman" w:cs="Times New Roman"/>
          <w:sz w:val="24"/>
          <w:szCs w:val="24"/>
        </w:rPr>
        <w:tab/>
      </w:r>
      <w:r w:rsidR="008A3D46" w:rsidRPr="0038621A">
        <w:rPr>
          <w:rFonts w:ascii="Times New Roman" w:hAnsi="Times New Roman" w:cs="Times New Roman"/>
          <w:sz w:val="24"/>
          <w:szCs w:val="24"/>
        </w:rPr>
        <w:t>May 29, 2014</w:t>
      </w:r>
    </w:p>
    <w:p w14:paraId="026C2765" w14:textId="6D656A5B" w:rsidR="003A34EA" w:rsidRPr="0038621A" w:rsidRDefault="003E1113" w:rsidP="00AD3312">
      <w:pPr>
        <w:rPr>
          <w:rFonts w:ascii="Times New Roman" w:hAnsi="Times New Roman" w:cs="Times New Roman"/>
          <w:sz w:val="24"/>
          <w:szCs w:val="24"/>
        </w:rPr>
      </w:pPr>
      <w:r w:rsidRPr="0038621A">
        <w:rPr>
          <w:rFonts w:ascii="Times New Roman" w:hAnsi="Times New Roman" w:cs="Times New Roman"/>
          <w:sz w:val="24"/>
          <w:szCs w:val="24"/>
        </w:rPr>
        <w:t>Item Number:</w:t>
      </w:r>
      <w:r w:rsidRPr="0038621A">
        <w:rPr>
          <w:rFonts w:ascii="Times New Roman" w:hAnsi="Times New Roman" w:cs="Times New Roman"/>
          <w:sz w:val="24"/>
          <w:szCs w:val="24"/>
        </w:rPr>
        <w:tab/>
      </w:r>
      <w:r w:rsidRPr="0038621A">
        <w:rPr>
          <w:rFonts w:ascii="Times New Roman" w:hAnsi="Times New Roman" w:cs="Times New Roman"/>
          <w:sz w:val="24"/>
          <w:szCs w:val="24"/>
        </w:rPr>
        <w:tab/>
      </w:r>
      <w:r w:rsidR="0041155C" w:rsidRPr="0038621A">
        <w:rPr>
          <w:rFonts w:ascii="Times New Roman" w:hAnsi="Times New Roman" w:cs="Times New Roman"/>
          <w:sz w:val="24"/>
          <w:szCs w:val="24"/>
        </w:rPr>
        <w:t>B</w:t>
      </w:r>
      <w:r w:rsidR="00B44841">
        <w:rPr>
          <w:rFonts w:ascii="Times New Roman" w:hAnsi="Times New Roman" w:cs="Times New Roman"/>
          <w:sz w:val="24"/>
          <w:szCs w:val="24"/>
        </w:rPr>
        <w:t>1</w:t>
      </w:r>
    </w:p>
    <w:p w14:paraId="026C2766" w14:textId="77777777" w:rsidR="003A34EA" w:rsidRPr="0038621A" w:rsidRDefault="003A34EA" w:rsidP="00AD3312">
      <w:pPr>
        <w:rPr>
          <w:rFonts w:ascii="Times New Roman" w:hAnsi="Times New Roman" w:cs="Times New Roman"/>
          <w:sz w:val="24"/>
          <w:szCs w:val="24"/>
        </w:rPr>
      </w:pPr>
    </w:p>
    <w:p w14:paraId="026C2767" w14:textId="77777777" w:rsidR="003A34EA" w:rsidRPr="0038621A" w:rsidRDefault="003A34EA" w:rsidP="00AD3312">
      <w:pPr>
        <w:rPr>
          <w:rFonts w:ascii="Times New Roman" w:hAnsi="Times New Roman" w:cs="Times New Roman"/>
          <w:sz w:val="24"/>
          <w:szCs w:val="24"/>
        </w:rPr>
      </w:pPr>
      <w:r w:rsidRPr="0038621A">
        <w:rPr>
          <w:rFonts w:ascii="Times New Roman" w:hAnsi="Times New Roman" w:cs="Times New Roman"/>
          <w:b/>
          <w:sz w:val="24"/>
          <w:szCs w:val="24"/>
        </w:rPr>
        <w:t>Docket:</w:t>
      </w:r>
      <w:r w:rsidRPr="0038621A">
        <w:rPr>
          <w:rFonts w:ascii="Times New Roman" w:hAnsi="Times New Roman" w:cs="Times New Roman"/>
          <w:b/>
          <w:sz w:val="24"/>
          <w:szCs w:val="24"/>
        </w:rPr>
        <w:tab/>
      </w:r>
      <w:r w:rsidRPr="0038621A">
        <w:rPr>
          <w:rFonts w:ascii="Times New Roman" w:hAnsi="Times New Roman" w:cs="Times New Roman"/>
          <w:b/>
          <w:sz w:val="24"/>
          <w:szCs w:val="24"/>
        </w:rPr>
        <w:tab/>
        <w:t>T</w:t>
      </w:r>
      <w:r w:rsidR="008A3D46" w:rsidRPr="0038621A">
        <w:rPr>
          <w:rFonts w:ascii="Times New Roman" w:hAnsi="Times New Roman" w:cs="Times New Roman"/>
          <w:b/>
          <w:sz w:val="24"/>
          <w:szCs w:val="24"/>
        </w:rPr>
        <w:t>G</w:t>
      </w:r>
      <w:r w:rsidRPr="0038621A">
        <w:rPr>
          <w:rFonts w:ascii="Times New Roman" w:hAnsi="Times New Roman" w:cs="Times New Roman"/>
          <w:b/>
          <w:sz w:val="24"/>
          <w:szCs w:val="24"/>
        </w:rPr>
        <w:t>-</w:t>
      </w:r>
      <w:r w:rsidR="005660D9" w:rsidRPr="0038621A">
        <w:rPr>
          <w:rFonts w:ascii="Times New Roman" w:hAnsi="Times New Roman" w:cs="Times New Roman"/>
          <w:b/>
          <w:sz w:val="24"/>
          <w:szCs w:val="24"/>
        </w:rPr>
        <w:t>1</w:t>
      </w:r>
      <w:r w:rsidR="008A3D46" w:rsidRPr="0038621A">
        <w:rPr>
          <w:rFonts w:ascii="Times New Roman" w:hAnsi="Times New Roman" w:cs="Times New Roman"/>
          <w:b/>
          <w:sz w:val="24"/>
          <w:szCs w:val="24"/>
        </w:rPr>
        <w:t>40471</w:t>
      </w:r>
    </w:p>
    <w:p w14:paraId="026C2768" w14:textId="76BB4967" w:rsidR="003A34EA" w:rsidRPr="0038621A" w:rsidRDefault="003A34EA" w:rsidP="00AD3312">
      <w:pPr>
        <w:rPr>
          <w:rFonts w:ascii="Times New Roman" w:hAnsi="Times New Roman" w:cs="Times New Roman"/>
          <w:sz w:val="24"/>
          <w:szCs w:val="24"/>
        </w:rPr>
      </w:pPr>
      <w:r w:rsidRPr="0038621A">
        <w:rPr>
          <w:rFonts w:ascii="Times New Roman" w:hAnsi="Times New Roman" w:cs="Times New Roman"/>
          <w:sz w:val="24"/>
          <w:szCs w:val="24"/>
        </w:rPr>
        <w:t>Company Name:</w:t>
      </w:r>
      <w:r w:rsidRPr="0038621A">
        <w:rPr>
          <w:rFonts w:ascii="Times New Roman" w:hAnsi="Times New Roman" w:cs="Times New Roman"/>
          <w:sz w:val="24"/>
          <w:szCs w:val="24"/>
        </w:rPr>
        <w:tab/>
      </w:r>
      <w:r w:rsidR="008A3D46" w:rsidRPr="0038621A">
        <w:rPr>
          <w:rFonts w:ascii="Times New Roman" w:hAnsi="Times New Roman" w:cs="Times New Roman"/>
          <w:sz w:val="24"/>
          <w:szCs w:val="24"/>
        </w:rPr>
        <w:t>Waste Management of Washington, Inc</w:t>
      </w:r>
      <w:r w:rsidR="00480A33" w:rsidRPr="0038621A">
        <w:rPr>
          <w:rFonts w:ascii="Times New Roman" w:hAnsi="Times New Roman" w:cs="Times New Roman"/>
          <w:sz w:val="24"/>
          <w:szCs w:val="24"/>
        </w:rPr>
        <w:t>.,</w:t>
      </w:r>
    </w:p>
    <w:p w14:paraId="026C2769" w14:textId="090ED345" w:rsidR="002D64AC" w:rsidRPr="0038621A" w:rsidRDefault="002D64AC" w:rsidP="00AD3312">
      <w:pPr>
        <w:rPr>
          <w:rFonts w:ascii="Times New Roman" w:hAnsi="Times New Roman" w:cs="Times New Roman"/>
          <w:sz w:val="24"/>
          <w:szCs w:val="24"/>
        </w:rPr>
      </w:pPr>
      <w:r w:rsidRPr="0038621A">
        <w:rPr>
          <w:rFonts w:ascii="Times New Roman" w:hAnsi="Times New Roman" w:cs="Times New Roman"/>
          <w:sz w:val="24"/>
          <w:szCs w:val="24"/>
        </w:rPr>
        <w:tab/>
      </w:r>
      <w:r w:rsidRPr="0038621A">
        <w:rPr>
          <w:rFonts w:ascii="Times New Roman" w:hAnsi="Times New Roman" w:cs="Times New Roman"/>
          <w:sz w:val="24"/>
          <w:szCs w:val="24"/>
        </w:rPr>
        <w:tab/>
      </w:r>
      <w:r w:rsidRPr="0038621A">
        <w:rPr>
          <w:rFonts w:ascii="Times New Roman" w:hAnsi="Times New Roman" w:cs="Times New Roman"/>
          <w:sz w:val="24"/>
          <w:szCs w:val="24"/>
        </w:rPr>
        <w:tab/>
        <w:t xml:space="preserve">dba </w:t>
      </w:r>
      <w:r w:rsidR="008A3D46" w:rsidRPr="0038621A">
        <w:rPr>
          <w:rFonts w:ascii="Times New Roman" w:hAnsi="Times New Roman" w:cs="Times New Roman"/>
          <w:sz w:val="24"/>
          <w:szCs w:val="24"/>
        </w:rPr>
        <w:t xml:space="preserve">Waste Management – South </w:t>
      </w:r>
      <w:r w:rsidR="00480A33" w:rsidRPr="0038621A">
        <w:rPr>
          <w:rFonts w:ascii="Times New Roman" w:hAnsi="Times New Roman" w:cs="Times New Roman"/>
          <w:sz w:val="24"/>
          <w:szCs w:val="24"/>
        </w:rPr>
        <w:t xml:space="preserve">Sound </w:t>
      </w:r>
      <w:r w:rsidR="008A3D46" w:rsidRPr="0038621A">
        <w:rPr>
          <w:rFonts w:ascii="Times New Roman" w:hAnsi="Times New Roman" w:cs="Times New Roman"/>
          <w:sz w:val="24"/>
          <w:szCs w:val="24"/>
        </w:rPr>
        <w:t>and Waste Management of Seattle</w:t>
      </w:r>
    </w:p>
    <w:p w14:paraId="026C276A" w14:textId="77777777" w:rsidR="003A34EA" w:rsidRPr="0038621A" w:rsidRDefault="003A34EA" w:rsidP="00AD3312">
      <w:pPr>
        <w:rPr>
          <w:rFonts w:ascii="Times New Roman" w:hAnsi="Times New Roman" w:cs="Times New Roman"/>
          <w:sz w:val="24"/>
          <w:szCs w:val="24"/>
        </w:rPr>
      </w:pPr>
    </w:p>
    <w:p w14:paraId="026C276B" w14:textId="77777777" w:rsidR="00717278" w:rsidRPr="0038621A" w:rsidRDefault="003A34EA" w:rsidP="00717278">
      <w:pPr>
        <w:rPr>
          <w:rFonts w:ascii="Times New Roman" w:hAnsi="Times New Roman" w:cs="Times New Roman"/>
          <w:sz w:val="24"/>
          <w:szCs w:val="24"/>
        </w:rPr>
      </w:pPr>
      <w:r w:rsidRPr="0038621A">
        <w:rPr>
          <w:rFonts w:ascii="Times New Roman" w:hAnsi="Times New Roman" w:cs="Times New Roman"/>
          <w:sz w:val="24"/>
          <w:szCs w:val="24"/>
        </w:rPr>
        <w:t>Staff:</w:t>
      </w:r>
      <w:r w:rsidRPr="0038621A">
        <w:rPr>
          <w:rFonts w:ascii="Times New Roman" w:hAnsi="Times New Roman" w:cs="Times New Roman"/>
          <w:sz w:val="24"/>
          <w:szCs w:val="24"/>
        </w:rPr>
        <w:tab/>
      </w:r>
      <w:r w:rsidRPr="0038621A">
        <w:rPr>
          <w:rFonts w:ascii="Times New Roman" w:hAnsi="Times New Roman" w:cs="Times New Roman"/>
          <w:sz w:val="24"/>
          <w:szCs w:val="24"/>
        </w:rPr>
        <w:tab/>
      </w:r>
      <w:r w:rsidRPr="0038621A">
        <w:rPr>
          <w:rFonts w:ascii="Times New Roman" w:hAnsi="Times New Roman" w:cs="Times New Roman"/>
          <w:sz w:val="24"/>
          <w:szCs w:val="24"/>
        </w:rPr>
        <w:tab/>
      </w:r>
      <w:r w:rsidR="00717278" w:rsidRPr="0038621A">
        <w:rPr>
          <w:rFonts w:ascii="Times New Roman" w:hAnsi="Times New Roman" w:cs="Times New Roman"/>
          <w:sz w:val="24"/>
          <w:szCs w:val="24"/>
        </w:rPr>
        <w:t>Ann LaRue, Regulatory Analyst</w:t>
      </w:r>
    </w:p>
    <w:p w14:paraId="026C276C" w14:textId="77777777" w:rsidR="005E2F82" w:rsidRPr="0038621A" w:rsidRDefault="008A3D46" w:rsidP="00717278">
      <w:pPr>
        <w:ind w:left="2160"/>
        <w:rPr>
          <w:rFonts w:ascii="Times New Roman" w:hAnsi="Times New Roman" w:cs="Times New Roman"/>
          <w:sz w:val="24"/>
          <w:szCs w:val="24"/>
        </w:rPr>
      </w:pPr>
      <w:r w:rsidRPr="0038621A">
        <w:rPr>
          <w:rFonts w:ascii="Times New Roman" w:hAnsi="Times New Roman" w:cs="Times New Roman"/>
          <w:sz w:val="24"/>
          <w:szCs w:val="24"/>
        </w:rPr>
        <w:t>Mike Young, Regulatory Analyst</w:t>
      </w:r>
    </w:p>
    <w:p w14:paraId="026C276D" w14:textId="77777777" w:rsidR="005E2F82" w:rsidRPr="0038621A" w:rsidRDefault="008A3D46" w:rsidP="005E2F82">
      <w:pPr>
        <w:ind w:left="1440" w:firstLine="720"/>
        <w:rPr>
          <w:rFonts w:ascii="Times New Roman" w:hAnsi="Times New Roman" w:cs="Times New Roman"/>
          <w:sz w:val="24"/>
          <w:szCs w:val="24"/>
        </w:rPr>
      </w:pPr>
      <w:r w:rsidRPr="0038621A">
        <w:rPr>
          <w:rFonts w:ascii="Times New Roman" w:hAnsi="Times New Roman" w:cs="Times New Roman"/>
          <w:sz w:val="24"/>
          <w:szCs w:val="24"/>
        </w:rPr>
        <w:t>John Cupp</w:t>
      </w:r>
      <w:r w:rsidR="005E2F82" w:rsidRPr="0038621A">
        <w:rPr>
          <w:rFonts w:ascii="Times New Roman" w:hAnsi="Times New Roman" w:cs="Times New Roman"/>
          <w:sz w:val="24"/>
          <w:szCs w:val="24"/>
        </w:rPr>
        <w:t>, Consumer Protection Staff</w:t>
      </w:r>
    </w:p>
    <w:p w14:paraId="026C276E" w14:textId="77777777" w:rsidR="003A34EA" w:rsidRPr="0038621A" w:rsidRDefault="003A34EA" w:rsidP="00AD3312">
      <w:pPr>
        <w:rPr>
          <w:rFonts w:ascii="Times New Roman" w:hAnsi="Times New Roman" w:cs="Times New Roman"/>
          <w:sz w:val="24"/>
          <w:szCs w:val="24"/>
        </w:rPr>
      </w:pPr>
    </w:p>
    <w:p w14:paraId="026C276F" w14:textId="77777777" w:rsidR="003A34EA" w:rsidRPr="0038621A" w:rsidRDefault="003A34EA" w:rsidP="00AD3312">
      <w:pPr>
        <w:rPr>
          <w:rFonts w:ascii="Times New Roman" w:hAnsi="Times New Roman" w:cs="Times New Roman"/>
          <w:sz w:val="24"/>
          <w:szCs w:val="24"/>
        </w:rPr>
      </w:pPr>
      <w:r w:rsidRPr="0038621A">
        <w:rPr>
          <w:rFonts w:ascii="Times New Roman" w:hAnsi="Times New Roman" w:cs="Times New Roman"/>
          <w:b/>
          <w:sz w:val="24"/>
          <w:szCs w:val="24"/>
          <w:u w:val="single"/>
        </w:rPr>
        <w:t>Recommendation</w:t>
      </w:r>
    </w:p>
    <w:p w14:paraId="026C2770" w14:textId="77777777" w:rsidR="003A34EA" w:rsidRPr="0038621A" w:rsidRDefault="003A34EA" w:rsidP="00AD3312">
      <w:pPr>
        <w:rPr>
          <w:rFonts w:ascii="Times New Roman" w:hAnsi="Times New Roman" w:cs="Times New Roman"/>
          <w:sz w:val="24"/>
          <w:szCs w:val="24"/>
        </w:rPr>
      </w:pPr>
    </w:p>
    <w:p w14:paraId="026C2771" w14:textId="7322AD2C" w:rsidR="007554DF" w:rsidRPr="0038621A" w:rsidRDefault="007554DF" w:rsidP="00480A33">
      <w:pPr>
        <w:rPr>
          <w:rFonts w:ascii="Times New Roman" w:hAnsi="Times New Roman" w:cs="Times New Roman"/>
          <w:sz w:val="24"/>
          <w:szCs w:val="24"/>
        </w:rPr>
      </w:pPr>
      <w:r w:rsidRPr="0038621A">
        <w:rPr>
          <w:rFonts w:ascii="Times New Roman" w:hAnsi="Times New Roman" w:cs="Times New Roman"/>
          <w:sz w:val="24"/>
          <w:szCs w:val="24"/>
        </w:rPr>
        <w:t>Take no action, thereby allowing the proposed rates</w:t>
      </w:r>
      <w:r w:rsidR="00000174" w:rsidRPr="0038621A">
        <w:rPr>
          <w:rFonts w:ascii="Times New Roman" w:hAnsi="Times New Roman" w:cs="Times New Roman"/>
          <w:sz w:val="24"/>
          <w:szCs w:val="24"/>
        </w:rPr>
        <w:t xml:space="preserve"> filed </w:t>
      </w:r>
      <w:r w:rsidR="00480A33" w:rsidRPr="0038621A">
        <w:rPr>
          <w:rFonts w:ascii="Times New Roman" w:hAnsi="Times New Roman" w:cs="Times New Roman"/>
          <w:sz w:val="24"/>
          <w:szCs w:val="24"/>
        </w:rPr>
        <w:t>by Waste Management of Washington, Inc., dba Waste Management – South Sound and Waste Management of Seattle</w:t>
      </w:r>
      <w:r w:rsidR="005C4838" w:rsidRPr="0038621A">
        <w:rPr>
          <w:rFonts w:ascii="Times New Roman" w:hAnsi="Times New Roman" w:cs="Times New Roman"/>
          <w:sz w:val="24"/>
          <w:szCs w:val="24"/>
        </w:rPr>
        <w:t xml:space="preserve"> </w:t>
      </w:r>
      <w:r w:rsidR="00000174" w:rsidRPr="0038621A">
        <w:rPr>
          <w:rFonts w:ascii="Times New Roman" w:hAnsi="Times New Roman" w:cs="Times New Roman"/>
          <w:sz w:val="24"/>
          <w:szCs w:val="24"/>
        </w:rPr>
        <w:t xml:space="preserve">on </w:t>
      </w:r>
      <w:r w:rsidR="008A3D46" w:rsidRPr="0038621A">
        <w:rPr>
          <w:rFonts w:ascii="Times New Roman" w:hAnsi="Times New Roman" w:cs="Times New Roman"/>
          <w:sz w:val="24"/>
          <w:szCs w:val="24"/>
        </w:rPr>
        <w:t>March 24, 2014</w:t>
      </w:r>
      <w:r w:rsidR="00000174" w:rsidRPr="0038621A">
        <w:rPr>
          <w:rFonts w:ascii="Times New Roman" w:hAnsi="Times New Roman" w:cs="Times New Roman"/>
          <w:sz w:val="24"/>
          <w:szCs w:val="24"/>
        </w:rPr>
        <w:t xml:space="preserve">, as revised </w:t>
      </w:r>
      <w:r w:rsidR="00DA49FE" w:rsidRPr="0038621A">
        <w:rPr>
          <w:rFonts w:ascii="Times New Roman" w:hAnsi="Times New Roman" w:cs="Times New Roman"/>
          <w:sz w:val="24"/>
          <w:szCs w:val="24"/>
        </w:rPr>
        <w:t xml:space="preserve">on </w:t>
      </w:r>
      <w:r w:rsidR="008A3D46" w:rsidRPr="0038621A">
        <w:rPr>
          <w:rFonts w:ascii="Times New Roman" w:hAnsi="Times New Roman" w:cs="Times New Roman"/>
          <w:sz w:val="24"/>
          <w:szCs w:val="24"/>
        </w:rPr>
        <w:t xml:space="preserve">May </w:t>
      </w:r>
      <w:r w:rsidR="008F2C93" w:rsidRPr="0038621A">
        <w:rPr>
          <w:rFonts w:ascii="Times New Roman" w:hAnsi="Times New Roman" w:cs="Times New Roman"/>
          <w:sz w:val="24"/>
          <w:szCs w:val="24"/>
        </w:rPr>
        <w:t>19</w:t>
      </w:r>
      <w:r w:rsidR="008A3D46" w:rsidRPr="0038621A">
        <w:rPr>
          <w:rFonts w:ascii="Times New Roman" w:hAnsi="Times New Roman" w:cs="Times New Roman"/>
          <w:sz w:val="24"/>
          <w:szCs w:val="24"/>
        </w:rPr>
        <w:t>, 2014</w:t>
      </w:r>
      <w:r w:rsidR="00000174" w:rsidRPr="0038621A">
        <w:rPr>
          <w:rFonts w:ascii="Times New Roman" w:hAnsi="Times New Roman" w:cs="Times New Roman"/>
          <w:sz w:val="24"/>
          <w:szCs w:val="24"/>
        </w:rPr>
        <w:t>,</w:t>
      </w:r>
      <w:r w:rsidRPr="0038621A">
        <w:rPr>
          <w:rFonts w:ascii="Times New Roman" w:hAnsi="Times New Roman" w:cs="Times New Roman"/>
          <w:sz w:val="24"/>
          <w:szCs w:val="24"/>
        </w:rPr>
        <w:t xml:space="preserve"> to become effective </w:t>
      </w:r>
      <w:r w:rsidR="008A3D46" w:rsidRPr="0038621A">
        <w:rPr>
          <w:rFonts w:ascii="Times New Roman" w:hAnsi="Times New Roman" w:cs="Times New Roman"/>
          <w:sz w:val="24"/>
          <w:szCs w:val="24"/>
        </w:rPr>
        <w:t>June 1, 2014</w:t>
      </w:r>
      <w:r w:rsidRPr="0038621A">
        <w:rPr>
          <w:rFonts w:ascii="Times New Roman" w:hAnsi="Times New Roman" w:cs="Times New Roman"/>
          <w:sz w:val="24"/>
          <w:szCs w:val="24"/>
        </w:rPr>
        <w:t xml:space="preserve">, by operation of law.  </w:t>
      </w:r>
    </w:p>
    <w:p w14:paraId="026C2772" w14:textId="77777777" w:rsidR="003A34EA" w:rsidRPr="0038621A" w:rsidRDefault="003A34EA" w:rsidP="00AD3312">
      <w:pPr>
        <w:rPr>
          <w:rFonts w:ascii="Times New Roman" w:hAnsi="Times New Roman" w:cs="Times New Roman"/>
          <w:sz w:val="24"/>
          <w:szCs w:val="24"/>
        </w:rPr>
      </w:pPr>
    </w:p>
    <w:p w14:paraId="026C2773" w14:textId="77777777" w:rsidR="003A34EA" w:rsidRPr="0038621A" w:rsidRDefault="003A34EA" w:rsidP="00AD3312">
      <w:pPr>
        <w:rPr>
          <w:rFonts w:ascii="Times New Roman" w:hAnsi="Times New Roman" w:cs="Times New Roman"/>
          <w:sz w:val="24"/>
          <w:szCs w:val="24"/>
        </w:rPr>
      </w:pPr>
      <w:r w:rsidRPr="0038621A">
        <w:rPr>
          <w:rFonts w:ascii="Times New Roman" w:hAnsi="Times New Roman" w:cs="Times New Roman"/>
          <w:b/>
          <w:sz w:val="24"/>
          <w:szCs w:val="24"/>
          <w:u w:val="single"/>
        </w:rPr>
        <w:t>Discussion</w:t>
      </w:r>
    </w:p>
    <w:p w14:paraId="026C2774" w14:textId="77777777" w:rsidR="003A34EA" w:rsidRPr="0038621A" w:rsidRDefault="003A34EA" w:rsidP="00AD3312">
      <w:pPr>
        <w:rPr>
          <w:rFonts w:ascii="Times New Roman" w:hAnsi="Times New Roman" w:cs="Times New Roman"/>
          <w:sz w:val="24"/>
          <w:szCs w:val="24"/>
        </w:rPr>
      </w:pPr>
    </w:p>
    <w:p w14:paraId="026C2775" w14:textId="47FFE393" w:rsidR="00B40E76" w:rsidRPr="0038621A" w:rsidRDefault="003A34EA" w:rsidP="008A3D46">
      <w:pPr>
        <w:rPr>
          <w:rFonts w:ascii="Times New Roman" w:hAnsi="Times New Roman" w:cs="Times New Roman"/>
          <w:sz w:val="24"/>
          <w:szCs w:val="24"/>
        </w:rPr>
      </w:pPr>
      <w:r w:rsidRPr="0038621A">
        <w:rPr>
          <w:rFonts w:ascii="Times New Roman" w:hAnsi="Times New Roman" w:cs="Times New Roman"/>
          <w:sz w:val="24"/>
          <w:szCs w:val="24"/>
        </w:rPr>
        <w:t xml:space="preserve">On </w:t>
      </w:r>
      <w:r w:rsidR="008A3D46" w:rsidRPr="0038621A">
        <w:rPr>
          <w:rFonts w:ascii="Times New Roman" w:hAnsi="Times New Roman" w:cs="Times New Roman"/>
          <w:sz w:val="24"/>
          <w:szCs w:val="24"/>
        </w:rPr>
        <w:t>March 24, 2014</w:t>
      </w:r>
      <w:r w:rsidRPr="0038621A">
        <w:rPr>
          <w:rFonts w:ascii="Times New Roman" w:hAnsi="Times New Roman" w:cs="Times New Roman"/>
          <w:sz w:val="24"/>
          <w:szCs w:val="24"/>
        </w:rPr>
        <w:t xml:space="preserve">, </w:t>
      </w:r>
      <w:r w:rsidR="008A3D46" w:rsidRPr="0038621A">
        <w:rPr>
          <w:rFonts w:ascii="Times New Roman" w:hAnsi="Times New Roman" w:cs="Times New Roman"/>
          <w:sz w:val="24"/>
          <w:szCs w:val="24"/>
        </w:rPr>
        <w:t>Waste Management of Washington, Inc</w:t>
      </w:r>
      <w:r w:rsidR="00480A33" w:rsidRPr="0038621A">
        <w:rPr>
          <w:rFonts w:ascii="Times New Roman" w:hAnsi="Times New Roman" w:cs="Times New Roman"/>
          <w:sz w:val="24"/>
          <w:szCs w:val="24"/>
        </w:rPr>
        <w:t>.,</w:t>
      </w:r>
      <w:r w:rsidR="008A3D46" w:rsidRPr="0038621A">
        <w:rPr>
          <w:rFonts w:ascii="Times New Roman" w:hAnsi="Times New Roman" w:cs="Times New Roman"/>
          <w:sz w:val="24"/>
          <w:szCs w:val="24"/>
        </w:rPr>
        <w:t xml:space="preserve"> dba Waste Management – South </w:t>
      </w:r>
      <w:r w:rsidR="00480A33" w:rsidRPr="0038621A">
        <w:rPr>
          <w:rFonts w:ascii="Times New Roman" w:hAnsi="Times New Roman" w:cs="Times New Roman"/>
          <w:sz w:val="24"/>
          <w:szCs w:val="24"/>
        </w:rPr>
        <w:t xml:space="preserve">Sound </w:t>
      </w:r>
      <w:r w:rsidR="008A3D46" w:rsidRPr="0038621A">
        <w:rPr>
          <w:rFonts w:ascii="Times New Roman" w:hAnsi="Times New Roman" w:cs="Times New Roman"/>
          <w:sz w:val="24"/>
          <w:szCs w:val="24"/>
        </w:rPr>
        <w:t>and Waste Management of Seattle (WM South Sound/Seattle)</w:t>
      </w:r>
      <w:r w:rsidR="00E40597" w:rsidRPr="0038621A">
        <w:rPr>
          <w:rFonts w:ascii="Times New Roman" w:hAnsi="Times New Roman" w:cs="Times New Roman"/>
          <w:sz w:val="24"/>
          <w:szCs w:val="24"/>
        </w:rPr>
        <w:t>,</w:t>
      </w:r>
      <w:r w:rsidRPr="0038621A">
        <w:rPr>
          <w:rFonts w:ascii="Times New Roman" w:hAnsi="Times New Roman" w:cs="Times New Roman"/>
          <w:sz w:val="24"/>
          <w:szCs w:val="24"/>
        </w:rPr>
        <w:t xml:space="preserve"> filed</w:t>
      </w:r>
      <w:r w:rsidR="00967EEC" w:rsidRPr="0038621A">
        <w:rPr>
          <w:rFonts w:ascii="Times New Roman" w:hAnsi="Times New Roman" w:cs="Times New Roman"/>
          <w:sz w:val="24"/>
          <w:szCs w:val="24"/>
        </w:rPr>
        <w:t xml:space="preserve"> </w:t>
      </w:r>
      <w:r w:rsidR="001870EF" w:rsidRPr="0038621A">
        <w:rPr>
          <w:rFonts w:ascii="Times New Roman" w:hAnsi="Times New Roman" w:cs="Times New Roman"/>
          <w:sz w:val="24"/>
          <w:szCs w:val="24"/>
        </w:rPr>
        <w:t xml:space="preserve">Tariff </w:t>
      </w:r>
      <w:r w:rsidR="005B6302" w:rsidRPr="0038621A">
        <w:rPr>
          <w:rFonts w:ascii="Times New Roman" w:hAnsi="Times New Roman" w:cs="Times New Roman"/>
          <w:sz w:val="24"/>
          <w:szCs w:val="24"/>
        </w:rPr>
        <w:t>Number</w:t>
      </w:r>
      <w:r w:rsidR="00D330B4" w:rsidRPr="0038621A">
        <w:rPr>
          <w:rFonts w:ascii="Times New Roman" w:hAnsi="Times New Roman" w:cs="Times New Roman"/>
          <w:sz w:val="24"/>
          <w:szCs w:val="24"/>
        </w:rPr>
        <w:t xml:space="preserve"> </w:t>
      </w:r>
      <w:r w:rsidR="002D64AC" w:rsidRPr="0038621A">
        <w:rPr>
          <w:rFonts w:ascii="Times New Roman" w:hAnsi="Times New Roman" w:cs="Times New Roman"/>
          <w:sz w:val="24"/>
          <w:szCs w:val="24"/>
        </w:rPr>
        <w:t>2</w:t>
      </w:r>
      <w:r w:rsidR="005B6302" w:rsidRPr="0038621A">
        <w:rPr>
          <w:rFonts w:ascii="Times New Roman" w:hAnsi="Times New Roman" w:cs="Times New Roman"/>
          <w:sz w:val="24"/>
          <w:szCs w:val="24"/>
        </w:rPr>
        <w:t>3</w:t>
      </w:r>
      <w:r w:rsidR="00967EEC" w:rsidRPr="0038621A">
        <w:rPr>
          <w:rFonts w:ascii="Times New Roman" w:hAnsi="Times New Roman" w:cs="Times New Roman"/>
          <w:sz w:val="24"/>
          <w:szCs w:val="24"/>
        </w:rPr>
        <w:t xml:space="preserve"> </w:t>
      </w:r>
      <w:r w:rsidRPr="0038621A">
        <w:rPr>
          <w:rFonts w:ascii="Times New Roman" w:hAnsi="Times New Roman" w:cs="Times New Roman"/>
          <w:sz w:val="24"/>
          <w:szCs w:val="24"/>
        </w:rPr>
        <w:t>with the Utilities and Transportation Commission (commission)</w:t>
      </w:r>
      <w:r w:rsidR="0074078D" w:rsidRPr="0038621A">
        <w:rPr>
          <w:rFonts w:ascii="Times New Roman" w:hAnsi="Times New Roman" w:cs="Times New Roman"/>
          <w:sz w:val="24"/>
          <w:szCs w:val="24"/>
        </w:rPr>
        <w:t xml:space="preserve"> that</w:t>
      </w:r>
      <w:r w:rsidRPr="0038621A">
        <w:rPr>
          <w:rFonts w:ascii="Times New Roman" w:hAnsi="Times New Roman" w:cs="Times New Roman"/>
          <w:sz w:val="24"/>
          <w:szCs w:val="24"/>
        </w:rPr>
        <w:t xml:space="preserve"> would </w:t>
      </w:r>
      <w:r w:rsidR="00292C45" w:rsidRPr="0038621A">
        <w:rPr>
          <w:rFonts w:ascii="Times New Roman" w:hAnsi="Times New Roman" w:cs="Times New Roman"/>
          <w:sz w:val="24"/>
          <w:szCs w:val="24"/>
        </w:rPr>
        <w:t>generate</w:t>
      </w:r>
      <w:r w:rsidR="00175B07" w:rsidRPr="0038621A">
        <w:rPr>
          <w:rFonts w:ascii="Times New Roman" w:hAnsi="Times New Roman" w:cs="Times New Roman"/>
          <w:sz w:val="24"/>
          <w:szCs w:val="24"/>
        </w:rPr>
        <w:t xml:space="preserve"> </w:t>
      </w:r>
      <w:r w:rsidR="00AB0137" w:rsidRPr="0038621A">
        <w:rPr>
          <w:rFonts w:ascii="Times New Roman" w:hAnsi="Times New Roman" w:cs="Times New Roman"/>
          <w:sz w:val="24"/>
          <w:szCs w:val="24"/>
        </w:rPr>
        <w:t>approximately $</w:t>
      </w:r>
      <w:r w:rsidR="005B6302" w:rsidRPr="0038621A">
        <w:rPr>
          <w:rFonts w:ascii="Times New Roman" w:hAnsi="Times New Roman" w:cs="Times New Roman"/>
          <w:sz w:val="24"/>
          <w:szCs w:val="24"/>
        </w:rPr>
        <w:t>1,053,000</w:t>
      </w:r>
      <w:r w:rsidR="00175B07" w:rsidRPr="0038621A">
        <w:rPr>
          <w:rFonts w:ascii="Times New Roman" w:hAnsi="Times New Roman" w:cs="Times New Roman"/>
          <w:sz w:val="24"/>
          <w:szCs w:val="24"/>
        </w:rPr>
        <w:t xml:space="preserve"> </w:t>
      </w:r>
      <w:r w:rsidR="00694D42" w:rsidRPr="0038621A">
        <w:rPr>
          <w:rFonts w:ascii="Times New Roman" w:hAnsi="Times New Roman" w:cs="Times New Roman"/>
          <w:sz w:val="24"/>
          <w:szCs w:val="24"/>
        </w:rPr>
        <w:t>(</w:t>
      </w:r>
      <w:r w:rsidR="005B6302" w:rsidRPr="0038621A">
        <w:rPr>
          <w:rFonts w:ascii="Times New Roman" w:hAnsi="Times New Roman" w:cs="Times New Roman"/>
          <w:sz w:val="24"/>
          <w:szCs w:val="24"/>
        </w:rPr>
        <w:t>10</w:t>
      </w:r>
      <w:r w:rsidR="00175B07" w:rsidRPr="0038621A">
        <w:rPr>
          <w:rFonts w:ascii="Times New Roman" w:hAnsi="Times New Roman" w:cs="Times New Roman"/>
          <w:sz w:val="24"/>
          <w:szCs w:val="24"/>
        </w:rPr>
        <w:t xml:space="preserve"> </w:t>
      </w:r>
      <w:r w:rsidR="00694D42" w:rsidRPr="0038621A">
        <w:rPr>
          <w:rFonts w:ascii="Times New Roman" w:hAnsi="Times New Roman" w:cs="Times New Roman"/>
          <w:sz w:val="24"/>
          <w:szCs w:val="24"/>
        </w:rPr>
        <w:t>percent)</w:t>
      </w:r>
      <w:r w:rsidR="00292C45" w:rsidRPr="0038621A">
        <w:rPr>
          <w:rFonts w:ascii="Times New Roman" w:hAnsi="Times New Roman" w:cs="Times New Roman"/>
          <w:sz w:val="24"/>
          <w:szCs w:val="24"/>
        </w:rPr>
        <w:t xml:space="preserve"> additional annual revenue</w:t>
      </w:r>
      <w:r w:rsidR="00694D42" w:rsidRPr="0038621A">
        <w:rPr>
          <w:rFonts w:ascii="Times New Roman" w:hAnsi="Times New Roman" w:cs="Times New Roman"/>
          <w:sz w:val="24"/>
          <w:szCs w:val="24"/>
        </w:rPr>
        <w:t>.</w:t>
      </w:r>
      <w:r w:rsidR="00292C45" w:rsidRPr="0038621A">
        <w:rPr>
          <w:rFonts w:ascii="Times New Roman" w:hAnsi="Times New Roman" w:cs="Times New Roman"/>
          <w:sz w:val="24"/>
          <w:szCs w:val="24"/>
        </w:rPr>
        <w:t xml:space="preserve"> </w:t>
      </w:r>
      <w:r w:rsidR="00B40E76" w:rsidRPr="0038621A">
        <w:rPr>
          <w:rFonts w:ascii="Times New Roman" w:hAnsi="Times New Roman" w:cs="Times New Roman"/>
          <w:sz w:val="24"/>
          <w:szCs w:val="24"/>
        </w:rPr>
        <w:t xml:space="preserve">The proposed increase </w:t>
      </w:r>
      <w:r w:rsidR="007554DF" w:rsidRPr="0038621A">
        <w:rPr>
          <w:rFonts w:ascii="Times New Roman" w:hAnsi="Times New Roman" w:cs="Times New Roman"/>
          <w:sz w:val="24"/>
          <w:szCs w:val="24"/>
        </w:rPr>
        <w:t>is</w:t>
      </w:r>
      <w:r w:rsidR="00B40E76" w:rsidRPr="0038621A">
        <w:rPr>
          <w:rFonts w:ascii="Times New Roman" w:hAnsi="Times New Roman" w:cs="Times New Roman"/>
          <w:sz w:val="24"/>
          <w:szCs w:val="24"/>
        </w:rPr>
        <w:t xml:space="preserve"> prompted by </w:t>
      </w:r>
      <w:r w:rsidR="008D6094" w:rsidRPr="0038621A">
        <w:rPr>
          <w:rFonts w:ascii="Times New Roman" w:hAnsi="Times New Roman" w:cs="Times New Roman"/>
          <w:sz w:val="24"/>
          <w:szCs w:val="24"/>
        </w:rPr>
        <w:t xml:space="preserve">increased </w:t>
      </w:r>
      <w:r w:rsidR="002D64AC" w:rsidRPr="0038621A">
        <w:rPr>
          <w:rFonts w:ascii="Times New Roman" w:hAnsi="Times New Roman" w:cs="Times New Roman"/>
          <w:sz w:val="24"/>
          <w:szCs w:val="24"/>
        </w:rPr>
        <w:t xml:space="preserve">expenses </w:t>
      </w:r>
      <w:r w:rsidR="008F2C93" w:rsidRPr="0038621A">
        <w:rPr>
          <w:rFonts w:ascii="Times New Roman" w:hAnsi="Times New Roman" w:cs="Times New Roman"/>
          <w:sz w:val="24"/>
          <w:szCs w:val="24"/>
        </w:rPr>
        <w:t xml:space="preserve">for </w:t>
      </w:r>
      <w:r w:rsidR="005B6302" w:rsidRPr="0038621A">
        <w:rPr>
          <w:rFonts w:ascii="Times New Roman" w:hAnsi="Times New Roman" w:cs="Times New Roman"/>
          <w:sz w:val="24"/>
          <w:szCs w:val="24"/>
        </w:rPr>
        <w:t>disposal, maintenance, labor, fuel, and other operating and administrative costs. The company serves approx</w:t>
      </w:r>
      <w:r w:rsidR="00C54B5C" w:rsidRPr="0038621A">
        <w:rPr>
          <w:rFonts w:ascii="Times New Roman" w:hAnsi="Times New Roman" w:cs="Times New Roman"/>
          <w:sz w:val="24"/>
          <w:szCs w:val="24"/>
        </w:rPr>
        <w:t>imately 16,000 residential cus</w:t>
      </w:r>
      <w:r w:rsidR="005B6302" w:rsidRPr="0038621A">
        <w:rPr>
          <w:rFonts w:ascii="Times New Roman" w:hAnsi="Times New Roman" w:cs="Times New Roman"/>
          <w:sz w:val="24"/>
          <w:szCs w:val="24"/>
        </w:rPr>
        <w:t>t</w:t>
      </w:r>
      <w:r w:rsidR="00C54B5C" w:rsidRPr="0038621A">
        <w:rPr>
          <w:rFonts w:ascii="Times New Roman" w:hAnsi="Times New Roman" w:cs="Times New Roman"/>
          <w:sz w:val="24"/>
          <w:szCs w:val="24"/>
        </w:rPr>
        <w:t>om</w:t>
      </w:r>
      <w:r w:rsidR="005B6302" w:rsidRPr="0038621A">
        <w:rPr>
          <w:rFonts w:ascii="Times New Roman" w:hAnsi="Times New Roman" w:cs="Times New Roman"/>
          <w:sz w:val="24"/>
          <w:szCs w:val="24"/>
        </w:rPr>
        <w:t>ers, 1,000 commercial customers, and 60 roll off customers in King County. T</w:t>
      </w:r>
      <w:r w:rsidR="00B40E76" w:rsidRPr="0038621A">
        <w:rPr>
          <w:rFonts w:ascii="Times New Roman" w:hAnsi="Times New Roman" w:cs="Times New Roman"/>
          <w:sz w:val="24"/>
          <w:szCs w:val="24"/>
        </w:rPr>
        <w:t>he company</w:t>
      </w:r>
      <w:r w:rsidR="005B6302" w:rsidRPr="0038621A">
        <w:rPr>
          <w:rFonts w:ascii="Times New Roman" w:hAnsi="Times New Roman" w:cs="Times New Roman"/>
          <w:sz w:val="24"/>
          <w:szCs w:val="24"/>
        </w:rPr>
        <w:t xml:space="preserve">’s last general rate increase </w:t>
      </w:r>
      <w:r w:rsidR="00480A33" w:rsidRPr="0038621A">
        <w:rPr>
          <w:rFonts w:ascii="Times New Roman" w:hAnsi="Times New Roman" w:cs="Times New Roman"/>
          <w:sz w:val="24"/>
          <w:szCs w:val="24"/>
        </w:rPr>
        <w:t>became</w:t>
      </w:r>
      <w:r w:rsidR="005B6302" w:rsidRPr="0038621A">
        <w:rPr>
          <w:rFonts w:ascii="Times New Roman" w:hAnsi="Times New Roman" w:cs="Times New Roman"/>
          <w:sz w:val="24"/>
          <w:szCs w:val="24"/>
        </w:rPr>
        <w:t xml:space="preserve"> effective August 1, 2010.</w:t>
      </w:r>
      <w:r w:rsidR="00B40E76" w:rsidRPr="0038621A">
        <w:rPr>
          <w:rFonts w:ascii="Times New Roman" w:hAnsi="Times New Roman" w:cs="Times New Roman"/>
          <w:sz w:val="24"/>
          <w:szCs w:val="24"/>
        </w:rPr>
        <w:t xml:space="preserve"> </w:t>
      </w:r>
    </w:p>
    <w:p w14:paraId="026C2776" w14:textId="77777777" w:rsidR="005E43C1" w:rsidRPr="0038621A" w:rsidRDefault="005E43C1" w:rsidP="00AD3312">
      <w:pPr>
        <w:rPr>
          <w:rFonts w:ascii="Times New Roman" w:hAnsi="Times New Roman" w:cs="Times New Roman"/>
          <w:sz w:val="24"/>
          <w:szCs w:val="24"/>
        </w:rPr>
      </w:pPr>
    </w:p>
    <w:p w14:paraId="239736CA" w14:textId="66DEB205" w:rsidR="00E9046F" w:rsidRPr="0038621A" w:rsidRDefault="006A1491" w:rsidP="00E9046F">
      <w:pPr>
        <w:pStyle w:val="Default"/>
      </w:pPr>
      <w:r w:rsidRPr="0038621A">
        <w:t xml:space="preserve">Staff’s review found the proposed rates would result in excess revenue. </w:t>
      </w:r>
      <w:r w:rsidR="00480A33" w:rsidRPr="0038621A">
        <w:t xml:space="preserve">Staff focused its review on </w:t>
      </w:r>
      <w:r w:rsidR="00E365E5" w:rsidRPr="0038621A">
        <w:t>corporate and regional overhead costs allocated to regulated operations,</w:t>
      </w:r>
      <w:r w:rsidR="00282F2C" w:rsidRPr="0038621A">
        <w:t xml:space="preserve"> payroll increases,</w:t>
      </w:r>
      <w:r w:rsidR="00E365E5" w:rsidRPr="0038621A">
        <w:t xml:space="preserve"> and capital improvements. </w:t>
      </w:r>
      <w:r w:rsidR="00E9046F" w:rsidRPr="0038621A">
        <w:t>Staff removed</w:t>
      </w:r>
      <w:r w:rsidR="00E365E5" w:rsidRPr="0038621A">
        <w:t xml:space="preserve"> </w:t>
      </w:r>
      <w:r w:rsidR="008F6149" w:rsidRPr="0038621A">
        <w:t xml:space="preserve">litigation </w:t>
      </w:r>
      <w:r w:rsidR="00E365E5" w:rsidRPr="0038621A">
        <w:t>costs</w:t>
      </w:r>
      <w:r w:rsidR="004F0A3E" w:rsidRPr="0038621A">
        <w:t xml:space="preserve"> </w:t>
      </w:r>
      <w:r w:rsidR="00DD2DC7" w:rsidRPr="0038621A">
        <w:t>related to environmental and shareholder lawsuits</w:t>
      </w:r>
      <w:r w:rsidR="00E9046F" w:rsidRPr="0038621A">
        <w:t xml:space="preserve">, and </w:t>
      </w:r>
      <w:r w:rsidR="00DD2DC7" w:rsidRPr="0038621A">
        <w:t>costs of</w:t>
      </w:r>
      <w:r w:rsidR="00E365E5" w:rsidRPr="0038621A">
        <w:t xml:space="preserve"> improvements to Compressed Natural Gas </w:t>
      </w:r>
      <w:r w:rsidR="00D86C00">
        <w:t xml:space="preserve">(CNG) </w:t>
      </w:r>
      <w:r w:rsidR="00E365E5" w:rsidRPr="0038621A">
        <w:t xml:space="preserve">facilities </w:t>
      </w:r>
      <w:r w:rsidR="00282F2C" w:rsidRPr="0038621A">
        <w:t>related to</w:t>
      </w:r>
      <w:r w:rsidR="00E365E5" w:rsidRPr="0038621A">
        <w:t xml:space="preserve"> retail </w:t>
      </w:r>
      <w:r w:rsidR="00D86C00">
        <w:t>sales of CNG to unaffiliated third parties.</w:t>
      </w:r>
      <w:r w:rsidR="00E365E5" w:rsidRPr="0038621A">
        <w:t xml:space="preserve"> </w:t>
      </w:r>
      <w:r w:rsidR="00E9046F" w:rsidRPr="0038621A">
        <w:t xml:space="preserve">The company and staff have agreed to a revised revenue requirement of approximately $1,018,000 (9.7 percent) additional annual revenue and on revised rates. On May 19, 2014, the company filed revised </w:t>
      </w:r>
      <w:r w:rsidR="005463F0">
        <w:t>rates</w:t>
      </w:r>
      <w:r w:rsidR="005463F0" w:rsidRPr="0038621A">
        <w:t xml:space="preserve"> </w:t>
      </w:r>
      <w:r w:rsidR="00E9046F" w:rsidRPr="0038621A">
        <w:t>at staff recommended levels</w:t>
      </w:r>
      <w:r w:rsidR="005463F0">
        <w:t>.</w:t>
      </w:r>
    </w:p>
    <w:p w14:paraId="3ACF34F9" w14:textId="77777777" w:rsidR="00E9046F" w:rsidRPr="0038621A" w:rsidRDefault="00E9046F" w:rsidP="00E9046F">
      <w:pPr>
        <w:pStyle w:val="Default"/>
      </w:pPr>
    </w:p>
    <w:p w14:paraId="05CCF9C9" w14:textId="13DDBC8A" w:rsidR="00E9046F" w:rsidRPr="0038621A" w:rsidRDefault="00E9046F" w:rsidP="00E9046F">
      <w:pPr>
        <w:pStyle w:val="Default"/>
        <w:rPr>
          <w:color w:val="auto"/>
        </w:rPr>
      </w:pPr>
      <w:r w:rsidRPr="0038621A">
        <w:t xml:space="preserve">Commission staff has completed its review of the company’s supporting financial documents and records. </w:t>
      </w:r>
      <w:r w:rsidRPr="0038621A">
        <w:rPr>
          <w:color w:val="auto"/>
        </w:rPr>
        <w:t>Staff’s review shows that the revised expenses are reasonable and required as part of the company’s operation, the company’s financial information supports the revised revenue requirement, and the revised rates and charges are fair, just, reasonable, and sufficient.</w:t>
      </w:r>
    </w:p>
    <w:p w14:paraId="026C2777" w14:textId="2A2E1136" w:rsidR="00647E06" w:rsidRPr="00583F88" w:rsidRDefault="00647E06" w:rsidP="005E43C1">
      <w:pPr>
        <w:pStyle w:val="Default"/>
      </w:pPr>
    </w:p>
    <w:p w14:paraId="7ED66594" w14:textId="77777777" w:rsidR="00583F88" w:rsidRDefault="00583F88">
      <w:pPr>
        <w:rPr>
          <w:rFonts w:ascii="Times New Roman" w:hAnsi="Times New Roman" w:cs="Times New Roman"/>
          <w:b/>
          <w:color w:val="000000"/>
          <w:sz w:val="24"/>
          <w:szCs w:val="24"/>
          <w:u w:val="single"/>
        </w:rPr>
      </w:pPr>
      <w:r>
        <w:rPr>
          <w:b/>
          <w:u w:val="single"/>
        </w:rPr>
        <w:br w:type="page"/>
      </w:r>
    </w:p>
    <w:p w14:paraId="026C2778" w14:textId="3C96C37D" w:rsidR="00374F02" w:rsidRPr="00583F88" w:rsidRDefault="00E9046F" w:rsidP="00C15E06">
      <w:pPr>
        <w:pStyle w:val="Default"/>
        <w:jc w:val="center"/>
        <w:rPr>
          <w:b/>
          <w:u w:val="single"/>
        </w:rPr>
      </w:pPr>
      <w:r w:rsidRPr="00583F88">
        <w:rPr>
          <w:b/>
          <w:u w:val="single"/>
        </w:rPr>
        <w:lastRenderedPageBreak/>
        <w:t>RATE COMPARISON</w:t>
      </w:r>
    </w:p>
    <w:p w14:paraId="18CEA754" w14:textId="77777777" w:rsidR="00E9046F" w:rsidRPr="00583F88" w:rsidRDefault="00E9046F" w:rsidP="00C15E06">
      <w:pPr>
        <w:pStyle w:val="Default"/>
        <w:jc w:val="center"/>
        <w:rPr>
          <w:b/>
          <w:u w:val="single"/>
        </w:rPr>
      </w:pPr>
    </w:p>
    <w:tbl>
      <w:tblPr>
        <w:tblStyle w:val="TableGrid"/>
        <w:tblW w:w="9180" w:type="dxa"/>
        <w:tblInd w:w="288" w:type="dxa"/>
        <w:tblLook w:val="04A0" w:firstRow="1" w:lastRow="0" w:firstColumn="1" w:lastColumn="0" w:noHBand="0" w:noVBand="1"/>
      </w:tblPr>
      <w:tblGrid>
        <w:gridCol w:w="4140"/>
        <w:gridCol w:w="1350"/>
        <w:gridCol w:w="1260"/>
        <w:gridCol w:w="1260"/>
        <w:gridCol w:w="1170"/>
      </w:tblGrid>
      <w:tr w:rsidR="00B3495C" w:rsidRPr="0038621A" w14:paraId="026C277E" w14:textId="77777777" w:rsidTr="00CF101E">
        <w:tc>
          <w:tcPr>
            <w:tcW w:w="4140" w:type="dxa"/>
          </w:tcPr>
          <w:p w14:paraId="026C2779" w14:textId="77777777" w:rsidR="00374F02" w:rsidRPr="00583F88" w:rsidRDefault="00374F02" w:rsidP="005E43C1">
            <w:pPr>
              <w:pStyle w:val="Default"/>
            </w:pPr>
          </w:p>
        </w:tc>
        <w:tc>
          <w:tcPr>
            <w:tcW w:w="1350" w:type="dxa"/>
          </w:tcPr>
          <w:p w14:paraId="026C277A" w14:textId="77777777" w:rsidR="00374F02" w:rsidRPr="00583F88" w:rsidRDefault="00374F02" w:rsidP="005D30F3">
            <w:pPr>
              <w:pStyle w:val="Default"/>
              <w:jc w:val="center"/>
              <w:rPr>
                <w:b/>
              </w:rPr>
            </w:pPr>
            <w:r w:rsidRPr="00583F88">
              <w:rPr>
                <w:b/>
              </w:rPr>
              <w:t>Current Rate</w:t>
            </w:r>
          </w:p>
        </w:tc>
        <w:tc>
          <w:tcPr>
            <w:tcW w:w="1260" w:type="dxa"/>
          </w:tcPr>
          <w:p w14:paraId="026C277B" w14:textId="77777777" w:rsidR="00374F02" w:rsidRPr="00583F88" w:rsidRDefault="00374F02" w:rsidP="005D30F3">
            <w:pPr>
              <w:pStyle w:val="Default"/>
              <w:jc w:val="center"/>
              <w:rPr>
                <w:b/>
              </w:rPr>
            </w:pPr>
            <w:r w:rsidRPr="00583F88">
              <w:rPr>
                <w:b/>
              </w:rPr>
              <w:t>Proposed Rate</w:t>
            </w:r>
          </w:p>
        </w:tc>
        <w:tc>
          <w:tcPr>
            <w:tcW w:w="1260" w:type="dxa"/>
          </w:tcPr>
          <w:p w14:paraId="026C277C" w14:textId="77777777" w:rsidR="00374F02" w:rsidRPr="00583F88" w:rsidRDefault="00374F02" w:rsidP="005D30F3">
            <w:pPr>
              <w:pStyle w:val="Default"/>
              <w:jc w:val="center"/>
              <w:rPr>
                <w:b/>
              </w:rPr>
            </w:pPr>
            <w:r w:rsidRPr="00583F88">
              <w:rPr>
                <w:b/>
              </w:rPr>
              <w:t>Revised Rate</w:t>
            </w:r>
          </w:p>
        </w:tc>
        <w:tc>
          <w:tcPr>
            <w:tcW w:w="1170" w:type="dxa"/>
          </w:tcPr>
          <w:p w14:paraId="026C277D" w14:textId="77777777" w:rsidR="00374F02" w:rsidRPr="00583F88" w:rsidRDefault="00374F02" w:rsidP="005D30F3">
            <w:pPr>
              <w:pStyle w:val="Default"/>
              <w:jc w:val="center"/>
              <w:rPr>
                <w:b/>
              </w:rPr>
            </w:pPr>
            <w:r w:rsidRPr="00583F88">
              <w:rPr>
                <w:b/>
              </w:rPr>
              <w:t>Percent Change</w:t>
            </w:r>
          </w:p>
        </w:tc>
      </w:tr>
      <w:tr w:rsidR="00B3495C" w:rsidRPr="0038621A" w14:paraId="026C2784" w14:textId="77777777" w:rsidTr="00CF101E">
        <w:tc>
          <w:tcPr>
            <w:tcW w:w="4140" w:type="dxa"/>
          </w:tcPr>
          <w:p w14:paraId="026C277F" w14:textId="77777777" w:rsidR="00374F02" w:rsidRPr="00583F88" w:rsidRDefault="00374F02" w:rsidP="00B3495C">
            <w:pPr>
              <w:pStyle w:val="Default"/>
              <w:jc w:val="center"/>
              <w:rPr>
                <w:b/>
              </w:rPr>
            </w:pPr>
            <w:r w:rsidRPr="00583F88">
              <w:rPr>
                <w:b/>
              </w:rPr>
              <w:t>Residential Garbage</w:t>
            </w:r>
          </w:p>
        </w:tc>
        <w:tc>
          <w:tcPr>
            <w:tcW w:w="1350" w:type="dxa"/>
          </w:tcPr>
          <w:p w14:paraId="026C2780" w14:textId="77777777" w:rsidR="00374F02" w:rsidRPr="00583F88" w:rsidRDefault="00374F02" w:rsidP="005D30F3">
            <w:pPr>
              <w:pStyle w:val="Default"/>
              <w:jc w:val="center"/>
            </w:pPr>
          </w:p>
        </w:tc>
        <w:tc>
          <w:tcPr>
            <w:tcW w:w="1260" w:type="dxa"/>
          </w:tcPr>
          <w:p w14:paraId="026C2781" w14:textId="77777777" w:rsidR="00374F02" w:rsidRPr="00583F88" w:rsidRDefault="00374F02" w:rsidP="005D30F3">
            <w:pPr>
              <w:pStyle w:val="Default"/>
              <w:jc w:val="center"/>
            </w:pPr>
          </w:p>
        </w:tc>
        <w:tc>
          <w:tcPr>
            <w:tcW w:w="1260" w:type="dxa"/>
          </w:tcPr>
          <w:p w14:paraId="026C2782" w14:textId="77777777" w:rsidR="00374F02" w:rsidRPr="00583F88" w:rsidRDefault="00374F02" w:rsidP="005D30F3">
            <w:pPr>
              <w:pStyle w:val="Default"/>
              <w:jc w:val="center"/>
            </w:pPr>
          </w:p>
        </w:tc>
        <w:tc>
          <w:tcPr>
            <w:tcW w:w="1170" w:type="dxa"/>
          </w:tcPr>
          <w:p w14:paraId="026C2783" w14:textId="77777777" w:rsidR="00374F02" w:rsidRPr="00583F88" w:rsidRDefault="00374F02" w:rsidP="005D30F3">
            <w:pPr>
              <w:pStyle w:val="Default"/>
              <w:jc w:val="center"/>
            </w:pPr>
          </w:p>
        </w:tc>
      </w:tr>
      <w:tr w:rsidR="00B3495C" w:rsidRPr="0038621A" w14:paraId="026C278A" w14:textId="77777777" w:rsidTr="00CF101E">
        <w:tc>
          <w:tcPr>
            <w:tcW w:w="4140" w:type="dxa"/>
          </w:tcPr>
          <w:p w14:paraId="026C2785" w14:textId="77777777" w:rsidR="00374F02" w:rsidRPr="00583F88" w:rsidRDefault="00374F02" w:rsidP="005E43C1">
            <w:pPr>
              <w:pStyle w:val="Default"/>
            </w:pPr>
            <w:r w:rsidRPr="00583F88">
              <w:t>1 Can-Monthly Pickup</w:t>
            </w:r>
          </w:p>
        </w:tc>
        <w:tc>
          <w:tcPr>
            <w:tcW w:w="1350" w:type="dxa"/>
          </w:tcPr>
          <w:p w14:paraId="026C2786" w14:textId="77777777" w:rsidR="00374F02" w:rsidRPr="00583F88" w:rsidRDefault="00374F02" w:rsidP="00B3495C">
            <w:pPr>
              <w:pStyle w:val="Default"/>
              <w:jc w:val="right"/>
            </w:pPr>
            <w:r w:rsidRPr="00583F88">
              <w:t>$</w:t>
            </w:r>
            <w:r w:rsidR="00B3495C" w:rsidRPr="00583F88">
              <w:t xml:space="preserve">  </w:t>
            </w:r>
            <w:r w:rsidRPr="00583F88">
              <w:t>7.50</w:t>
            </w:r>
          </w:p>
        </w:tc>
        <w:tc>
          <w:tcPr>
            <w:tcW w:w="1260" w:type="dxa"/>
          </w:tcPr>
          <w:p w14:paraId="026C2787" w14:textId="0699F5B3" w:rsidR="00374F02" w:rsidRPr="00583F88" w:rsidRDefault="0029179F" w:rsidP="00B3495C">
            <w:pPr>
              <w:pStyle w:val="Default"/>
              <w:jc w:val="right"/>
            </w:pPr>
            <w:r w:rsidRPr="00583F88">
              <w:t>$  8.80</w:t>
            </w:r>
          </w:p>
        </w:tc>
        <w:tc>
          <w:tcPr>
            <w:tcW w:w="1260" w:type="dxa"/>
          </w:tcPr>
          <w:p w14:paraId="026C2788" w14:textId="77777777" w:rsidR="00374F02" w:rsidRPr="00583F88" w:rsidRDefault="00374F02" w:rsidP="00B3495C">
            <w:pPr>
              <w:pStyle w:val="Default"/>
              <w:jc w:val="right"/>
            </w:pPr>
            <w:r w:rsidRPr="00583F88">
              <w:t>$</w:t>
            </w:r>
            <w:r w:rsidR="00B3495C" w:rsidRPr="00583F88">
              <w:t xml:space="preserve">  </w:t>
            </w:r>
            <w:r w:rsidRPr="00583F88">
              <w:t>8.50</w:t>
            </w:r>
          </w:p>
        </w:tc>
        <w:tc>
          <w:tcPr>
            <w:tcW w:w="1170" w:type="dxa"/>
          </w:tcPr>
          <w:p w14:paraId="026C2789" w14:textId="77777777" w:rsidR="00374F02" w:rsidRPr="00583F88" w:rsidRDefault="00D07CED" w:rsidP="005D30F3">
            <w:pPr>
              <w:pStyle w:val="Default"/>
              <w:jc w:val="center"/>
            </w:pPr>
            <w:r w:rsidRPr="00583F88">
              <w:t>13.4%</w:t>
            </w:r>
          </w:p>
        </w:tc>
      </w:tr>
      <w:tr w:rsidR="00B3495C" w:rsidRPr="0038621A" w14:paraId="026C2790" w14:textId="77777777" w:rsidTr="00CF101E">
        <w:tc>
          <w:tcPr>
            <w:tcW w:w="4140" w:type="dxa"/>
          </w:tcPr>
          <w:p w14:paraId="026C278B" w14:textId="77777777" w:rsidR="00374F02" w:rsidRPr="00583F88" w:rsidRDefault="00374F02" w:rsidP="005E43C1">
            <w:pPr>
              <w:pStyle w:val="Default"/>
            </w:pPr>
            <w:r w:rsidRPr="00583F88">
              <w:t>1 Can-Weekly Pickup</w:t>
            </w:r>
          </w:p>
        </w:tc>
        <w:tc>
          <w:tcPr>
            <w:tcW w:w="1350" w:type="dxa"/>
          </w:tcPr>
          <w:p w14:paraId="026C278C" w14:textId="77777777" w:rsidR="00374F02" w:rsidRPr="00583F88" w:rsidRDefault="00374F02" w:rsidP="00B3495C">
            <w:pPr>
              <w:pStyle w:val="Default"/>
              <w:jc w:val="right"/>
            </w:pPr>
            <w:r w:rsidRPr="00583F88">
              <w:t>$15.60</w:t>
            </w:r>
          </w:p>
        </w:tc>
        <w:tc>
          <w:tcPr>
            <w:tcW w:w="1260" w:type="dxa"/>
          </w:tcPr>
          <w:p w14:paraId="026C278D" w14:textId="5B7385EE" w:rsidR="00374F02" w:rsidRPr="00583F88" w:rsidRDefault="0029179F" w:rsidP="00B3495C">
            <w:pPr>
              <w:pStyle w:val="Default"/>
              <w:jc w:val="right"/>
            </w:pPr>
            <w:r w:rsidRPr="00583F88">
              <w:t>$18.50</w:t>
            </w:r>
          </w:p>
        </w:tc>
        <w:tc>
          <w:tcPr>
            <w:tcW w:w="1260" w:type="dxa"/>
          </w:tcPr>
          <w:p w14:paraId="026C278E" w14:textId="77777777" w:rsidR="00374F02" w:rsidRPr="00583F88" w:rsidRDefault="00374F02" w:rsidP="00B3495C">
            <w:pPr>
              <w:pStyle w:val="Default"/>
              <w:jc w:val="right"/>
            </w:pPr>
            <w:r w:rsidRPr="00583F88">
              <w:t>$17.90</w:t>
            </w:r>
          </w:p>
        </w:tc>
        <w:tc>
          <w:tcPr>
            <w:tcW w:w="1170" w:type="dxa"/>
          </w:tcPr>
          <w:p w14:paraId="026C278F" w14:textId="77777777" w:rsidR="00374F02" w:rsidRPr="00583F88" w:rsidRDefault="00D07CED" w:rsidP="005D30F3">
            <w:pPr>
              <w:pStyle w:val="Default"/>
              <w:jc w:val="center"/>
            </w:pPr>
            <w:r w:rsidRPr="00583F88">
              <w:t>14.8%</w:t>
            </w:r>
          </w:p>
        </w:tc>
      </w:tr>
      <w:tr w:rsidR="00B3495C" w:rsidRPr="0038621A" w14:paraId="026C2796" w14:textId="77777777" w:rsidTr="00CF101E">
        <w:tc>
          <w:tcPr>
            <w:tcW w:w="4140" w:type="dxa"/>
          </w:tcPr>
          <w:p w14:paraId="026C2791" w14:textId="3BD7B16C" w:rsidR="00374F02" w:rsidRPr="00583F88" w:rsidRDefault="00C54B5C" w:rsidP="005E43C1">
            <w:pPr>
              <w:pStyle w:val="Default"/>
            </w:pPr>
            <w:r w:rsidRPr="00583F88">
              <w:t>1 35-</w:t>
            </w:r>
            <w:r w:rsidR="00374F02" w:rsidRPr="00583F88">
              <w:t>Gallon Cart</w:t>
            </w:r>
            <w:r w:rsidR="00480A33" w:rsidRPr="00583F88">
              <w:t xml:space="preserve"> </w:t>
            </w:r>
            <w:r w:rsidR="00374F02" w:rsidRPr="00583F88">
              <w:t>-</w:t>
            </w:r>
            <w:r w:rsidR="00480A33" w:rsidRPr="00583F88">
              <w:t xml:space="preserve"> </w:t>
            </w:r>
            <w:r w:rsidR="00374F02" w:rsidRPr="00583F88">
              <w:t>Weekly Pickup</w:t>
            </w:r>
          </w:p>
        </w:tc>
        <w:tc>
          <w:tcPr>
            <w:tcW w:w="1350" w:type="dxa"/>
          </w:tcPr>
          <w:p w14:paraId="026C2792" w14:textId="77777777" w:rsidR="00374F02" w:rsidRPr="00583F88" w:rsidRDefault="00374F02" w:rsidP="00B3495C">
            <w:pPr>
              <w:pStyle w:val="Default"/>
              <w:jc w:val="right"/>
            </w:pPr>
            <w:r w:rsidRPr="00583F88">
              <w:t>$17.20</w:t>
            </w:r>
          </w:p>
        </w:tc>
        <w:tc>
          <w:tcPr>
            <w:tcW w:w="1260" w:type="dxa"/>
          </w:tcPr>
          <w:p w14:paraId="026C2793" w14:textId="79E5D43F" w:rsidR="00374F02" w:rsidRPr="00583F88" w:rsidRDefault="0029179F" w:rsidP="00B3495C">
            <w:pPr>
              <w:pStyle w:val="Default"/>
              <w:jc w:val="right"/>
            </w:pPr>
            <w:r w:rsidRPr="00583F88">
              <w:t>$20.40</w:t>
            </w:r>
          </w:p>
        </w:tc>
        <w:tc>
          <w:tcPr>
            <w:tcW w:w="1260" w:type="dxa"/>
          </w:tcPr>
          <w:p w14:paraId="026C2794" w14:textId="77777777" w:rsidR="00374F02" w:rsidRPr="00583F88" w:rsidRDefault="00374F02" w:rsidP="00B3495C">
            <w:pPr>
              <w:pStyle w:val="Default"/>
              <w:jc w:val="right"/>
            </w:pPr>
            <w:r w:rsidRPr="00583F88">
              <w:t>$19.70</w:t>
            </w:r>
          </w:p>
        </w:tc>
        <w:tc>
          <w:tcPr>
            <w:tcW w:w="1170" w:type="dxa"/>
          </w:tcPr>
          <w:p w14:paraId="026C2795" w14:textId="77777777" w:rsidR="00374F02" w:rsidRPr="00583F88" w:rsidRDefault="00D07CED" w:rsidP="005D30F3">
            <w:pPr>
              <w:pStyle w:val="Default"/>
              <w:jc w:val="center"/>
            </w:pPr>
            <w:r w:rsidRPr="00583F88">
              <w:t>14.6%</w:t>
            </w:r>
          </w:p>
        </w:tc>
      </w:tr>
      <w:tr w:rsidR="00B3495C" w:rsidRPr="0038621A" w14:paraId="026C279C" w14:textId="77777777" w:rsidTr="00CF101E">
        <w:tc>
          <w:tcPr>
            <w:tcW w:w="4140" w:type="dxa"/>
          </w:tcPr>
          <w:p w14:paraId="026C2797" w14:textId="0E7FD6FD" w:rsidR="00374F02" w:rsidRPr="00583F88" w:rsidRDefault="00C54B5C" w:rsidP="005E43C1">
            <w:pPr>
              <w:pStyle w:val="Default"/>
            </w:pPr>
            <w:r w:rsidRPr="00583F88">
              <w:t>1 64-</w:t>
            </w:r>
            <w:r w:rsidR="00374F02" w:rsidRPr="00583F88">
              <w:t>Gallon Cart</w:t>
            </w:r>
            <w:r w:rsidR="00480A33" w:rsidRPr="00583F88">
              <w:t xml:space="preserve"> </w:t>
            </w:r>
            <w:r w:rsidR="00374F02" w:rsidRPr="00583F88">
              <w:t>-</w:t>
            </w:r>
            <w:r w:rsidR="00480A33" w:rsidRPr="00583F88">
              <w:t xml:space="preserve"> </w:t>
            </w:r>
            <w:r w:rsidR="00374F02" w:rsidRPr="00583F88">
              <w:t>Weekly Pickup</w:t>
            </w:r>
          </w:p>
        </w:tc>
        <w:tc>
          <w:tcPr>
            <w:tcW w:w="1350" w:type="dxa"/>
          </w:tcPr>
          <w:p w14:paraId="026C2798" w14:textId="77777777" w:rsidR="00374F02" w:rsidRPr="00583F88" w:rsidRDefault="000A7637" w:rsidP="00B3495C">
            <w:pPr>
              <w:pStyle w:val="Default"/>
              <w:jc w:val="right"/>
            </w:pPr>
            <w:r w:rsidRPr="00583F88">
              <w:t>$25.40</w:t>
            </w:r>
          </w:p>
        </w:tc>
        <w:tc>
          <w:tcPr>
            <w:tcW w:w="1260" w:type="dxa"/>
          </w:tcPr>
          <w:p w14:paraId="026C2799" w14:textId="010C7E76" w:rsidR="00374F02" w:rsidRPr="00583F88" w:rsidRDefault="0029179F" w:rsidP="00B3495C">
            <w:pPr>
              <w:pStyle w:val="Default"/>
              <w:jc w:val="right"/>
            </w:pPr>
            <w:r w:rsidRPr="00583F88">
              <w:t>$30.10</w:t>
            </w:r>
          </w:p>
        </w:tc>
        <w:tc>
          <w:tcPr>
            <w:tcW w:w="1260" w:type="dxa"/>
          </w:tcPr>
          <w:p w14:paraId="026C279A" w14:textId="77777777" w:rsidR="00374F02" w:rsidRPr="00583F88" w:rsidRDefault="000A7637" w:rsidP="00B3495C">
            <w:pPr>
              <w:pStyle w:val="Default"/>
              <w:jc w:val="right"/>
            </w:pPr>
            <w:r w:rsidRPr="00583F88">
              <w:t>$29.10</w:t>
            </w:r>
          </w:p>
        </w:tc>
        <w:tc>
          <w:tcPr>
            <w:tcW w:w="1170" w:type="dxa"/>
          </w:tcPr>
          <w:p w14:paraId="026C279B" w14:textId="77777777" w:rsidR="00374F02" w:rsidRPr="00583F88" w:rsidRDefault="00D07CED" w:rsidP="005D30F3">
            <w:pPr>
              <w:pStyle w:val="Default"/>
              <w:jc w:val="center"/>
            </w:pPr>
            <w:r w:rsidRPr="00583F88">
              <w:t>14.6%</w:t>
            </w:r>
          </w:p>
        </w:tc>
      </w:tr>
      <w:tr w:rsidR="00E9046F" w:rsidRPr="0038621A" w14:paraId="026C27A2" w14:textId="77777777" w:rsidTr="00CF101E">
        <w:tc>
          <w:tcPr>
            <w:tcW w:w="4140" w:type="dxa"/>
          </w:tcPr>
          <w:p w14:paraId="026C279D" w14:textId="0203D070" w:rsidR="00E9046F" w:rsidRPr="00583F88" w:rsidRDefault="00E9046F" w:rsidP="005E43C1">
            <w:pPr>
              <w:pStyle w:val="Default"/>
            </w:pPr>
            <w:r w:rsidRPr="00583F88">
              <w:br w:type="page"/>
            </w:r>
          </w:p>
        </w:tc>
        <w:tc>
          <w:tcPr>
            <w:tcW w:w="1350" w:type="dxa"/>
          </w:tcPr>
          <w:p w14:paraId="026C279E" w14:textId="700EB214" w:rsidR="00E9046F" w:rsidRPr="00583F88" w:rsidRDefault="00E9046F" w:rsidP="00C15E06">
            <w:pPr>
              <w:pStyle w:val="Default"/>
              <w:jc w:val="center"/>
            </w:pPr>
          </w:p>
        </w:tc>
        <w:tc>
          <w:tcPr>
            <w:tcW w:w="1260" w:type="dxa"/>
          </w:tcPr>
          <w:p w14:paraId="026C279F" w14:textId="3B4C1000" w:rsidR="00E9046F" w:rsidRPr="00583F88" w:rsidRDefault="00E9046F" w:rsidP="00C15E06">
            <w:pPr>
              <w:pStyle w:val="Default"/>
              <w:jc w:val="center"/>
            </w:pPr>
          </w:p>
        </w:tc>
        <w:tc>
          <w:tcPr>
            <w:tcW w:w="1260" w:type="dxa"/>
          </w:tcPr>
          <w:p w14:paraId="026C27A0" w14:textId="682A56AD" w:rsidR="00E9046F" w:rsidRPr="00583F88" w:rsidRDefault="00E9046F" w:rsidP="00C15E06">
            <w:pPr>
              <w:pStyle w:val="Default"/>
              <w:jc w:val="center"/>
            </w:pPr>
          </w:p>
        </w:tc>
        <w:tc>
          <w:tcPr>
            <w:tcW w:w="1170" w:type="dxa"/>
          </w:tcPr>
          <w:p w14:paraId="026C27A1" w14:textId="675FFAED" w:rsidR="00E9046F" w:rsidRPr="00583F88" w:rsidRDefault="00E9046F" w:rsidP="00E9046F">
            <w:pPr>
              <w:pStyle w:val="Default"/>
              <w:jc w:val="center"/>
            </w:pPr>
          </w:p>
        </w:tc>
      </w:tr>
      <w:tr w:rsidR="00E9046F" w:rsidRPr="0038621A" w14:paraId="026C27A8" w14:textId="77777777" w:rsidTr="00CF101E">
        <w:tc>
          <w:tcPr>
            <w:tcW w:w="4140" w:type="dxa"/>
          </w:tcPr>
          <w:p w14:paraId="026C27A3" w14:textId="77777777" w:rsidR="00E9046F" w:rsidRPr="00583F88" w:rsidRDefault="00E9046F" w:rsidP="00B3495C">
            <w:pPr>
              <w:pStyle w:val="Default"/>
              <w:jc w:val="center"/>
              <w:rPr>
                <w:b/>
              </w:rPr>
            </w:pPr>
            <w:r w:rsidRPr="00583F88">
              <w:rPr>
                <w:b/>
              </w:rPr>
              <w:t>Residential Yard Waste</w:t>
            </w:r>
          </w:p>
        </w:tc>
        <w:tc>
          <w:tcPr>
            <w:tcW w:w="1350" w:type="dxa"/>
          </w:tcPr>
          <w:p w14:paraId="026C27A4" w14:textId="77777777" w:rsidR="00E9046F" w:rsidRPr="00583F88" w:rsidRDefault="00E9046F" w:rsidP="00B3495C">
            <w:pPr>
              <w:pStyle w:val="Default"/>
              <w:jc w:val="right"/>
            </w:pPr>
          </w:p>
        </w:tc>
        <w:tc>
          <w:tcPr>
            <w:tcW w:w="1260" w:type="dxa"/>
          </w:tcPr>
          <w:p w14:paraId="026C27A5" w14:textId="77777777" w:rsidR="00E9046F" w:rsidRPr="00583F88" w:rsidRDefault="00E9046F" w:rsidP="00B3495C">
            <w:pPr>
              <w:pStyle w:val="Default"/>
              <w:jc w:val="right"/>
            </w:pPr>
          </w:p>
        </w:tc>
        <w:tc>
          <w:tcPr>
            <w:tcW w:w="1260" w:type="dxa"/>
          </w:tcPr>
          <w:p w14:paraId="026C27A6" w14:textId="77777777" w:rsidR="00E9046F" w:rsidRPr="00583F88" w:rsidRDefault="00E9046F" w:rsidP="00B3495C">
            <w:pPr>
              <w:pStyle w:val="Default"/>
              <w:jc w:val="right"/>
            </w:pPr>
          </w:p>
        </w:tc>
        <w:tc>
          <w:tcPr>
            <w:tcW w:w="1170" w:type="dxa"/>
          </w:tcPr>
          <w:p w14:paraId="026C27A7" w14:textId="77777777" w:rsidR="00E9046F" w:rsidRPr="00583F88" w:rsidRDefault="00E9046F" w:rsidP="005D30F3">
            <w:pPr>
              <w:pStyle w:val="Default"/>
              <w:jc w:val="center"/>
            </w:pPr>
          </w:p>
        </w:tc>
      </w:tr>
      <w:tr w:rsidR="00E9046F" w:rsidRPr="0038621A" w14:paraId="026C27AE" w14:textId="77777777" w:rsidTr="00CF101E">
        <w:tc>
          <w:tcPr>
            <w:tcW w:w="4140" w:type="dxa"/>
          </w:tcPr>
          <w:p w14:paraId="026C27A9" w14:textId="6F575D8B" w:rsidR="00E9046F" w:rsidRPr="00583F88" w:rsidRDefault="00E9046F" w:rsidP="005E43C1">
            <w:pPr>
              <w:pStyle w:val="Default"/>
            </w:pPr>
            <w:r w:rsidRPr="00583F88">
              <w:t>1 96-Gallon Cart - Every Other Week Pickup</w:t>
            </w:r>
          </w:p>
        </w:tc>
        <w:tc>
          <w:tcPr>
            <w:tcW w:w="1350" w:type="dxa"/>
          </w:tcPr>
          <w:p w14:paraId="026C27AA" w14:textId="77777777" w:rsidR="00E9046F" w:rsidRPr="00583F88" w:rsidRDefault="00E9046F" w:rsidP="00B3495C">
            <w:pPr>
              <w:pStyle w:val="Default"/>
              <w:jc w:val="right"/>
            </w:pPr>
            <w:r w:rsidRPr="00583F88">
              <w:t>$11.70</w:t>
            </w:r>
          </w:p>
        </w:tc>
        <w:tc>
          <w:tcPr>
            <w:tcW w:w="1260" w:type="dxa"/>
          </w:tcPr>
          <w:p w14:paraId="026C27AB" w14:textId="02992B45" w:rsidR="00E9046F" w:rsidRPr="00583F88" w:rsidRDefault="0029179F" w:rsidP="00B3495C">
            <w:pPr>
              <w:pStyle w:val="Default"/>
              <w:jc w:val="right"/>
            </w:pPr>
            <w:r w:rsidRPr="00583F88">
              <w:t>$12.25</w:t>
            </w:r>
          </w:p>
        </w:tc>
        <w:tc>
          <w:tcPr>
            <w:tcW w:w="1260" w:type="dxa"/>
          </w:tcPr>
          <w:p w14:paraId="026C27AC" w14:textId="77777777" w:rsidR="00E9046F" w:rsidRPr="00583F88" w:rsidRDefault="00E9046F" w:rsidP="00B3495C">
            <w:pPr>
              <w:pStyle w:val="Default"/>
              <w:jc w:val="right"/>
            </w:pPr>
            <w:r w:rsidRPr="00583F88">
              <w:t>$12.20</w:t>
            </w:r>
          </w:p>
        </w:tc>
        <w:tc>
          <w:tcPr>
            <w:tcW w:w="1170" w:type="dxa"/>
          </w:tcPr>
          <w:p w14:paraId="026C27AD" w14:textId="77777777" w:rsidR="00E9046F" w:rsidRPr="00583F88" w:rsidRDefault="00E9046F" w:rsidP="005D30F3">
            <w:pPr>
              <w:pStyle w:val="Default"/>
              <w:jc w:val="center"/>
            </w:pPr>
            <w:r w:rsidRPr="00583F88">
              <w:t>4.3%</w:t>
            </w:r>
          </w:p>
        </w:tc>
      </w:tr>
      <w:tr w:rsidR="00E9046F" w:rsidRPr="0038621A" w14:paraId="026C27B4" w14:textId="77777777" w:rsidTr="00CF101E">
        <w:tc>
          <w:tcPr>
            <w:tcW w:w="4140" w:type="dxa"/>
          </w:tcPr>
          <w:p w14:paraId="026C27AF" w14:textId="77777777" w:rsidR="00E9046F" w:rsidRPr="00583F88" w:rsidRDefault="00E9046F" w:rsidP="005E43C1">
            <w:pPr>
              <w:pStyle w:val="Default"/>
            </w:pPr>
          </w:p>
        </w:tc>
        <w:tc>
          <w:tcPr>
            <w:tcW w:w="1350" w:type="dxa"/>
          </w:tcPr>
          <w:p w14:paraId="026C27B0" w14:textId="77777777" w:rsidR="00E9046F" w:rsidRPr="00583F88" w:rsidRDefault="00E9046F" w:rsidP="00B3495C">
            <w:pPr>
              <w:pStyle w:val="Default"/>
              <w:jc w:val="right"/>
            </w:pPr>
          </w:p>
        </w:tc>
        <w:tc>
          <w:tcPr>
            <w:tcW w:w="1260" w:type="dxa"/>
          </w:tcPr>
          <w:p w14:paraId="026C27B1" w14:textId="77777777" w:rsidR="00E9046F" w:rsidRPr="00583F88" w:rsidRDefault="00E9046F" w:rsidP="00B3495C">
            <w:pPr>
              <w:pStyle w:val="Default"/>
              <w:jc w:val="right"/>
            </w:pPr>
          </w:p>
        </w:tc>
        <w:tc>
          <w:tcPr>
            <w:tcW w:w="1260" w:type="dxa"/>
          </w:tcPr>
          <w:p w14:paraId="026C27B2" w14:textId="77777777" w:rsidR="00E9046F" w:rsidRPr="00583F88" w:rsidRDefault="00E9046F" w:rsidP="00B3495C">
            <w:pPr>
              <w:pStyle w:val="Default"/>
              <w:jc w:val="right"/>
            </w:pPr>
          </w:p>
        </w:tc>
        <w:tc>
          <w:tcPr>
            <w:tcW w:w="1170" w:type="dxa"/>
          </w:tcPr>
          <w:p w14:paraId="026C27B3" w14:textId="77777777" w:rsidR="00E9046F" w:rsidRPr="00583F88" w:rsidRDefault="00E9046F" w:rsidP="005D30F3">
            <w:pPr>
              <w:pStyle w:val="Default"/>
              <w:jc w:val="center"/>
            </w:pPr>
          </w:p>
        </w:tc>
      </w:tr>
      <w:tr w:rsidR="00E9046F" w:rsidRPr="0038621A" w14:paraId="026C27BA" w14:textId="77777777" w:rsidTr="00CF101E">
        <w:tc>
          <w:tcPr>
            <w:tcW w:w="4140" w:type="dxa"/>
          </w:tcPr>
          <w:p w14:paraId="026C27B5" w14:textId="48609703" w:rsidR="00E9046F" w:rsidRPr="00583F88" w:rsidRDefault="00E9046F" w:rsidP="00B3495C">
            <w:pPr>
              <w:pStyle w:val="Default"/>
              <w:jc w:val="center"/>
              <w:rPr>
                <w:b/>
              </w:rPr>
            </w:pPr>
            <w:r w:rsidRPr="00583F88">
              <w:rPr>
                <w:b/>
              </w:rPr>
              <w:t>Residential Recycling</w:t>
            </w:r>
          </w:p>
        </w:tc>
        <w:tc>
          <w:tcPr>
            <w:tcW w:w="1350" w:type="dxa"/>
          </w:tcPr>
          <w:p w14:paraId="026C27B6" w14:textId="77777777" w:rsidR="00E9046F" w:rsidRPr="00583F88" w:rsidRDefault="00E9046F" w:rsidP="00B3495C">
            <w:pPr>
              <w:pStyle w:val="Default"/>
              <w:jc w:val="right"/>
            </w:pPr>
          </w:p>
        </w:tc>
        <w:tc>
          <w:tcPr>
            <w:tcW w:w="1260" w:type="dxa"/>
          </w:tcPr>
          <w:p w14:paraId="026C27B7" w14:textId="77777777" w:rsidR="00E9046F" w:rsidRPr="00583F88" w:rsidRDefault="00E9046F" w:rsidP="00B3495C">
            <w:pPr>
              <w:pStyle w:val="Default"/>
              <w:jc w:val="right"/>
            </w:pPr>
          </w:p>
        </w:tc>
        <w:tc>
          <w:tcPr>
            <w:tcW w:w="1260" w:type="dxa"/>
          </w:tcPr>
          <w:p w14:paraId="026C27B8" w14:textId="77777777" w:rsidR="00E9046F" w:rsidRPr="00583F88" w:rsidRDefault="00E9046F" w:rsidP="00B3495C">
            <w:pPr>
              <w:pStyle w:val="Default"/>
              <w:jc w:val="right"/>
            </w:pPr>
          </w:p>
        </w:tc>
        <w:tc>
          <w:tcPr>
            <w:tcW w:w="1170" w:type="dxa"/>
          </w:tcPr>
          <w:p w14:paraId="026C27B9" w14:textId="77777777" w:rsidR="00E9046F" w:rsidRPr="00583F88" w:rsidRDefault="00E9046F" w:rsidP="005D30F3">
            <w:pPr>
              <w:pStyle w:val="Default"/>
              <w:jc w:val="center"/>
            </w:pPr>
          </w:p>
        </w:tc>
      </w:tr>
      <w:tr w:rsidR="00E9046F" w:rsidRPr="0038621A" w14:paraId="026C27C0" w14:textId="77777777" w:rsidTr="00CF101E">
        <w:tc>
          <w:tcPr>
            <w:tcW w:w="4140" w:type="dxa"/>
          </w:tcPr>
          <w:p w14:paraId="026C27BB" w14:textId="4B0523F2" w:rsidR="00E9046F" w:rsidRPr="00583F88" w:rsidRDefault="00E9046F" w:rsidP="005E43C1">
            <w:pPr>
              <w:pStyle w:val="Default"/>
            </w:pPr>
            <w:r w:rsidRPr="00583F88">
              <w:t>1 96-Gallon Cart - Every Other Week Pickup</w:t>
            </w:r>
          </w:p>
        </w:tc>
        <w:tc>
          <w:tcPr>
            <w:tcW w:w="1350" w:type="dxa"/>
          </w:tcPr>
          <w:p w14:paraId="026C27BC" w14:textId="77777777" w:rsidR="00E9046F" w:rsidRPr="00583F88" w:rsidRDefault="00E9046F" w:rsidP="00B3495C">
            <w:pPr>
              <w:pStyle w:val="Default"/>
              <w:jc w:val="right"/>
            </w:pPr>
            <w:r w:rsidRPr="00583F88">
              <w:t>$  9.70</w:t>
            </w:r>
          </w:p>
        </w:tc>
        <w:tc>
          <w:tcPr>
            <w:tcW w:w="1260" w:type="dxa"/>
          </w:tcPr>
          <w:p w14:paraId="026C27BD" w14:textId="133D1CD1" w:rsidR="00E9046F" w:rsidRPr="00583F88" w:rsidRDefault="0029179F" w:rsidP="00B3495C">
            <w:pPr>
              <w:pStyle w:val="Default"/>
              <w:jc w:val="right"/>
            </w:pPr>
            <w:r w:rsidRPr="00583F88">
              <w:t>$  9.34</w:t>
            </w:r>
          </w:p>
        </w:tc>
        <w:tc>
          <w:tcPr>
            <w:tcW w:w="1260" w:type="dxa"/>
          </w:tcPr>
          <w:p w14:paraId="026C27BE" w14:textId="77777777" w:rsidR="00E9046F" w:rsidRPr="00583F88" w:rsidRDefault="00E9046F" w:rsidP="00B3495C">
            <w:pPr>
              <w:pStyle w:val="Default"/>
              <w:jc w:val="right"/>
            </w:pPr>
            <w:r w:rsidRPr="00583F88">
              <w:t>$  9.40</w:t>
            </w:r>
          </w:p>
        </w:tc>
        <w:tc>
          <w:tcPr>
            <w:tcW w:w="1170" w:type="dxa"/>
          </w:tcPr>
          <w:p w14:paraId="026C27BF" w14:textId="77777777" w:rsidR="00E9046F" w:rsidRPr="00583F88" w:rsidRDefault="00E9046F" w:rsidP="005D30F3">
            <w:pPr>
              <w:pStyle w:val="Default"/>
              <w:jc w:val="center"/>
            </w:pPr>
            <w:r w:rsidRPr="00583F88">
              <w:t>-3.1%</w:t>
            </w:r>
          </w:p>
        </w:tc>
      </w:tr>
      <w:tr w:rsidR="00E9046F" w:rsidRPr="0038621A" w14:paraId="23339980" w14:textId="77777777" w:rsidTr="00CF101E">
        <w:tc>
          <w:tcPr>
            <w:tcW w:w="4140" w:type="dxa"/>
          </w:tcPr>
          <w:p w14:paraId="75A33192" w14:textId="77777777" w:rsidR="00E9046F" w:rsidRPr="00583F88" w:rsidRDefault="00E9046F" w:rsidP="005E43C1">
            <w:pPr>
              <w:pStyle w:val="Default"/>
            </w:pPr>
          </w:p>
        </w:tc>
        <w:tc>
          <w:tcPr>
            <w:tcW w:w="1350" w:type="dxa"/>
          </w:tcPr>
          <w:p w14:paraId="10B1AA6C" w14:textId="77777777" w:rsidR="00E9046F" w:rsidRPr="00583F88" w:rsidRDefault="00E9046F" w:rsidP="00B3495C">
            <w:pPr>
              <w:pStyle w:val="Default"/>
              <w:jc w:val="right"/>
            </w:pPr>
          </w:p>
        </w:tc>
        <w:tc>
          <w:tcPr>
            <w:tcW w:w="1260" w:type="dxa"/>
          </w:tcPr>
          <w:p w14:paraId="0AE3B8CB" w14:textId="77777777" w:rsidR="00E9046F" w:rsidRPr="00583F88" w:rsidRDefault="00E9046F" w:rsidP="00B3495C">
            <w:pPr>
              <w:pStyle w:val="Default"/>
              <w:jc w:val="right"/>
            </w:pPr>
          </w:p>
        </w:tc>
        <w:tc>
          <w:tcPr>
            <w:tcW w:w="1260" w:type="dxa"/>
          </w:tcPr>
          <w:p w14:paraId="5D350921" w14:textId="77777777" w:rsidR="00E9046F" w:rsidRPr="00583F88" w:rsidRDefault="00E9046F" w:rsidP="00B3495C">
            <w:pPr>
              <w:pStyle w:val="Default"/>
              <w:jc w:val="right"/>
            </w:pPr>
          </w:p>
        </w:tc>
        <w:tc>
          <w:tcPr>
            <w:tcW w:w="1170" w:type="dxa"/>
          </w:tcPr>
          <w:p w14:paraId="56AC1878" w14:textId="77777777" w:rsidR="00E9046F" w:rsidRPr="00583F88" w:rsidRDefault="00E9046F" w:rsidP="005D30F3">
            <w:pPr>
              <w:pStyle w:val="Default"/>
              <w:jc w:val="center"/>
            </w:pPr>
          </w:p>
        </w:tc>
      </w:tr>
      <w:tr w:rsidR="00E9046F" w:rsidRPr="0038621A" w14:paraId="21B2551D" w14:textId="77777777" w:rsidTr="0029179F">
        <w:tc>
          <w:tcPr>
            <w:tcW w:w="4140" w:type="dxa"/>
            <w:vAlign w:val="center"/>
          </w:tcPr>
          <w:p w14:paraId="189F3A4F" w14:textId="77777777" w:rsidR="00E9046F" w:rsidRPr="00583F88" w:rsidRDefault="00E9046F" w:rsidP="0029179F">
            <w:pPr>
              <w:pStyle w:val="Default"/>
              <w:jc w:val="center"/>
              <w:rPr>
                <w:b/>
              </w:rPr>
            </w:pPr>
            <w:r w:rsidRPr="00583F88">
              <w:rPr>
                <w:b/>
              </w:rPr>
              <w:t>Commercial Garbage</w:t>
            </w:r>
          </w:p>
        </w:tc>
        <w:tc>
          <w:tcPr>
            <w:tcW w:w="1350" w:type="dxa"/>
            <w:vAlign w:val="center"/>
          </w:tcPr>
          <w:p w14:paraId="2F8CAFCF" w14:textId="51421AB7" w:rsidR="00E9046F" w:rsidRPr="00583F88" w:rsidRDefault="00E9046F" w:rsidP="0029179F">
            <w:pPr>
              <w:pStyle w:val="Default"/>
              <w:jc w:val="center"/>
              <w:rPr>
                <w:b/>
              </w:rPr>
            </w:pPr>
          </w:p>
        </w:tc>
        <w:tc>
          <w:tcPr>
            <w:tcW w:w="1260" w:type="dxa"/>
          </w:tcPr>
          <w:p w14:paraId="43415A23" w14:textId="0CAC839F" w:rsidR="00E9046F" w:rsidRPr="00583F88" w:rsidRDefault="00E9046F" w:rsidP="0029179F">
            <w:pPr>
              <w:pStyle w:val="Default"/>
              <w:jc w:val="center"/>
              <w:rPr>
                <w:b/>
              </w:rPr>
            </w:pPr>
          </w:p>
        </w:tc>
        <w:tc>
          <w:tcPr>
            <w:tcW w:w="1260" w:type="dxa"/>
          </w:tcPr>
          <w:p w14:paraId="3D2BC48F" w14:textId="546DA053" w:rsidR="00E9046F" w:rsidRPr="00583F88" w:rsidRDefault="00E9046F" w:rsidP="0029179F">
            <w:pPr>
              <w:pStyle w:val="Default"/>
              <w:jc w:val="center"/>
              <w:rPr>
                <w:b/>
              </w:rPr>
            </w:pPr>
          </w:p>
        </w:tc>
        <w:tc>
          <w:tcPr>
            <w:tcW w:w="1170" w:type="dxa"/>
          </w:tcPr>
          <w:p w14:paraId="5320859A" w14:textId="6BAC84C0" w:rsidR="00E9046F" w:rsidRPr="00583F88" w:rsidRDefault="00E9046F" w:rsidP="0029179F">
            <w:pPr>
              <w:pStyle w:val="Default"/>
              <w:jc w:val="center"/>
              <w:rPr>
                <w:b/>
              </w:rPr>
            </w:pPr>
          </w:p>
        </w:tc>
      </w:tr>
      <w:tr w:rsidR="00E9046F" w:rsidRPr="0038621A" w14:paraId="59D327E7" w14:textId="77777777" w:rsidTr="0029179F">
        <w:tc>
          <w:tcPr>
            <w:tcW w:w="4140" w:type="dxa"/>
          </w:tcPr>
          <w:p w14:paraId="51781027" w14:textId="77777777" w:rsidR="00E9046F" w:rsidRPr="00583F88" w:rsidRDefault="00E9046F" w:rsidP="0029179F">
            <w:pPr>
              <w:pStyle w:val="Default"/>
            </w:pPr>
            <w:r w:rsidRPr="00583F88">
              <w:t>1-Yard Container - Weekly Pickup</w:t>
            </w:r>
          </w:p>
        </w:tc>
        <w:tc>
          <w:tcPr>
            <w:tcW w:w="1350" w:type="dxa"/>
          </w:tcPr>
          <w:p w14:paraId="0610811D" w14:textId="77777777" w:rsidR="00E9046F" w:rsidRPr="00583F88" w:rsidRDefault="00E9046F" w:rsidP="0029179F">
            <w:pPr>
              <w:pStyle w:val="Default"/>
              <w:jc w:val="right"/>
            </w:pPr>
            <w:r w:rsidRPr="00583F88">
              <w:t>$  16.00</w:t>
            </w:r>
          </w:p>
        </w:tc>
        <w:tc>
          <w:tcPr>
            <w:tcW w:w="1260" w:type="dxa"/>
          </w:tcPr>
          <w:p w14:paraId="4235D9F3" w14:textId="2350621F" w:rsidR="00E9046F" w:rsidRPr="00583F88" w:rsidRDefault="0029179F" w:rsidP="0029179F">
            <w:pPr>
              <w:pStyle w:val="Default"/>
              <w:jc w:val="right"/>
            </w:pPr>
            <w:r w:rsidRPr="00583F88">
              <w:t>$18.30</w:t>
            </w:r>
          </w:p>
        </w:tc>
        <w:tc>
          <w:tcPr>
            <w:tcW w:w="1260" w:type="dxa"/>
          </w:tcPr>
          <w:p w14:paraId="26F723C2" w14:textId="77777777" w:rsidR="00E9046F" w:rsidRPr="00583F88" w:rsidRDefault="00E9046F" w:rsidP="0029179F">
            <w:pPr>
              <w:pStyle w:val="Default"/>
              <w:jc w:val="right"/>
            </w:pPr>
            <w:r w:rsidRPr="00583F88">
              <w:t>$  18.30</w:t>
            </w:r>
          </w:p>
        </w:tc>
        <w:tc>
          <w:tcPr>
            <w:tcW w:w="1170" w:type="dxa"/>
          </w:tcPr>
          <w:p w14:paraId="72239334" w14:textId="77777777" w:rsidR="00E9046F" w:rsidRPr="00583F88" w:rsidRDefault="00E9046F" w:rsidP="0029179F">
            <w:pPr>
              <w:pStyle w:val="Default"/>
              <w:jc w:val="right"/>
            </w:pPr>
            <w:r w:rsidRPr="00583F88">
              <w:t>14.4%</w:t>
            </w:r>
          </w:p>
        </w:tc>
      </w:tr>
      <w:tr w:rsidR="00E9046F" w:rsidRPr="0038621A" w14:paraId="15FE9A91" w14:textId="77777777" w:rsidTr="0029179F">
        <w:tc>
          <w:tcPr>
            <w:tcW w:w="4140" w:type="dxa"/>
          </w:tcPr>
          <w:p w14:paraId="14AEA60F" w14:textId="77777777" w:rsidR="00E9046F" w:rsidRPr="00583F88" w:rsidRDefault="00E9046F" w:rsidP="0029179F">
            <w:pPr>
              <w:pStyle w:val="Default"/>
            </w:pPr>
            <w:r w:rsidRPr="00583F88">
              <w:t>4-Yard Container - Weekly Pickup</w:t>
            </w:r>
          </w:p>
        </w:tc>
        <w:tc>
          <w:tcPr>
            <w:tcW w:w="1350" w:type="dxa"/>
          </w:tcPr>
          <w:p w14:paraId="0B253876" w14:textId="77777777" w:rsidR="00E9046F" w:rsidRPr="00583F88" w:rsidRDefault="00E9046F" w:rsidP="0029179F">
            <w:pPr>
              <w:pStyle w:val="Default"/>
              <w:jc w:val="right"/>
            </w:pPr>
            <w:r w:rsidRPr="00583F88">
              <w:t>$  51.70</w:t>
            </w:r>
          </w:p>
        </w:tc>
        <w:tc>
          <w:tcPr>
            <w:tcW w:w="1260" w:type="dxa"/>
          </w:tcPr>
          <w:p w14:paraId="2DF3C462" w14:textId="5DD10492" w:rsidR="00E9046F" w:rsidRPr="00583F88" w:rsidRDefault="0029179F" w:rsidP="0029179F">
            <w:pPr>
              <w:pStyle w:val="Default"/>
              <w:jc w:val="right"/>
            </w:pPr>
            <w:r w:rsidRPr="00583F88">
              <w:t>$59.30</w:t>
            </w:r>
          </w:p>
        </w:tc>
        <w:tc>
          <w:tcPr>
            <w:tcW w:w="1260" w:type="dxa"/>
          </w:tcPr>
          <w:p w14:paraId="7BC1C24F" w14:textId="77777777" w:rsidR="00E9046F" w:rsidRPr="00583F88" w:rsidRDefault="00E9046F" w:rsidP="0029179F">
            <w:pPr>
              <w:pStyle w:val="Default"/>
              <w:jc w:val="right"/>
            </w:pPr>
            <w:r w:rsidRPr="00583F88">
              <w:t>$  59.30</w:t>
            </w:r>
          </w:p>
        </w:tc>
        <w:tc>
          <w:tcPr>
            <w:tcW w:w="1170" w:type="dxa"/>
          </w:tcPr>
          <w:p w14:paraId="53484151" w14:textId="77777777" w:rsidR="00E9046F" w:rsidRPr="00583F88" w:rsidRDefault="00E9046F" w:rsidP="0029179F">
            <w:pPr>
              <w:pStyle w:val="Default"/>
              <w:jc w:val="right"/>
            </w:pPr>
            <w:r w:rsidRPr="00583F88">
              <w:t>14.7%</w:t>
            </w:r>
          </w:p>
        </w:tc>
      </w:tr>
      <w:tr w:rsidR="00E9046F" w:rsidRPr="0038621A" w14:paraId="70AE5980" w14:textId="77777777" w:rsidTr="0029179F">
        <w:tc>
          <w:tcPr>
            <w:tcW w:w="4140" w:type="dxa"/>
          </w:tcPr>
          <w:p w14:paraId="637C73DB" w14:textId="77777777" w:rsidR="00E9046F" w:rsidRPr="00583F88" w:rsidRDefault="00E9046F" w:rsidP="0029179F">
            <w:pPr>
              <w:pStyle w:val="Default"/>
            </w:pPr>
            <w:r w:rsidRPr="00583F88">
              <w:t>30-Yard Compacted - Per Pickup</w:t>
            </w:r>
          </w:p>
        </w:tc>
        <w:tc>
          <w:tcPr>
            <w:tcW w:w="1350" w:type="dxa"/>
          </w:tcPr>
          <w:p w14:paraId="387587D4" w14:textId="77777777" w:rsidR="00E9046F" w:rsidRPr="00583F88" w:rsidRDefault="00E9046F" w:rsidP="0029179F">
            <w:pPr>
              <w:pStyle w:val="Default"/>
              <w:jc w:val="right"/>
            </w:pPr>
            <w:r w:rsidRPr="00583F88">
              <w:t>$151.20</w:t>
            </w:r>
          </w:p>
        </w:tc>
        <w:tc>
          <w:tcPr>
            <w:tcW w:w="1260" w:type="dxa"/>
          </w:tcPr>
          <w:p w14:paraId="0FE89FBE" w14:textId="2A874AE1" w:rsidR="00E9046F" w:rsidRPr="00583F88" w:rsidRDefault="0029179F" w:rsidP="0029179F">
            <w:pPr>
              <w:pStyle w:val="Default"/>
              <w:jc w:val="right"/>
            </w:pPr>
            <w:r w:rsidRPr="00583F88">
              <w:t>$143.00</w:t>
            </w:r>
          </w:p>
        </w:tc>
        <w:tc>
          <w:tcPr>
            <w:tcW w:w="1260" w:type="dxa"/>
          </w:tcPr>
          <w:p w14:paraId="6A44F9B0" w14:textId="77777777" w:rsidR="00E9046F" w:rsidRPr="00583F88" w:rsidRDefault="00E9046F" w:rsidP="0029179F">
            <w:pPr>
              <w:pStyle w:val="Default"/>
              <w:jc w:val="right"/>
            </w:pPr>
            <w:r w:rsidRPr="00583F88">
              <w:t>$173.40</w:t>
            </w:r>
          </w:p>
        </w:tc>
        <w:tc>
          <w:tcPr>
            <w:tcW w:w="1170" w:type="dxa"/>
          </w:tcPr>
          <w:p w14:paraId="732BC195" w14:textId="77777777" w:rsidR="00E9046F" w:rsidRPr="00583F88" w:rsidRDefault="00E9046F" w:rsidP="0029179F">
            <w:pPr>
              <w:pStyle w:val="Default"/>
              <w:jc w:val="right"/>
            </w:pPr>
            <w:r w:rsidRPr="00583F88">
              <w:t>14.7%</w:t>
            </w:r>
          </w:p>
        </w:tc>
      </w:tr>
    </w:tbl>
    <w:p w14:paraId="026C27C1" w14:textId="77777777" w:rsidR="00374F02" w:rsidRPr="00583F88" w:rsidRDefault="00374F02" w:rsidP="005E43C1">
      <w:pPr>
        <w:pStyle w:val="Default"/>
      </w:pPr>
    </w:p>
    <w:p w14:paraId="026C27E2" w14:textId="77777777" w:rsidR="007B12B0" w:rsidRPr="00583F88" w:rsidRDefault="007B12B0" w:rsidP="007B12B0">
      <w:pPr>
        <w:rPr>
          <w:rFonts w:ascii="Times New Roman" w:hAnsi="Times New Roman" w:cs="Times New Roman"/>
          <w:b/>
          <w:sz w:val="24"/>
          <w:szCs w:val="24"/>
          <w:u w:val="single"/>
        </w:rPr>
      </w:pPr>
      <w:r w:rsidRPr="00583F88">
        <w:rPr>
          <w:rFonts w:ascii="Times New Roman" w:hAnsi="Times New Roman" w:cs="Times New Roman"/>
          <w:b/>
          <w:sz w:val="24"/>
          <w:szCs w:val="24"/>
          <w:u w:val="single"/>
        </w:rPr>
        <w:t>Customer Comments</w:t>
      </w:r>
    </w:p>
    <w:p w14:paraId="026C27E3" w14:textId="77777777" w:rsidR="008F2C93" w:rsidRPr="00583F88" w:rsidRDefault="008F2C93" w:rsidP="008F2C93">
      <w:pPr>
        <w:rPr>
          <w:rFonts w:ascii="Times New Roman" w:hAnsi="Times New Roman" w:cs="Times New Roman"/>
          <w:sz w:val="24"/>
          <w:szCs w:val="24"/>
        </w:rPr>
      </w:pPr>
      <w:r w:rsidRPr="00583F88">
        <w:rPr>
          <w:rFonts w:ascii="Times New Roman" w:hAnsi="Times New Roman" w:cs="Times New Roman"/>
          <w:color w:val="000000"/>
          <w:sz w:val="24"/>
          <w:szCs w:val="24"/>
        </w:rPr>
        <w:t>The company notified its customers of the proposed rate increase by mail. Staff received eight consumer comments regarding the proposed rate increase; seven opposed to the rate increase, and one undecided. Customers were notified that they may access relevant documents about this rate increase on the commission’s website, and that they may contact John Cupp at 1-888-333-9882 or jcupp@utc.wa.gov with questions or concerns.</w:t>
      </w:r>
    </w:p>
    <w:p w14:paraId="026C27E4" w14:textId="77777777" w:rsidR="008F2C93" w:rsidRPr="00583F88" w:rsidRDefault="008F2C93" w:rsidP="008F2C93">
      <w:pPr>
        <w:rPr>
          <w:rFonts w:ascii="Times New Roman" w:hAnsi="Times New Roman" w:cs="Times New Roman"/>
          <w:sz w:val="24"/>
          <w:szCs w:val="24"/>
        </w:rPr>
      </w:pPr>
    </w:p>
    <w:p w14:paraId="026C27E5" w14:textId="77777777" w:rsidR="008F2C93" w:rsidRPr="00583F88" w:rsidRDefault="008F2C93" w:rsidP="008F2C93">
      <w:pPr>
        <w:rPr>
          <w:rFonts w:ascii="Times New Roman" w:hAnsi="Times New Roman" w:cs="Times New Roman"/>
          <w:sz w:val="24"/>
          <w:szCs w:val="24"/>
        </w:rPr>
      </w:pPr>
      <w:r w:rsidRPr="00583F88">
        <w:rPr>
          <w:rFonts w:ascii="Times New Roman" w:hAnsi="Times New Roman" w:cs="Times New Roman"/>
          <w:b/>
          <w:color w:val="000000"/>
          <w:sz w:val="24"/>
          <w:szCs w:val="24"/>
        </w:rPr>
        <w:t>General Comments</w:t>
      </w:r>
    </w:p>
    <w:p w14:paraId="026C27E6" w14:textId="77777777" w:rsidR="008F2C93" w:rsidRPr="00583F88" w:rsidRDefault="008F2C93" w:rsidP="008F2C93">
      <w:pPr>
        <w:ind w:left="720"/>
        <w:rPr>
          <w:rFonts w:ascii="Times New Roman" w:hAnsi="Times New Roman" w:cs="Times New Roman"/>
          <w:sz w:val="24"/>
          <w:szCs w:val="24"/>
        </w:rPr>
      </w:pPr>
      <w:r w:rsidRPr="00583F88">
        <w:rPr>
          <w:rFonts w:ascii="Times New Roman" w:hAnsi="Times New Roman" w:cs="Times New Roman"/>
          <w:color w:val="000000"/>
          <w:sz w:val="24"/>
          <w:szCs w:val="24"/>
        </w:rPr>
        <w:t>Customers commented that the rates are already too high, and an increase would not be necessary if the company controlled its costs.</w:t>
      </w:r>
    </w:p>
    <w:p w14:paraId="026C27E7" w14:textId="77777777" w:rsidR="008F2C93" w:rsidRPr="00583F88" w:rsidRDefault="008F2C93" w:rsidP="008F2C93">
      <w:pPr>
        <w:rPr>
          <w:rFonts w:ascii="Times New Roman" w:hAnsi="Times New Roman" w:cs="Times New Roman"/>
          <w:sz w:val="24"/>
          <w:szCs w:val="24"/>
        </w:rPr>
      </w:pPr>
    </w:p>
    <w:p w14:paraId="026C27EA" w14:textId="77777777" w:rsidR="008F2C93" w:rsidRPr="00583F88" w:rsidRDefault="008F2C93" w:rsidP="008F2C93">
      <w:pPr>
        <w:rPr>
          <w:rFonts w:ascii="Times New Roman" w:hAnsi="Times New Roman" w:cs="Times New Roman"/>
          <w:sz w:val="24"/>
          <w:szCs w:val="24"/>
        </w:rPr>
      </w:pPr>
      <w:r w:rsidRPr="00583F88">
        <w:rPr>
          <w:rFonts w:ascii="Times New Roman" w:hAnsi="Times New Roman" w:cs="Times New Roman"/>
          <w:b/>
          <w:color w:val="000000"/>
          <w:sz w:val="24"/>
          <w:szCs w:val="24"/>
        </w:rPr>
        <w:t>Staff Response</w:t>
      </w:r>
    </w:p>
    <w:p w14:paraId="026C27EB" w14:textId="77777777" w:rsidR="007B12B0" w:rsidRPr="00583F88" w:rsidRDefault="008F2C93" w:rsidP="008F2C93">
      <w:pPr>
        <w:ind w:left="720"/>
        <w:rPr>
          <w:rFonts w:ascii="Times New Roman" w:hAnsi="Times New Roman" w:cs="Times New Roman"/>
          <w:sz w:val="24"/>
          <w:szCs w:val="24"/>
        </w:rPr>
      </w:pPr>
      <w:r w:rsidRPr="00583F88">
        <w:rPr>
          <w:rFonts w:ascii="Times New Roman" w:hAnsi="Times New Roman" w:cs="Times New Roman"/>
          <w:sz w:val="24"/>
          <w:szCs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026C27EC" w14:textId="77777777" w:rsidR="007B12B0" w:rsidRPr="00583F88" w:rsidRDefault="007B12B0" w:rsidP="007B12B0">
      <w:pPr>
        <w:rPr>
          <w:rFonts w:ascii="Times New Roman" w:hAnsi="Times New Roman" w:cs="Times New Roman"/>
          <w:sz w:val="24"/>
          <w:szCs w:val="24"/>
        </w:rPr>
      </w:pPr>
    </w:p>
    <w:p w14:paraId="026C27ED" w14:textId="77777777" w:rsidR="009D6B2C" w:rsidRPr="00583F88" w:rsidRDefault="009D6B2C" w:rsidP="00B539B3">
      <w:pPr>
        <w:rPr>
          <w:rFonts w:ascii="Times New Roman" w:hAnsi="Times New Roman" w:cs="Times New Roman"/>
          <w:sz w:val="24"/>
          <w:szCs w:val="24"/>
        </w:rPr>
      </w:pPr>
      <w:r w:rsidRPr="00583F88">
        <w:rPr>
          <w:rFonts w:ascii="Times New Roman" w:hAnsi="Times New Roman" w:cs="Times New Roman"/>
          <w:b/>
          <w:sz w:val="24"/>
          <w:szCs w:val="24"/>
          <w:u w:val="single"/>
        </w:rPr>
        <w:t xml:space="preserve">Conclusion </w:t>
      </w:r>
    </w:p>
    <w:p w14:paraId="026C27EE" w14:textId="77777777" w:rsidR="00F72391" w:rsidRPr="00583F88" w:rsidRDefault="00F72391" w:rsidP="00952C1F">
      <w:pPr>
        <w:rPr>
          <w:rFonts w:ascii="Times New Roman" w:hAnsi="Times New Roman" w:cs="Times New Roman"/>
          <w:sz w:val="24"/>
          <w:szCs w:val="24"/>
        </w:rPr>
      </w:pPr>
    </w:p>
    <w:p w14:paraId="026C27F0" w14:textId="7083B88D" w:rsidR="00F72391" w:rsidRPr="00583F88" w:rsidRDefault="005C4838" w:rsidP="00000174">
      <w:pPr>
        <w:rPr>
          <w:rFonts w:ascii="Times New Roman" w:eastAsia="Calibri" w:hAnsi="Times New Roman" w:cs="Times New Roman"/>
          <w:sz w:val="24"/>
          <w:szCs w:val="24"/>
          <w:lang w:bidi="en-US"/>
        </w:rPr>
      </w:pPr>
      <w:r w:rsidRPr="00583F88">
        <w:rPr>
          <w:rFonts w:ascii="Times New Roman" w:eastAsia="Calibri" w:hAnsi="Times New Roman" w:cs="Times New Roman"/>
          <w:sz w:val="24"/>
          <w:szCs w:val="24"/>
          <w:lang w:bidi="en-US"/>
        </w:rPr>
        <w:t xml:space="preserve">Take no action, thereby allowing the proposed rates filed by Waste Management of Washington, Inc., dba Waste Management – South Sound and Waste Management of Seattle on March 24, 2014, as revised on May 19, 2014, to become effective June 1, 2014, by operation of law.  </w:t>
      </w:r>
    </w:p>
    <w:sectPr w:rsidR="00F72391" w:rsidRPr="00583F88"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C27F3" w14:textId="77777777" w:rsidR="0038621A" w:rsidRDefault="0038621A" w:rsidP="00B539B3">
      <w:r>
        <w:separator/>
      </w:r>
    </w:p>
  </w:endnote>
  <w:endnote w:type="continuationSeparator" w:id="0">
    <w:p w14:paraId="026C27F4" w14:textId="77777777" w:rsidR="0038621A" w:rsidRDefault="0038621A"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C27F1" w14:textId="77777777" w:rsidR="0038621A" w:rsidRDefault="0038621A" w:rsidP="00B539B3">
      <w:r>
        <w:separator/>
      </w:r>
    </w:p>
  </w:footnote>
  <w:footnote w:type="continuationSeparator" w:id="0">
    <w:p w14:paraId="026C27F2" w14:textId="77777777" w:rsidR="0038621A" w:rsidRDefault="0038621A"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C27F5" w14:textId="1D73DE11" w:rsidR="0038621A" w:rsidRPr="00B539B3" w:rsidRDefault="0038621A">
    <w:pPr>
      <w:pStyle w:val="Header"/>
      <w:rPr>
        <w:rFonts w:ascii="Times New Roman" w:hAnsi="Times New Roman" w:cs="Times New Roman"/>
      </w:rPr>
    </w:pPr>
    <w:r>
      <w:rPr>
        <w:rFonts w:ascii="Times New Roman" w:hAnsi="Times New Roman" w:cs="Times New Roman"/>
      </w:rPr>
      <w:t>Docket TG-140471</w:t>
    </w:r>
  </w:p>
  <w:p w14:paraId="026C27F6" w14:textId="5D4B58C9" w:rsidR="0038621A" w:rsidRPr="00B539B3" w:rsidRDefault="0038621A">
    <w:pPr>
      <w:pStyle w:val="Header"/>
      <w:rPr>
        <w:rFonts w:ascii="Times New Roman" w:hAnsi="Times New Roman" w:cs="Times New Roman"/>
      </w:rPr>
    </w:pPr>
    <w:r>
      <w:rPr>
        <w:rFonts w:ascii="Times New Roman" w:hAnsi="Times New Roman" w:cs="Times New Roman"/>
      </w:rPr>
      <w:t>May 29, 2014</w:t>
    </w:r>
  </w:p>
  <w:p w14:paraId="026C27F7" w14:textId="77777777" w:rsidR="0038621A" w:rsidRPr="00B539B3" w:rsidRDefault="0038621A">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C35B34">
      <w:rPr>
        <w:rFonts w:ascii="Times New Roman" w:hAnsi="Times New Roman" w:cs="Times New Roman"/>
        <w:noProof/>
      </w:rPr>
      <w:t>2</w:t>
    </w:r>
    <w:r w:rsidRPr="00B539B3">
      <w:rPr>
        <w:rFonts w:ascii="Times New Roman" w:hAnsi="Times New Roman" w:cs="Times New Roman"/>
        <w:noProof/>
      </w:rPr>
      <w:fldChar w:fldCharType="end"/>
    </w:r>
  </w:p>
  <w:p w14:paraId="026C27F8" w14:textId="77777777" w:rsidR="0038621A" w:rsidRPr="00B539B3" w:rsidRDefault="0038621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3516A3F"/>
    <w:multiLevelType w:val="hybridMultilevel"/>
    <w:tmpl w:val="0C2C3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D477D"/>
    <w:multiLevelType w:val="hybridMultilevel"/>
    <w:tmpl w:val="CEB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625B0"/>
    <w:multiLevelType w:val="hybridMultilevel"/>
    <w:tmpl w:val="3CA6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56741"/>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00174"/>
    <w:rsid w:val="00005AC7"/>
    <w:rsid w:val="00043D0B"/>
    <w:rsid w:val="000569F6"/>
    <w:rsid w:val="00086E24"/>
    <w:rsid w:val="000A26BF"/>
    <w:rsid w:val="000A6E89"/>
    <w:rsid w:val="000A7637"/>
    <w:rsid w:val="000C0F66"/>
    <w:rsid w:val="000D13F6"/>
    <w:rsid w:val="000D38B2"/>
    <w:rsid w:val="000E640C"/>
    <w:rsid w:val="000F3909"/>
    <w:rsid w:val="000F3E17"/>
    <w:rsid w:val="00102747"/>
    <w:rsid w:val="00106EF3"/>
    <w:rsid w:val="00123F17"/>
    <w:rsid w:val="00132B20"/>
    <w:rsid w:val="00135A21"/>
    <w:rsid w:val="00161950"/>
    <w:rsid w:val="00175B07"/>
    <w:rsid w:val="0018114A"/>
    <w:rsid w:val="001870EF"/>
    <w:rsid w:val="00190E6D"/>
    <w:rsid w:val="001957E5"/>
    <w:rsid w:val="001A08AE"/>
    <w:rsid w:val="001A6A71"/>
    <w:rsid w:val="001A77E5"/>
    <w:rsid w:val="001C5AB1"/>
    <w:rsid w:val="001E1D7A"/>
    <w:rsid w:val="001F6BCE"/>
    <w:rsid w:val="00205DFE"/>
    <w:rsid w:val="00282F2C"/>
    <w:rsid w:val="00286442"/>
    <w:rsid w:val="0029179F"/>
    <w:rsid w:val="00292C45"/>
    <w:rsid w:val="002B2D34"/>
    <w:rsid w:val="002B73C0"/>
    <w:rsid w:val="002C039A"/>
    <w:rsid w:val="002D64AC"/>
    <w:rsid w:val="002E70D4"/>
    <w:rsid w:val="002F3563"/>
    <w:rsid w:val="00362D08"/>
    <w:rsid w:val="00364448"/>
    <w:rsid w:val="00374F02"/>
    <w:rsid w:val="00376B42"/>
    <w:rsid w:val="0038621A"/>
    <w:rsid w:val="00390AD0"/>
    <w:rsid w:val="003A0DED"/>
    <w:rsid w:val="003A34EA"/>
    <w:rsid w:val="003A3A51"/>
    <w:rsid w:val="003B0CA3"/>
    <w:rsid w:val="003D7BB8"/>
    <w:rsid w:val="003E1113"/>
    <w:rsid w:val="00407537"/>
    <w:rsid w:val="0041155C"/>
    <w:rsid w:val="004121AA"/>
    <w:rsid w:val="00415EC7"/>
    <w:rsid w:val="00437AB4"/>
    <w:rsid w:val="00451586"/>
    <w:rsid w:val="0045195C"/>
    <w:rsid w:val="004650EA"/>
    <w:rsid w:val="00475605"/>
    <w:rsid w:val="00475E4E"/>
    <w:rsid w:val="00480A33"/>
    <w:rsid w:val="00483826"/>
    <w:rsid w:val="00491122"/>
    <w:rsid w:val="004B6241"/>
    <w:rsid w:val="004D1AAA"/>
    <w:rsid w:val="004D728A"/>
    <w:rsid w:val="004E28FD"/>
    <w:rsid w:val="004E4962"/>
    <w:rsid w:val="004F0A3E"/>
    <w:rsid w:val="004F44BB"/>
    <w:rsid w:val="004F4BDD"/>
    <w:rsid w:val="00510337"/>
    <w:rsid w:val="00510852"/>
    <w:rsid w:val="005463F0"/>
    <w:rsid w:val="0055186B"/>
    <w:rsid w:val="00551F08"/>
    <w:rsid w:val="00552600"/>
    <w:rsid w:val="00565F24"/>
    <w:rsid w:val="005660D9"/>
    <w:rsid w:val="00570449"/>
    <w:rsid w:val="00574A6D"/>
    <w:rsid w:val="005807F9"/>
    <w:rsid w:val="005833F2"/>
    <w:rsid w:val="00583F88"/>
    <w:rsid w:val="00587724"/>
    <w:rsid w:val="00595388"/>
    <w:rsid w:val="005A6C74"/>
    <w:rsid w:val="005B2581"/>
    <w:rsid w:val="005B6302"/>
    <w:rsid w:val="005C4838"/>
    <w:rsid w:val="005D30F3"/>
    <w:rsid w:val="005D49AF"/>
    <w:rsid w:val="005E2F82"/>
    <w:rsid w:val="005E43C1"/>
    <w:rsid w:val="00604C95"/>
    <w:rsid w:val="00606BAD"/>
    <w:rsid w:val="0060794E"/>
    <w:rsid w:val="00610BAE"/>
    <w:rsid w:val="00612AD5"/>
    <w:rsid w:val="006141B6"/>
    <w:rsid w:val="006351DE"/>
    <w:rsid w:val="00636027"/>
    <w:rsid w:val="00647E06"/>
    <w:rsid w:val="00661B15"/>
    <w:rsid w:val="006631E4"/>
    <w:rsid w:val="00672F7B"/>
    <w:rsid w:val="00694D42"/>
    <w:rsid w:val="006A0949"/>
    <w:rsid w:val="006A1491"/>
    <w:rsid w:val="006A41EE"/>
    <w:rsid w:val="006B3BB4"/>
    <w:rsid w:val="006C7874"/>
    <w:rsid w:val="006D5BEA"/>
    <w:rsid w:val="006E2A7D"/>
    <w:rsid w:val="006F5929"/>
    <w:rsid w:val="00701B64"/>
    <w:rsid w:val="00706CE8"/>
    <w:rsid w:val="00717278"/>
    <w:rsid w:val="00720181"/>
    <w:rsid w:val="00730808"/>
    <w:rsid w:val="0074078D"/>
    <w:rsid w:val="00754066"/>
    <w:rsid w:val="007554DF"/>
    <w:rsid w:val="00761BA9"/>
    <w:rsid w:val="007759A4"/>
    <w:rsid w:val="007A49B5"/>
    <w:rsid w:val="007B12B0"/>
    <w:rsid w:val="007D3DFC"/>
    <w:rsid w:val="007F6069"/>
    <w:rsid w:val="008124E0"/>
    <w:rsid w:val="00861171"/>
    <w:rsid w:val="00863B13"/>
    <w:rsid w:val="00891A37"/>
    <w:rsid w:val="008A3297"/>
    <w:rsid w:val="008A3D46"/>
    <w:rsid w:val="008D6094"/>
    <w:rsid w:val="008D6982"/>
    <w:rsid w:val="008E7F34"/>
    <w:rsid w:val="008F2C93"/>
    <w:rsid w:val="008F5B7E"/>
    <w:rsid w:val="008F6149"/>
    <w:rsid w:val="00913624"/>
    <w:rsid w:val="009341D4"/>
    <w:rsid w:val="00941B15"/>
    <w:rsid w:val="00952C1F"/>
    <w:rsid w:val="00967EEC"/>
    <w:rsid w:val="00972606"/>
    <w:rsid w:val="009C6844"/>
    <w:rsid w:val="009D31CE"/>
    <w:rsid w:val="009D6B2C"/>
    <w:rsid w:val="00A0235F"/>
    <w:rsid w:val="00A048D4"/>
    <w:rsid w:val="00A04E85"/>
    <w:rsid w:val="00A1534D"/>
    <w:rsid w:val="00A2333C"/>
    <w:rsid w:val="00A53131"/>
    <w:rsid w:val="00A57E5A"/>
    <w:rsid w:val="00A73B09"/>
    <w:rsid w:val="00A744D9"/>
    <w:rsid w:val="00A84C2A"/>
    <w:rsid w:val="00AA7176"/>
    <w:rsid w:val="00AA73D5"/>
    <w:rsid w:val="00AB0137"/>
    <w:rsid w:val="00AB09AD"/>
    <w:rsid w:val="00AB35B9"/>
    <w:rsid w:val="00AD3312"/>
    <w:rsid w:val="00AE273E"/>
    <w:rsid w:val="00AF3BCA"/>
    <w:rsid w:val="00B00D1F"/>
    <w:rsid w:val="00B0657F"/>
    <w:rsid w:val="00B13041"/>
    <w:rsid w:val="00B23282"/>
    <w:rsid w:val="00B245DE"/>
    <w:rsid w:val="00B25E03"/>
    <w:rsid w:val="00B3495C"/>
    <w:rsid w:val="00B40E76"/>
    <w:rsid w:val="00B44841"/>
    <w:rsid w:val="00B539B3"/>
    <w:rsid w:val="00B61666"/>
    <w:rsid w:val="00B934F6"/>
    <w:rsid w:val="00BF4ED9"/>
    <w:rsid w:val="00C1174D"/>
    <w:rsid w:val="00C15E06"/>
    <w:rsid w:val="00C27356"/>
    <w:rsid w:val="00C35B34"/>
    <w:rsid w:val="00C41EDF"/>
    <w:rsid w:val="00C54B5C"/>
    <w:rsid w:val="00C559E1"/>
    <w:rsid w:val="00C55AFE"/>
    <w:rsid w:val="00C603D0"/>
    <w:rsid w:val="00C67C1D"/>
    <w:rsid w:val="00C72B18"/>
    <w:rsid w:val="00C96D93"/>
    <w:rsid w:val="00CA2247"/>
    <w:rsid w:val="00CA66DA"/>
    <w:rsid w:val="00CB0E30"/>
    <w:rsid w:val="00CB3992"/>
    <w:rsid w:val="00CC4CFA"/>
    <w:rsid w:val="00CF101E"/>
    <w:rsid w:val="00D03078"/>
    <w:rsid w:val="00D07CED"/>
    <w:rsid w:val="00D13E8F"/>
    <w:rsid w:val="00D15E5B"/>
    <w:rsid w:val="00D169F4"/>
    <w:rsid w:val="00D27D0E"/>
    <w:rsid w:val="00D330B4"/>
    <w:rsid w:val="00D357AA"/>
    <w:rsid w:val="00D35C04"/>
    <w:rsid w:val="00D4196E"/>
    <w:rsid w:val="00D71A7D"/>
    <w:rsid w:val="00D80460"/>
    <w:rsid w:val="00D84446"/>
    <w:rsid w:val="00D86C00"/>
    <w:rsid w:val="00DA0D1B"/>
    <w:rsid w:val="00DA1B86"/>
    <w:rsid w:val="00DA3F16"/>
    <w:rsid w:val="00DA49FE"/>
    <w:rsid w:val="00DC4041"/>
    <w:rsid w:val="00DD2A47"/>
    <w:rsid w:val="00DD2DC7"/>
    <w:rsid w:val="00DE04E2"/>
    <w:rsid w:val="00DE1F96"/>
    <w:rsid w:val="00E033C6"/>
    <w:rsid w:val="00E07345"/>
    <w:rsid w:val="00E365E5"/>
    <w:rsid w:val="00E40597"/>
    <w:rsid w:val="00E43884"/>
    <w:rsid w:val="00E43E97"/>
    <w:rsid w:val="00E67B5D"/>
    <w:rsid w:val="00E9046F"/>
    <w:rsid w:val="00E9667D"/>
    <w:rsid w:val="00EE0F65"/>
    <w:rsid w:val="00EF4F9D"/>
    <w:rsid w:val="00F10534"/>
    <w:rsid w:val="00F21B68"/>
    <w:rsid w:val="00F32240"/>
    <w:rsid w:val="00F4383A"/>
    <w:rsid w:val="00F72391"/>
    <w:rsid w:val="00F831F0"/>
    <w:rsid w:val="00F87229"/>
    <w:rsid w:val="00F95560"/>
    <w:rsid w:val="00FA6C80"/>
    <w:rsid w:val="00FB7A31"/>
    <w:rsid w:val="00FB7A5D"/>
    <w:rsid w:val="00FE2755"/>
    <w:rsid w:val="00FE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F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customStyle="1" w:styleId="Default">
    <w:name w:val="Default"/>
    <w:rsid w:val="005E43C1"/>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F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customStyle="1" w:styleId="Default">
    <w:name w:val="Default"/>
    <w:rsid w:val="005E43C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2014-03-24T07:00:00+00:00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140471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76704A3276743B849186487B9FD1A" ma:contentTypeVersion="175" ma:contentTypeDescription="" ma:contentTypeScope="" ma:versionID="ea4d992cf02d3acb7cfc205cd40e28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B2409-F9CA-4C8E-9F32-9C2F10E26685}"/>
</file>

<file path=customXml/itemProps2.xml><?xml version="1.0" encoding="utf-8"?>
<ds:datastoreItem xmlns:ds="http://schemas.openxmlformats.org/officeDocument/2006/customXml" ds:itemID="{322B38C8-9D78-4638-A4D7-34003721C767}"/>
</file>

<file path=customXml/itemProps3.xml><?xml version="1.0" encoding="utf-8"?>
<ds:datastoreItem xmlns:ds="http://schemas.openxmlformats.org/officeDocument/2006/customXml" ds:itemID="{CBCB2493-01FE-4998-A4BC-FC9C626CF153}"/>
</file>

<file path=customXml/itemProps4.xml><?xml version="1.0" encoding="utf-8"?>
<ds:datastoreItem xmlns:ds="http://schemas.openxmlformats.org/officeDocument/2006/customXml" ds:itemID="{B4953EA1-F585-48B4-B432-A1EF138A3DFE}"/>
</file>

<file path=customXml/itemProps5.xml><?xml version="1.0" encoding="utf-8"?>
<ds:datastoreItem xmlns:ds="http://schemas.openxmlformats.org/officeDocument/2006/customXml" ds:itemID="{C645605F-69A8-4E43-9BCE-F2D8B3BC7BF9}"/>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TG-140471 Memo 01</vt:lpstr>
    </vt:vector>
  </TitlesOfParts>
  <Company>Washington Utilities and Transportation Commission</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TG-140471 Memo 01</dc:title>
  <dc:creator>Amy White</dc:creator>
  <cp:lastModifiedBy>Lisa Wyse</cp:lastModifiedBy>
  <cp:revision>2</cp:revision>
  <cp:lastPrinted>2014-05-22T22:02:00Z</cp:lastPrinted>
  <dcterms:created xsi:type="dcterms:W3CDTF">2014-05-28T20:46:00Z</dcterms:created>
  <dcterms:modified xsi:type="dcterms:W3CDTF">2014-05-28T20:46:00Z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0x0101006E56B4D1795A2E4DB2F0B01679ED314A00E2D76704A3276743B849186487B9FD1A</vt:lpwstr>
  </property>
  <property fmtid="{D5CDD505-2E9C-101B-9397-08002B2CF9AE}" pid="3" name="_docset_NoMedatataSyncRequired">
    <vt:lpwstr>False</vt:lpwstr>
  </property>
</Properties>
</file>