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DED1" w14:textId="1405CC0C" w:rsidR="00F5102E" w:rsidRPr="00AD7794" w:rsidRDefault="00F5102E" w:rsidP="00F5102E">
      <w:pPr>
        <w:rPr>
          <w:rFonts w:ascii="Times New Roman" w:hAnsi="Times New Roman"/>
        </w:rPr>
      </w:pPr>
      <w:bookmarkStart w:id="0" w:name="_GoBack"/>
      <w:bookmarkEnd w:id="0"/>
      <w:r w:rsidRPr="00AD7794">
        <w:rPr>
          <w:rFonts w:ascii="Times New Roman" w:hAnsi="Times New Roman"/>
        </w:rPr>
        <w:t>Agenda Date:</w:t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  <w:t>July 26, 2013</w:t>
      </w:r>
    </w:p>
    <w:p w14:paraId="177DDED2" w14:textId="106067E7" w:rsidR="00F5102E" w:rsidRPr="00AD7794" w:rsidRDefault="00A64936" w:rsidP="00F5102E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F5102E" w:rsidRPr="00AD7794">
        <w:rPr>
          <w:rFonts w:ascii="Times New Roman" w:hAnsi="Times New Roman"/>
        </w:rPr>
        <w:t>:</w:t>
      </w:r>
      <w:r w:rsidR="00F5102E" w:rsidRPr="00AD7794">
        <w:rPr>
          <w:rFonts w:ascii="Times New Roman" w:hAnsi="Times New Roman"/>
        </w:rPr>
        <w:tab/>
      </w:r>
      <w:r w:rsidR="00F677A9">
        <w:rPr>
          <w:rFonts w:ascii="Times New Roman" w:hAnsi="Times New Roman"/>
        </w:rPr>
        <w:t>A4</w:t>
      </w:r>
    </w:p>
    <w:p w14:paraId="177DDED3" w14:textId="77777777" w:rsidR="00F5102E" w:rsidRPr="00AD7794" w:rsidRDefault="00F5102E" w:rsidP="00F5102E">
      <w:pPr>
        <w:rPr>
          <w:rFonts w:ascii="Times New Roman" w:hAnsi="Times New Roman"/>
          <w:highlight w:val="yellow"/>
        </w:rPr>
      </w:pPr>
    </w:p>
    <w:p w14:paraId="177DDED4" w14:textId="77777777" w:rsidR="00F5102E" w:rsidRPr="00AD7794" w:rsidRDefault="00F5102E" w:rsidP="00F5102E">
      <w:pPr>
        <w:rPr>
          <w:rFonts w:ascii="Times New Roman" w:hAnsi="Times New Roman"/>
          <w:b/>
          <w:bCs/>
        </w:rPr>
      </w:pPr>
      <w:r w:rsidRPr="00AD7794">
        <w:rPr>
          <w:rFonts w:ascii="Times New Roman" w:hAnsi="Times New Roman"/>
          <w:b/>
          <w:bCs/>
        </w:rPr>
        <w:t>Docket:</w:t>
      </w:r>
      <w:r w:rsidRPr="00AD7794">
        <w:rPr>
          <w:rFonts w:ascii="Times New Roman" w:hAnsi="Times New Roman"/>
          <w:b/>
          <w:bCs/>
        </w:rPr>
        <w:tab/>
      </w:r>
      <w:r w:rsidRPr="00AD7794">
        <w:rPr>
          <w:rFonts w:ascii="Times New Roman" w:hAnsi="Times New Roman"/>
          <w:b/>
          <w:bCs/>
        </w:rPr>
        <w:tab/>
        <w:t>UE-131072</w:t>
      </w:r>
    </w:p>
    <w:p w14:paraId="177DDED5" w14:textId="77777777" w:rsidR="00F5102E" w:rsidRPr="00AD7794" w:rsidRDefault="00F5102E" w:rsidP="00F5102E">
      <w:pPr>
        <w:ind w:left="2160" w:hanging="2160"/>
        <w:rPr>
          <w:rFonts w:ascii="Times New Roman" w:hAnsi="Times New Roman"/>
        </w:rPr>
      </w:pPr>
      <w:r w:rsidRPr="00AD7794">
        <w:rPr>
          <w:rFonts w:ascii="Times New Roman" w:hAnsi="Times New Roman"/>
        </w:rPr>
        <w:t>Compan</w:t>
      </w:r>
      <w:r w:rsidR="00A64936">
        <w:rPr>
          <w:rFonts w:ascii="Times New Roman" w:hAnsi="Times New Roman"/>
        </w:rPr>
        <w:t>y</w:t>
      </w:r>
      <w:r w:rsidRPr="00AD7794">
        <w:rPr>
          <w:rFonts w:ascii="Times New Roman" w:hAnsi="Times New Roman"/>
        </w:rPr>
        <w:t>:</w:t>
      </w:r>
      <w:r w:rsidRPr="00AD7794">
        <w:rPr>
          <w:rFonts w:ascii="Times New Roman" w:hAnsi="Times New Roman"/>
        </w:rPr>
        <w:tab/>
        <w:t>Puget Sound Energy</w:t>
      </w:r>
    </w:p>
    <w:p w14:paraId="177DDED6" w14:textId="77777777" w:rsidR="00F5102E" w:rsidRPr="00AD7794" w:rsidRDefault="00F5102E" w:rsidP="00F5102E">
      <w:pPr>
        <w:rPr>
          <w:rFonts w:ascii="Times New Roman" w:hAnsi="Times New Roman"/>
          <w:highlight w:val="yellow"/>
        </w:rPr>
      </w:pPr>
    </w:p>
    <w:p w14:paraId="177DDED7" w14:textId="77777777" w:rsidR="00F5102E" w:rsidRPr="00AD7794" w:rsidRDefault="00F5102E" w:rsidP="00F5102E">
      <w:pPr>
        <w:rPr>
          <w:rFonts w:ascii="Times New Roman" w:hAnsi="Times New Roman"/>
        </w:rPr>
      </w:pPr>
      <w:r w:rsidRPr="00AD7794">
        <w:rPr>
          <w:rFonts w:ascii="Times New Roman" w:hAnsi="Times New Roman"/>
        </w:rPr>
        <w:t>Staff:</w:t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  <w:t xml:space="preserve">Chris McGuire, Regulatory Analyst </w:t>
      </w:r>
    </w:p>
    <w:p w14:paraId="177DDED8" w14:textId="77777777" w:rsidR="00F5102E" w:rsidRPr="00AD7794" w:rsidRDefault="00F5102E" w:rsidP="00F5102E">
      <w:pPr>
        <w:ind w:left="2160"/>
        <w:rPr>
          <w:rFonts w:ascii="Times New Roman" w:hAnsi="Times New Roman"/>
        </w:rPr>
      </w:pPr>
      <w:r w:rsidRPr="00AD7794">
        <w:rPr>
          <w:rFonts w:ascii="Times New Roman" w:hAnsi="Times New Roman"/>
        </w:rPr>
        <w:t>Jeremy Twitchell, Regulatory Analyst</w:t>
      </w:r>
    </w:p>
    <w:p w14:paraId="177DDED9" w14:textId="77777777" w:rsidR="00F5102E" w:rsidRPr="00AD7794" w:rsidRDefault="00F5102E" w:rsidP="00F5102E">
      <w:pPr>
        <w:ind w:left="2160"/>
        <w:rPr>
          <w:rFonts w:ascii="Times New Roman" w:hAnsi="Times New Roman"/>
        </w:rPr>
      </w:pPr>
      <w:r w:rsidRPr="00AD7794">
        <w:rPr>
          <w:rFonts w:ascii="Times New Roman" w:hAnsi="Times New Roman"/>
        </w:rPr>
        <w:t>Deborah Reynolds, Assistant Director, Conservation and Energy Planning</w:t>
      </w:r>
    </w:p>
    <w:p w14:paraId="177DDEDA" w14:textId="77777777" w:rsidR="00F5102E" w:rsidRPr="00AD7794" w:rsidRDefault="00F5102E" w:rsidP="00F5102E">
      <w:pPr>
        <w:rPr>
          <w:rFonts w:ascii="Times New Roman" w:hAnsi="Times New Roman"/>
        </w:rPr>
      </w:pPr>
    </w:p>
    <w:p w14:paraId="177DDEDB" w14:textId="77777777" w:rsidR="00F5102E" w:rsidRPr="00AD7794" w:rsidRDefault="00F5102E" w:rsidP="00F5102E">
      <w:pPr>
        <w:rPr>
          <w:rFonts w:ascii="Times New Roman" w:hAnsi="Times New Roman"/>
          <w:b/>
          <w:bCs/>
          <w:u w:val="single"/>
        </w:rPr>
      </w:pPr>
      <w:r w:rsidRPr="00AD7794">
        <w:rPr>
          <w:rFonts w:ascii="Times New Roman" w:hAnsi="Times New Roman"/>
          <w:b/>
          <w:bCs/>
          <w:u w:val="single"/>
        </w:rPr>
        <w:t>Recommendation</w:t>
      </w:r>
    </w:p>
    <w:p w14:paraId="177DDEDC" w14:textId="77777777" w:rsidR="00F5102E" w:rsidRPr="00AD7794" w:rsidRDefault="00F5102E" w:rsidP="00F5102E">
      <w:pPr>
        <w:rPr>
          <w:rFonts w:ascii="Times New Roman" w:hAnsi="Times New Roman"/>
        </w:rPr>
      </w:pPr>
    </w:p>
    <w:p w14:paraId="177DDEDD" w14:textId="77777777" w:rsidR="00D51EC0" w:rsidRDefault="00F5102E" w:rsidP="00A64936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Issue an Order in Docket UE-131072</w:t>
      </w:r>
      <w:r w:rsidR="00A64936">
        <w:rPr>
          <w:rFonts w:ascii="Times New Roman" w:hAnsi="Times New Roman"/>
        </w:rPr>
        <w:t xml:space="preserve"> finding </w:t>
      </w:r>
    </w:p>
    <w:p w14:paraId="5E7C5684" w14:textId="77777777" w:rsidR="00D30E09" w:rsidRDefault="00D30E09" w:rsidP="00D30E0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RCW 19.285.040(2)(a)(i) and WAC 480-109-020(1)(a), the 2013 renewable energy target for Puget Sound Energy is 639,514 megawatt-hours. </w:t>
      </w:r>
    </w:p>
    <w:p w14:paraId="630FF1A0" w14:textId="77777777" w:rsidR="00D30E09" w:rsidRDefault="00D30E09" w:rsidP="00D30E0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Puget Sound Energy has complied with the June 1, 2013, reporting requirements pursuant to WAC 480-109-040. These reporting requirements include Puget Sound Energy’s plan for meeting its RPS obligation for the remainder of 2013.</w:t>
      </w:r>
    </w:p>
    <w:p w14:paraId="75B561A3" w14:textId="77777777" w:rsidR="00D30E09" w:rsidRDefault="00D30E09" w:rsidP="00D30E0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Puget Sound Energy has demonstrated that, by January 1, 2013, Puget Sound Energy acquired at least 639,514 megawatt-hours of eligible renewable resources, equivalent renewable energy credits, or a combination of them, for its use in 2013, as required by RCW 19.285.040(2)(a)(i) and WAC 480-109-020(1)(a).</w:t>
      </w:r>
    </w:p>
    <w:p w14:paraId="4A6F943D" w14:textId="77777777" w:rsidR="00D30E09" w:rsidRDefault="00D30E09" w:rsidP="00D30E0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Puget Sound Energy must file a second report no later than June 1, 2015, that provides the information necessary to determine whether Puget Sound Energy met the January 1, 2013, target, including the specific megawatt-hours and/or renewable energy credits used to meet the target. </w:t>
      </w:r>
    </w:p>
    <w:p w14:paraId="177DDEE0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E1" w14:textId="77777777" w:rsidR="00F5102E" w:rsidRPr="00C818F9" w:rsidRDefault="00F5102E" w:rsidP="00F5102E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t>Background</w:t>
      </w:r>
    </w:p>
    <w:p w14:paraId="177DDEE2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E3" w14:textId="51FBF9E3" w:rsidR="00F5102E" w:rsidRPr="00C818F9" w:rsidRDefault="00553F53" w:rsidP="00F5102E">
      <w:pPr>
        <w:rPr>
          <w:rFonts w:ascii="Times New Roman" w:hAnsi="Times New Roman"/>
        </w:rPr>
      </w:pPr>
      <w:r>
        <w:rPr>
          <w:rFonts w:ascii="Times New Roman" w:hAnsi="Times New Roman"/>
        </w:rPr>
        <w:t>On May 31, 2013</w:t>
      </w:r>
      <w:r w:rsidR="00F5102E" w:rsidRPr="00C818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Puget Sound Energy (PSE</w:t>
      </w:r>
      <w:r w:rsidR="00595EB1">
        <w:rPr>
          <w:rFonts w:ascii="Times New Roman" w:hAnsi="Times New Roman"/>
        </w:rPr>
        <w:t xml:space="preserve"> or company</w:t>
      </w:r>
      <w:r>
        <w:rPr>
          <w:rFonts w:ascii="Times New Roman" w:hAnsi="Times New Roman"/>
        </w:rPr>
        <w:t>) timely filed its</w:t>
      </w:r>
      <w:r w:rsidR="00F5102E" w:rsidRPr="00C818F9">
        <w:rPr>
          <w:rFonts w:ascii="Times New Roman" w:hAnsi="Times New Roman"/>
        </w:rPr>
        <w:t xml:space="preserve"> annual</w:t>
      </w:r>
      <w:r>
        <w:rPr>
          <w:rFonts w:ascii="Times New Roman" w:hAnsi="Times New Roman"/>
        </w:rPr>
        <w:t xml:space="preserve"> report detailing its</w:t>
      </w:r>
      <w:r w:rsidR="00F5102E" w:rsidRPr="00C818F9">
        <w:rPr>
          <w:rFonts w:ascii="Times New Roman" w:hAnsi="Times New Roman"/>
        </w:rPr>
        <w:t xml:space="preserve"> progress in meeting the renewable portfolio standard (RPS) targets established in RCW 19.2</w:t>
      </w:r>
      <w:r>
        <w:rPr>
          <w:rFonts w:ascii="Times New Roman" w:hAnsi="Times New Roman"/>
        </w:rPr>
        <w:t>85.040.</w:t>
      </w:r>
      <w:r w:rsidR="00EE4297">
        <w:rPr>
          <w:rFonts w:ascii="Times New Roman" w:hAnsi="Times New Roman"/>
        </w:rPr>
        <w:t xml:space="preserve"> On July 22, 2013, PSE filed an amended RPS report at the request of staff.</w:t>
      </w:r>
      <w:r>
        <w:rPr>
          <w:rFonts w:ascii="Times New Roman" w:hAnsi="Times New Roman"/>
        </w:rPr>
        <w:t xml:space="preserve"> </w:t>
      </w:r>
    </w:p>
    <w:p w14:paraId="177DDEE4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E5" w14:textId="7D3B9BCE" w:rsidR="00F5102E" w:rsidRPr="00C818F9" w:rsidRDefault="00F5102E" w:rsidP="00F5102E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On June 7, 2013, the </w:t>
      </w:r>
      <w:r w:rsidR="00553F53">
        <w:rPr>
          <w:rFonts w:ascii="Times New Roman" w:hAnsi="Times New Roman"/>
        </w:rPr>
        <w:t>Washington Utilities and Transportation Commission (</w:t>
      </w:r>
      <w:r w:rsidR="00F03501">
        <w:rPr>
          <w:rFonts w:ascii="Times New Roman" w:hAnsi="Times New Roman"/>
        </w:rPr>
        <w:t>c</w:t>
      </w:r>
      <w:r w:rsidRPr="00C818F9">
        <w:rPr>
          <w:rFonts w:ascii="Times New Roman" w:hAnsi="Times New Roman"/>
        </w:rPr>
        <w:t>ommission</w:t>
      </w:r>
      <w:r w:rsidR="00553F53">
        <w:rPr>
          <w:rFonts w:ascii="Times New Roman" w:hAnsi="Times New Roman"/>
        </w:rPr>
        <w:t>)</w:t>
      </w:r>
      <w:r w:rsidRPr="00C818F9">
        <w:rPr>
          <w:rFonts w:ascii="Times New Roman" w:hAnsi="Times New Roman"/>
        </w:rPr>
        <w:t xml:space="preserve"> issued a Notice </w:t>
      </w:r>
      <w:r w:rsidR="00553F53">
        <w:rPr>
          <w:rFonts w:ascii="Times New Roman" w:hAnsi="Times New Roman"/>
        </w:rPr>
        <w:t xml:space="preserve">of Opportunity </w:t>
      </w:r>
      <w:r w:rsidRPr="00C818F9">
        <w:rPr>
          <w:rFonts w:ascii="Times New Roman" w:hAnsi="Times New Roman"/>
        </w:rPr>
        <w:t xml:space="preserve">to File Written Comments pursuant to RCW 19.285.040 and WAC 480-109-040. On July 1, 2013, interested parties, including staff, filed comments on </w:t>
      </w:r>
      <w:r w:rsidR="00421D6E">
        <w:rPr>
          <w:rFonts w:ascii="Times New Roman" w:hAnsi="Times New Roman"/>
        </w:rPr>
        <w:t>PSE’s</w:t>
      </w:r>
      <w:r w:rsidRPr="00C818F9">
        <w:rPr>
          <w:rFonts w:ascii="Times New Roman" w:hAnsi="Times New Roman"/>
        </w:rPr>
        <w:t xml:space="preserve"> RPS report </w:t>
      </w:r>
      <w:r w:rsidR="00421D6E">
        <w:rPr>
          <w:rFonts w:ascii="Times New Roman" w:hAnsi="Times New Roman"/>
        </w:rPr>
        <w:t>in Docket</w:t>
      </w:r>
      <w:r w:rsidRPr="00C818F9">
        <w:rPr>
          <w:rFonts w:ascii="Times New Roman" w:hAnsi="Times New Roman"/>
        </w:rPr>
        <w:t xml:space="preserve"> UE</w:t>
      </w:r>
      <w:r w:rsidR="00421D6E">
        <w:rPr>
          <w:rFonts w:ascii="Times New Roman" w:hAnsi="Times New Roman"/>
        </w:rPr>
        <w:t>-131072</w:t>
      </w:r>
      <w:r w:rsidRPr="00C818F9">
        <w:rPr>
          <w:rFonts w:ascii="Times New Roman" w:hAnsi="Times New Roman"/>
        </w:rPr>
        <w:t xml:space="preserve">. </w:t>
      </w:r>
    </w:p>
    <w:p w14:paraId="177DDEE6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E7" w14:textId="2E0E902E" w:rsidR="00F5102E" w:rsidRDefault="00553F53" w:rsidP="00F510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memo </w:t>
      </w:r>
      <w:r w:rsidR="00F5102E" w:rsidRPr="00C818F9">
        <w:rPr>
          <w:rFonts w:ascii="Times New Roman" w:hAnsi="Times New Roman"/>
        </w:rPr>
        <w:t>summarize</w:t>
      </w:r>
      <w:r>
        <w:rPr>
          <w:rFonts w:ascii="Times New Roman" w:hAnsi="Times New Roman"/>
        </w:rPr>
        <w:t>s</w:t>
      </w:r>
      <w:r w:rsidR="00F5102E" w:rsidRPr="00C818F9">
        <w:rPr>
          <w:rFonts w:ascii="Times New Roman" w:hAnsi="Times New Roman"/>
        </w:rPr>
        <w:t xml:space="preserve"> the comments provided by third parties and identif</w:t>
      </w:r>
      <w:r>
        <w:rPr>
          <w:rFonts w:ascii="Times New Roman" w:hAnsi="Times New Roman"/>
        </w:rPr>
        <w:t>ies</w:t>
      </w:r>
      <w:r w:rsidR="00F5102E" w:rsidRPr="00C818F9">
        <w:rPr>
          <w:rFonts w:ascii="Times New Roman" w:hAnsi="Times New Roman"/>
        </w:rPr>
        <w:t xml:space="preserve"> issues likely requiring further discussion at the July 26, 2013, Open Meeting. Staff also provides a recommendation for language to be included in Order 01 of </w:t>
      </w:r>
      <w:r w:rsidR="00421D6E">
        <w:rPr>
          <w:rFonts w:ascii="Times New Roman" w:hAnsi="Times New Roman"/>
        </w:rPr>
        <w:t>this</w:t>
      </w:r>
      <w:r w:rsidR="00F5102E" w:rsidRPr="00C818F9">
        <w:rPr>
          <w:rFonts w:ascii="Times New Roman" w:hAnsi="Times New Roman"/>
        </w:rPr>
        <w:t xml:space="preserve"> docket. </w:t>
      </w:r>
    </w:p>
    <w:p w14:paraId="177DDEE8" w14:textId="77777777" w:rsidR="00E63730" w:rsidRPr="00C818F9" w:rsidRDefault="00E63730" w:rsidP="00F5102E">
      <w:pPr>
        <w:rPr>
          <w:rFonts w:ascii="Times New Roman" w:hAnsi="Times New Roman"/>
        </w:rPr>
      </w:pPr>
    </w:p>
    <w:p w14:paraId="177DDEE9" w14:textId="77777777" w:rsidR="00F5102E" w:rsidRPr="00C818F9" w:rsidRDefault="00F5102E" w:rsidP="00F5102E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t>Discussion</w:t>
      </w:r>
    </w:p>
    <w:p w14:paraId="177DDEEA" w14:textId="77777777" w:rsidR="00F5102E" w:rsidRPr="00C818F9" w:rsidRDefault="00F5102E" w:rsidP="00F5102E">
      <w:pPr>
        <w:rPr>
          <w:rFonts w:ascii="Times New Roman" w:hAnsi="Times New Roman"/>
        </w:rPr>
      </w:pPr>
    </w:p>
    <w:p w14:paraId="7F61C9C9" w14:textId="2FD79C9F" w:rsidR="00D30E09" w:rsidRDefault="00F75E5C" w:rsidP="00F75E5C">
      <w:pPr>
        <w:rPr>
          <w:rFonts w:ascii="Times New Roman" w:hAnsi="Times New Roman"/>
        </w:rPr>
      </w:pPr>
      <w:r>
        <w:rPr>
          <w:rFonts w:ascii="Times New Roman" w:hAnsi="Times New Roman"/>
        </w:rPr>
        <w:t>Although PSE</w:t>
      </w:r>
      <w:r w:rsidRPr="00C818F9">
        <w:rPr>
          <w:rFonts w:ascii="Times New Roman" w:hAnsi="Times New Roman"/>
        </w:rPr>
        <w:t xml:space="preserve"> filed </w:t>
      </w:r>
      <w:r>
        <w:rPr>
          <w:rFonts w:ascii="Times New Roman" w:hAnsi="Times New Roman"/>
        </w:rPr>
        <w:t>its</w:t>
      </w:r>
      <w:r w:rsidRPr="00C818F9">
        <w:rPr>
          <w:rFonts w:ascii="Times New Roman" w:hAnsi="Times New Roman"/>
        </w:rPr>
        <w:t xml:space="preserve"> 2013 </w:t>
      </w:r>
      <w:r>
        <w:rPr>
          <w:rFonts w:ascii="Times New Roman" w:hAnsi="Times New Roman"/>
        </w:rPr>
        <w:t>RPS report</w:t>
      </w:r>
      <w:r w:rsidRPr="00C818F9">
        <w:rPr>
          <w:rFonts w:ascii="Times New Roman" w:hAnsi="Times New Roman"/>
        </w:rPr>
        <w:t xml:space="preserve"> in a timely manner</w:t>
      </w:r>
      <w:r>
        <w:rPr>
          <w:rFonts w:ascii="Times New Roman" w:hAnsi="Times New Roman"/>
        </w:rPr>
        <w:t xml:space="preserve">, the </w:t>
      </w:r>
      <w:r w:rsidR="00595EB1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ompany’s </w:t>
      </w:r>
      <w:r w:rsidR="00D671A5">
        <w:rPr>
          <w:rFonts w:ascii="Times New Roman" w:hAnsi="Times New Roman"/>
        </w:rPr>
        <w:t xml:space="preserve">initial </w:t>
      </w:r>
      <w:r>
        <w:rPr>
          <w:rFonts w:ascii="Times New Roman" w:hAnsi="Times New Roman"/>
        </w:rPr>
        <w:t>report lacked inf</w:t>
      </w:r>
      <w:r w:rsidR="000664C1">
        <w:rPr>
          <w:rFonts w:ascii="Times New Roman" w:hAnsi="Times New Roman"/>
        </w:rPr>
        <w:t>ormation about its</w:t>
      </w:r>
      <w:r>
        <w:rPr>
          <w:rFonts w:ascii="Times New Roman" w:hAnsi="Times New Roman"/>
        </w:rPr>
        <w:t xml:space="preserve"> hydro purchases from Grant County PUD and the methodology used to </w:t>
      </w:r>
      <w:r>
        <w:rPr>
          <w:rFonts w:ascii="Times New Roman" w:hAnsi="Times New Roman"/>
        </w:rPr>
        <w:lastRenderedPageBreak/>
        <w:t>calculate the incremental output of PSE’s ne</w:t>
      </w:r>
      <w:r w:rsidR="000664C1">
        <w:rPr>
          <w:rFonts w:ascii="Times New Roman" w:hAnsi="Times New Roman"/>
        </w:rPr>
        <w:t>wly upgraded</w:t>
      </w:r>
      <w:r>
        <w:rPr>
          <w:rFonts w:ascii="Times New Roman" w:hAnsi="Times New Roman"/>
        </w:rPr>
        <w:t xml:space="preserve"> Snoqualmie Falls and Lower Baker</w:t>
      </w:r>
      <w:r w:rsidR="000664C1">
        <w:rPr>
          <w:rFonts w:ascii="Times New Roman" w:hAnsi="Times New Roman"/>
        </w:rPr>
        <w:t xml:space="preserve"> River facilities</w:t>
      </w:r>
      <w:r w:rsidRPr="00C818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30E09">
        <w:rPr>
          <w:rFonts w:ascii="Times New Roman" w:hAnsi="Times New Roman"/>
        </w:rPr>
        <w:t xml:space="preserve">At </w:t>
      </w:r>
      <w:r w:rsidR="00A24E94">
        <w:rPr>
          <w:rFonts w:ascii="Times New Roman" w:hAnsi="Times New Roman"/>
        </w:rPr>
        <w:t>s</w:t>
      </w:r>
      <w:r w:rsidR="00D30E09">
        <w:rPr>
          <w:rFonts w:ascii="Times New Roman" w:hAnsi="Times New Roman"/>
        </w:rPr>
        <w:t>taff’s request, PSE filed an amended report on July 22, 2013. Staff is satisfied that the amended report provided all of the requested information and meets</w:t>
      </w:r>
      <w:r w:rsidR="00EE4297">
        <w:rPr>
          <w:rFonts w:ascii="Times New Roman" w:hAnsi="Times New Roman"/>
        </w:rPr>
        <w:t xml:space="preserve"> </w:t>
      </w:r>
      <w:r w:rsidR="00D30E09">
        <w:rPr>
          <w:rFonts w:ascii="Times New Roman" w:hAnsi="Times New Roman"/>
        </w:rPr>
        <w:t>reporting requirements.</w:t>
      </w:r>
    </w:p>
    <w:p w14:paraId="0AFBA21A" w14:textId="77777777" w:rsidR="00D30E09" w:rsidRDefault="00D30E09" w:rsidP="00F75E5C">
      <w:pPr>
        <w:rPr>
          <w:rFonts w:ascii="Times New Roman" w:hAnsi="Times New Roman"/>
        </w:rPr>
      </w:pPr>
    </w:p>
    <w:p w14:paraId="177DDEEB" w14:textId="2280DDA6" w:rsidR="00F75E5C" w:rsidRPr="00C818F9" w:rsidRDefault="002B3B4A" w:rsidP="00F75E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has not yet fully evaluated the supporting materials provided with PSE’s amended report, and is unable to make a recommendation concerning PSE’s use of Method 3 for </w:t>
      </w:r>
      <w:r w:rsidR="00D30E09">
        <w:rPr>
          <w:rFonts w:ascii="Times New Roman" w:hAnsi="Times New Roman"/>
        </w:rPr>
        <w:t>determining the incremental hydro output of its upgraded facilities at Snoqualmie Falls and Lower Baker</w:t>
      </w:r>
      <w:r w:rsidR="00BC38E5">
        <w:rPr>
          <w:rFonts w:ascii="Times New Roman" w:hAnsi="Times New Roman"/>
        </w:rPr>
        <w:t xml:space="preserve"> River</w:t>
      </w:r>
      <w:r w:rsidR="00D30E09">
        <w:rPr>
          <w:rFonts w:ascii="Times New Roman" w:hAnsi="Times New Roman"/>
        </w:rPr>
        <w:t xml:space="preserve">. </w:t>
      </w:r>
      <w:r w:rsidR="00C34259">
        <w:rPr>
          <w:rFonts w:ascii="Times New Roman" w:hAnsi="Times New Roman"/>
        </w:rPr>
        <w:t>Staff</w:t>
      </w:r>
      <w:r>
        <w:rPr>
          <w:rFonts w:ascii="Times New Roman" w:hAnsi="Times New Roman"/>
        </w:rPr>
        <w:t xml:space="preserve"> is </w:t>
      </w:r>
      <w:r w:rsidR="00C34259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unable to accept the </w:t>
      </w:r>
      <w:r w:rsidR="00BC38E5">
        <w:rPr>
          <w:rFonts w:ascii="Times New Roman" w:hAnsi="Times New Roman"/>
        </w:rPr>
        <w:t xml:space="preserve">2013 generation </w:t>
      </w:r>
      <w:r>
        <w:rPr>
          <w:rFonts w:ascii="Times New Roman" w:hAnsi="Times New Roman"/>
        </w:rPr>
        <w:t xml:space="preserve">numbers PSE has derived using </w:t>
      </w:r>
      <w:r w:rsidR="00C34259">
        <w:rPr>
          <w:rFonts w:ascii="Times New Roman" w:hAnsi="Times New Roman"/>
        </w:rPr>
        <w:t>Method 3</w:t>
      </w:r>
      <w:r>
        <w:rPr>
          <w:rFonts w:ascii="Times New Roman" w:hAnsi="Times New Roman"/>
        </w:rPr>
        <w:t xml:space="preserve"> because </w:t>
      </w:r>
      <w:r w:rsidR="00C34259">
        <w:rPr>
          <w:rFonts w:ascii="Times New Roman" w:hAnsi="Times New Roman"/>
        </w:rPr>
        <w:t xml:space="preserve">it is not yet known how long </w:t>
      </w:r>
      <w:r>
        <w:rPr>
          <w:rFonts w:ascii="Times New Roman" w:hAnsi="Times New Roman"/>
        </w:rPr>
        <w:t xml:space="preserve">the two facilities </w:t>
      </w:r>
      <w:r w:rsidR="00C34259">
        <w:rPr>
          <w:rFonts w:ascii="Times New Roman" w:hAnsi="Times New Roman"/>
        </w:rPr>
        <w:t>will be operational in 2013</w:t>
      </w:r>
      <w:r>
        <w:rPr>
          <w:rFonts w:ascii="Times New Roman" w:hAnsi="Times New Roman"/>
        </w:rPr>
        <w:t>.</w:t>
      </w:r>
      <w:r w:rsidR="00C34259" w:rsidRPr="00C34259">
        <w:rPr>
          <w:rFonts w:ascii="Times New Roman" w:hAnsi="Times New Roman"/>
        </w:rPr>
        <w:t xml:space="preserve"> </w:t>
      </w:r>
      <w:r w:rsidR="00C34259">
        <w:rPr>
          <w:rFonts w:ascii="Times New Roman" w:hAnsi="Times New Roman"/>
        </w:rPr>
        <w:t>While staff does not object to PSE’s use of Method 3 at this time,</w:t>
      </w:r>
      <w:r w:rsidR="00C34259">
        <w:rPr>
          <w:rStyle w:val="FootnoteReference"/>
          <w:rFonts w:ascii="Times New Roman" w:hAnsi="Times New Roman"/>
        </w:rPr>
        <w:footnoteReference w:id="1"/>
      </w:r>
      <w:r w:rsidR="00C34259">
        <w:rPr>
          <w:rFonts w:ascii="Times New Roman" w:hAnsi="Times New Roman"/>
        </w:rPr>
        <w:t xml:space="preserve"> it respectfully requests </w:t>
      </w:r>
      <w:r w:rsidR="00F62502">
        <w:rPr>
          <w:rFonts w:ascii="Times New Roman" w:hAnsi="Times New Roman"/>
        </w:rPr>
        <w:t xml:space="preserve">the commission delay its finding on </w:t>
      </w:r>
      <w:r w:rsidR="00BC38E5">
        <w:rPr>
          <w:rFonts w:ascii="Times New Roman" w:hAnsi="Times New Roman"/>
        </w:rPr>
        <w:t>PSE’s overall methodology</w:t>
      </w:r>
      <w:r w:rsidR="00F62502">
        <w:rPr>
          <w:rFonts w:ascii="Times New Roman" w:hAnsi="Times New Roman"/>
        </w:rPr>
        <w:t xml:space="preserve"> until</w:t>
      </w:r>
      <w:r w:rsidR="00C34259">
        <w:rPr>
          <w:rFonts w:ascii="Times New Roman" w:hAnsi="Times New Roman"/>
        </w:rPr>
        <w:t xml:space="preserve"> </w:t>
      </w:r>
      <w:r w:rsidR="00F62502">
        <w:rPr>
          <w:rFonts w:ascii="Times New Roman" w:hAnsi="Times New Roman"/>
        </w:rPr>
        <w:t>staff completes its evaluation and</w:t>
      </w:r>
      <w:r w:rsidR="00C34259">
        <w:rPr>
          <w:rFonts w:ascii="Times New Roman" w:hAnsi="Times New Roman"/>
        </w:rPr>
        <w:t xml:space="preserve"> determine</w:t>
      </w:r>
      <w:r w:rsidR="00F62502">
        <w:rPr>
          <w:rFonts w:ascii="Times New Roman" w:hAnsi="Times New Roman"/>
        </w:rPr>
        <w:t>s</w:t>
      </w:r>
      <w:r w:rsidR="00C34259">
        <w:rPr>
          <w:rFonts w:ascii="Times New Roman" w:hAnsi="Times New Roman"/>
        </w:rPr>
        <w:t xml:space="preserve"> whether any modifications or additional checks are necessary</w:t>
      </w:r>
      <w:r w:rsidR="00F62502">
        <w:rPr>
          <w:rFonts w:ascii="Times New Roman" w:hAnsi="Times New Roman"/>
        </w:rPr>
        <w:t>, and until PSE provides confirmation that the facilities are in service</w:t>
      </w:r>
      <w:r w:rsidR="00C34259">
        <w:rPr>
          <w:rFonts w:ascii="Times New Roman" w:hAnsi="Times New Roman"/>
        </w:rPr>
        <w:t>.</w:t>
      </w:r>
    </w:p>
    <w:p w14:paraId="5DC74D5E" w14:textId="77777777" w:rsidR="00F03501" w:rsidRDefault="00F03501" w:rsidP="00F5102E">
      <w:pPr>
        <w:rPr>
          <w:rFonts w:ascii="Times New Roman" w:hAnsi="Times New Roman"/>
          <w:b/>
        </w:rPr>
      </w:pPr>
    </w:p>
    <w:p w14:paraId="177DDEED" w14:textId="77777777" w:rsidR="00F5102E" w:rsidRPr="00C818F9" w:rsidRDefault="00421D6E" w:rsidP="00F5102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Area of </w:t>
      </w:r>
      <w:r w:rsidR="00F5102E" w:rsidRPr="00C818F9">
        <w:rPr>
          <w:rFonts w:ascii="Times New Roman" w:hAnsi="Times New Roman"/>
          <w:b/>
        </w:rPr>
        <w:t>Agreement in Comments</w:t>
      </w:r>
    </w:p>
    <w:p w14:paraId="177DDEEE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EF" w14:textId="44C3FE33" w:rsidR="00E63730" w:rsidRPr="00C818F9" w:rsidRDefault="00E63730" w:rsidP="00E63730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The joint comments of Renewable Northwest Project and NW Energy Coalition </w:t>
      </w:r>
      <w:r>
        <w:rPr>
          <w:rFonts w:ascii="Times New Roman" w:hAnsi="Times New Roman"/>
        </w:rPr>
        <w:t xml:space="preserve">(hereafter “joint comments”) </w:t>
      </w:r>
      <w:r w:rsidRPr="00C818F9">
        <w:rPr>
          <w:rFonts w:ascii="Times New Roman" w:hAnsi="Times New Roman"/>
        </w:rPr>
        <w:t xml:space="preserve">substantively agreed with </w:t>
      </w:r>
      <w:r w:rsidR="00A24E94">
        <w:rPr>
          <w:rFonts w:ascii="Times New Roman" w:hAnsi="Times New Roman"/>
        </w:rPr>
        <w:t>s</w:t>
      </w:r>
      <w:r w:rsidR="00A24E94" w:rsidRPr="00C818F9">
        <w:rPr>
          <w:rFonts w:ascii="Times New Roman" w:hAnsi="Times New Roman"/>
        </w:rPr>
        <w:t xml:space="preserve">taff </w:t>
      </w:r>
      <w:r w:rsidRPr="00C818F9">
        <w:rPr>
          <w:rFonts w:ascii="Times New Roman" w:hAnsi="Times New Roman"/>
        </w:rPr>
        <w:t>on the following points:</w:t>
      </w:r>
    </w:p>
    <w:p w14:paraId="177DDEF0" w14:textId="77777777" w:rsidR="00E63730" w:rsidRPr="00C818F9" w:rsidRDefault="00E63730" w:rsidP="00E63730">
      <w:pPr>
        <w:rPr>
          <w:rFonts w:ascii="Times New Roman" w:hAnsi="Times New Roman"/>
        </w:rPr>
      </w:pPr>
    </w:p>
    <w:p w14:paraId="177DDEF1" w14:textId="77777777" w:rsidR="00E63730" w:rsidRDefault="00E63730" w:rsidP="00E6373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PSE submitted sufficient information to demonstrate it met the January 1, 2013, acquisition requirements.</w:t>
      </w:r>
    </w:p>
    <w:p w14:paraId="177DDEF3" w14:textId="7FBE09C0" w:rsidR="00E63730" w:rsidRPr="00E63730" w:rsidRDefault="00E63730" w:rsidP="00E63730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 2012 RPS compliance requests and determinations should take place in the 2012 dockets, in PSE’s case </w:t>
      </w:r>
      <w:r w:rsidR="00553F53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>UE-120802.</w:t>
      </w:r>
    </w:p>
    <w:p w14:paraId="177DDEF4" w14:textId="2F29173A" w:rsidR="00F5102E" w:rsidRPr="00E63730" w:rsidRDefault="00E63730" w:rsidP="00F5102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is a lack of cons</w:t>
      </w:r>
      <w:r w:rsidRPr="00C818F9">
        <w:rPr>
          <w:rFonts w:ascii="Times New Roman" w:hAnsi="Times New Roman"/>
        </w:rPr>
        <w:t xml:space="preserve">istency in the incremental cost calculations employed by </w:t>
      </w:r>
      <w:r w:rsidR="00B94186">
        <w:rPr>
          <w:rFonts w:ascii="Times New Roman" w:hAnsi="Times New Roman"/>
        </w:rPr>
        <w:t xml:space="preserve">PSE </w:t>
      </w:r>
      <w:r>
        <w:rPr>
          <w:rFonts w:ascii="Times New Roman" w:hAnsi="Times New Roman"/>
        </w:rPr>
        <w:t>and the other two</w:t>
      </w:r>
      <w:r w:rsidRPr="00C818F9">
        <w:rPr>
          <w:rFonts w:ascii="Times New Roman" w:hAnsi="Times New Roman"/>
        </w:rPr>
        <w:t xml:space="preserve"> regulated utilities, and </w:t>
      </w:r>
      <w:r w:rsidR="00F03501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>taff should work with stakeholders to develop a uniform method of calculating this cost to be used in the 2014 reports</w:t>
      </w:r>
      <w:r>
        <w:rPr>
          <w:rFonts w:ascii="Times New Roman" w:hAnsi="Times New Roman"/>
        </w:rPr>
        <w:t xml:space="preserve"> as described in Attachment A</w:t>
      </w:r>
      <w:r w:rsidRPr="00C818F9">
        <w:rPr>
          <w:rFonts w:ascii="Times New Roman" w:hAnsi="Times New Roman"/>
        </w:rPr>
        <w:t>.</w:t>
      </w:r>
    </w:p>
    <w:p w14:paraId="177DDEF5" w14:textId="77777777" w:rsidR="00421D6E" w:rsidRDefault="00421D6E" w:rsidP="00F5102E">
      <w:pPr>
        <w:rPr>
          <w:rFonts w:ascii="Times New Roman" w:hAnsi="Times New Roman"/>
          <w:b/>
        </w:rPr>
      </w:pPr>
    </w:p>
    <w:p w14:paraId="177DDEF6" w14:textId="77777777" w:rsidR="00421D6E" w:rsidRDefault="00421D6E" w:rsidP="00F5102E">
      <w:pPr>
        <w:rPr>
          <w:rFonts w:ascii="Times New Roman" w:hAnsi="Times New Roman"/>
          <w:b/>
        </w:rPr>
      </w:pPr>
    </w:p>
    <w:p w14:paraId="177DDEF7" w14:textId="77777777" w:rsidR="00F5102E" w:rsidRPr="00C818F9" w:rsidRDefault="00F5102E" w:rsidP="00F5102E">
      <w:pPr>
        <w:rPr>
          <w:rFonts w:ascii="Times New Roman" w:hAnsi="Times New Roman"/>
          <w:b/>
        </w:rPr>
      </w:pPr>
      <w:r w:rsidRPr="00C818F9">
        <w:rPr>
          <w:rFonts w:ascii="Times New Roman" w:hAnsi="Times New Roman"/>
          <w:b/>
        </w:rPr>
        <w:t>Incremental Hydro Generation from PUDs</w:t>
      </w:r>
    </w:p>
    <w:p w14:paraId="177DDEF8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F9" w14:textId="4A4885F1" w:rsidR="00E63730" w:rsidRPr="00C818F9" w:rsidRDefault="00E63730" w:rsidP="00E63730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The joint comments argue that </w:t>
      </w:r>
      <w:r>
        <w:rPr>
          <w:rFonts w:ascii="Times New Roman" w:hAnsi="Times New Roman"/>
        </w:rPr>
        <w:t>PSE</w:t>
      </w:r>
      <w:r w:rsidRPr="00C818F9">
        <w:rPr>
          <w:rFonts w:ascii="Times New Roman" w:hAnsi="Times New Roman"/>
        </w:rPr>
        <w:t xml:space="preserve"> should not be able to claim incremental hydro generation purchased from a public utility district (PUD) until the PUD adopts </w:t>
      </w:r>
      <w:r>
        <w:rPr>
          <w:rFonts w:ascii="Times New Roman" w:hAnsi="Times New Roman"/>
        </w:rPr>
        <w:t xml:space="preserve">a methodology that is as </w:t>
      </w:r>
      <w:r>
        <w:rPr>
          <w:rFonts w:ascii="Times New Roman" w:hAnsi="Times New Roman"/>
        </w:rPr>
        <w:lastRenderedPageBreak/>
        <w:t>reliable and as accurate as the methodologies used by</w:t>
      </w:r>
      <w:r w:rsidR="00595EB1">
        <w:rPr>
          <w:rFonts w:ascii="Times New Roman" w:hAnsi="Times New Roman"/>
        </w:rPr>
        <w:t xml:space="preserve"> the investor-owned utilities. </w:t>
      </w:r>
      <w:r>
        <w:rPr>
          <w:rFonts w:ascii="Times New Roman" w:hAnsi="Times New Roman"/>
        </w:rPr>
        <w:t xml:space="preserve">Staff shares this general concern and has been working with the Washington State Auditor’s </w:t>
      </w:r>
      <w:r w:rsidR="00A24E94">
        <w:rPr>
          <w:rFonts w:ascii="Times New Roman" w:hAnsi="Times New Roman"/>
        </w:rPr>
        <w:t xml:space="preserve">Office </w:t>
      </w:r>
      <w:r>
        <w:rPr>
          <w:rFonts w:ascii="Times New Roman" w:hAnsi="Times New Roman"/>
        </w:rPr>
        <w:t xml:space="preserve">to resolve any lingering concerns it has with Grant County PUD’s methodology. </w:t>
      </w:r>
      <w:r w:rsidRPr="00C818F9">
        <w:rPr>
          <w:rFonts w:ascii="Times New Roman" w:hAnsi="Times New Roman"/>
        </w:rPr>
        <w:t xml:space="preserve">The State Auditor’s Office </w:t>
      </w:r>
      <w:r>
        <w:rPr>
          <w:rFonts w:ascii="Times New Roman" w:hAnsi="Times New Roman"/>
        </w:rPr>
        <w:t>has undertaken an evaluation of Grant County PUD’s</w:t>
      </w:r>
      <w:r w:rsidRPr="00C818F9">
        <w:rPr>
          <w:rFonts w:ascii="Times New Roman" w:hAnsi="Times New Roman"/>
        </w:rPr>
        <w:t xml:space="preserve"> methodology, and </w:t>
      </w:r>
      <w:r w:rsidR="00F03501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>taff recommends that no utility be granted a final finding of RPS compliance for 2012</w:t>
      </w:r>
      <w:r>
        <w:rPr>
          <w:rFonts w:ascii="Times New Roman" w:hAnsi="Times New Roman"/>
        </w:rPr>
        <w:t xml:space="preserve"> or 2013</w:t>
      </w:r>
      <w:r w:rsidRPr="00C818F9">
        <w:rPr>
          <w:rFonts w:ascii="Times New Roman" w:hAnsi="Times New Roman"/>
        </w:rPr>
        <w:t xml:space="preserve"> until the </w:t>
      </w:r>
      <w:r w:rsidR="00A24E94">
        <w:rPr>
          <w:rFonts w:ascii="Times New Roman" w:hAnsi="Times New Roman"/>
        </w:rPr>
        <w:t xml:space="preserve">State </w:t>
      </w:r>
      <w:r w:rsidRPr="00C818F9">
        <w:rPr>
          <w:rFonts w:ascii="Times New Roman" w:hAnsi="Times New Roman"/>
        </w:rPr>
        <w:t>Auditor</w:t>
      </w:r>
      <w:r>
        <w:rPr>
          <w:rFonts w:ascii="Times New Roman" w:hAnsi="Times New Roman"/>
        </w:rPr>
        <w:t xml:space="preserve">’s </w:t>
      </w:r>
      <w:r w:rsidR="00A24E94">
        <w:rPr>
          <w:rFonts w:ascii="Times New Roman" w:hAnsi="Times New Roman"/>
        </w:rPr>
        <w:t>Office</w:t>
      </w:r>
      <w:r w:rsidR="00A24E94" w:rsidRPr="00C818F9">
        <w:rPr>
          <w:rFonts w:ascii="Times New Roman" w:hAnsi="Times New Roman"/>
        </w:rPr>
        <w:t xml:space="preserve"> </w:t>
      </w:r>
      <w:r w:rsidRPr="00C818F9">
        <w:rPr>
          <w:rFonts w:ascii="Times New Roman" w:hAnsi="Times New Roman"/>
        </w:rPr>
        <w:t xml:space="preserve">has made </w:t>
      </w:r>
      <w:r>
        <w:rPr>
          <w:rFonts w:ascii="Times New Roman" w:hAnsi="Times New Roman"/>
        </w:rPr>
        <w:t xml:space="preserve">a ruling and </w:t>
      </w:r>
      <w:r w:rsidRPr="00C818F9">
        <w:rPr>
          <w:rFonts w:ascii="Times New Roman" w:hAnsi="Times New Roman"/>
        </w:rPr>
        <w:t xml:space="preserve">incremental generation figures </w:t>
      </w:r>
      <w:r>
        <w:rPr>
          <w:rFonts w:ascii="Times New Roman" w:hAnsi="Times New Roman"/>
        </w:rPr>
        <w:t xml:space="preserve">for the Wanapum facility </w:t>
      </w:r>
      <w:r w:rsidRPr="00C818F9">
        <w:rPr>
          <w:rFonts w:ascii="Times New Roman" w:hAnsi="Times New Roman"/>
        </w:rPr>
        <w:t>are finalized.</w:t>
      </w:r>
      <w:r w:rsidRPr="00BB70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Discussion about the treatment of incremental hydro generation from Chelan County PUD is found in Attachment A.</w:t>
      </w:r>
    </w:p>
    <w:p w14:paraId="177DDEFA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FB" w14:textId="77777777" w:rsidR="00F5102E" w:rsidRDefault="006F2074" w:rsidP="00F510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Compliance Evaluation</w:t>
      </w:r>
    </w:p>
    <w:p w14:paraId="177DDEFC" w14:textId="77777777" w:rsidR="006F2074" w:rsidRDefault="006F2074" w:rsidP="00F5102E">
      <w:pPr>
        <w:rPr>
          <w:rFonts w:ascii="Times New Roman" w:hAnsi="Times New Roman"/>
          <w:b/>
        </w:rPr>
      </w:pPr>
    </w:p>
    <w:p w14:paraId="177DDEFD" w14:textId="77777777" w:rsidR="006F2074" w:rsidRPr="006F2074" w:rsidRDefault="006F2074" w:rsidP="00F5102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Annual Reporting Requirements</w:t>
      </w:r>
    </w:p>
    <w:p w14:paraId="177DDEFE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EFF" w14:textId="79F3C4C9" w:rsidR="00F5102E" w:rsidRPr="00C818F9" w:rsidRDefault="00F5102E" w:rsidP="00F5102E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In the order</w:t>
      </w:r>
      <w:r w:rsidR="006F2074">
        <w:rPr>
          <w:rFonts w:ascii="Times New Roman" w:hAnsi="Times New Roman"/>
        </w:rPr>
        <w:t>s associated with the</w:t>
      </w:r>
      <w:r w:rsidRPr="00C818F9">
        <w:rPr>
          <w:rFonts w:ascii="Times New Roman" w:hAnsi="Times New Roman"/>
        </w:rPr>
        <w:t xml:space="preserve"> 2012 RPS filings, the </w:t>
      </w:r>
      <w:r w:rsidR="00F03501">
        <w:rPr>
          <w:rFonts w:ascii="Times New Roman" w:hAnsi="Times New Roman"/>
        </w:rPr>
        <w:t>c</w:t>
      </w:r>
      <w:r w:rsidRPr="00C818F9">
        <w:rPr>
          <w:rFonts w:ascii="Times New Roman" w:hAnsi="Times New Roman"/>
        </w:rPr>
        <w:t xml:space="preserve">ommission agreed with </w:t>
      </w:r>
      <w:r w:rsidR="00F03501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>taff and NWEC/RNP that a two-step process is appropriate for evaluating compliance.</w:t>
      </w:r>
      <w:r w:rsidRPr="00C818F9">
        <w:rPr>
          <w:rStyle w:val="FootnoteReference"/>
          <w:rFonts w:ascii="Times New Roman" w:eastAsiaTheme="majorEastAsia" w:hAnsi="Times New Roman"/>
        </w:rPr>
        <w:t xml:space="preserve"> </w:t>
      </w:r>
      <w:r w:rsidRPr="00C818F9">
        <w:rPr>
          <w:rFonts w:ascii="Times New Roman" w:hAnsi="Times New Roman"/>
        </w:rPr>
        <w:t xml:space="preserve"> To comply with the two-step process a utility will 1) provide its plan for meeting its obligation for the target year, which shall include demonstration that it had in hand, as of January 1 of the target year, rights to eligible renewable resources or RECs that are likely to produce the required output for the year; and 2) file for final compliance no later than June 1 of the second year after the target year, describing the eligible resources and RECs the utility actually used for compliance during the target year. </w:t>
      </w:r>
    </w:p>
    <w:p w14:paraId="177DDF00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F01" w14:textId="77777777" w:rsidR="00F5102E" w:rsidRPr="00C818F9" w:rsidRDefault="00F5102E" w:rsidP="00F5102E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In each of their respective 2013 comments, both commission staff and NWEC/RNP argue that a third step is required per commission rule. Both cite WAC 480-109-040(1)(d) which states:</w:t>
      </w:r>
    </w:p>
    <w:p w14:paraId="177DDF02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F03" w14:textId="75EF0F29" w:rsidR="00F5102E" w:rsidRPr="00C818F9" w:rsidRDefault="00F5102E" w:rsidP="00F5102E">
      <w:pPr>
        <w:ind w:left="720"/>
        <w:rPr>
          <w:rFonts w:ascii="Times New Roman" w:hAnsi="Times New Roman"/>
        </w:rPr>
      </w:pPr>
      <w:r w:rsidRPr="00C818F9">
        <w:rPr>
          <w:rFonts w:ascii="Times New Roman" w:hAnsi="Times New Roman"/>
        </w:rPr>
        <w:t>The report must describe the steps the utility is taking to meet the renewable resource requirements for the current year.</w:t>
      </w:r>
    </w:p>
    <w:p w14:paraId="177DDF04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F05" w14:textId="77777777" w:rsidR="00F5102E" w:rsidRPr="00C818F9" w:rsidRDefault="00F5102E" w:rsidP="00F5102E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Commission staff argues that this language requires each company to report its plan for meeting its RPS obligation for the </w:t>
      </w:r>
      <w:r w:rsidRPr="00C818F9">
        <w:rPr>
          <w:rFonts w:ascii="Times New Roman" w:hAnsi="Times New Roman"/>
          <w:u w:val="single"/>
        </w:rPr>
        <w:t>current</w:t>
      </w:r>
      <w:r w:rsidRPr="00C818F9">
        <w:rPr>
          <w:rFonts w:ascii="Times New Roman" w:hAnsi="Times New Roman"/>
        </w:rPr>
        <w:t xml:space="preserve"> year (i.e., in 2013 toward the obligation throughout 2013). NWEC/RNP argues that this language requires the companies to report on progress in the current year toward the </w:t>
      </w:r>
      <w:r w:rsidRPr="00C818F9">
        <w:rPr>
          <w:rFonts w:ascii="Times New Roman" w:hAnsi="Times New Roman"/>
          <w:u w:val="single"/>
        </w:rPr>
        <w:t>next year’s target</w:t>
      </w:r>
      <w:r w:rsidRPr="00C818F9">
        <w:rPr>
          <w:rFonts w:ascii="Times New Roman" w:hAnsi="Times New Roman"/>
        </w:rPr>
        <w:t xml:space="preserve"> (i.e., in 2013 toward the January 1, 2014, target). </w:t>
      </w:r>
    </w:p>
    <w:p w14:paraId="177DDF06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F07" w14:textId="6827DBA7" w:rsidR="00F5102E" w:rsidRDefault="00F5102E" w:rsidP="00F5102E">
      <w:pPr>
        <w:rPr>
          <w:rFonts w:ascii="Times New Roman" w:hAnsi="Times New Roman"/>
        </w:rPr>
      </w:pPr>
      <w:r>
        <w:rPr>
          <w:rFonts w:ascii="Times New Roman" w:hAnsi="Times New Roman"/>
        </w:rPr>
        <w:t>Staff</w:t>
      </w:r>
      <w:r w:rsidRPr="00C818F9">
        <w:rPr>
          <w:rFonts w:ascii="Times New Roman" w:hAnsi="Times New Roman"/>
        </w:rPr>
        <w:t xml:space="preserve"> maintains </w:t>
      </w:r>
      <w:r>
        <w:rPr>
          <w:rFonts w:ascii="Times New Roman" w:hAnsi="Times New Roman"/>
        </w:rPr>
        <w:t>its</w:t>
      </w:r>
      <w:r w:rsidRPr="00C818F9">
        <w:rPr>
          <w:rFonts w:ascii="Times New Roman" w:hAnsi="Times New Roman"/>
        </w:rPr>
        <w:t xml:space="preserve"> position on this issue, and notes that the section of the WAC cited (i.e.</w:t>
      </w:r>
      <w:r w:rsidR="00F03501">
        <w:rPr>
          <w:rFonts w:ascii="Times New Roman" w:hAnsi="Times New Roman"/>
        </w:rPr>
        <w:t>,</w:t>
      </w:r>
      <w:r w:rsidRPr="00C818F9">
        <w:rPr>
          <w:rFonts w:ascii="Times New Roman" w:hAnsi="Times New Roman"/>
        </w:rPr>
        <w:t xml:space="preserve"> WAC 480-109-040(1)(c)) includes language only in reference to the current year. </w:t>
      </w:r>
    </w:p>
    <w:p w14:paraId="177DDF08" w14:textId="77777777" w:rsidR="00E901F2" w:rsidRDefault="00E901F2" w:rsidP="00F5102E">
      <w:pPr>
        <w:rPr>
          <w:rFonts w:ascii="Times New Roman" w:hAnsi="Times New Roman"/>
        </w:rPr>
      </w:pPr>
    </w:p>
    <w:p w14:paraId="177DDF0F" w14:textId="77777777" w:rsidR="000664C1" w:rsidRDefault="000664C1" w:rsidP="00F5102E">
      <w:pPr>
        <w:rPr>
          <w:rFonts w:ascii="Times New Roman" w:hAnsi="Times New Roman"/>
        </w:rPr>
      </w:pPr>
    </w:p>
    <w:p w14:paraId="177DDF10" w14:textId="77777777" w:rsidR="001E1728" w:rsidRDefault="001E1728" w:rsidP="00F5102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Final Compliance Determination</w:t>
      </w:r>
    </w:p>
    <w:p w14:paraId="177DDF11" w14:textId="77777777" w:rsidR="001E1728" w:rsidRDefault="001E1728" w:rsidP="00F5102E">
      <w:pPr>
        <w:rPr>
          <w:rFonts w:ascii="Times New Roman" w:hAnsi="Times New Roman"/>
          <w:i/>
        </w:rPr>
      </w:pPr>
    </w:p>
    <w:p w14:paraId="285F00C7" w14:textId="21DE809C" w:rsidR="002F7D6C" w:rsidRDefault="006F2074" w:rsidP="00F5102E">
      <w:pPr>
        <w:rPr>
          <w:rFonts w:ascii="Times New Roman" w:hAnsi="Times New Roman"/>
        </w:rPr>
      </w:pPr>
      <w:r>
        <w:rPr>
          <w:rFonts w:ascii="Times New Roman" w:hAnsi="Times New Roman"/>
        </w:rPr>
        <w:t>PSE</w:t>
      </w:r>
      <w:r w:rsidR="00F5102E" w:rsidRPr="00C818F9">
        <w:rPr>
          <w:rFonts w:ascii="Times New Roman" w:hAnsi="Times New Roman"/>
        </w:rPr>
        <w:t xml:space="preserve"> may ask for a </w:t>
      </w:r>
      <w:r>
        <w:rPr>
          <w:rFonts w:ascii="Times New Roman" w:hAnsi="Times New Roman"/>
        </w:rPr>
        <w:t xml:space="preserve">final </w:t>
      </w:r>
      <w:r w:rsidR="00F5102E" w:rsidRPr="00C818F9">
        <w:rPr>
          <w:rFonts w:ascii="Times New Roman" w:hAnsi="Times New Roman"/>
        </w:rPr>
        <w:t xml:space="preserve">compliance determination for a specific </w:t>
      </w:r>
      <w:r>
        <w:rPr>
          <w:rFonts w:ascii="Times New Roman" w:hAnsi="Times New Roman"/>
        </w:rPr>
        <w:t xml:space="preserve">target </w:t>
      </w:r>
      <w:r w:rsidR="00F5102E" w:rsidRPr="00C818F9">
        <w:rPr>
          <w:rFonts w:ascii="Times New Roman" w:hAnsi="Times New Roman"/>
        </w:rPr>
        <w:t xml:space="preserve">year at any time </w:t>
      </w:r>
      <w:r w:rsidR="006D7084">
        <w:rPr>
          <w:rFonts w:ascii="Times New Roman" w:hAnsi="Times New Roman"/>
        </w:rPr>
        <w:t xml:space="preserve">between the end of the target year and </w:t>
      </w:r>
      <w:r>
        <w:rPr>
          <w:rFonts w:ascii="Times New Roman" w:hAnsi="Times New Roman"/>
        </w:rPr>
        <w:t xml:space="preserve">the two years </w:t>
      </w:r>
      <w:r w:rsidR="00F5102E" w:rsidRPr="00C818F9">
        <w:rPr>
          <w:rFonts w:ascii="Times New Roman" w:hAnsi="Times New Roman"/>
        </w:rPr>
        <w:t>followi</w:t>
      </w:r>
      <w:r>
        <w:rPr>
          <w:rFonts w:ascii="Times New Roman" w:hAnsi="Times New Roman"/>
        </w:rPr>
        <w:t>ng its initial compliance filing for that target year.</w:t>
      </w:r>
      <w:r w:rsidR="008E2F9E">
        <w:rPr>
          <w:rFonts w:ascii="Times New Roman" w:hAnsi="Times New Roman"/>
        </w:rPr>
        <w:t xml:space="preserve"> </w:t>
      </w:r>
      <w:r w:rsidR="00F5102E" w:rsidRPr="00C818F9">
        <w:rPr>
          <w:rFonts w:ascii="Times New Roman" w:hAnsi="Times New Roman"/>
        </w:rPr>
        <w:t xml:space="preserve">Staff recommends the companies seek compliance determinations by filing a letter requesting such determination in </w:t>
      </w:r>
      <w:r w:rsidR="00F5102E">
        <w:rPr>
          <w:rFonts w:ascii="Times New Roman" w:hAnsi="Times New Roman"/>
        </w:rPr>
        <w:t>the corresponding</w:t>
      </w:r>
      <w:r w:rsidR="00F5102E" w:rsidRPr="00C818F9">
        <w:rPr>
          <w:rFonts w:ascii="Times New Roman" w:hAnsi="Times New Roman"/>
        </w:rPr>
        <w:t xml:space="preserve"> docket</w:t>
      </w:r>
      <w:r w:rsidR="00F5102E">
        <w:rPr>
          <w:rFonts w:ascii="Times New Roman" w:hAnsi="Times New Roman"/>
        </w:rPr>
        <w:t xml:space="preserve"> (i.e., requests for 2012 compliance determinations should be filed in the 2012 dockets</w:t>
      </w:r>
      <w:r w:rsidR="002F7D6C">
        <w:rPr>
          <w:rFonts w:ascii="Times New Roman" w:hAnsi="Times New Roman"/>
        </w:rPr>
        <w:t>, in PSE’s case</w:t>
      </w:r>
      <w:r w:rsidR="00B049DC">
        <w:rPr>
          <w:rFonts w:ascii="Times New Roman" w:hAnsi="Times New Roman"/>
        </w:rPr>
        <w:t xml:space="preserve"> Docket</w:t>
      </w:r>
      <w:r w:rsidR="002F7D6C">
        <w:rPr>
          <w:rFonts w:ascii="Times New Roman" w:hAnsi="Times New Roman"/>
        </w:rPr>
        <w:t xml:space="preserve"> UE-120802</w:t>
      </w:r>
      <w:r w:rsidR="00F5102E">
        <w:rPr>
          <w:rFonts w:ascii="Times New Roman" w:hAnsi="Times New Roman"/>
        </w:rPr>
        <w:t>)</w:t>
      </w:r>
      <w:r w:rsidR="00F5102E" w:rsidRPr="00C818F9">
        <w:rPr>
          <w:rFonts w:ascii="Times New Roman" w:hAnsi="Times New Roman"/>
        </w:rPr>
        <w:t xml:space="preserve">. </w:t>
      </w:r>
      <w:r w:rsidR="00895283">
        <w:rPr>
          <w:rFonts w:ascii="Times New Roman" w:hAnsi="Times New Roman"/>
        </w:rPr>
        <w:t xml:space="preserve">A request for a compliance determination must include the specific megawatt-hours and/or renewable energy credit numbers that the </w:t>
      </w:r>
      <w:r w:rsidR="00595EB1">
        <w:rPr>
          <w:rFonts w:ascii="Times New Roman" w:hAnsi="Times New Roman"/>
        </w:rPr>
        <w:t>c</w:t>
      </w:r>
      <w:r w:rsidR="00895283">
        <w:rPr>
          <w:rFonts w:ascii="Times New Roman" w:hAnsi="Times New Roman"/>
        </w:rPr>
        <w:t xml:space="preserve">ompany intends to retire. </w:t>
      </w:r>
      <w:r w:rsidR="00F5102E" w:rsidRPr="00C818F9">
        <w:rPr>
          <w:rFonts w:ascii="Times New Roman" w:hAnsi="Times New Roman"/>
        </w:rPr>
        <w:t xml:space="preserve">Staff further recommends that, after </w:t>
      </w:r>
      <w:r w:rsidR="00F03501">
        <w:rPr>
          <w:rFonts w:ascii="Times New Roman" w:hAnsi="Times New Roman"/>
        </w:rPr>
        <w:t>s</w:t>
      </w:r>
      <w:r w:rsidR="00F5102E" w:rsidRPr="00C818F9">
        <w:rPr>
          <w:rFonts w:ascii="Times New Roman" w:hAnsi="Times New Roman"/>
        </w:rPr>
        <w:t>taff review, compliance may be accepted by a letter from the Executive Secretary.</w:t>
      </w:r>
      <w:r w:rsidR="00F5102E">
        <w:rPr>
          <w:rFonts w:ascii="Times New Roman" w:hAnsi="Times New Roman"/>
        </w:rPr>
        <w:t xml:space="preserve"> </w:t>
      </w:r>
    </w:p>
    <w:p w14:paraId="23445673" w14:textId="77777777" w:rsidR="002F7D6C" w:rsidRDefault="002F7D6C" w:rsidP="00F5102E">
      <w:pPr>
        <w:rPr>
          <w:rFonts w:ascii="Times New Roman" w:hAnsi="Times New Roman"/>
        </w:rPr>
      </w:pPr>
    </w:p>
    <w:p w14:paraId="177DDF12" w14:textId="517C15C0" w:rsidR="00F5102E" w:rsidRPr="00C818F9" w:rsidRDefault="00F5102E" w:rsidP="00F510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PSE </w:t>
      </w:r>
      <w:r w:rsidR="008E2F9E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requested a finding of compliance for the 2012 target in its 2013 report</w:t>
      </w:r>
      <w:r w:rsidR="002F7D6C">
        <w:rPr>
          <w:rFonts w:ascii="Times New Roman" w:hAnsi="Times New Roman"/>
        </w:rPr>
        <w:t>. This request belongs in Docket UE-120802</w:t>
      </w:r>
      <w:r w:rsidR="00B049DC">
        <w:rPr>
          <w:rFonts w:ascii="Times New Roman" w:hAnsi="Times New Roman"/>
        </w:rPr>
        <w:t>, consistent with the order in that docket</w:t>
      </w:r>
      <w:r w:rsidR="002F7D6C">
        <w:rPr>
          <w:rFonts w:ascii="Times New Roman" w:hAnsi="Times New Roman"/>
        </w:rPr>
        <w:t>.</w:t>
      </w:r>
      <w:r w:rsidR="00B049DC">
        <w:rPr>
          <w:rStyle w:val="FootnoteReference"/>
          <w:rFonts w:ascii="Times New Roman" w:hAnsi="Times New Roman"/>
        </w:rPr>
        <w:footnoteReference w:id="2"/>
      </w:r>
      <w:r w:rsidR="002F7D6C">
        <w:rPr>
          <w:rFonts w:ascii="Times New Roman" w:hAnsi="Times New Roman"/>
        </w:rPr>
        <w:t xml:space="preserve"> However, even if it had been properly filed</w:t>
      </w:r>
      <w:r w:rsidR="00D67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0350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taff </w:t>
      </w:r>
      <w:r w:rsidR="00895283">
        <w:rPr>
          <w:rFonts w:ascii="Times New Roman" w:hAnsi="Times New Roman"/>
        </w:rPr>
        <w:t xml:space="preserve">could </w:t>
      </w:r>
      <w:r>
        <w:rPr>
          <w:rFonts w:ascii="Times New Roman" w:hAnsi="Times New Roman"/>
        </w:rPr>
        <w:t>not recommend granting that request</w:t>
      </w:r>
      <w:r w:rsidR="00F75B87">
        <w:rPr>
          <w:rFonts w:ascii="Times New Roman" w:hAnsi="Times New Roman"/>
        </w:rPr>
        <w:t xml:space="preserve"> at this time</w:t>
      </w:r>
      <w:r>
        <w:rPr>
          <w:rFonts w:ascii="Times New Roman" w:hAnsi="Times New Roman"/>
        </w:rPr>
        <w:t xml:space="preserve">, given </w:t>
      </w:r>
      <w:r w:rsidR="008E2F9E">
        <w:rPr>
          <w:rFonts w:ascii="Times New Roman" w:hAnsi="Times New Roman"/>
        </w:rPr>
        <w:t xml:space="preserve">the </w:t>
      </w:r>
      <w:r w:rsidR="00A24E94">
        <w:rPr>
          <w:rFonts w:ascii="Times New Roman" w:hAnsi="Times New Roman"/>
        </w:rPr>
        <w:t>ongoing evaluation</w:t>
      </w:r>
      <w:r w:rsidR="00D671A5">
        <w:rPr>
          <w:rFonts w:ascii="Times New Roman" w:hAnsi="Times New Roman"/>
        </w:rPr>
        <w:t xml:space="preserve"> of</w:t>
      </w:r>
      <w:r w:rsidR="008E2F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Grant County PUD’</w:t>
      </w:r>
      <w:r w:rsidR="008E2F9E">
        <w:rPr>
          <w:rFonts w:ascii="Times New Roman" w:hAnsi="Times New Roman"/>
        </w:rPr>
        <w:t>s incremental hydro methodology</w:t>
      </w:r>
      <w:r w:rsidR="00A24E94">
        <w:rPr>
          <w:rFonts w:ascii="Times New Roman" w:hAnsi="Times New Roman"/>
        </w:rPr>
        <w:t xml:space="preserve"> by the State Auditor’s Office</w:t>
      </w:r>
      <w:r w:rsidR="008E2F9E">
        <w:rPr>
          <w:rFonts w:ascii="Times New Roman" w:hAnsi="Times New Roman"/>
        </w:rPr>
        <w:t>.</w:t>
      </w:r>
    </w:p>
    <w:p w14:paraId="177DDF13" w14:textId="77777777" w:rsidR="00F5102E" w:rsidRPr="00C818F9" w:rsidRDefault="00F5102E" w:rsidP="00F5102E">
      <w:pPr>
        <w:rPr>
          <w:rFonts w:ascii="Times New Roman" w:hAnsi="Times New Roman"/>
          <w:b/>
        </w:rPr>
      </w:pPr>
    </w:p>
    <w:p w14:paraId="177DDF14" w14:textId="77777777" w:rsidR="00F5102E" w:rsidRDefault="00F5102E" w:rsidP="00F5102E">
      <w:pPr>
        <w:rPr>
          <w:rFonts w:ascii="Times New Roman" w:hAnsi="Times New Roman"/>
          <w:b/>
          <w:u w:val="single"/>
        </w:rPr>
      </w:pPr>
    </w:p>
    <w:p w14:paraId="177DDF15" w14:textId="77777777" w:rsidR="00F5102E" w:rsidRPr="00C818F9" w:rsidRDefault="00F5102E" w:rsidP="00F5102E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t>Conclusion</w:t>
      </w:r>
    </w:p>
    <w:p w14:paraId="177DDF16" w14:textId="77777777" w:rsidR="00F5102E" w:rsidRPr="00C818F9" w:rsidRDefault="00F5102E" w:rsidP="00F5102E">
      <w:pPr>
        <w:rPr>
          <w:rFonts w:ascii="Times New Roman" w:hAnsi="Times New Roman"/>
        </w:rPr>
      </w:pPr>
    </w:p>
    <w:p w14:paraId="177DDF17" w14:textId="77777777" w:rsidR="002C039A" w:rsidRDefault="00F5102E" w:rsidP="00AD3312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Issue </w:t>
      </w:r>
      <w:r w:rsidR="00421D6E">
        <w:rPr>
          <w:rFonts w:ascii="Times New Roman" w:hAnsi="Times New Roman"/>
        </w:rPr>
        <w:t>an order</w:t>
      </w:r>
      <w:r w:rsidRPr="00C818F9">
        <w:rPr>
          <w:rFonts w:ascii="Times New Roman" w:hAnsi="Times New Roman"/>
        </w:rPr>
        <w:t xml:space="preserve"> as described in the recommendation section of this memo.</w:t>
      </w:r>
    </w:p>
    <w:p w14:paraId="177DDF18" w14:textId="77777777" w:rsidR="00E63730" w:rsidRDefault="00E63730" w:rsidP="00AD3312">
      <w:pPr>
        <w:rPr>
          <w:rFonts w:ascii="Times New Roman" w:hAnsi="Times New Roman"/>
        </w:rPr>
      </w:pPr>
    </w:p>
    <w:p w14:paraId="177DDF19" w14:textId="77777777" w:rsidR="00E63730" w:rsidRDefault="00E63730" w:rsidP="00AD3312">
      <w:pPr>
        <w:rPr>
          <w:rFonts w:ascii="Times New Roman" w:hAnsi="Times New Roman"/>
        </w:rPr>
      </w:pPr>
    </w:p>
    <w:p w14:paraId="177DDF1A" w14:textId="77777777" w:rsidR="00E63730" w:rsidRPr="00AD3312" w:rsidRDefault="00E63730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 A</w:t>
      </w:r>
    </w:p>
    <w:sectPr w:rsidR="00E63730" w:rsidRPr="00AD3312" w:rsidSect="00617FEC">
      <w:headerReference w:type="defaul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DDF1D" w14:textId="77777777" w:rsidR="00BC38E5" w:rsidRDefault="00BC38E5" w:rsidP="00421D6E">
      <w:r>
        <w:separator/>
      </w:r>
    </w:p>
  </w:endnote>
  <w:endnote w:type="continuationSeparator" w:id="0">
    <w:p w14:paraId="177DDF1E" w14:textId="77777777" w:rsidR="00BC38E5" w:rsidRDefault="00BC38E5" w:rsidP="0042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DDF1B" w14:textId="77777777" w:rsidR="00BC38E5" w:rsidRDefault="00BC38E5" w:rsidP="00421D6E">
      <w:r>
        <w:separator/>
      </w:r>
    </w:p>
  </w:footnote>
  <w:footnote w:type="continuationSeparator" w:id="0">
    <w:p w14:paraId="177DDF1C" w14:textId="77777777" w:rsidR="00BC38E5" w:rsidRDefault="00BC38E5" w:rsidP="00421D6E">
      <w:r>
        <w:continuationSeparator/>
      </w:r>
    </w:p>
  </w:footnote>
  <w:footnote w:id="1">
    <w:p w14:paraId="0E87279C" w14:textId="77777777" w:rsidR="00BC38E5" w:rsidRDefault="00BC38E5" w:rsidP="00C342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4854">
        <w:rPr>
          <w:rFonts w:ascii="Times New Roman" w:hAnsi="Times New Roman"/>
        </w:rPr>
        <w:t>The Energy Independence Act (EIA) does not specify how to measure or calculate incremental hydropower. The RPS Workgroup convened under Docket UE</w:t>
      </w:r>
      <w:r>
        <w:rPr>
          <w:rFonts w:ascii="Times New Roman" w:hAnsi="Times New Roman"/>
        </w:rPr>
        <w:t>-</w:t>
      </w:r>
      <w:r w:rsidRPr="003D4854">
        <w:rPr>
          <w:rFonts w:ascii="Times New Roman" w:hAnsi="Times New Roman"/>
        </w:rPr>
        <w:t>110523 agreed on three optional methodologies for calculating incremental hydroel</w:t>
      </w:r>
      <w:r>
        <w:rPr>
          <w:rFonts w:ascii="Times New Roman" w:hAnsi="Times New Roman"/>
        </w:rPr>
        <w:t>ectric efficiency improvements.</w:t>
      </w:r>
      <w:r w:rsidRPr="003D4854">
        <w:rPr>
          <w:rFonts w:ascii="Times New Roman" w:hAnsi="Times New Roman"/>
        </w:rPr>
        <w:t xml:space="preserve"> Method 1 requires an annual calculation, based on actual water flows </w:t>
      </w:r>
      <w:r>
        <w:rPr>
          <w:rFonts w:ascii="Times New Roman" w:hAnsi="Times New Roman"/>
        </w:rPr>
        <w:t>or generation during that year.</w:t>
      </w:r>
      <w:r w:rsidRPr="003D4854">
        <w:rPr>
          <w:rFonts w:ascii="Times New Roman" w:hAnsi="Times New Roman"/>
        </w:rPr>
        <w:t xml:space="preserve"> Method 2 also requires an annual calculation, multiplying actual generation by a fixed percentage to determine the generation attrib</w:t>
      </w:r>
      <w:r>
        <w:rPr>
          <w:rFonts w:ascii="Times New Roman" w:hAnsi="Times New Roman"/>
        </w:rPr>
        <w:t xml:space="preserve">utable to efficiency upgrades. </w:t>
      </w:r>
      <w:r w:rsidRPr="003D4854">
        <w:rPr>
          <w:rFonts w:ascii="Times New Roman" w:hAnsi="Times New Roman"/>
        </w:rPr>
        <w:t>Method 2 is similar to that adopted by the Oregon Department of Energy under that st</w:t>
      </w:r>
      <w:r>
        <w:rPr>
          <w:rFonts w:ascii="Times New Roman" w:hAnsi="Times New Roman"/>
        </w:rPr>
        <w:t xml:space="preserve">ate’s counterpart to the EIA. </w:t>
      </w:r>
      <w:r w:rsidRPr="003D4854">
        <w:rPr>
          <w:rFonts w:ascii="Times New Roman" w:hAnsi="Times New Roman"/>
        </w:rPr>
        <w:t>Method 3 requires a one-time calculation of the increase in annual megawatt-hours attributable to the efficiency upgrades under average historical water flows.</w:t>
      </w:r>
    </w:p>
  </w:footnote>
  <w:footnote w:id="2">
    <w:p w14:paraId="74AAF254" w14:textId="562CAEBC" w:rsidR="00BC38E5" w:rsidRPr="00B049DC" w:rsidRDefault="00BC38E5">
      <w:pPr>
        <w:pStyle w:val="FootnoteText"/>
        <w:rPr>
          <w:rFonts w:ascii="Times New Roman" w:hAnsi="Times New Roman"/>
        </w:rPr>
      </w:pPr>
      <w:r w:rsidRPr="00B049DC">
        <w:rPr>
          <w:rStyle w:val="FootnoteReference"/>
          <w:rFonts w:ascii="Times New Roman" w:hAnsi="Times New Roman"/>
        </w:rPr>
        <w:footnoteRef/>
      </w:r>
      <w:r w:rsidRPr="00B049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Docket UE-120802, Order 01 at ¶50.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DF1F" w14:textId="77777777" w:rsidR="00BC38E5" w:rsidRPr="00777586" w:rsidRDefault="00BC38E5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DOCKET </w:t>
    </w:r>
    <w:r>
      <w:rPr>
        <w:rFonts w:ascii="Times New Roman" w:hAnsi="Times New Roman"/>
        <w:sz w:val="20"/>
        <w:szCs w:val="20"/>
      </w:rPr>
      <w:t>UE-131072</w:t>
    </w:r>
  </w:p>
  <w:p w14:paraId="177DDF20" w14:textId="77777777" w:rsidR="00BC38E5" w:rsidRPr="00777586" w:rsidRDefault="00BC38E5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STAFF MEMO, July 26, 2013</w:t>
    </w:r>
  </w:p>
  <w:p w14:paraId="177DDF21" w14:textId="77777777" w:rsidR="00BC38E5" w:rsidRPr="00777586" w:rsidRDefault="00BC38E5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762223">
      <w:rPr>
        <w:rStyle w:val="PageNumber"/>
        <w:rFonts w:ascii="Times New Roman" w:hAnsi="Times New Roman"/>
        <w:noProof/>
        <w:sz w:val="20"/>
        <w:szCs w:val="20"/>
      </w:rPr>
      <w:t>4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14:paraId="177DDF22" w14:textId="77777777" w:rsidR="00BC38E5" w:rsidRDefault="00BC38E5">
    <w:pPr>
      <w:pStyle w:val="Header"/>
      <w:rPr>
        <w:rStyle w:val="PageNumber"/>
        <w:sz w:val="20"/>
      </w:rPr>
    </w:pPr>
  </w:p>
  <w:p w14:paraId="177DDF23" w14:textId="77777777" w:rsidR="00BC38E5" w:rsidRDefault="00BC38E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7CBA"/>
    <w:multiLevelType w:val="hybridMultilevel"/>
    <w:tmpl w:val="FE1C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F2D2D"/>
    <w:multiLevelType w:val="hybridMultilevel"/>
    <w:tmpl w:val="8FBA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5CDE"/>
    <w:multiLevelType w:val="hybridMultilevel"/>
    <w:tmpl w:val="0B367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44812"/>
    <w:multiLevelType w:val="hybridMultilevel"/>
    <w:tmpl w:val="5064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C763F7"/>
    <w:multiLevelType w:val="hybridMultilevel"/>
    <w:tmpl w:val="8CECD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1237B1"/>
    <w:multiLevelType w:val="hybridMultilevel"/>
    <w:tmpl w:val="8CECD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E"/>
    <w:rsid w:val="000664C1"/>
    <w:rsid w:val="000A2B85"/>
    <w:rsid w:val="000E640C"/>
    <w:rsid w:val="000E66AE"/>
    <w:rsid w:val="001910F4"/>
    <w:rsid w:val="001C5AB1"/>
    <w:rsid w:val="001E1728"/>
    <w:rsid w:val="001E1D7A"/>
    <w:rsid w:val="00284A82"/>
    <w:rsid w:val="002B3B4A"/>
    <w:rsid w:val="002C039A"/>
    <w:rsid w:val="002F7D6C"/>
    <w:rsid w:val="00310162"/>
    <w:rsid w:val="004028E0"/>
    <w:rsid w:val="00421D6E"/>
    <w:rsid w:val="00552600"/>
    <w:rsid w:val="00553F53"/>
    <w:rsid w:val="00560400"/>
    <w:rsid w:val="00595EB1"/>
    <w:rsid w:val="005A6C74"/>
    <w:rsid w:val="00617FEC"/>
    <w:rsid w:val="00672F7B"/>
    <w:rsid w:val="006A41EE"/>
    <w:rsid w:val="006C789B"/>
    <w:rsid w:val="006D7084"/>
    <w:rsid w:val="006F2074"/>
    <w:rsid w:val="007158E0"/>
    <w:rsid w:val="00762223"/>
    <w:rsid w:val="007A6AB5"/>
    <w:rsid w:val="0083220C"/>
    <w:rsid w:val="00895283"/>
    <w:rsid w:val="008B2FDB"/>
    <w:rsid w:val="008E2F9E"/>
    <w:rsid w:val="00A24E94"/>
    <w:rsid w:val="00A64936"/>
    <w:rsid w:val="00A84C2A"/>
    <w:rsid w:val="00AD3312"/>
    <w:rsid w:val="00AE273E"/>
    <w:rsid w:val="00B049DC"/>
    <w:rsid w:val="00B13041"/>
    <w:rsid w:val="00B50890"/>
    <w:rsid w:val="00B94186"/>
    <w:rsid w:val="00BC38E5"/>
    <w:rsid w:val="00BE66CC"/>
    <w:rsid w:val="00C34259"/>
    <w:rsid w:val="00D06793"/>
    <w:rsid w:val="00D30E09"/>
    <w:rsid w:val="00D51EC0"/>
    <w:rsid w:val="00D64C9F"/>
    <w:rsid w:val="00D671A5"/>
    <w:rsid w:val="00DA1B86"/>
    <w:rsid w:val="00DD2A47"/>
    <w:rsid w:val="00DF691C"/>
    <w:rsid w:val="00E10427"/>
    <w:rsid w:val="00E63730"/>
    <w:rsid w:val="00E901F2"/>
    <w:rsid w:val="00EE4297"/>
    <w:rsid w:val="00F03501"/>
    <w:rsid w:val="00F21B68"/>
    <w:rsid w:val="00F4435B"/>
    <w:rsid w:val="00F5102E"/>
    <w:rsid w:val="00F56716"/>
    <w:rsid w:val="00F62502"/>
    <w:rsid w:val="00F677A9"/>
    <w:rsid w:val="00F75B87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D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E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F51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102E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F5102E"/>
  </w:style>
  <w:style w:type="character" w:styleId="FootnoteReference">
    <w:name w:val="footnote reference"/>
    <w:uiPriority w:val="99"/>
    <w:rsid w:val="00F5102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2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D6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E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49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9DC"/>
    <w:rPr>
      <w:rFonts w:ascii="Palatino Linotype" w:eastAsia="Times New Roman" w:hAnsi="Palatino Linotyp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D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9DC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DC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E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F51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102E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F5102E"/>
  </w:style>
  <w:style w:type="character" w:styleId="FootnoteReference">
    <w:name w:val="footnote reference"/>
    <w:uiPriority w:val="99"/>
    <w:rsid w:val="00F5102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2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D6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E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49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9DC"/>
    <w:rPr>
      <w:rFonts w:ascii="Palatino Linotype" w:eastAsia="Times New Roman" w:hAnsi="Palatino Linotyp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D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9DC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DC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813767A08F3458000C1D9672A4A3E" ma:contentTypeVersion="135" ma:contentTypeDescription="" ma:contentTypeScope="" ma:versionID="debfb8c58f0378176f8d59757a5c7e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F597B-0893-4ABC-9DBF-45F25905E427}"/>
</file>

<file path=customXml/itemProps2.xml><?xml version="1.0" encoding="utf-8"?>
<ds:datastoreItem xmlns:ds="http://schemas.openxmlformats.org/officeDocument/2006/customXml" ds:itemID="{508A048C-EE7C-441B-B953-588F726CC984}"/>
</file>

<file path=customXml/itemProps3.xml><?xml version="1.0" encoding="utf-8"?>
<ds:datastoreItem xmlns:ds="http://schemas.openxmlformats.org/officeDocument/2006/customXml" ds:itemID="{9DC377D1-55AC-4791-8DD3-F3379D0993AC}"/>
</file>

<file path=customXml/itemProps4.xml><?xml version="1.0" encoding="utf-8"?>
<ds:datastoreItem xmlns:ds="http://schemas.openxmlformats.org/officeDocument/2006/customXml" ds:itemID="{4BAAA1F8-2FFF-40BE-9432-F694F66463F6}"/>
</file>

<file path=customXml/itemProps5.xml><?xml version="1.0" encoding="utf-8"?>
<ds:datastoreItem xmlns:ds="http://schemas.openxmlformats.org/officeDocument/2006/customXml" ds:itemID="{EEEFBF7E-762E-4213-89A9-E0D5B6943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UE-131072 Memo</vt:lpstr>
    </vt:vector>
  </TitlesOfParts>
  <Company>Washington Utilities and Transportation Commission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UE-131072 Memo</dc:title>
  <dc:creator>Jeremy Twitchell</dc:creator>
  <cp:lastModifiedBy>Joni Higgins</cp:lastModifiedBy>
  <cp:revision>2</cp:revision>
  <cp:lastPrinted>2013-07-18T17:59:00Z</cp:lastPrinted>
  <dcterms:created xsi:type="dcterms:W3CDTF">2013-07-23T17:09:00Z</dcterms:created>
  <dcterms:modified xsi:type="dcterms:W3CDTF">2013-07-23T17:09:00Z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0x0101006E56B4D1795A2E4DB2F0B01679ED314A009C7813767A08F3458000C1D9672A4A3E</vt:lpwstr>
  </property>
  <property fmtid="{D5CDD505-2E9C-101B-9397-08002B2CF9AE}" pid="3" name="_docset_NoMedatataSyncRequired">
    <vt:lpwstr>False</vt:lpwstr>
  </property>
</Properties>
</file>