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DDDA" w14:textId="77777777" w:rsidR="00446162" w:rsidRPr="005E5651" w:rsidRDefault="00446162">
      <w:pPr>
        <w:pStyle w:val="BodyText"/>
        <w:rPr>
          <w:b/>
          <w:bCs/>
        </w:rPr>
      </w:pPr>
      <w:bookmarkStart w:id="0" w:name="_GoBack"/>
      <w:bookmarkEnd w:id="0"/>
      <w:r w:rsidRPr="005E5651">
        <w:rPr>
          <w:b/>
          <w:bCs/>
        </w:rPr>
        <w:t>BEFORE THE WASHINGTON</w:t>
      </w:r>
    </w:p>
    <w:p w14:paraId="6DF9DDDB" w14:textId="77777777"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>UTILITIES AND TRANSPORTATION COMMISSION</w:t>
      </w:r>
    </w:p>
    <w:p w14:paraId="6DF9DDDC" w14:textId="77777777" w:rsidR="00446162" w:rsidRPr="005E5651" w:rsidRDefault="00446162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446162" w:rsidRPr="005E5651" w14:paraId="6DF9DDF2" w14:textId="77777777">
        <w:tc>
          <w:tcPr>
            <w:tcW w:w="4008" w:type="dxa"/>
          </w:tcPr>
          <w:p w14:paraId="6DF9DDDD" w14:textId="77777777" w:rsidR="00446162" w:rsidRPr="005E5651" w:rsidRDefault="00446162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6DF9DDDE" w14:textId="77777777" w:rsidR="00446162" w:rsidRPr="005E5651" w:rsidRDefault="00446162"/>
          <w:p w14:paraId="6DF9DDDF" w14:textId="77777777" w:rsidR="00446162" w:rsidRDefault="004E48C8">
            <w:r>
              <w:t>PACIFICORP d/b/a PACIFIC POWER</w:t>
            </w:r>
            <w:r w:rsidR="00496FF6">
              <w:t xml:space="preserve"> AND LIGHT COMPANY</w:t>
            </w:r>
            <w:r w:rsidR="002C5DF6">
              <w:fldChar w:fldCharType="begin"/>
            </w:r>
            <w:r w:rsidR="00276B28">
              <w:instrText xml:space="preserve"> ASK company1_name "Enter Full Company 1 Name</w:instrText>
            </w:r>
            <w:r w:rsidR="002C5DF6">
              <w:fldChar w:fldCharType="separate"/>
            </w:r>
            <w:bookmarkStart w:id="1" w:name="company1_name"/>
            <w:r w:rsidR="00496FF6">
              <w:t>PacifiCorp d/b/a Pacific Power</w:t>
            </w:r>
            <w:bookmarkEnd w:id="1"/>
            <w:r w:rsidR="002C5DF6">
              <w:fldChar w:fldCharType="end"/>
            </w:r>
            <w:r w:rsidR="00446162" w:rsidRPr="005E5651">
              <w:t>,</w:t>
            </w:r>
            <w:r w:rsidR="002C5DF6">
              <w:fldChar w:fldCharType="begin"/>
            </w:r>
            <w:r w:rsidR="00276B28">
              <w:instrText xml:space="preserve"> ASK acronym1 "Enter company 1's Short Name" \* MERGEFORMAT </w:instrText>
            </w:r>
            <w:r w:rsidR="002C5DF6">
              <w:fldChar w:fldCharType="separate"/>
            </w:r>
            <w:bookmarkStart w:id="2" w:name="acronym1"/>
            <w:r w:rsidR="00496FF6">
              <w:t>PacifiCorp</w:t>
            </w:r>
            <w:bookmarkEnd w:id="2"/>
            <w:r w:rsidR="002C5DF6">
              <w:fldChar w:fldCharType="end"/>
            </w:r>
            <w:r w:rsidR="00446162" w:rsidRPr="005E5651">
              <w:t xml:space="preserve">         </w:t>
            </w:r>
          </w:p>
          <w:p w14:paraId="6DF9DDE0" w14:textId="77777777" w:rsidR="00641825" w:rsidRPr="005E5651" w:rsidRDefault="00641825"/>
          <w:p w14:paraId="6DF9DDE1" w14:textId="77777777" w:rsidR="00446162" w:rsidRPr="005E5651" w:rsidRDefault="00446162">
            <w:r w:rsidRPr="005E5651">
              <w:t xml:space="preserve">                      Petitioner, </w:t>
            </w:r>
          </w:p>
          <w:p w14:paraId="6DF9DDE2" w14:textId="77777777" w:rsidR="00446162" w:rsidRPr="005E5651" w:rsidRDefault="00446162"/>
          <w:p w14:paraId="6DF9DDE3" w14:textId="77777777" w:rsidR="00446162" w:rsidRPr="005E5651" w:rsidRDefault="00446162">
            <w:r w:rsidRPr="005E5651">
              <w:t xml:space="preserve">Seeking Exemption from the Provisions of </w:t>
            </w:r>
            <w:r w:rsidR="002C5DF6">
              <w:fldChar w:fldCharType="begin"/>
            </w:r>
            <w:r w:rsidR="00276B28">
              <w:instrText xml:space="preserve"> ASK WAC_no "Enter the WAC cite for the rule that exemption is being requested."</w:instrText>
            </w:r>
            <w:r w:rsidR="002C5DF6">
              <w:fldChar w:fldCharType="separate"/>
            </w:r>
            <w:bookmarkStart w:id="3" w:name="WAC_no"/>
            <w:r w:rsidR="00496FF6">
              <w:t>WAC 480-100-128(6)(k)</w:t>
            </w:r>
            <w:bookmarkEnd w:id="3"/>
            <w:r w:rsidR="002C5DF6">
              <w:fldChar w:fldCharType="end"/>
            </w:r>
            <w:r w:rsidR="00276B28">
              <w:t xml:space="preserve"> </w:t>
            </w:r>
            <w:r w:rsidR="00FA5503">
              <w:fldChar w:fldCharType="begin"/>
            </w:r>
            <w:r w:rsidR="00FA5503">
              <w:instrText xml:space="preserve"> REF WAC_no \* MERGEFORMAT</w:instrText>
            </w:r>
            <w:r w:rsidR="00FA5503">
              <w:fldChar w:fldCharType="separate"/>
            </w:r>
            <w:r w:rsidR="00FA5503">
              <w:t>WAC 480-100-128(6)(k)</w:t>
            </w:r>
            <w:r w:rsidR="00FA5503">
              <w:fldChar w:fldCharType="end"/>
            </w:r>
            <w:r w:rsidRPr="005E5651">
              <w:t xml:space="preserve"> Relating to </w:t>
            </w:r>
            <w:r w:rsidR="00496FF6">
              <w:t>Accepting Payment from Customers at Disconnection Service Address</w:t>
            </w:r>
          </w:p>
          <w:p w14:paraId="6DF9DDE4" w14:textId="77777777" w:rsidR="00446162" w:rsidRPr="005E5651" w:rsidRDefault="00446162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6DF9DDE5" w14:textId="77777777" w:rsidR="00446162" w:rsidRDefault="00446162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</w:p>
          <w:p w14:paraId="6DF9DDE6" w14:textId="77777777" w:rsidR="00B00880" w:rsidRDefault="00B00880">
            <w:pPr>
              <w:jc w:val="center"/>
            </w:pPr>
            <w:r>
              <w:t>)</w:t>
            </w:r>
          </w:p>
          <w:p w14:paraId="6DF9DDE7" w14:textId="77777777" w:rsidR="00B00880" w:rsidRDefault="00B00880">
            <w:pPr>
              <w:jc w:val="center"/>
            </w:pPr>
            <w:r>
              <w:t>)</w:t>
            </w:r>
          </w:p>
          <w:p w14:paraId="6DF9DDE8" w14:textId="77777777" w:rsidR="00B00880" w:rsidRPr="005E5651" w:rsidRDefault="00B00880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14:paraId="6DF9DDE9" w14:textId="77777777" w:rsidR="00446162" w:rsidRPr="005E5651" w:rsidRDefault="008C66E3">
            <w:r>
              <w:t xml:space="preserve">DOCKET </w:t>
            </w:r>
            <w:r w:rsidR="002C5DF6">
              <w:fldChar w:fldCharType="begin"/>
            </w:r>
            <w:r w:rsidR="00276B28">
              <w:instrText xml:space="preserve"> ASK docket_no "Enter Docket Number using XX=XXXXXX Format</w:instrText>
            </w:r>
            <w:r w:rsidR="002C5DF6">
              <w:fldChar w:fldCharType="separate"/>
            </w:r>
            <w:bookmarkStart w:id="4" w:name="docket_no"/>
            <w:r w:rsidR="00496FF6">
              <w:t>UE-120545</w:t>
            </w:r>
            <w:bookmarkEnd w:id="4"/>
            <w:r w:rsidR="002C5DF6">
              <w:fldChar w:fldCharType="end"/>
            </w:r>
            <w:r w:rsidR="004E48C8">
              <w:t>UE-130545</w:t>
            </w:r>
          </w:p>
          <w:p w14:paraId="6DF9DDEA" w14:textId="77777777" w:rsidR="00446162" w:rsidRPr="005E5651" w:rsidRDefault="00446162">
            <w:pPr>
              <w:ind w:left="720"/>
            </w:pPr>
          </w:p>
          <w:p w14:paraId="6DF9DDEB" w14:textId="77777777" w:rsidR="00446162" w:rsidRPr="005E5651" w:rsidRDefault="008C66E3">
            <w:r>
              <w:t xml:space="preserve">ORDER </w:t>
            </w:r>
            <w:r w:rsidR="002C5DF6">
              <w:fldChar w:fldCharType="begin"/>
            </w:r>
            <w:r w:rsidR="00276B28">
              <w:instrText xml:space="preserve"> ASK order_no "Enter Order Number"</w:instrText>
            </w:r>
            <w:r w:rsidR="002C5DF6">
              <w:fldChar w:fldCharType="separate"/>
            </w:r>
            <w:bookmarkStart w:id="5" w:name="order_no"/>
            <w:r w:rsidR="00496FF6">
              <w:t>01</w:t>
            </w:r>
            <w:bookmarkEnd w:id="5"/>
            <w:r w:rsidR="002C5DF6">
              <w:fldChar w:fldCharType="end"/>
            </w:r>
            <w:r w:rsidR="004E48C8">
              <w:t>01</w:t>
            </w:r>
          </w:p>
          <w:p w14:paraId="6DF9DDEC" w14:textId="77777777" w:rsidR="00446162" w:rsidRPr="005E5651" w:rsidRDefault="00446162">
            <w:pPr>
              <w:ind w:left="720"/>
            </w:pPr>
          </w:p>
          <w:p w14:paraId="6DF9DDED" w14:textId="77777777" w:rsidR="00446162" w:rsidRPr="005E5651" w:rsidRDefault="00446162">
            <w:pPr>
              <w:ind w:left="720"/>
            </w:pPr>
          </w:p>
          <w:p w14:paraId="6DF9DDEE" w14:textId="77777777" w:rsidR="00446162" w:rsidRPr="005E5651" w:rsidRDefault="00446162">
            <w:pPr>
              <w:ind w:left="720"/>
            </w:pPr>
          </w:p>
          <w:p w14:paraId="6DF9DDEF" w14:textId="77777777" w:rsidR="00446162" w:rsidRPr="005E5651" w:rsidRDefault="00446162">
            <w:pPr>
              <w:ind w:left="720"/>
            </w:pPr>
          </w:p>
          <w:p w14:paraId="66365C74" w14:textId="77777777" w:rsidR="00B07FCB" w:rsidRDefault="00B07FCB"/>
          <w:p w14:paraId="4E85B491" w14:textId="77777777" w:rsidR="00B07FCB" w:rsidRDefault="00B07FCB"/>
          <w:p w14:paraId="7A6D0420" w14:textId="77777777" w:rsidR="00B07FCB" w:rsidRDefault="00B07FCB"/>
          <w:p w14:paraId="6DF9DDF0" w14:textId="77777777" w:rsidR="00446162" w:rsidRPr="005E5651" w:rsidRDefault="00446162">
            <w:r w:rsidRPr="005E5651">
              <w:t xml:space="preserve">ORDER </w:t>
            </w:r>
            <w:r w:rsidR="00496FF6">
              <w:t>DENYING</w:t>
            </w:r>
            <w:r w:rsidRPr="005E5651">
              <w:t xml:space="preserve"> </w:t>
            </w:r>
          </w:p>
          <w:p w14:paraId="6DF9DDF1" w14:textId="77777777" w:rsidR="00446162" w:rsidRPr="005E5651" w:rsidRDefault="00446162">
            <w:r w:rsidRPr="005E5651">
              <w:t>EXEMPTION FROM RULE</w:t>
            </w:r>
          </w:p>
        </w:tc>
      </w:tr>
    </w:tbl>
    <w:p w14:paraId="6DF9DDF3" w14:textId="77777777" w:rsidR="00446162" w:rsidRDefault="00446162"/>
    <w:p w14:paraId="6DF9DDF4" w14:textId="77777777" w:rsidR="00446162" w:rsidRPr="005E5651" w:rsidRDefault="00446162" w:rsidP="00D478E7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14:paraId="6DF9DDF5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DF9DDF6" w14:textId="77777777" w:rsidR="00446162" w:rsidRPr="005E5651" w:rsidRDefault="00446162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 w:rsidRPr="005E5651">
        <w:t>On</w:t>
      </w:r>
      <w:r w:rsidR="00276B28">
        <w:t xml:space="preserve"> </w:t>
      </w:r>
      <w:r w:rsidR="002C5DF6">
        <w:fldChar w:fldCharType="begin"/>
      </w:r>
      <w:r w:rsidR="00276B28">
        <w:instrText xml:space="preserve"> ask filing_date "Enter Filing Date" </w:instrText>
      </w:r>
      <w:r w:rsidR="002C5DF6">
        <w:fldChar w:fldCharType="separate"/>
      </w:r>
      <w:bookmarkStart w:id="6" w:name="filing_date"/>
      <w:r w:rsidR="00496FF6">
        <w:t>April 15, 2013</w:t>
      </w:r>
      <w:bookmarkEnd w:id="6"/>
      <w:r w:rsidR="002C5DF6">
        <w:fldChar w:fldCharType="end"/>
      </w:r>
      <w:r w:rsidR="00FA5503">
        <w:fldChar w:fldCharType="begin"/>
      </w:r>
      <w:r w:rsidR="00FA5503">
        <w:instrText xml:space="preserve"> ref filing_date \* MERGEFORMAT</w:instrText>
      </w:r>
      <w:r w:rsidR="00FA5503">
        <w:fldChar w:fldCharType="separate"/>
      </w:r>
      <w:r w:rsidR="00FA5503">
        <w:t>April 15, 2013</w:t>
      </w:r>
      <w:r w:rsidR="00FA5503">
        <w:fldChar w:fldCharType="end"/>
      </w:r>
      <w:r w:rsidRPr="005E5651">
        <w:t xml:space="preserve">, </w:t>
      </w:r>
      <w:r w:rsidR="00FA5503">
        <w:fldChar w:fldCharType="begin"/>
      </w:r>
      <w:r w:rsidR="00FA5503">
        <w:instrText xml:space="preserve"> REF company1_name \* MERGEFORMAT</w:instrText>
      </w:r>
      <w:r w:rsidR="00FA5503">
        <w:fldChar w:fldCharType="separate"/>
      </w:r>
      <w:r w:rsidR="00FA5503">
        <w:t>PacifiCorp d/b/a Pacific Power</w:t>
      </w:r>
      <w:r w:rsidR="00FA5503">
        <w:fldChar w:fldCharType="end"/>
      </w:r>
      <w:r w:rsidRPr="005E5651">
        <w:t xml:space="preserve"> </w:t>
      </w:r>
      <w:r w:rsidR="00496FF6">
        <w:t xml:space="preserve">and Light Company </w:t>
      </w:r>
      <w:r w:rsidRPr="005E5651">
        <w:t>(</w:t>
      </w:r>
      <w:r w:rsidR="00FA5503">
        <w:fldChar w:fldCharType="begin"/>
      </w:r>
      <w:r w:rsidR="00FA5503">
        <w:instrText xml:space="preserve"> REF acronym1 \* MERGEFORMAT</w:instrText>
      </w:r>
      <w:r w:rsidR="00FA5503">
        <w:fldChar w:fldCharType="separate"/>
      </w:r>
      <w:r w:rsidR="00FA5503">
        <w:t>PacifiCorp</w:t>
      </w:r>
      <w:r w:rsidR="00FA5503">
        <w:fldChar w:fldCharType="end"/>
      </w:r>
      <w:r w:rsidR="00F26B60">
        <w:t xml:space="preserve"> or Company</w:t>
      </w:r>
      <w:r w:rsidRPr="005E5651">
        <w:t xml:space="preserve">) filed </w:t>
      </w:r>
      <w:r w:rsidR="001500D0">
        <w:t xml:space="preserve">with the Washington Utilities and Transportation Commission (Commission) </w:t>
      </w:r>
      <w:r w:rsidRPr="005E5651">
        <w:t xml:space="preserve">a petition requesting </w:t>
      </w:r>
      <w:r w:rsidR="0077044F">
        <w:t xml:space="preserve">an </w:t>
      </w:r>
      <w:r w:rsidRPr="005E5651">
        <w:t xml:space="preserve">exemption from </w:t>
      </w:r>
      <w:r w:rsidR="00FA5503">
        <w:fldChar w:fldCharType="begin"/>
      </w:r>
      <w:r w:rsidR="00FA5503">
        <w:instrText xml:space="preserve"> ref WAC_no </w:instrText>
      </w:r>
      <w:r w:rsidR="00FA5503">
        <w:fldChar w:fldCharType="separate"/>
      </w:r>
      <w:r w:rsidR="00FA5503">
        <w:t>WAC 480-100-128(6)(k)</w:t>
      </w:r>
      <w:r w:rsidR="00FA5503">
        <w:fldChar w:fldCharType="end"/>
      </w:r>
      <w:r w:rsidRPr="005E5651">
        <w:t>.</w:t>
      </w:r>
      <w:r w:rsidR="00936A12">
        <w:t xml:space="preserve">  That rule r</w:t>
      </w:r>
      <w:r w:rsidRPr="005E5651">
        <w:t>equires</w:t>
      </w:r>
      <w:r w:rsidR="00936A12">
        <w:t xml:space="preserve"> a utility representative dispatched to disconnect</w:t>
      </w:r>
      <w:r w:rsidRPr="005E5651">
        <w:t xml:space="preserve"> electric </w:t>
      </w:r>
      <w:r w:rsidR="00936A12">
        <w:t>service</w:t>
      </w:r>
      <w:r w:rsidRPr="005E5651">
        <w:t xml:space="preserve"> </w:t>
      </w:r>
      <w:r w:rsidR="00176654">
        <w:t>to accept payment of a delinquent account at a customer’s service address</w:t>
      </w:r>
      <w:r w:rsidR="00AB394F">
        <w:t xml:space="preserve"> to prevent disconnection of service</w:t>
      </w:r>
      <w:r w:rsidR="00176654">
        <w:t>.</w:t>
      </w:r>
    </w:p>
    <w:p w14:paraId="6DF9DDF7" w14:textId="77777777" w:rsidR="00446162" w:rsidRPr="005E5651" w:rsidRDefault="00446162" w:rsidP="00DA109E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</w:pPr>
    </w:p>
    <w:p w14:paraId="6DF9DDF8" w14:textId="77777777" w:rsidR="00F007FB" w:rsidRDefault="00FA5503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fldChar w:fldCharType="begin"/>
      </w:r>
      <w:r>
        <w:instrText xml:space="preserve"> REF acronym1 \* MERGEFORMAT</w:instrText>
      </w:r>
      <w:r>
        <w:fldChar w:fldCharType="separate"/>
      </w:r>
      <w:r>
        <w:t>PacifiCorp</w:t>
      </w:r>
      <w:r>
        <w:fldChar w:fldCharType="end"/>
      </w:r>
      <w:r w:rsidR="000C5B91">
        <w:t xml:space="preserve"> </w:t>
      </w:r>
      <w:r w:rsidR="00FC2AF3">
        <w:t>contended</w:t>
      </w:r>
      <w:r w:rsidR="00F26B60">
        <w:t xml:space="preserve"> that exemption from the rule would</w:t>
      </w:r>
      <w:r w:rsidR="000C5B91">
        <w:t xml:space="preserve"> improve safety </w:t>
      </w:r>
      <w:r w:rsidR="00936A12">
        <w:t xml:space="preserve">for its field workers </w:t>
      </w:r>
      <w:r w:rsidR="000C5B91">
        <w:t>by eliminating the</w:t>
      </w:r>
      <w:r w:rsidR="00936A12">
        <w:t>ir</w:t>
      </w:r>
      <w:r w:rsidR="000C5B91">
        <w:t xml:space="preserve"> need to </w:t>
      </w:r>
      <w:r w:rsidR="00176654">
        <w:t>carry or collect money</w:t>
      </w:r>
      <w:r w:rsidR="000C5B91">
        <w:t xml:space="preserve">, even when disconnecting a customer.  </w:t>
      </w:r>
      <w:r w:rsidR="00F26B60">
        <w:t>In support of this contention, the Company relate</w:t>
      </w:r>
      <w:r w:rsidR="00FC2AF3">
        <w:t>d</w:t>
      </w:r>
      <w:r w:rsidR="00F26B60">
        <w:t xml:space="preserve"> an incident in June 2012 in which a Mississippi utility employee </w:t>
      </w:r>
      <w:r w:rsidR="00B96479">
        <w:t xml:space="preserve">was </w:t>
      </w:r>
      <w:r w:rsidR="003E43A8">
        <w:t>killed by customer in the course of</w:t>
      </w:r>
      <w:r w:rsidR="00F26B60">
        <w:t xml:space="preserve"> disconnecting</w:t>
      </w:r>
      <w:r w:rsidR="003E43A8">
        <w:t xml:space="preserve"> his</w:t>
      </w:r>
      <w:r w:rsidR="00F26B60">
        <w:t xml:space="preserve"> </w:t>
      </w:r>
      <w:r w:rsidR="003E43A8">
        <w:t>service</w:t>
      </w:r>
      <w:r w:rsidR="00F26B60" w:rsidRPr="005E5651">
        <w:t>.</w:t>
      </w:r>
      <w:r w:rsidR="00F26B60">
        <w:t xml:space="preserve">  </w:t>
      </w:r>
      <w:r w:rsidR="000C5B91">
        <w:t>Pacifi</w:t>
      </w:r>
      <w:r w:rsidR="008F5F43">
        <w:t>C</w:t>
      </w:r>
      <w:r w:rsidR="000C5B91">
        <w:t xml:space="preserve">orp </w:t>
      </w:r>
      <w:r w:rsidR="00B00880">
        <w:t>suggest</w:t>
      </w:r>
      <w:r w:rsidR="00FC2AF3">
        <w:t>ed</w:t>
      </w:r>
      <w:r w:rsidR="00B00880">
        <w:t xml:space="preserve"> </w:t>
      </w:r>
      <w:r w:rsidR="00176654">
        <w:t xml:space="preserve">that </w:t>
      </w:r>
      <w:r w:rsidR="00B00880">
        <w:t xml:space="preserve">the variety of </w:t>
      </w:r>
      <w:r w:rsidR="00176654">
        <w:t xml:space="preserve">payment methods available </w:t>
      </w:r>
      <w:r w:rsidR="00B00880">
        <w:t xml:space="preserve">to </w:t>
      </w:r>
      <w:r w:rsidR="00176654">
        <w:t>customers</w:t>
      </w:r>
      <w:r w:rsidR="00472AD5">
        <w:t xml:space="preserve"> (</w:t>
      </w:r>
      <w:r w:rsidR="00B00880">
        <w:t>e.</w:t>
      </w:r>
      <w:r w:rsidR="00472AD5">
        <w:t>g.</w:t>
      </w:r>
      <w:r w:rsidR="00B00880">
        <w:t xml:space="preserve">, </w:t>
      </w:r>
      <w:r w:rsidR="00176654">
        <w:t>check or money order via U.S. mail, pay stations, drop boxes, online payment, and pay-by-telephone</w:t>
      </w:r>
      <w:r w:rsidR="00B00880">
        <w:t>)</w:t>
      </w:r>
      <w:r w:rsidR="00176654">
        <w:t xml:space="preserve"> </w:t>
      </w:r>
      <w:r w:rsidR="00871AAB">
        <w:t>are sufficient and that the</w:t>
      </w:r>
      <w:r w:rsidR="008F5F43">
        <w:t xml:space="preserve"> </w:t>
      </w:r>
      <w:r w:rsidR="00936A12">
        <w:lastRenderedPageBreak/>
        <w:t>rule requir</w:t>
      </w:r>
      <w:r w:rsidR="00871AAB">
        <w:t>ement</w:t>
      </w:r>
      <w:r w:rsidR="00176654">
        <w:t xml:space="preserve"> </w:t>
      </w:r>
      <w:r w:rsidR="00871AAB">
        <w:t xml:space="preserve">that </w:t>
      </w:r>
      <w:r w:rsidR="008F5F43">
        <w:t>utility workers accept paym</w:t>
      </w:r>
      <w:r w:rsidR="00176654">
        <w:t>ents in the field</w:t>
      </w:r>
      <w:r w:rsidR="00871AAB">
        <w:t xml:space="preserve"> unnecessarily endangers those employees</w:t>
      </w:r>
      <w:r w:rsidR="00176654">
        <w:t>.</w:t>
      </w:r>
    </w:p>
    <w:p w14:paraId="6DF9DDF9" w14:textId="77777777" w:rsidR="000F4C61" w:rsidRDefault="000F4C61" w:rsidP="000F4C61">
      <w:pPr>
        <w:pStyle w:val="Findings"/>
        <w:numPr>
          <w:ilvl w:val="0"/>
          <w:numId w:val="0"/>
        </w:numPr>
        <w:spacing w:line="320" w:lineRule="exact"/>
      </w:pPr>
    </w:p>
    <w:p w14:paraId="6DF9DDFA" w14:textId="77777777" w:rsidR="006D3FD2" w:rsidRDefault="00446162" w:rsidP="00DA109E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 w:rsidRPr="005E5651">
        <w:t xml:space="preserve">Commission Staff </w:t>
      </w:r>
      <w:r w:rsidR="00871AAB">
        <w:t>ma</w:t>
      </w:r>
      <w:r w:rsidR="00FC2AF3">
        <w:t>de</w:t>
      </w:r>
      <w:r w:rsidR="00871AAB">
        <w:t xml:space="preserve"> the following arguments in </w:t>
      </w:r>
      <w:r w:rsidR="000F4C61">
        <w:t>oppos</w:t>
      </w:r>
      <w:r w:rsidR="00871AAB">
        <w:t>ition to</w:t>
      </w:r>
      <w:r w:rsidR="00F007FB">
        <w:t xml:space="preserve"> </w:t>
      </w:r>
      <w:r w:rsidR="00184D02">
        <w:t>the</w:t>
      </w:r>
      <w:r w:rsidRPr="005E5651">
        <w:t xml:space="preserve"> </w:t>
      </w:r>
      <w:r w:rsidR="000F4C61">
        <w:t>petition</w:t>
      </w:r>
      <w:r w:rsidR="006D3FD2">
        <w:t>:</w:t>
      </w:r>
    </w:p>
    <w:p w14:paraId="6DF9DDFB" w14:textId="77777777" w:rsidR="006D3FD2" w:rsidRDefault="006D3FD2" w:rsidP="006A2FF6">
      <w:pPr>
        <w:pStyle w:val="ListParagraph"/>
      </w:pPr>
    </w:p>
    <w:p w14:paraId="6DF9DDFC" w14:textId="77777777" w:rsidR="006D3FD2" w:rsidRDefault="00871AAB" w:rsidP="00113C3C">
      <w:pPr>
        <w:pStyle w:val="Findings"/>
        <w:numPr>
          <w:ilvl w:val="1"/>
          <w:numId w:val="4"/>
        </w:numPr>
        <w:tabs>
          <w:tab w:val="clear" w:pos="1440"/>
          <w:tab w:val="num" w:pos="1080"/>
        </w:tabs>
        <w:spacing w:line="320" w:lineRule="exact"/>
        <w:ind w:left="1080"/>
      </w:pPr>
      <w:r>
        <w:t>T</w:t>
      </w:r>
      <w:r w:rsidR="00E70233">
        <w:t xml:space="preserve">here is no evidence that </w:t>
      </w:r>
      <w:r w:rsidR="00B00880">
        <w:t xml:space="preserve">utility </w:t>
      </w:r>
      <w:r w:rsidR="000F4C61">
        <w:t xml:space="preserve">field employees are </w:t>
      </w:r>
      <w:r w:rsidR="00AB394F">
        <w:t xml:space="preserve">publicly </w:t>
      </w:r>
      <w:r w:rsidR="00E70233">
        <w:t>known to carry cash</w:t>
      </w:r>
      <w:r w:rsidR="000F4C61">
        <w:t xml:space="preserve"> or are otherwise targeted for crime</w:t>
      </w:r>
      <w:r w:rsidR="00B00880">
        <w:t>.</w:t>
      </w:r>
    </w:p>
    <w:p w14:paraId="6DF9DDFD" w14:textId="024B5EAF" w:rsidR="006D3FD2" w:rsidRDefault="000F4C61" w:rsidP="00113C3C">
      <w:pPr>
        <w:pStyle w:val="Findings"/>
        <w:numPr>
          <w:ilvl w:val="1"/>
          <w:numId w:val="4"/>
        </w:numPr>
        <w:tabs>
          <w:tab w:val="clear" w:pos="1440"/>
          <w:tab w:val="num" w:pos="1080"/>
        </w:tabs>
        <w:spacing w:line="320" w:lineRule="exact"/>
        <w:ind w:left="1080"/>
      </w:pPr>
      <w:r>
        <w:t>T</w:t>
      </w:r>
      <w:r w:rsidR="0064495C">
        <w:t>he Mississippi case</w:t>
      </w:r>
      <w:r>
        <w:t xml:space="preserve"> is certainly tragic, but </w:t>
      </w:r>
      <w:r w:rsidR="00BB5E03">
        <w:t xml:space="preserve">it does not appear to be </w:t>
      </w:r>
      <w:r w:rsidR="004E761A">
        <w:t xml:space="preserve">have been </w:t>
      </w:r>
      <w:r w:rsidR="00BB5E03">
        <w:t xml:space="preserve">related to the utility </w:t>
      </w:r>
      <w:r w:rsidR="004E761A">
        <w:t>employee</w:t>
      </w:r>
      <w:r w:rsidR="00BB5E03">
        <w:t xml:space="preserve"> carrying money.</w:t>
      </w:r>
    </w:p>
    <w:p w14:paraId="6DF9DDFE" w14:textId="77777777" w:rsidR="006D3FD2" w:rsidRDefault="00184D02" w:rsidP="00113C3C">
      <w:pPr>
        <w:pStyle w:val="Findings"/>
        <w:numPr>
          <w:ilvl w:val="1"/>
          <w:numId w:val="4"/>
        </w:numPr>
        <w:tabs>
          <w:tab w:val="clear" w:pos="1440"/>
          <w:tab w:val="num" w:pos="1080"/>
        </w:tabs>
        <w:spacing w:line="320" w:lineRule="exact"/>
        <w:ind w:left="1080"/>
      </w:pPr>
      <w:r>
        <w:t>The rule allowing customers to pay their utility bills immediately before disconnection protects the most vulnerable customers: those who may not have bank accounts, transportation, t</w:t>
      </w:r>
      <w:r w:rsidR="006A2FF6">
        <w:t>elephones, or Internet access.</w:t>
      </w:r>
    </w:p>
    <w:p w14:paraId="6DF9DDFF" w14:textId="76C82988" w:rsidR="001C0BFC" w:rsidRDefault="00DA2EF9" w:rsidP="00113C3C">
      <w:pPr>
        <w:pStyle w:val="Findings"/>
        <w:numPr>
          <w:ilvl w:val="1"/>
          <w:numId w:val="4"/>
        </w:numPr>
        <w:tabs>
          <w:tab w:val="clear" w:pos="1440"/>
          <w:tab w:val="num" w:pos="1080"/>
        </w:tabs>
        <w:spacing w:line="320" w:lineRule="exact"/>
        <w:ind w:left="1080"/>
      </w:pPr>
      <w:r>
        <w:t>Staff offer</w:t>
      </w:r>
      <w:r w:rsidR="00FC2AF3">
        <w:t>ed</w:t>
      </w:r>
      <w:r>
        <w:t xml:space="preserve"> other</w:t>
      </w:r>
      <w:r w:rsidR="00B945AC">
        <w:t xml:space="preserve"> ways to protect PacifiCorp employees while still allowing them to receive paym</w:t>
      </w:r>
      <w:r w:rsidR="00184D02">
        <w:t>ent from delinquent customers</w:t>
      </w:r>
      <w:r w:rsidR="00B96479">
        <w:t xml:space="preserve">, such as sending two employees </w:t>
      </w:r>
      <w:r w:rsidR="004E761A">
        <w:t xml:space="preserve">to </w:t>
      </w:r>
      <w:r w:rsidR="00B96479">
        <w:t xml:space="preserve">disconnect </w:t>
      </w:r>
      <w:r w:rsidR="004E761A">
        <w:t xml:space="preserve">service, </w:t>
      </w:r>
      <w:r w:rsidR="00B96479">
        <w:t xml:space="preserve">or </w:t>
      </w:r>
      <w:r w:rsidR="008A49EE">
        <w:t xml:space="preserve">installing lock boxes and </w:t>
      </w:r>
      <w:r w:rsidR="00B96479">
        <w:t>affix</w:t>
      </w:r>
      <w:r w:rsidR="008A49EE">
        <w:t>ing</w:t>
      </w:r>
      <w:r w:rsidR="00B96479">
        <w:t xml:space="preserve"> labels to company trucks that say “drivers do not carry cash</w:t>
      </w:r>
      <w:r w:rsidR="00184D02">
        <w:t>.</w:t>
      </w:r>
      <w:r w:rsidR="00B96479">
        <w:t>”</w:t>
      </w:r>
    </w:p>
    <w:p w14:paraId="6DF9DE00" w14:textId="77777777" w:rsidR="005064BF" w:rsidRDefault="005064BF" w:rsidP="005064BF">
      <w:pPr>
        <w:pStyle w:val="ListParagraph"/>
      </w:pPr>
    </w:p>
    <w:p w14:paraId="6DF9DE01" w14:textId="77EE3EAA" w:rsidR="00BB5E03" w:rsidRDefault="005064BF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t>Public Cou</w:t>
      </w:r>
      <w:r w:rsidR="00760F80">
        <w:t xml:space="preserve">nsel </w:t>
      </w:r>
      <w:r w:rsidR="006D3FD2">
        <w:t xml:space="preserve">and a representative of </w:t>
      </w:r>
      <w:r w:rsidR="00AB394F">
        <w:t>T</w:t>
      </w:r>
      <w:r w:rsidR="006D3FD2">
        <w:t xml:space="preserve">he Energy Project </w:t>
      </w:r>
      <w:r w:rsidR="00760F80">
        <w:t>also oppose</w:t>
      </w:r>
      <w:r w:rsidR="00FC2AF3">
        <w:t>d</w:t>
      </w:r>
      <w:r w:rsidR="00760F80">
        <w:t xml:space="preserve"> the petition, </w:t>
      </w:r>
      <w:r w:rsidR="00CD49D8">
        <w:t>pointing out that public policy favors keeping customers connected and citing</w:t>
      </w:r>
      <w:r w:rsidR="00760F80">
        <w:t xml:space="preserve"> many of the same reasons </w:t>
      </w:r>
      <w:r w:rsidR="00CD49D8">
        <w:t>raised</w:t>
      </w:r>
      <w:r w:rsidR="00760F80">
        <w:t xml:space="preserve"> by Staff</w:t>
      </w:r>
      <w:r w:rsidR="004E761A">
        <w:t xml:space="preserve">. The Energy Project </w:t>
      </w:r>
      <w:r w:rsidR="00DD1580">
        <w:t>also point</w:t>
      </w:r>
      <w:r w:rsidR="004E761A">
        <w:t>ed</w:t>
      </w:r>
      <w:r w:rsidR="00DD1580">
        <w:t xml:space="preserve"> out that </w:t>
      </w:r>
      <w:r w:rsidR="004E761A">
        <w:t xml:space="preserve">refusing to accept customer payments </w:t>
      </w:r>
      <w:r w:rsidR="00DD1580">
        <w:t>could</w:t>
      </w:r>
      <w:r w:rsidR="004E761A">
        <w:t>, in fact,</w:t>
      </w:r>
      <w:r w:rsidR="00DD1580">
        <w:t xml:space="preserve"> </w:t>
      </w:r>
      <w:r w:rsidR="004E761A">
        <w:t>increase the</w:t>
      </w:r>
      <w:r w:rsidR="00DD1580">
        <w:t xml:space="preserve"> safety risk to</w:t>
      </w:r>
      <w:r w:rsidR="00492225">
        <w:t xml:space="preserve"> company employees.</w:t>
      </w:r>
      <w:r w:rsidR="00DD1580">
        <w:t xml:space="preserve"> </w:t>
      </w:r>
    </w:p>
    <w:p w14:paraId="6DF9DE02" w14:textId="77777777" w:rsidR="00BB5E03" w:rsidRDefault="00BB5E03" w:rsidP="00DA109E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</w:pPr>
    </w:p>
    <w:p w14:paraId="6DF9DE03" w14:textId="207C239D" w:rsidR="00BB5E03" w:rsidRDefault="00BB5E03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t xml:space="preserve">The Commission considered PacifiCorp’s petition at its </w:t>
      </w:r>
      <w:r w:rsidR="00492225">
        <w:t>May 30, 2013,</w:t>
      </w:r>
      <w:r>
        <w:t xml:space="preserve"> Open Meeting.  Given that resolution of the issue could impact other investor-owned electric and gas utilities, the Commission deferred action on the petition and indicated that it would open a rule-making proceeding.  The Commission </w:t>
      </w:r>
      <w:r w:rsidR="004E761A">
        <w:t>filed</w:t>
      </w:r>
      <w:r>
        <w:t xml:space="preserve"> the requisite notice with the Code Reviser on </w:t>
      </w:r>
      <w:r w:rsidR="00492225">
        <w:t>July 1, 2013,</w:t>
      </w:r>
      <w:r>
        <w:t xml:space="preserve"> in docket </w:t>
      </w:r>
      <w:r w:rsidR="00492225">
        <w:t>UE-131087</w:t>
      </w:r>
      <w:r>
        <w:t xml:space="preserve">.  The Commission in that proceeding heard comments from all investor-owned </w:t>
      </w:r>
      <w:r w:rsidR="00492225">
        <w:t xml:space="preserve">electric and natural gas </w:t>
      </w:r>
      <w:r>
        <w:t>utilities in the state</w:t>
      </w:r>
      <w:r w:rsidR="00492225">
        <w:t xml:space="preserve">. </w:t>
      </w:r>
      <w:r w:rsidR="00D21864">
        <w:t xml:space="preserve"> </w:t>
      </w:r>
      <w:r w:rsidR="00492225">
        <w:t>Puget Sound Energy and Avista noted that they did</w:t>
      </w:r>
      <w:r>
        <w:t xml:space="preserve"> not share the concerns expressed by PacifiCorp.  </w:t>
      </w:r>
    </w:p>
    <w:p w14:paraId="6DF9DE04" w14:textId="77777777" w:rsidR="00DD1580" w:rsidRDefault="00DD1580" w:rsidP="00DA109E">
      <w:pPr>
        <w:pStyle w:val="ListParagraph"/>
        <w:tabs>
          <w:tab w:val="num" w:pos="0"/>
        </w:tabs>
        <w:ind w:left="0" w:hanging="720"/>
      </w:pPr>
    </w:p>
    <w:p w14:paraId="6DF9DE05" w14:textId="77777777" w:rsidR="00DD1580" w:rsidRDefault="00DD1580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t xml:space="preserve">Commission Staff now brings this matter to </w:t>
      </w:r>
      <w:r w:rsidR="004E761A">
        <w:t xml:space="preserve">the </w:t>
      </w:r>
      <w:r>
        <w:t xml:space="preserve">Commission with a recommendation to deny the petition and concurrently </w:t>
      </w:r>
      <w:r w:rsidR="00492225">
        <w:t>close the docket in</w:t>
      </w:r>
      <w:r>
        <w:t xml:space="preserve"> the rule-making proceeding.  </w:t>
      </w:r>
    </w:p>
    <w:p w14:paraId="6DF9DE06" w14:textId="77777777" w:rsidR="003D1658" w:rsidRDefault="003D1658" w:rsidP="00DA109E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</w:pPr>
    </w:p>
    <w:p w14:paraId="6DF9DE07" w14:textId="77777777" w:rsidR="001C0BFC" w:rsidRPr="00472AD5" w:rsidRDefault="001C0BFC" w:rsidP="00DA109E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  <w:jc w:val="center"/>
        <w:rPr>
          <w:b/>
        </w:rPr>
      </w:pPr>
      <w:r w:rsidRPr="00472AD5">
        <w:rPr>
          <w:b/>
        </w:rPr>
        <w:t>DISCUSSION</w:t>
      </w:r>
    </w:p>
    <w:p w14:paraId="6DF9DE08" w14:textId="77777777" w:rsidR="00D509DA" w:rsidRDefault="00D509DA" w:rsidP="00DA109E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</w:pPr>
    </w:p>
    <w:p w14:paraId="6DF9DE09" w14:textId="77777777" w:rsidR="00DA2EF9" w:rsidRPr="003D1658" w:rsidRDefault="00D509DA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lastRenderedPageBreak/>
        <w:t>The Commission may grant an exemption from a rule if consistent with the public interest, the purposes underlying regulation, and applicable statutes.</w:t>
      </w:r>
      <w:r w:rsidR="00DA2EF9">
        <w:rPr>
          <w:rStyle w:val="FootnoteReference"/>
        </w:rPr>
        <w:footnoteReference w:id="1"/>
      </w:r>
      <w:r>
        <w:t xml:space="preserve">  </w:t>
      </w:r>
      <w:r w:rsidR="00DA2EF9">
        <w:t>The Commission requires electric companies filing petitions for exemption to provide a full explanation of the reason for the request and to provide a copy to Public Counsel.</w:t>
      </w:r>
      <w:r w:rsidR="00DA2EF9">
        <w:rPr>
          <w:rStyle w:val="FootnoteReference"/>
        </w:rPr>
        <w:footnoteReference w:id="2"/>
      </w:r>
      <w:r w:rsidR="00DA2EF9">
        <w:t xml:space="preserve">  The Commission evaluates requests for </w:t>
      </w:r>
      <w:r w:rsidR="00DA2EF9" w:rsidRPr="003D1658">
        <w:t>exemption under a “public interest standard,” factoring in whether application of the rule imposes undue hardship on the requester</w:t>
      </w:r>
      <w:r w:rsidR="00EE6AA4" w:rsidRPr="003D1658">
        <w:t xml:space="preserve"> of a different kind or degree than others similarly situated</w:t>
      </w:r>
      <w:r w:rsidR="004E761A">
        <w:t>,</w:t>
      </w:r>
      <w:r w:rsidR="00DA2EF9" w:rsidRPr="003D1658">
        <w:t xml:space="preserve"> </w:t>
      </w:r>
      <w:r w:rsidR="00EE6AA4" w:rsidRPr="003D1658">
        <w:t>and whether application of the rule would be contrary to the underlying purposes of the rule.</w:t>
      </w:r>
      <w:r w:rsidR="00EE6AA4" w:rsidRPr="003D1658">
        <w:rPr>
          <w:rStyle w:val="FootnoteReference"/>
        </w:rPr>
        <w:footnoteReference w:id="3"/>
      </w:r>
    </w:p>
    <w:p w14:paraId="6DF9DE0A" w14:textId="77777777" w:rsidR="00DA2EF9" w:rsidRPr="003D1658" w:rsidRDefault="00DA2EF9" w:rsidP="00DA2EF9">
      <w:pPr>
        <w:pStyle w:val="Findings"/>
        <w:numPr>
          <w:ilvl w:val="0"/>
          <w:numId w:val="0"/>
        </w:numPr>
        <w:spacing w:line="320" w:lineRule="exact"/>
      </w:pPr>
    </w:p>
    <w:p w14:paraId="6DF9DE0B" w14:textId="77777777" w:rsidR="00506C77" w:rsidRDefault="002C5DF6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 w:rsidRPr="003D1658">
        <w:fldChar w:fldCharType="begin"/>
      </w:r>
      <w:r w:rsidR="00F51903" w:rsidRPr="003D1658">
        <w:instrText xml:space="preserve"> ref WAC_no </w:instrText>
      </w:r>
      <w:r w:rsidRPr="003D1658">
        <w:fldChar w:fldCharType="separate"/>
      </w:r>
      <w:r w:rsidR="00FA5503">
        <w:t>WAC 480-100-128(6</w:t>
      </w:r>
      <w:proofErr w:type="gramStart"/>
      <w:r w:rsidR="00FA5503">
        <w:t>)(</w:t>
      </w:r>
      <w:proofErr w:type="gramEnd"/>
      <w:r w:rsidR="00FA5503">
        <w:t>k)</w:t>
      </w:r>
      <w:r w:rsidRPr="003D1658">
        <w:fldChar w:fldCharType="end"/>
      </w:r>
      <w:r w:rsidR="00F51903" w:rsidRPr="003D1658">
        <w:t xml:space="preserve"> </w:t>
      </w:r>
      <w:r w:rsidR="00506C77" w:rsidRPr="003D1658">
        <w:t xml:space="preserve">provides </w:t>
      </w:r>
      <w:r w:rsidR="00C02B7A">
        <w:t xml:space="preserve">electric </w:t>
      </w:r>
      <w:r w:rsidR="00506C77" w:rsidRPr="003D1658">
        <w:t xml:space="preserve">utility customers a last chance opportunity to bring delinquent accounts current and avoid disconnection.  Requiring workers </w:t>
      </w:r>
      <w:r w:rsidR="005064BF" w:rsidRPr="003D1658">
        <w:t xml:space="preserve">in the field </w:t>
      </w:r>
      <w:r w:rsidR="00506C77" w:rsidRPr="003D1658">
        <w:t>t</w:t>
      </w:r>
      <w:r w:rsidR="001C0BFC" w:rsidRPr="003D1658">
        <w:t xml:space="preserve">o accept payments when disconnecting </w:t>
      </w:r>
      <w:r w:rsidR="00184D02">
        <w:t>service</w:t>
      </w:r>
      <w:r w:rsidR="001C0BFC" w:rsidRPr="003D1658">
        <w:t xml:space="preserve"> is an important protection for t</w:t>
      </w:r>
      <w:r w:rsidR="00506C77" w:rsidRPr="003D1658">
        <w:t xml:space="preserve">he </w:t>
      </w:r>
      <w:r w:rsidR="009F5B5C">
        <w:t xml:space="preserve">utility’s </w:t>
      </w:r>
      <w:r w:rsidR="00506C77" w:rsidRPr="003D1658">
        <w:t>most vulnerable</w:t>
      </w:r>
      <w:r w:rsidR="00184D02">
        <w:t xml:space="preserve"> customers</w:t>
      </w:r>
      <w:r w:rsidR="00506C77" w:rsidRPr="003D1658">
        <w:t>.</w:t>
      </w:r>
    </w:p>
    <w:p w14:paraId="6DF9DE0C" w14:textId="77777777" w:rsidR="003D1658" w:rsidRDefault="003D1658" w:rsidP="00DA109E">
      <w:pPr>
        <w:pStyle w:val="ListParagraph"/>
        <w:tabs>
          <w:tab w:val="num" w:pos="0"/>
        </w:tabs>
        <w:ind w:left="0" w:hanging="720"/>
      </w:pPr>
    </w:p>
    <w:p w14:paraId="6DF9DE0D" w14:textId="77777777" w:rsidR="003D1658" w:rsidRDefault="005D4624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 w:rsidRPr="003D1658">
        <w:t>PacifiCorp</w:t>
      </w:r>
      <w:r w:rsidR="00506C77" w:rsidRPr="003D1658">
        <w:t xml:space="preserve">’s request for an </w:t>
      </w:r>
      <w:r w:rsidRPr="003D1658">
        <w:t xml:space="preserve">exemption from the rule is </w:t>
      </w:r>
      <w:r w:rsidR="00506C77" w:rsidRPr="003D1658">
        <w:t xml:space="preserve">not in the public interest.  </w:t>
      </w:r>
      <w:r w:rsidR="003D1658">
        <w:t>Utility disconnection is a serious consequence to customer</w:t>
      </w:r>
      <w:r w:rsidR="00BB5E03">
        <w:t>s</w:t>
      </w:r>
      <w:r w:rsidR="003D1658">
        <w:t xml:space="preserve">, </w:t>
      </w:r>
      <w:r w:rsidR="009F5B5C">
        <w:t>depriving them of a vital service</w:t>
      </w:r>
      <w:r w:rsidR="003D1658">
        <w:t xml:space="preserve">.  Exempting PacifiCorp from the requirement </w:t>
      </w:r>
      <w:r w:rsidR="00E30626">
        <w:t>to</w:t>
      </w:r>
      <w:r w:rsidR="003D1658">
        <w:t xml:space="preserve"> provid</w:t>
      </w:r>
      <w:r w:rsidR="00E30626">
        <w:t>e</w:t>
      </w:r>
      <w:r w:rsidR="003D1658">
        <w:t xml:space="preserve"> </w:t>
      </w:r>
      <w:r w:rsidR="00E30626">
        <w:t xml:space="preserve">customers one last chance to make a payment and avoid disconnection will not </w:t>
      </w:r>
      <w:r w:rsidR="005064BF">
        <w:t xml:space="preserve">necessarily </w:t>
      </w:r>
      <w:r w:rsidR="00E30626">
        <w:t>make its utility field workers sa</w:t>
      </w:r>
      <w:r w:rsidR="00527A35">
        <w:t>fe from disgruntled customers.</w:t>
      </w:r>
    </w:p>
    <w:p w14:paraId="6DF9DE0E" w14:textId="77777777" w:rsidR="00184D02" w:rsidRDefault="00184D02" w:rsidP="00DA109E">
      <w:pPr>
        <w:pStyle w:val="ListParagraph"/>
        <w:tabs>
          <w:tab w:val="num" w:pos="0"/>
        </w:tabs>
        <w:ind w:left="0" w:hanging="720"/>
      </w:pPr>
    </w:p>
    <w:p w14:paraId="6DF9DE0F" w14:textId="25864E0B" w:rsidR="005064BF" w:rsidRDefault="00184D02" w:rsidP="00C77B05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t>All electric utilities in Washington</w:t>
      </w:r>
      <w:r w:rsidR="009F5B5C">
        <w:t>, moreover,</w:t>
      </w:r>
      <w:r>
        <w:t xml:space="preserve"> </w:t>
      </w:r>
      <w:r w:rsidR="009F5B5C">
        <w:t>must</w:t>
      </w:r>
      <w:r>
        <w:t xml:space="preserve"> accept payments in the field under this very limited circumstance.  PacifiCorp </w:t>
      </w:r>
      <w:r w:rsidR="009F5B5C">
        <w:t xml:space="preserve">offers no </w:t>
      </w:r>
      <w:r w:rsidR="00FC5855">
        <w:t xml:space="preserve">compelling </w:t>
      </w:r>
      <w:r w:rsidR="009F5B5C">
        <w:t xml:space="preserve">reason why its disconnection practices or circumstances are unique or otherwise justify </w:t>
      </w:r>
      <w:r>
        <w:t>an exemption to th</w:t>
      </w:r>
      <w:r w:rsidR="009F5B5C">
        <w:t>e</w:t>
      </w:r>
      <w:r>
        <w:t xml:space="preserve"> rule </w:t>
      </w:r>
      <w:r w:rsidR="009F5B5C">
        <w:t xml:space="preserve">that </w:t>
      </w:r>
      <w:r>
        <w:t xml:space="preserve">would </w:t>
      </w:r>
      <w:r w:rsidR="005064BF">
        <w:t>set the company apart from other regulated utilities</w:t>
      </w:r>
      <w:r w:rsidR="000B0AF2">
        <w:t xml:space="preserve">.  Further, an exemption </w:t>
      </w:r>
      <w:r w:rsidR="00871AAB">
        <w:t xml:space="preserve">would </w:t>
      </w:r>
      <w:r>
        <w:t xml:space="preserve">be contrary to the underlying purpose of </w:t>
      </w:r>
      <w:r w:rsidR="005064BF">
        <w:t>the rule</w:t>
      </w:r>
      <w:r w:rsidR="000B0AF2">
        <w:t xml:space="preserve">: </w:t>
      </w:r>
      <w:r w:rsidR="00D21864">
        <w:t xml:space="preserve"> </w:t>
      </w:r>
      <w:r w:rsidR="00C02B7A">
        <w:t>to</w:t>
      </w:r>
      <w:r w:rsidR="005064BF">
        <w:t xml:space="preserve"> </w:t>
      </w:r>
      <w:r>
        <w:t>ensur</w:t>
      </w:r>
      <w:r w:rsidR="00C02B7A">
        <w:t>e</w:t>
      </w:r>
      <w:r>
        <w:t xml:space="preserve"> that </w:t>
      </w:r>
      <w:r w:rsidR="00C02B7A">
        <w:t xml:space="preserve">an electric utility </w:t>
      </w:r>
      <w:r>
        <w:t>disconnect</w:t>
      </w:r>
      <w:r w:rsidR="00C02B7A">
        <w:t>s</w:t>
      </w:r>
      <w:r>
        <w:t xml:space="preserve"> service only as a last resort.</w:t>
      </w:r>
    </w:p>
    <w:p w14:paraId="6DF9DE10" w14:textId="77777777" w:rsidR="005064BF" w:rsidRDefault="005064BF" w:rsidP="00DA109E">
      <w:pPr>
        <w:pStyle w:val="ListParagraph"/>
        <w:tabs>
          <w:tab w:val="num" w:pos="0"/>
        </w:tabs>
        <w:ind w:left="0" w:hanging="720"/>
      </w:pPr>
    </w:p>
    <w:p w14:paraId="6DF9DE11" w14:textId="622414A7" w:rsidR="00184D02" w:rsidRDefault="005064BF" w:rsidP="00DA109E">
      <w:pPr>
        <w:pStyle w:val="Findings"/>
        <w:tabs>
          <w:tab w:val="clear" w:pos="720"/>
          <w:tab w:val="num" w:pos="0"/>
        </w:tabs>
        <w:spacing w:line="320" w:lineRule="exact"/>
        <w:ind w:left="0"/>
      </w:pPr>
      <w:r>
        <w:t xml:space="preserve">We </w:t>
      </w:r>
      <w:r w:rsidR="00871AAB">
        <w:t>appreciate and share</w:t>
      </w:r>
      <w:r>
        <w:t xml:space="preserve"> PacifiCorp</w:t>
      </w:r>
      <w:r w:rsidR="00871AAB">
        <w:t>’s concern for the safety of</w:t>
      </w:r>
      <w:r>
        <w:t xml:space="preserve"> its field workers</w:t>
      </w:r>
      <w:r w:rsidR="009F5B5C">
        <w:t>.</w:t>
      </w:r>
      <w:r>
        <w:t xml:space="preserve"> </w:t>
      </w:r>
      <w:r w:rsidR="009F5B5C">
        <w:t xml:space="preserve"> W</w:t>
      </w:r>
      <w:r>
        <w:t xml:space="preserve">e </w:t>
      </w:r>
      <w:r w:rsidR="009F5B5C">
        <w:t xml:space="preserve">nevertheless </w:t>
      </w:r>
      <w:r w:rsidR="00871AAB">
        <w:t xml:space="preserve">find no basis in the Company’s petition to </w:t>
      </w:r>
      <w:r w:rsidR="009F5B5C">
        <w:t xml:space="preserve">conclude </w:t>
      </w:r>
      <w:r w:rsidR="00871AAB">
        <w:t xml:space="preserve">that </w:t>
      </w:r>
      <w:r w:rsidR="00D21864">
        <w:t xml:space="preserve">there is an </w:t>
      </w:r>
      <w:r w:rsidR="006D3FD2">
        <w:t>increased</w:t>
      </w:r>
      <w:r w:rsidR="00871AAB">
        <w:t xml:space="preserve"> risk to </w:t>
      </w:r>
      <w:r w:rsidR="006D3FD2">
        <w:t xml:space="preserve">its </w:t>
      </w:r>
      <w:r w:rsidR="00871AAB">
        <w:t xml:space="preserve">employees as a result of </w:t>
      </w:r>
      <w:r w:rsidR="009F5B5C">
        <w:t xml:space="preserve">PacifiCorp’s </w:t>
      </w:r>
      <w:r w:rsidR="00871AAB">
        <w:t>compliance with WAC 480-100-128(6)(k)</w:t>
      </w:r>
      <w:r w:rsidR="000B0AF2">
        <w:t xml:space="preserve">.  </w:t>
      </w:r>
      <w:r w:rsidR="00DD1580">
        <w:t xml:space="preserve">Indeed, </w:t>
      </w:r>
      <w:r w:rsidR="00492225">
        <w:t>t</w:t>
      </w:r>
      <w:r w:rsidR="00FC5855">
        <w:t xml:space="preserve">he evidence presented does not support a causal connection between accepting payments in the field and threats or </w:t>
      </w:r>
      <w:r w:rsidR="00FA1203">
        <w:t xml:space="preserve">other </w:t>
      </w:r>
      <w:r w:rsidR="00FC5855">
        <w:t xml:space="preserve">violent occurrences.  </w:t>
      </w:r>
      <w:r w:rsidR="000B0AF2">
        <w:t xml:space="preserve">Any such risk can be </w:t>
      </w:r>
      <w:r w:rsidR="00871AAB">
        <w:t>sufficiently mitigated through other precautions including</w:t>
      </w:r>
      <w:r w:rsidR="000B0AF2">
        <w:t>,</w:t>
      </w:r>
      <w:r w:rsidR="00871AAB">
        <w:t xml:space="preserve"> but not necessarily limited to</w:t>
      </w:r>
      <w:r w:rsidR="000B0AF2">
        <w:t>,</w:t>
      </w:r>
      <w:r w:rsidR="00871AAB">
        <w:t xml:space="preserve"> the measures that Staff proposes</w:t>
      </w:r>
      <w:r>
        <w:t>.</w:t>
      </w:r>
      <w:r w:rsidR="00DD1580">
        <w:t xml:space="preserve">  I</w:t>
      </w:r>
      <w:r w:rsidR="00C92AA0">
        <w:t xml:space="preserve">n any event, even if </w:t>
      </w:r>
      <w:r w:rsidR="00492225">
        <w:t xml:space="preserve">there </w:t>
      </w:r>
      <w:r w:rsidR="00C92AA0">
        <w:t xml:space="preserve">were some </w:t>
      </w:r>
      <w:r w:rsidR="00C92AA0">
        <w:lastRenderedPageBreak/>
        <w:t xml:space="preserve">reduction in risk if utility personnel did not carry money, </w:t>
      </w:r>
      <w:r w:rsidR="00492225">
        <w:t>it would</w:t>
      </w:r>
      <w:r w:rsidR="00C92AA0">
        <w:t xml:space="preserve"> likely be </w:t>
      </w:r>
      <w:r w:rsidR="004E761A">
        <w:t>offset</w:t>
      </w:r>
      <w:r w:rsidR="00C92AA0">
        <w:t xml:space="preserve"> by </w:t>
      </w:r>
      <w:r w:rsidR="00492225">
        <w:t xml:space="preserve">the </w:t>
      </w:r>
      <w:r w:rsidR="00C92AA0">
        <w:t xml:space="preserve">increased risk </w:t>
      </w:r>
      <w:r w:rsidR="004E761A">
        <w:t>created</w:t>
      </w:r>
      <w:r w:rsidR="00C92AA0">
        <w:t xml:space="preserve"> by their inability to accept payments in the field</w:t>
      </w:r>
      <w:r w:rsidR="00492225">
        <w:t>,</w:t>
      </w:r>
      <w:r w:rsidR="00C92AA0">
        <w:t xml:space="preserve"> and the additional impacts of that </w:t>
      </w:r>
      <w:r w:rsidR="004E761A">
        <w:t>change</w:t>
      </w:r>
      <w:r w:rsidR="00FA1203">
        <w:t xml:space="preserve"> </w:t>
      </w:r>
      <w:r w:rsidR="00C92AA0">
        <w:t xml:space="preserve">on the utility’s most vulnerable consumers.  </w:t>
      </w:r>
      <w:r w:rsidR="00DD1580">
        <w:t>Accordingly, we deny PacifiCorp’s petition.</w:t>
      </w:r>
      <w:r w:rsidR="00DD1580">
        <w:rPr>
          <w:rStyle w:val="FootnoteReference"/>
        </w:rPr>
        <w:footnoteReference w:id="4"/>
      </w:r>
    </w:p>
    <w:p w14:paraId="6DF9DE12" w14:textId="77777777" w:rsidR="003D1658" w:rsidRDefault="003D1658" w:rsidP="00DA109E">
      <w:pPr>
        <w:pStyle w:val="ListParagraph"/>
        <w:tabs>
          <w:tab w:val="num" w:pos="0"/>
        </w:tabs>
        <w:ind w:left="0" w:hanging="720"/>
      </w:pPr>
    </w:p>
    <w:p w14:paraId="64AA0185" w14:textId="77777777" w:rsidR="00DA109E" w:rsidRDefault="00DA109E" w:rsidP="00DA109E">
      <w:pPr>
        <w:pStyle w:val="ListParagraph"/>
        <w:tabs>
          <w:tab w:val="num" w:pos="0"/>
        </w:tabs>
        <w:ind w:left="0" w:hanging="720"/>
      </w:pPr>
    </w:p>
    <w:p w14:paraId="6DF9DE14" w14:textId="77777777" w:rsidR="00446162" w:rsidRPr="003D1658" w:rsidRDefault="00446162" w:rsidP="00D478E7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3D1658">
        <w:rPr>
          <w:b/>
          <w:bCs/>
        </w:rPr>
        <w:t>FINDINGS AND CONCLUSIONS</w:t>
      </w:r>
    </w:p>
    <w:p w14:paraId="6DF9DE15" w14:textId="77777777" w:rsidR="00446162" w:rsidRPr="003D1658" w:rsidRDefault="00446162" w:rsidP="00D478E7">
      <w:pPr>
        <w:pStyle w:val="Findings"/>
        <w:numPr>
          <w:ilvl w:val="0"/>
          <w:numId w:val="0"/>
        </w:numPr>
        <w:spacing w:line="320" w:lineRule="exact"/>
        <w:ind w:left="-720"/>
        <w:rPr>
          <w:b/>
          <w:bCs/>
        </w:rPr>
      </w:pPr>
    </w:p>
    <w:p w14:paraId="6DF9DE16" w14:textId="77777777" w:rsidR="00446162" w:rsidRDefault="00446162" w:rsidP="00DA109E">
      <w:pPr>
        <w:pStyle w:val="Findings"/>
        <w:tabs>
          <w:tab w:val="left" w:pos="0"/>
        </w:tabs>
        <w:spacing w:line="320" w:lineRule="exact"/>
        <w:ind w:hanging="1350"/>
      </w:pPr>
      <w:r w:rsidRPr="003D1658">
        <w:t>(1)</w:t>
      </w:r>
      <w:r w:rsidRPr="003D1658">
        <w:tab/>
        <w:t xml:space="preserve">The Washington Utilities and Transportation Commission is an agency of the </w:t>
      </w:r>
      <w:r w:rsidR="00EA371D" w:rsidRPr="003D1658">
        <w:t>s</w:t>
      </w:r>
      <w:r w:rsidRPr="003D1658">
        <w:t xml:space="preserve">tate of Washington vested by statute with the authority </w:t>
      </w:r>
      <w:r w:rsidRPr="005E5651">
        <w:t xml:space="preserve">to regulate </w:t>
      </w:r>
      <w:r w:rsidR="0077044F">
        <w:t xml:space="preserve">the </w:t>
      </w:r>
      <w:r w:rsidRPr="005E5651">
        <w:t xml:space="preserve">rates, rules, regulations, practices, accounts, securities, transfers of </w:t>
      </w:r>
      <w:r w:rsidR="00B0694C">
        <w:t>property</w:t>
      </w:r>
      <w:r w:rsidR="00B72DC3">
        <w:t>,</w:t>
      </w:r>
      <w:r w:rsidR="00B0694C">
        <w:t xml:space="preserve"> and affiliated interest</w:t>
      </w:r>
      <w:r w:rsidR="00064AA3">
        <w:t>s</w:t>
      </w:r>
      <w:r w:rsidR="00B0694C">
        <w:t xml:space="preserve"> of </w:t>
      </w:r>
      <w:r w:rsidRPr="005E5651">
        <w:t>public servi</w:t>
      </w:r>
      <w:r w:rsidR="008554E4">
        <w:t>ce companies, including electric</w:t>
      </w:r>
      <w:r w:rsidR="00527A35">
        <w:t xml:space="preserve"> companies.</w:t>
      </w:r>
    </w:p>
    <w:p w14:paraId="6DF9DE17" w14:textId="77777777" w:rsidR="008C66E3" w:rsidRPr="005E5651" w:rsidRDefault="008C66E3" w:rsidP="00DA109E">
      <w:pPr>
        <w:pStyle w:val="Findings"/>
        <w:numPr>
          <w:ilvl w:val="0"/>
          <w:numId w:val="0"/>
        </w:numPr>
        <w:tabs>
          <w:tab w:val="left" w:pos="0"/>
          <w:tab w:val="num" w:pos="720"/>
        </w:tabs>
        <w:spacing w:line="320" w:lineRule="exact"/>
        <w:ind w:left="720" w:hanging="1350"/>
      </w:pPr>
    </w:p>
    <w:p w14:paraId="6DF9DE18" w14:textId="77777777" w:rsidR="00446162" w:rsidRPr="005E5651" w:rsidRDefault="00446162" w:rsidP="00DA109E">
      <w:pPr>
        <w:pStyle w:val="Findings"/>
        <w:tabs>
          <w:tab w:val="left" w:pos="0"/>
        </w:tabs>
        <w:spacing w:line="320" w:lineRule="exact"/>
        <w:ind w:hanging="1350"/>
      </w:pPr>
      <w:r w:rsidRPr="005E5651">
        <w:t>(2)</w:t>
      </w:r>
      <w:r w:rsidRPr="005E5651">
        <w:tab/>
      </w:r>
      <w:r w:rsidR="00FA5503">
        <w:fldChar w:fldCharType="begin"/>
      </w:r>
      <w:r w:rsidR="00FA5503">
        <w:instrText xml:space="preserve"> REF acronym1 \* MERGEFORMAT</w:instrText>
      </w:r>
      <w:r w:rsidR="00FA5503">
        <w:fldChar w:fldCharType="separate"/>
      </w:r>
      <w:r w:rsidR="00FA5503">
        <w:t>PacifiCorp</w:t>
      </w:r>
      <w:r w:rsidR="00FA5503">
        <w:fldChar w:fldCharType="end"/>
      </w:r>
      <w:r w:rsidR="00E03D66">
        <w:t xml:space="preserve"> </w:t>
      </w:r>
      <w:r w:rsidRPr="005E5651">
        <w:t xml:space="preserve">is engaged in the business of providing electric services within the state of Washington and is a public service company subject to </w:t>
      </w:r>
      <w:r w:rsidR="00714497">
        <w:t xml:space="preserve">Commission </w:t>
      </w:r>
      <w:r w:rsidRPr="005E5651">
        <w:t>jurisdiction.</w:t>
      </w:r>
    </w:p>
    <w:p w14:paraId="6DF9DE19" w14:textId="77777777" w:rsidR="00446162" w:rsidRPr="005E5651" w:rsidRDefault="00446162" w:rsidP="00DA109E">
      <w:pPr>
        <w:pStyle w:val="Findings"/>
        <w:numPr>
          <w:ilvl w:val="0"/>
          <w:numId w:val="0"/>
        </w:numPr>
        <w:tabs>
          <w:tab w:val="left" w:pos="0"/>
          <w:tab w:val="num" w:pos="720"/>
        </w:tabs>
        <w:spacing w:line="320" w:lineRule="exact"/>
        <w:ind w:left="720" w:hanging="1350"/>
      </w:pPr>
    </w:p>
    <w:p w14:paraId="6DF9DE1A" w14:textId="77777777" w:rsidR="00446162" w:rsidRDefault="00446162" w:rsidP="00DA109E">
      <w:pPr>
        <w:pStyle w:val="Findings"/>
        <w:tabs>
          <w:tab w:val="left" w:pos="0"/>
        </w:tabs>
        <w:spacing w:line="320" w:lineRule="exact"/>
        <w:ind w:hanging="1350"/>
      </w:pPr>
      <w:r w:rsidRPr="005E5651">
        <w:t>(3)</w:t>
      </w:r>
      <w:r w:rsidRPr="005E5651">
        <w:tab/>
      </w:r>
      <w:r w:rsidR="00FA5503">
        <w:fldChar w:fldCharType="begin"/>
      </w:r>
      <w:r w:rsidR="00FA5503">
        <w:instrText xml:space="preserve"> REF acronym1 \* MERGEFORMAT</w:instrText>
      </w:r>
      <w:r w:rsidR="00FA5503">
        <w:fldChar w:fldCharType="separate"/>
      </w:r>
      <w:r w:rsidR="00FA5503">
        <w:t>PacifiCorp</w:t>
      </w:r>
      <w:r w:rsidR="00FA5503">
        <w:fldChar w:fldCharType="end"/>
      </w:r>
      <w:r w:rsidR="00E03D66">
        <w:t xml:space="preserve"> </w:t>
      </w:r>
      <w:r w:rsidR="00506C77">
        <w:t xml:space="preserve">seeks an exemption from </w:t>
      </w:r>
      <w:r w:rsidR="002C5DF6">
        <w:fldChar w:fldCharType="begin"/>
      </w:r>
      <w:r w:rsidR="00E31554">
        <w:instrText xml:space="preserve"> ref wac_no </w:instrText>
      </w:r>
      <w:r w:rsidR="002C5DF6">
        <w:fldChar w:fldCharType="separate"/>
      </w:r>
      <w:r w:rsidR="00FA5503">
        <w:t>WAC 480-100-128(6</w:t>
      </w:r>
      <w:proofErr w:type="gramStart"/>
      <w:r w:rsidR="00FA5503">
        <w:t>)(</w:t>
      </w:r>
      <w:proofErr w:type="gramEnd"/>
      <w:r w:rsidR="00FA5503">
        <w:t>k)</w:t>
      </w:r>
      <w:r w:rsidR="002C5DF6">
        <w:fldChar w:fldCharType="end"/>
      </w:r>
      <w:r w:rsidRPr="005E5651">
        <w:t xml:space="preserve">, </w:t>
      </w:r>
      <w:r w:rsidR="00714497">
        <w:t xml:space="preserve">which </w:t>
      </w:r>
      <w:r w:rsidRPr="005E5651">
        <w:t>requir</w:t>
      </w:r>
      <w:r w:rsidR="00714497">
        <w:t>es</w:t>
      </w:r>
      <w:r w:rsidR="00F471F7">
        <w:t xml:space="preserve"> that electric company employees who visit a customer to disconnect service accept delinquent payments when such payments are offered</w:t>
      </w:r>
      <w:r w:rsidRPr="005E5651">
        <w:t>.</w:t>
      </w:r>
    </w:p>
    <w:p w14:paraId="6DF9DE1B" w14:textId="77777777" w:rsidR="00506C77" w:rsidRPr="005E5651" w:rsidRDefault="00506C77" w:rsidP="00DA109E">
      <w:pPr>
        <w:pStyle w:val="Findings"/>
        <w:numPr>
          <w:ilvl w:val="0"/>
          <w:numId w:val="0"/>
        </w:numPr>
        <w:tabs>
          <w:tab w:val="left" w:pos="0"/>
          <w:tab w:val="num" w:pos="720"/>
        </w:tabs>
        <w:spacing w:line="320" w:lineRule="exact"/>
        <w:ind w:left="720" w:hanging="1350"/>
      </w:pPr>
    </w:p>
    <w:p w14:paraId="6DF9DE1C" w14:textId="77777777" w:rsidR="00506C77" w:rsidRPr="005E5651" w:rsidRDefault="00506C77" w:rsidP="00DA109E">
      <w:pPr>
        <w:pStyle w:val="Findings"/>
        <w:tabs>
          <w:tab w:val="left" w:pos="0"/>
        </w:tabs>
        <w:spacing w:line="320" w:lineRule="exact"/>
        <w:ind w:hanging="1350"/>
      </w:pPr>
      <w:r w:rsidRPr="005E5651">
        <w:t>(</w:t>
      </w:r>
      <w:r>
        <w:t>4</w:t>
      </w:r>
      <w:r w:rsidRPr="005E5651">
        <w:t>)</w:t>
      </w:r>
      <w:r w:rsidRPr="005E5651">
        <w:tab/>
        <w:t xml:space="preserve">This matter </w:t>
      </w:r>
      <w:r>
        <w:t>came</w:t>
      </w:r>
      <w:r w:rsidRPr="005E5651">
        <w:t xml:space="preserve"> before the Commission at its regularly scheduled meeting on</w:t>
      </w:r>
      <w:r>
        <w:t xml:space="preserve"> </w:t>
      </w:r>
      <w:r w:rsidR="002C5DF6">
        <w:fldChar w:fldCharType="begin"/>
      </w:r>
      <w:r>
        <w:instrText xml:space="preserve"> ASK om_date "Enter Open Meeting Date "</w:instrText>
      </w:r>
      <w:r w:rsidR="002C5DF6">
        <w:fldChar w:fldCharType="separate"/>
      </w:r>
      <w:bookmarkStart w:id="7" w:name="om_date"/>
      <w:r>
        <w:t>May 30, 2013</w:t>
      </w:r>
      <w:bookmarkEnd w:id="7"/>
      <w:r w:rsidR="002C5DF6">
        <w:fldChar w:fldCharType="end"/>
      </w:r>
      <w:r w:rsidR="00FA5503">
        <w:fldChar w:fldCharType="begin"/>
      </w:r>
      <w:r w:rsidR="00FA5503">
        <w:instrText xml:space="preserve"> REF om_date \* MERGEFORMAT</w:instrText>
      </w:r>
      <w:r w:rsidR="00FA5503">
        <w:fldChar w:fldCharType="separate"/>
      </w:r>
      <w:r w:rsidR="00FA5503">
        <w:t>May 30, 2013</w:t>
      </w:r>
      <w:r w:rsidR="00FA5503">
        <w:fldChar w:fldCharType="end"/>
      </w:r>
      <w:r w:rsidR="00FC2AF3">
        <w:t>, and set aside for further consideration; the Commission returned to this matter at its regularly schedule</w:t>
      </w:r>
      <w:r w:rsidR="00FC5855">
        <w:t>d</w:t>
      </w:r>
      <w:r w:rsidR="00FC2AF3">
        <w:t xml:space="preserve"> meeting on September 12, 2013.</w:t>
      </w:r>
    </w:p>
    <w:p w14:paraId="6DF9DE1D" w14:textId="77777777" w:rsidR="001C0BFC" w:rsidRDefault="001C0BFC" w:rsidP="00DA109E">
      <w:pPr>
        <w:pStyle w:val="ListParagraph"/>
        <w:tabs>
          <w:tab w:val="left" w:pos="0"/>
          <w:tab w:val="num" w:pos="720"/>
        </w:tabs>
        <w:ind w:hanging="1350"/>
      </w:pPr>
    </w:p>
    <w:p w14:paraId="6DF9DE1E" w14:textId="77777777" w:rsidR="00446162" w:rsidRPr="005E5651" w:rsidRDefault="00506C77" w:rsidP="00DA109E">
      <w:pPr>
        <w:pStyle w:val="Findings"/>
        <w:tabs>
          <w:tab w:val="left" w:pos="0"/>
        </w:tabs>
        <w:spacing w:line="320" w:lineRule="exact"/>
        <w:ind w:hanging="1350"/>
      </w:pPr>
      <w:r>
        <w:t>(5</w:t>
      </w:r>
      <w:r w:rsidR="00EA371D">
        <w:t>)</w:t>
      </w:r>
      <w:r w:rsidR="00EA371D">
        <w:tab/>
      </w:r>
      <w:r>
        <w:t>The</w:t>
      </w:r>
      <w:r w:rsidR="00446162" w:rsidRPr="005E5651">
        <w:t xml:space="preserve"> Commission may grant an exemption from the provisions of </w:t>
      </w:r>
      <w:r>
        <w:t xml:space="preserve">a rule </w:t>
      </w:r>
      <w:r w:rsidR="00446162" w:rsidRPr="005E5651">
        <w:t>if consistent with the public interest, the purposes underlying regulation</w:t>
      </w:r>
      <w:r w:rsidR="006309DD">
        <w:t>,</w:t>
      </w:r>
      <w:r w:rsidR="00446162" w:rsidRPr="005E5651">
        <w:t xml:space="preserve"> and applicable statutes.</w:t>
      </w:r>
    </w:p>
    <w:p w14:paraId="6DF9DE1F" w14:textId="77777777" w:rsidR="00446162" w:rsidRPr="005E5651" w:rsidRDefault="00446162" w:rsidP="00DA109E">
      <w:pPr>
        <w:pStyle w:val="Findings"/>
        <w:numPr>
          <w:ilvl w:val="0"/>
          <w:numId w:val="0"/>
        </w:numPr>
        <w:tabs>
          <w:tab w:val="left" w:pos="0"/>
          <w:tab w:val="num" w:pos="720"/>
        </w:tabs>
        <w:spacing w:line="320" w:lineRule="exact"/>
        <w:ind w:left="720" w:hanging="1350"/>
      </w:pPr>
    </w:p>
    <w:p w14:paraId="6DF9DE20" w14:textId="77777777" w:rsidR="00446162" w:rsidRPr="005E5651" w:rsidRDefault="007B4BE8" w:rsidP="00DA109E">
      <w:pPr>
        <w:pStyle w:val="Findings"/>
        <w:tabs>
          <w:tab w:val="left" w:pos="0"/>
        </w:tabs>
        <w:spacing w:line="320" w:lineRule="exact"/>
        <w:ind w:hanging="1350"/>
      </w:pPr>
      <w:r>
        <w:t>(</w:t>
      </w:r>
      <w:r w:rsidR="00506C77">
        <w:t>6</w:t>
      </w:r>
      <w:r>
        <w:t>)</w:t>
      </w:r>
      <w:r>
        <w:tab/>
        <w:t xml:space="preserve">After review of the petition filed </w:t>
      </w:r>
      <w:r w:rsidRPr="005E5651">
        <w:t xml:space="preserve">in </w:t>
      </w:r>
      <w:r w:rsidR="00EA371D">
        <w:t>this d</w:t>
      </w:r>
      <w:r w:rsidRPr="005E5651">
        <w:t>ocket</w:t>
      </w:r>
      <w:r w:rsidR="00EA371D">
        <w:t xml:space="preserve"> by</w:t>
      </w:r>
      <w:r w:rsidR="00412D28">
        <w:t xml:space="preserve"> </w:t>
      </w:r>
      <w:r w:rsidR="00FA5503">
        <w:fldChar w:fldCharType="begin"/>
      </w:r>
      <w:r w:rsidR="00FA5503">
        <w:instrText xml:space="preserve"> REF acronym1 \* MERGEFORMAT</w:instrText>
      </w:r>
      <w:r w:rsidR="00FA5503">
        <w:fldChar w:fldCharType="separate"/>
      </w:r>
      <w:r w:rsidR="00FA5503">
        <w:t>PacifiCorp</w:t>
      </w:r>
      <w:r w:rsidR="00FA5503">
        <w:fldChar w:fldCharType="end"/>
      </w:r>
      <w:r w:rsidR="00446162" w:rsidRPr="005E5651">
        <w:t xml:space="preserve"> on </w:t>
      </w:r>
      <w:r w:rsidR="00FA5503">
        <w:fldChar w:fldCharType="begin"/>
      </w:r>
      <w:r w:rsidR="00FA5503">
        <w:instrText xml:space="preserve"> REF filing_date \* MERGEFORMAT</w:instrText>
      </w:r>
      <w:r w:rsidR="00FA5503">
        <w:fldChar w:fldCharType="separate"/>
      </w:r>
      <w:r w:rsidR="00FA5503">
        <w:t>April 15, 2013</w:t>
      </w:r>
      <w:r w:rsidR="00FA5503">
        <w:fldChar w:fldCharType="end"/>
      </w:r>
      <w:proofErr w:type="gramStart"/>
      <w:r>
        <w:t>,</w:t>
      </w:r>
      <w:r w:rsidR="00446162" w:rsidRPr="005E5651">
        <w:t xml:space="preserve">  the</w:t>
      </w:r>
      <w:proofErr w:type="gramEnd"/>
      <w:r w:rsidR="00446162" w:rsidRPr="005E5651">
        <w:t xml:space="preserve"> Commiss</w:t>
      </w:r>
      <w:r>
        <w:t xml:space="preserve">ion finds that the </w:t>
      </w:r>
      <w:r w:rsidR="00036215">
        <w:t xml:space="preserve">request for </w:t>
      </w:r>
      <w:r>
        <w:t xml:space="preserve">exemption is </w:t>
      </w:r>
      <w:r w:rsidR="00FC5855">
        <w:t xml:space="preserve">not justified, </w:t>
      </w:r>
      <w:r w:rsidR="00036215">
        <w:t xml:space="preserve">not </w:t>
      </w:r>
      <w:r>
        <w:t xml:space="preserve">in the public interest </w:t>
      </w:r>
      <w:r w:rsidR="00036215">
        <w:t>a</w:t>
      </w:r>
      <w:r w:rsidR="00446162" w:rsidRPr="005E5651">
        <w:t xml:space="preserve">nd should be </w:t>
      </w:r>
      <w:r w:rsidR="00036215">
        <w:t>denied</w:t>
      </w:r>
      <w:r w:rsidR="00446162" w:rsidRPr="005E5651">
        <w:t>.</w:t>
      </w:r>
    </w:p>
    <w:p w14:paraId="6DF9DE21" w14:textId="77777777" w:rsidR="00446162" w:rsidRPr="005E5651" w:rsidRDefault="00446162" w:rsidP="00DA109E">
      <w:pPr>
        <w:pStyle w:val="Findings"/>
        <w:numPr>
          <w:ilvl w:val="0"/>
          <w:numId w:val="0"/>
        </w:numPr>
        <w:tabs>
          <w:tab w:val="left" w:pos="0"/>
          <w:tab w:val="num" w:pos="720"/>
        </w:tabs>
        <w:spacing w:line="320" w:lineRule="exact"/>
        <w:ind w:left="720" w:hanging="1350"/>
      </w:pPr>
    </w:p>
    <w:p w14:paraId="6DF9DE22" w14:textId="77777777" w:rsidR="00446162" w:rsidRPr="005E5651" w:rsidRDefault="00446162" w:rsidP="00D478E7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O R D E R</w:t>
      </w:r>
    </w:p>
    <w:p w14:paraId="6DF9DE23" w14:textId="77777777" w:rsidR="00446162" w:rsidRPr="005E5651" w:rsidRDefault="00446162" w:rsidP="00D478E7">
      <w:pPr>
        <w:spacing w:line="320" w:lineRule="exact"/>
        <w:rPr>
          <w:b/>
          <w:bCs/>
        </w:rPr>
      </w:pPr>
    </w:p>
    <w:p w14:paraId="6DF9DE24" w14:textId="77777777" w:rsidR="00446162" w:rsidRPr="00714497" w:rsidRDefault="00446162" w:rsidP="00D478E7">
      <w:pPr>
        <w:spacing w:line="320" w:lineRule="exact"/>
        <w:ind w:left="-720" w:firstLine="720"/>
        <w:rPr>
          <w:b/>
        </w:rPr>
      </w:pPr>
      <w:r w:rsidRPr="00714497">
        <w:rPr>
          <w:b/>
        </w:rPr>
        <w:t>THE COMMISSION ORDERS:</w:t>
      </w:r>
    </w:p>
    <w:p w14:paraId="6DF9DE25" w14:textId="77777777" w:rsidR="00446162" w:rsidRPr="005E5651" w:rsidRDefault="00446162" w:rsidP="00D478E7">
      <w:pPr>
        <w:spacing w:line="320" w:lineRule="exact"/>
        <w:ind w:left="-720"/>
      </w:pPr>
    </w:p>
    <w:p w14:paraId="6DF9DE26" w14:textId="76ACF409" w:rsidR="00446162" w:rsidRPr="005E5651" w:rsidRDefault="00FA5503" w:rsidP="00DA109E">
      <w:pPr>
        <w:pStyle w:val="Findings"/>
        <w:spacing w:line="320" w:lineRule="exact"/>
        <w:ind w:left="0"/>
      </w:pPr>
      <w:r>
        <w:fldChar w:fldCharType="begin"/>
      </w:r>
      <w:r>
        <w:instrText xml:space="preserve"> REF company1_name \* MERGEFORMAT</w:instrText>
      </w:r>
      <w:r>
        <w:fldChar w:fldCharType="separate"/>
      </w:r>
      <w:r>
        <w:t>PacifiCorp d/b/a Pacific Power</w:t>
      </w:r>
      <w:r>
        <w:fldChar w:fldCharType="end"/>
      </w:r>
      <w:r w:rsidR="00446162" w:rsidRPr="005E5651">
        <w:t xml:space="preserve"> an exemption </w:t>
      </w:r>
      <w:r w:rsidR="00472AD5">
        <w:t>to</w:t>
      </w:r>
      <w:r w:rsidR="00446162" w:rsidRPr="005E5651">
        <w:t xml:space="preserve"> </w:t>
      </w:r>
      <w:r w:rsidR="002C5DF6">
        <w:fldChar w:fldCharType="begin"/>
      </w:r>
      <w:r w:rsidR="00E31554">
        <w:instrText xml:space="preserve"> ref WAC_no </w:instrText>
      </w:r>
      <w:r w:rsidR="002C5DF6">
        <w:fldChar w:fldCharType="separate"/>
      </w:r>
      <w:r>
        <w:t>WAC 480-100-128(6</w:t>
      </w:r>
      <w:proofErr w:type="gramStart"/>
      <w:r>
        <w:t>)(</w:t>
      </w:r>
      <w:proofErr w:type="gramEnd"/>
      <w:r>
        <w:t>k)</w:t>
      </w:r>
      <w:r w:rsidR="002C5DF6">
        <w:fldChar w:fldCharType="end"/>
      </w:r>
      <w:r w:rsidR="00036215">
        <w:t xml:space="preserve"> is </w:t>
      </w:r>
      <w:r w:rsidR="00054F72">
        <w:t>denied</w:t>
      </w:r>
      <w:r w:rsidR="00446162" w:rsidRPr="005E5651">
        <w:t>.</w:t>
      </w:r>
    </w:p>
    <w:p w14:paraId="6DF9DE27" w14:textId="77777777" w:rsidR="00446162" w:rsidRPr="005E5651" w:rsidRDefault="00446162" w:rsidP="00D478E7">
      <w:pPr>
        <w:spacing w:line="320" w:lineRule="exact"/>
        <w:ind w:left="-720"/>
      </w:pPr>
    </w:p>
    <w:p w14:paraId="2675423A" w14:textId="77777777" w:rsidR="00B07FCB" w:rsidRDefault="00B07FCB" w:rsidP="00D478E7">
      <w:pPr>
        <w:spacing w:line="320" w:lineRule="exact"/>
        <w:ind w:firstLine="60"/>
      </w:pPr>
    </w:p>
    <w:p w14:paraId="7B7A6941" w14:textId="77777777" w:rsidR="00B07FCB" w:rsidRDefault="00B07FCB" w:rsidP="00D478E7">
      <w:pPr>
        <w:spacing w:line="320" w:lineRule="exact"/>
        <w:ind w:firstLine="60"/>
      </w:pPr>
    </w:p>
    <w:p w14:paraId="2224D209" w14:textId="77777777" w:rsidR="00B07FCB" w:rsidRDefault="00B07FCB" w:rsidP="00D478E7">
      <w:pPr>
        <w:spacing w:line="320" w:lineRule="exact"/>
        <w:ind w:firstLine="60"/>
      </w:pPr>
    </w:p>
    <w:p w14:paraId="799A5AA3" w14:textId="77777777" w:rsidR="00B07FCB" w:rsidRDefault="00B07FCB" w:rsidP="00D478E7">
      <w:pPr>
        <w:spacing w:line="320" w:lineRule="exact"/>
        <w:ind w:firstLine="60"/>
      </w:pPr>
    </w:p>
    <w:p w14:paraId="6DF9DE28" w14:textId="096A8C9C" w:rsidR="00446162" w:rsidRPr="005E5651" w:rsidRDefault="00446162" w:rsidP="00D478E7">
      <w:pPr>
        <w:spacing w:line="320" w:lineRule="exact"/>
        <w:ind w:firstLine="60"/>
      </w:pPr>
      <w:proofErr w:type="gramStart"/>
      <w:r w:rsidRPr="005E5651">
        <w:t>DATED at Olympia, Washington, and effective</w:t>
      </w:r>
      <w:r w:rsidR="00C77B05">
        <w:t xml:space="preserve"> September 12, 2013</w:t>
      </w:r>
      <w:r w:rsidRPr="005E5651">
        <w:t>.</w:t>
      </w:r>
      <w:proofErr w:type="gramEnd"/>
    </w:p>
    <w:p w14:paraId="6DF9DE29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DF9DE2A" w14:textId="77777777" w:rsidR="00FC2AF3" w:rsidRPr="00E60A35" w:rsidRDefault="00FC2AF3" w:rsidP="00FC2AF3">
      <w:pPr>
        <w:spacing w:before="120" w:after="240" w:line="288" w:lineRule="auto"/>
        <w:jc w:val="center"/>
        <w:rPr>
          <w:rFonts w:eastAsia="Calibri"/>
          <w:sz w:val="25"/>
          <w:szCs w:val="25"/>
        </w:rPr>
      </w:pPr>
      <w:bookmarkStart w:id="8" w:name="body"/>
      <w:r w:rsidRPr="00E60A35">
        <w:rPr>
          <w:rFonts w:eastAsia="Calibri"/>
          <w:sz w:val="25"/>
          <w:szCs w:val="25"/>
        </w:rPr>
        <w:t>WASHINGTON UTILITIES AND TRANSPORTATION COMMISSION</w:t>
      </w:r>
    </w:p>
    <w:p w14:paraId="6DF9DE2B" w14:textId="77777777" w:rsidR="00FC2AF3" w:rsidRPr="00E60A35" w:rsidRDefault="00FC2AF3" w:rsidP="00FC2AF3">
      <w:pPr>
        <w:rPr>
          <w:rFonts w:eastAsia="Calibri"/>
          <w:sz w:val="25"/>
          <w:szCs w:val="25"/>
        </w:rPr>
      </w:pPr>
    </w:p>
    <w:p w14:paraId="6DF9DE2C" w14:textId="77777777" w:rsidR="00FC2AF3" w:rsidRPr="00E60A35" w:rsidRDefault="00FC2AF3" w:rsidP="00FC2AF3">
      <w:pPr>
        <w:rPr>
          <w:rFonts w:eastAsia="Calibri"/>
          <w:sz w:val="25"/>
          <w:szCs w:val="25"/>
        </w:rPr>
      </w:pPr>
    </w:p>
    <w:p w14:paraId="6DF9DE2D" w14:textId="77777777" w:rsidR="00FC2AF3" w:rsidRPr="00E60A35" w:rsidRDefault="00FC2AF3" w:rsidP="00FC2AF3">
      <w:pPr>
        <w:rPr>
          <w:rFonts w:eastAsia="Calibri"/>
          <w:sz w:val="25"/>
          <w:szCs w:val="25"/>
        </w:rPr>
      </w:pPr>
    </w:p>
    <w:p w14:paraId="6DF9DE2E" w14:textId="77777777" w:rsidR="00FC2AF3" w:rsidRPr="00E60A35" w:rsidRDefault="00FC2AF3" w:rsidP="00FC2AF3">
      <w:pPr>
        <w:rPr>
          <w:rFonts w:eastAsia="Calibri"/>
          <w:sz w:val="25"/>
          <w:szCs w:val="25"/>
        </w:rPr>
      </w:pP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  <w:t>DAVID W. DANNER, Chairman</w:t>
      </w:r>
    </w:p>
    <w:p w14:paraId="6DF9DE2F" w14:textId="77777777" w:rsidR="00FC2AF3" w:rsidRPr="00E60A35" w:rsidRDefault="00FC2AF3" w:rsidP="00FC2AF3">
      <w:pPr>
        <w:spacing w:before="120" w:after="240"/>
        <w:rPr>
          <w:rFonts w:eastAsia="Calibri"/>
          <w:sz w:val="25"/>
          <w:szCs w:val="25"/>
        </w:rPr>
      </w:pPr>
    </w:p>
    <w:p w14:paraId="6DF9DE30" w14:textId="77777777" w:rsidR="00FC2AF3" w:rsidRPr="00E60A35" w:rsidRDefault="00FC2AF3" w:rsidP="00FC2AF3">
      <w:pPr>
        <w:spacing w:before="120" w:after="240"/>
        <w:rPr>
          <w:rFonts w:eastAsia="Calibri"/>
          <w:sz w:val="25"/>
          <w:szCs w:val="25"/>
        </w:rPr>
      </w:pPr>
    </w:p>
    <w:p w14:paraId="6DF9DE31" w14:textId="77777777" w:rsidR="00FC2AF3" w:rsidRPr="00E60A35" w:rsidRDefault="00FC2AF3" w:rsidP="00FC2AF3">
      <w:pPr>
        <w:rPr>
          <w:rFonts w:eastAsia="Calibri"/>
          <w:sz w:val="25"/>
          <w:szCs w:val="25"/>
        </w:rPr>
      </w:pP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</w:r>
      <w:r w:rsidRPr="00E60A35">
        <w:rPr>
          <w:rFonts w:eastAsia="Calibri"/>
          <w:sz w:val="25"/>
          <w:szCs w:val="25"/>
        </w:rPr>
        <w:tab/>
        <w:t>PHILIP B. JONES, Commissioner</w:t>
      </w:r>
    </w:p>
    <w:p w14:paraId="6DF9DE32" w14:textId="77777777" w:rsidR="00FC2AF3" w:rsidRPr="00E60A35" w:rsidRDefault="00FC2AF3" w:rsidP="00FC2AF3">
      <w:pPr>
        <w:spacing w:before="120" w:after="240"/>
        <w:rPr>
          <w:rFonts w:eastAsia="Calibri"/>
          <w:sz w:val="25"/>
          <w:szCs w:val="25"/>
        </w:rPr>
      </w:pPr>
    </w:p>
    <w:p w14:paraId="6DF9DE33" w14:textId="77777777" w:rsidR="00FC2AF3" w:rsidRPr="00E60A35" w:rsidRDefault="00FC2AF3" w:rsidP="00FC2AF3">
      <w:pPr>
        <w:spacing w:before="120" w:after="240"/>
        <w:rPr>
          <w:rFonts w:eastAsia="Calibri"/>
          <w:sz w:val="25"/>
          <w:szCs w:val="25"/>
        </w:rPr>
      </w:pPr>
    </w:p>
    <w:p w14:paraId="6DF9DE34" w14:textId="77777777" w:rsidR="00535331" w:rsidRPr="005E5651" w:rsidRDefault="00FC2AF3" w:rsidP="007B71DB">
      <w:pPr>
        <w:spacing w:before="120" w:after="240"/>
      </w:pPr>
      <w:r>
        <w:rPr>
          <w:rFonts w:eastAsia="Calibri"/>
          <w:sz w:val="25"/>
          <w:szCs w:val="25"/>
        </w:rPr>
        <w:tab/>
      </w:r>
      <w:r>
        <w:rPr>
          <w:rFonts w:eastAsia="Calibri"/>
          <w:sz w:val="25"/>
          <w:szCs w:val="25"/>
        </w:rPr>
        <w:tab/>
      </w:r>
      <w:r>
        <w:rPr>
          <w:rFonts w:eastAsia="Calibri"/>
          <w:sz w:val="25"/>
          <w:szCs w:val="25"/>
        </w:rPr>
        <w:tab/>
      </w:r>
      <w:r>
        <w:rPr>
          <w:rFonts w:eastAsia="Calibri"/>
          <w:sz w:val="25"/>
          <w:szCs w:val="25"/>
        </w:rPr>
        <w:tab/>
      </w:r>
      <w:r>
        <w:rPr>
          <w:rFonts w:eastAsia="Calibri"/>
          <w:sz w:val="25"/>
          <w:szCs w:val="25"/>
        </w:rPr>
        <w:tab/>
        <w:t>JEFFREY D. GOLTZ, Commissioner</w:t>
      </w:r>
      <w:bookmarkEnd w:id="8"/>
    </w:p>
    <w:sectPr w:rsidR="00535331" w:rsidRPr="005E5651" w:rsidSect="00D21864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9DE37" w14:textId="77777777" w:rsidR="006B7895" w:rsidRDefault="006B7895">
      <w:r>
        <w:separator/>
      </w:r>
    </w:p>
  </w:endnote>
  <w:endnote w:type="continuationSeparator" w:id="0">
    <w:p w14:paraId="6DF9DE38" w14:textId="77777777" w:rsidR="006B7895" w:rsidRDefault="006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9DE35" w14:textId="77777777" w:rsidR="006B7895" w:rsidRDefault="006B7895">
      <w:r>
        <w:separator/>
      </w:r>
    </w:p>
  </w:footnote>
  <w:footnote w:type="continuationSeparator" w:id="0">
    <w:p w14:paraId="6DF9DE36" w14:textId="77777777" w:rsidR="006B7895" w:rsidRDefault="006B7895">
      <w:r>
        <w:continuationSeparator/>
      </w:r>
    </w:p>
  </w:footnote>
  <w:footnote w:id="1">
    <w:p w14:paraId="6DF9DE3E" w14:textId="77777777" w:rsidR="006B7895" w:rsidRPr="00EE6AA4" w:rsidRDefault="006B7895">
      <w:pPr>
        <w:pStyle w:val="FootnoteText"/>
        <w:rPr>
          <w:sz w:val="22"/>
          <w:szCs w:val="22"/>
        </w:rPr>
      </w:pPr>
      <w:r w:rsidRPr="00EE6AA4">
        <w:rPr>
          <w:rStyle w:val="FootnoteReference"/>
          <w:sz w:val="22"/>
          <w:szCs w:val="22"/>
        </w:rPr>
        <w:footnoteRef/>
      </w:r>
      <w:r w:rsidRPr="00EE6AA4">
        <w:rPr>
          <w:sz w:val="22"/>
          <w:szCs w:val="22"/>
        </w:rPr>
        <w:t xml:space="preserve"> WAC 480-07-110 (1)</w:t>
      </w:r>
      <w:r>
        <w:rPr>
          <w:sz w:val="22"/>
          <w:szCs w:val="22"/>
        </w:rPr>
        <w:t xml:space="preserve">; </w:t>
      </w:r>
      <w:r w:rsidRPr="00E30626">
        <w:rPr>
          <w:i/>
          <w:sz w:val="22"/>
          <w:szCs w:val="22"/>
        </w:rPr>
        <w:t>see also</w:t>
      </w:r>
      <w:r>
        <w:rPr>
          <w:sz w:val="22"/>
          <w:szCs w:val="22"/>
        </w:rPr>
        <w:t xml:space="preserve"> WAC 480-100-008.</w:t>
      </w:r>
    </w:p>
  </w:footnote>
  <w:footnote w:id="2">
    <w:p w14:paraId="6DF9DE3F" w14:textId="77777777" w:rsidR="006B7895" w:rsidRPr="00EE6AA4" w:rsidRDefault="006B7895">
      <w:pPr>
        <w:pStyle w:val="FootnoteText"/>
        <w:rPr>
          <w:sz w:val="22"/>
          <w:szCs w:val="22"/>
        </w:rPr>
      </w:pPr>
      <w:r w:rsidRPr="00EE6AA4">
        <w:rPr>
          <w:rStyle w:val="FootnoteReference"/>
          <w:sz w:val="22"/>
          <w:szCs w:val="22"/>
        </w:rPr>
        <w:footnoteRef/>
      </w:r>
      <w:r w:rsidRPr="00EE6AA4">
        <w:rPr>
          <w:sz w:val="22"/>
          <w:szCs w:val="22"/>
        </w:rPr>
        <w:t xml:space="preserve"> WAC 480-07-110(2</w:t>
      </w:r>
      <w:proofErr w:type="gramStart"/>
      <w:r w:rsidRPr="00EE6AA4">
        <w:rPr>
          <w:sz w:val="22"/>
          <w:szCs w:val="22"/>
        </w:rPr>
        <w:t>)(</w:t>
      </w:r>
      <w:proofErr w:type="gramEnd"/>
      <w:r w:rsidRPr="00EE6AA4">
        <w:rPr>
          <w:sz w:val="22"/>
          <w:szCs w:val="22"/>
        </w:rPr>
        <w:t>a).</w:t>
      </w:r>
    </w:p>
  </w:footnote>
  <w:footnote w:id="3">
    <w:p w14:paraId="6DF9DE40" w14:textId="77777777" w:rsidR="006B7895" w:rsidRDefault="006B7895">
      <w:pPr>
        <w:pStyle w:val="FootnoteText"/>
      </w:pPr>
      <w:r w:rsidRPr="00EE6AA4">
        <w:rPr>
          <w:rStyle w:val="FootnoteReference"/>
          <w:sz w:val="22"/>
          <w:szCs w:val="22"/>
        </w:rPr>
        <w:footnoteRef/>
      </w:r>
      <w:r w:rsidRPr="00EE6AA4">
        <w:rPr>
          <w:sz w:val="22"/>
          <w:szCs w:val="22"/>
        </w:rPr>
        <w:t xml:space="preserve"> WAC 480-07-110(2</w:t>
      </w:r>
      <w:proofErr w:type="gramStart"/>
      <w:r w:rsidRPr="00EE6AA4">
        <w:rPr>
          <w:sz w:val="22"/>
          <w:szCs w:val="22"/>
        </w:rPr>
        <w:t>)(</w:t>
      </w:r>
      <w:proofErr w:type="gramEnd"/>
      <w:r w:rsidRPr="00EE6AA4">
        <w:rPr>
          <w:sz w:val="22"/>
          <w:szCs w:val="22"/>
        </w:rPr>
        <w:t>c).</w:t>
      </w:r>
    </w:p>
  </w:footnote>
  <w:footnote w:id="4">
    <w:p w14:paraId="6DF9DE41" w14:textId="5C320BC5" w:rsidR="006B7895" w:rsidRDefault="006B7895">
      <w:pPr>
        <w:pStyle w:val="FootnoteText"/>
      </w:pPr>
      <w:r>
        <w:rPr>
          <w:rStyle w:val="FootnoteReference"/>
        </w:rPr>
        <w:footnoteRef/>
      </w:r>
      <w:r>
        <w:t xml:space="preserve"> Also at the September 12 Open Meeting, the Commission approved the Staff recommendation to </w:t>
      </w:r>
      <w:r w:rsidR="002135B4">
        <w:t>close</w:t>
      </w:r>
      <w:r>
        <w:t xml:space="preserve"> the rule-making proceeding in Docket UE-131087 and directed the Secretary or his designee to so inform the Code Reviser.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9DE39" w14:textId="029BACBD" w:rsidR="006B7895" w:rsidRPr="00A748CC" w:rsidRDefault="006B7895" w:rsidP="00412D2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187832">
      <w:t xml:space="preserve"> </w:t>
    </w:r>
    <w:r w:rsidR="00187832" w:rsidRPr="00187832">
      <w:rPr>
        <w:b/>
        <w:sz w:val="20"/>
        <w:szCs w:val="20"/>
      </w:rPr>
      <w:t>UE-130545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A5503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6DF9DE3A" w14:textId="77777777" w:rsidR="006B7895" w:rsidRPr="0050337D" w:rsidRDefault="006B7895" w:rsidP="00412D2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</w:t>
    </w:r>
    <w:r>
      <w:rPr>
        <w:rStyle w:val="PageNumber"/>
        <w:b/>
        <w:sz w:val="20"/>
      </w:rPr>
      <w:t xml:space="preserve">ER </w:t>
    </w:r>
    <w:fldSimple w:instr=" REF order_no  \* MERGEFORMAT ">
      <w:r w:rsidR="00FA5503" w:rsidRPr="00FA5503">
        <w:rPr>
          <w:b/>
          <w:sz w:val="20"/>
        </w:rPr>
        <w:t>01</w:t>
      </w:r>
    </w:fldSimple>
  </w:p>
  <w:p w14:paraId="6DF9DE3B" w14:textId="77777777" w:rsidR="006B7895" w:rsidRPr="008C66E3" w:rsidRDefault="006B7895">
    <w:pPr>
      <w:pStyle w:val="Header"/>
      <w:tabs>
        <w:tab w:val="left" w:pos="7100"/>
      </w:tabs>
      <w:rPr>
        <w:rStyle w:val="PageNumber"/>
        <w:b/>
        <w:sz w:val="20"/>
      </w:rPr>
    </w:pPr>
  </w:p>
  <w:p w14:paraId="6DF9DE3C" w14:textId="77777777" w:rsidR="006B7895" w:rsidRPr="005E5651" w:rsidRDefault="006B7895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9DE3D" w14:textId="77777777" w:rsidR="006B7895" w:rsidRDefault="006B7895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8A40261A"/>
    <w:lvl w:ilvl="0" w:tplc="9D38D41A">
      <w:start w:val="1"/>
      <w:numFmt w:val="decimal"/>
      <w:pStyle w:val="Finding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72"/>
    <w:rsid w:val="000075D1"/>
    <w:rsid w:val="0003017D"/>
    <w:rsid w:val="00035210"/>
    <w:rsid w:val="00036215"/>
    <w:rsid w:val="00054F72"/>
    <w:rsid w:val="00057C66"/>
    <w:rsid w:val="0006478E"/>
    <w:rsid w:val="00064AA3"/>
    <w:rsid w:val="000B0AF2"/>
    <w:rsid w:val="000C5B91"/>
    <w:rsid w:val="000F4C61"/>
    <w:rsid w:val="001024CB"/>
    <w:rsid w:val="001068F0"/>
    <w:rsid w:val="00110CFD"/>
    <w:rsid w:val="00113C3C"/>
    <w:rsid w:val="001215A2"/>
    <w:rsid w:val="0012703C"/>
    <w:rsid w:val="001427D0"/>
    <w:rsid w:val="001452D7"/>
    <w:rsid w:val="001500D0"/>
    <w:rsid w:val="0016450E"/>
    <w:rsid w:val="00172BB4"/>
    <w:rsid w:val="00176654"/>
    <w:rsid w:val="00180037"/>
    <w:rsid w:val="00182600"/>
    <w:rsid w:val="00184D02"/>
    <w:rsid w:val="00186297"/>
    <w:rsid w:val="00187832"/>
    <w:rsid w:val="001C0BFC"/>
    <w:rsid w:val="001D34AD"/>
    <w:rsid w:val="001E6A3E"/>
    <w:rsid w:val="00205383"/>
    <w:rsid w:val="0021326E"/>
    <w:rsid w:val="002135B4"/>
    <w:rsid w:val="002278FD"/>
    <w:rsid w:val="0023287A"/>
    <w:rsid w:val="00276B28"/>
    <w:rsid w:val="002817B9"/>
    <w:rsid w:val="002A0AEE"/>
    <w:rsid w:val="002B654C"/>
    <w:rsid w:val="002C5DF6"/>
    <w:rsid w:val="002D520C"/>
    <w:rsid w:val="002F168B"/>
    <w:rsid w:val="003279A5"/>
    <w:rsid w:val="00364A03"/>
    <w:rsid w:val="0036796B"/>
    <w:rsid w:val="00370F0E"/>
    <w:rsid w:val="0039437D"/>
    <w:rsid w:val="003D1658"/>
    <w:rsid w:val="003E43A8"/>
    <w:rsid w:val="003E58C3"/>
    <w:rsid w:val="003F20CF"/>
    <w:rsid w:val="00412D28"/>
    <w:rsid w:val="004170B3"/>
    <w:rsid w:val="00420714"/>
    <w:rsid w:val="0043576D"/>
    <w:rsid w:val="00446162"/>
    <w:rsid w:val="00461708"/>
    <w:rsid w:val="00467289"/>
    <w:rsid w:val="00472AD5"/>
    <w:rsid w:val="00492225"/>
    <w:rsid w:val="00496FF6"/>
    <w:rsid w:val="004B6CBC"/>
    <w:rsid w:val="004C290B"/>
    <w:rsid w:val="004D6FE0"/>
    <w:rsid w:val="004E48C8"/>
    <w:rsid w:val="004E761A"/>
    <w:rsid w:val="005064BF"/>
    <w:rsid w:val="00506C77"/>
    <w:rsid w:val="00527A35"/>
    <w:rsid w:val="00535331"/>
    <w:rsid w:val="00593373"/>
    <w:rsid w:val="00595D8E"/>
    <w:rsid w:val="005D4624"/>
    <w:rsid w:val="005D63F4"/>
    <w:rsid w:val="005E5651"/>
    <w:rsid w:val="006309DD"/>
    <w:rsid w:val="00641825"/>
    <w:rsid w:val="0064495C"/>
    <w:rsid w:val="00682A72"/>
    <w:rsid w:val="006917A7"/>
    <w:rsid w:val="006A071E"/>
    <w:rsid w:val="006A2FF6"/>
    <w:rsid w:val="006B7895"/>
    <w:rsid w:val="006C47C0"/>
    <w:rsid w:val="006D3FD2"/>
    <w:rsid w:val="006D4235"/>
    <w:rsid w:val="006D634B"/>
    <w:rsid w:val="00703D15"/>
    <w:rsid w:val="00714497"/>
    <w:rsid w:val="00731D33"/>
    <w:rsid w:val="00760F80"/>
    <w:rsid w:val="0077044F"/>
    <w:rsid w:val="00791856"/>
    <w:rsid w:val="007B4BE8"/>
    <w:rsid w:val="007B71DB"/>
    <w:rsid w:val="007B71E3"/>
    <w:rsid w:val="00823C75"/>
    <w:rsid w:val="008308C6"/>
    <w:rsid w:val="00832A48"/>
    <w:rsid w:val="008554E4"/>
    <w:rsid w:val="00862DCD"/>
    <w:rsid w:val="00866650"/>
    <w:rsid w:val="0086681D"/>
    <w:rsid w:val="00871AAB"/>
    <w:rsid w:val="008A49EE"/>
    <w:rsid w:val="008B60F3"/>
    <w:rsid w:val="008C66E3"/>
    <w:rsid w:val="008E3228"/>
    <w:rsid w:val="008F5F43"/>
    <w:rsid w:val="0091018D"/>
    <w:rsid w:val="00917F07"/>
    <w:rsid w:val="00936A12"/>
    <w:rsid w:val="009504D1"/>
    <w:rsid w:val="009663B6"/>
    <w:rsid w:val="009F5B5C"/>
    <w:rsid w:val="00A709C8"/>
    <w:rsid w:val="00A92223"/>
    <w:rsid w:val="00AB394F"/>
    <w:rsid w:val="00AC4BAA"/>
    <w:rsid w:val="00AD1C76"/>
    <w:rsid w:val="00AE47F4"/>
    <w:rsid w:val="00AE7555"/>
    <w:rsid w:val="00B00880"/>
    <w:rsid w:val="00B01B70"/>
    <w:rsid w:val="00B0694C"/>
    <w:rsid w:val="00B07FCB"/>
    <w:rsid w:val="00B119E6"/>
    <w:rsid w:val="00B2449D"/>
    <w:rsid w:val="00B32513"/>
    <w:rsid w:val="00B72DC3"/>
    <w:rsid w:val="00B83251"/>
    <w:rsid w:val="00B833A8"/>
    <w:rsid w:val="00B945AC"/>
    <w:rsid w:val="00B96479"/>
    <w:rsid w:val="00BA3BE9"/>
    <w:rsid w:val="00BB5E03"/>
    <w:rsid w:val="00BC190E"/>
    <w:rsid w:val="00BC36C1"/>
    <w:rsid w:val="00BC49FE"/>
    <w:rsid w:val="00C02B7A"/>
    <w:rsid w:val="00C0688E"/>
    <w:rsid w:val="00C17FEC"/>
    <w:rsid w:val="00C324BA"/>
    <w:rsid w:val="00C77B05"/>
    <w:rsid w:val="00C83493"/>
    <w:rsid w:val="00C84558"/>
    <w:rsid w:val="00C92AA0"/>
    <w:rsid w:val="00CA4B3F"/>
    <w:rsid w:val="00CC45A1"/>
    <w:rsid w:val="00CD49D8"/>
    <w:rsid w:val="00D15F54"/>
    <w:rsid w:val="00D21864"/>
    <w:rsid w:val="00D25DB1"/>
    <w:rsid w:val="00D43026"/>
    <w:rsid w:val="00D478E7"/>
    <w:rsid w:val="00D509DA"/>
    <w:rsid w:val="00D80F28"/>
    <w:rsid w:val="00DA109E"/>
    <w:rsid w:val="00DA1F84"/>
    <w:rsid w:val="00DA2EF9"/>
    <w:rsid w:val="00DA5894"/>
    <w:rsid w:val="00DC6AD4"/>
    <w:rsid w:val="00DD1580"/>
    <w:rsid w:val="00DE69C9"/>
    <w:rsid w:val="00DF72E3"/>
    <w:rsid w:val="00E03D66"/>
    <w:rsid w:val="00E075EF"/>
    <w:rsid w:val="00E2609A"/>
    <w:rsid w:val="00E30626"/>
    <w:rsid w:val="00E31554"/>
    <w:rsid w:val="00E70233"/>
    <w:rsid w:val="00E80E26"/>
    <w:rsid w:val="00EA0B5B"/>
    <w:rsid w:val="00EA371D"/>
    <w:rsid w:val="00ED5971"/>
    <w:rsid w:val="00EE2F7B"/>
    <w:rsid w:val="00EE6AA4"/>
    <w:rsid w:val="00EF39D9"/>
    <w:rsid w:val="00F007FB"/>
    <w:rsid w:val="00F24E44"/>
    <w:rsid w:val="00F26B60"/>
    <w:rsid w:val="00F471F7"/>
    <w:rsid w:val="00F51903"/>
    <w:rsid w:val="00F66488"/>
    <w:rsid w:val="00F7347A"/>
    <w:rsid w:val="00F839DA"/>
    <w:rsid w:val="00FA1203"/>
    <w:rsid w:val="00FA5503"/>
    <w:rsid w:val="00FB1D16"/>
    <w:rsid w:val="00FC2AF3"/>
    <w:rsid w:val="00FC3AF9"/>
    <w:rsid w:val="00FC5855"/>
    <w:rsid w:val="00FE4D2E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9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412D28"/>
    <w:rPr>
      <w:color w:val="0000FF"/>
      <w:u w:val="none"/>
    </w:rPr>
  </w:style>
  <w:style w:type="character" w:styleId="FollowedHyperlink">
    <w:name w:val="FollowedHyperlink"/>
    <w:rsid w:val="00412D2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007F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2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2EF9"/>
  </w:style>
  <w:style w:type="character" w:styleId="FootnoteReference">
    <w:name w:val="footnote reference"/>
    <w:basedOn w:val="DefaultParagraphFont"/>
    <w:rsid w:val="00DA2EF9"/>
    <w:rPr>
      <w:vertAlign w:val="superscript"/>
    </w:rPr>
  </w:style>
  <w:style w:type="character" w:styleId="CommentReference">
    <w:name w:val="annotation reference"/>
    <w:basedOn w:val="DefaultParagraphFont"/>
    <w:rsid w:val="00E306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0626"/>
  </w:style>
  <w:style w:type="paragraph" w:styleId="CommentSubject">
    <w:name w:val="annotation subject"/>
    <w:basedOn w:val="CommentText"/>
    <w:next w:val="CommentText"/>
    <w:link w:val="CommentSubjectChar"/>
    <w:rsid w:val="00E30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412D28"/>
    <w:rPr>
      <w:color w:val="0000FF"/>
      <w:u w:val="none"/>
    </w:rPr>
  </w:style>
  <w:style w:type="character" w:styleId="FollowedHyperlink">
    <w:name w:val="FollowedHyperlink"/>
    <w:rsid w:val="00412D2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007F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2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2EF9"/>
  </w:style>
  <w:style w:type="character" w:styleId="FootnoteReference">
    <w:name w:val="footnote reference"/>
    <w:basedOn w:val="DefaultParagraphFont"/>
    <w:rsid w:val="00DA2EF9"/>
    <w:rPr>
      <w:vertAlign w:val="superscript"/>
    </w:rPr>
  </w:style>
  <w:style w:type="character" w:styleId="CommentReference">
    <w:name w:val="annotation reference"/>
    <w:basedOn w:val="DefaultParagraphFont"/>
    <w:rsid w:val="00E306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0626"/>
  </w:style>
  <w:style w:type="paragraph" w:styleId="CommentSubject">
    <w:name w:val="annotation subject"/>
    <w:basedOn w:val="CommentText"/>
    <w:next w:val="CommentText"/>
    <w:link w:val="CommentSubjectChar"/>
    <w:rsid w:val="00E30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Exemption%20from%20Rule%20%20(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E3547BCA8B642B2315880501B3188" ma:contentTypeVersion="135" ma:contentTypeDescription="" ma:contentTypeScope="" ma:versionID="f2a5966a18c54ee31a999a4bfb9677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2013-04-15T07:00:00+00:00</OpenedDate>
    <Date1 xmlns="dc463f71-b30c-4ab2-9473-d307f9d35888">2013-09-12T07:00:00+00:00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130545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0ADB-1D7A-4B1C-B592-DA158DF7FD62}"/>
</file>

<file path=customXml/itemProps2.xml><?xml version="1.0" encoding="utf-8"?>
<ds:datastoreItem xmlns:ds="http://schemas.openxmlformats.org/officeDocument/2006/customXml" ds:itemID="{7CE5C59E-2278-4A39-B23B-D37CB9F90A80}"/>
</file>

<file path=customXml/itemProps3.xml><?xml version="1.0" encoding="utf-8"?>
<ds:datastoreItem xmlns:ds="http://schemas.openxmlformats.org/officeDocument/2006/customXml" ds:itemID="{28EE0544-7F02-4F62-A423-4836ED2C74BF}"/>
</file>

<file path=customXml/itemProps4.xml><?xml version="1.0" encoding="utf-8"?>
<ds:datastoreItem xmlns:ds="http://schemas.openxmlformats.org/officeDocument/2006/customXml" ds:itemID="{AC01A069-78BB-48FF-9413-E9937AFDD974}"/>
</file>

<file path=customXml/itemProps5.xml><?xml version="1.0" encoding="utf-8"?>
<ds:datastoreItem xmlns:ds="http://schemas.openxmlformats.org/officeDocument/2006/customXml" ds:itemID="{A072E547-43B1-4396-A933-8108FD5A73E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 (Electric)</Template>
  <TotalTime>4</TotalTime>
  <Pages>5</Pages>
  <Words>1230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UE-130545 Order</vt:lpstr>
    </vt:vector>
  </TitlesOfParts>
  <Company>WUTC</Company>
  <LinksUpToDate>false</LinksUpToDate>
  <CharactersWithSpaces>8902</CharactersWithSpaces>
  <SharedDoc>false</SharedDoc>
  <HLinks>
    <vt:vector size="60" baseType="variant">
      <vt:variant>
        <vt:i4>2490368</vt:i4>
      </vt:variant>
      <vt:variant>
        <vt:i4>157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2031636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</vt:lpwstr>
      </vt:variant>
      <vt:variant>
        <vt:lpwstr/>
      </vt:variant>
      <vt:variant>
        <vt:i4>1507337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http://apps.leg.wa.gov/WAC/default.aspx?cite=480-100-008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UE-130545 Order</dc:title>
  <dc:creator>Stephany Watson</dc:creator>
  <cp:lastModifiedBy>Kern, Cathy (UTC)</cp:lastModifiedBy>
  <cp:revision>3</cp:revision>
  <cp:lastPrinted>2013-09-12T00:00:00Z</cp:lastPrinted>
  <dcterms:created xsi:type="dcterms:W3CDTF">2013-09-12T00:00:00Z</dcterms:created>
  <dcterms:modified xsi:type="dcterms:W3CDTF">2013-09-12T00:03:00Z</dcterms:modified>
  <cp:category>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0x0101006E56B4D1795A2E4DB2F0B01679ED314A00C71E3547BCA8B642B2315880501B3188</vt:lpwstr>
  </property>
  <property fmtid="{D5CDD505-2E9C-101B-9397-08002B2CF9AE}" pid="3" name="_docset_NoMedatataSyncRequired">
    <vt:lpwstr>False</vt:lpwstr>
  </property>
</Properties>
</file>